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shd w:fill="0f172a" w:color="auto" w:val="clear"/>
            <w:tcMar>
              <w:top w:type="dxa" w:w="200"/>
              <w:left w:type="dxa" w:w="200"/>
              <w:bottom w:type="dxa" w:w="200"/>
              <w:right w:type="dxa" w:w="200"/>
            </w:tcMar>
            <w:vAlign w:val="center"/>
          </w:tcPr>
          <w:p>
            <w:pPr>
              <w:keepNext/>
              <w:keepLines/>
              <w:spacing w:after="30" w:before="0" w:line="280"/>
              <w:jc w:val="left"/>
            </w:pPr>
            <w:r>
              <w:rPr>
                <w:rFonts w:ascii="Calibri" w:cs="Calibri" w:eastAsia="Calibri" w:hAnsi="Calibri"/>
                <w:b/>
                <w:bCs/>
                <w:i w:val="false"/>
                <w:iCs w:val="false"/>
                <w:color w:val="ffffff"/>
                <w:sz w:val="36"/>
                <w:szCs w:val="36"/>
              </w:rPr>
              <w:t xml:space="preserve">BID / NO-BID DECISION MEMO</w:t>
            </w:r>
          </w:p>
          <w:p>
            <w:pPr>
              <w:keepNext w:val="false"/>
              <w:keepLines/>
              <w:spacing w:after="0" w:before="0" w:line="240"/>
              <w:jc w:val="left"/>
            </w:pPr>
            <w:r>
              <w:rPr>
                <w:rFonts w:ascii="Calibri" w:cs="Calibri" w:eastAsia="Calibri" w:hAnsi="Calibri"/>
                <w:b/>
                <w:bCs/>
                <w:i w:val="false"/>
                <w:iCs w:val="false"/>
                <w:color w:val="10b981"/>
                <w:sz w:val="22"/>
                <w:szCs w:val="22"/>
              </w:rPr>
              <w:t xml:space="preserve">{{COMPANY_NAME}}</w:t>
            </w:r>
            <w:r>
              <w:rPr>
                <w:rFonts w:ascii="Calibri" w:cs="Calibri" w:eastAsia="Calibri" w:hAnsi="Calibri"/>
                <w:b w:val="false"/>
                <w:bCs w:val="false"/>
                <w:i w:val="false"/>
                <w:iCs w:val="false"/>
                <w:color w:val="94a3b8"/>
                <w:sz w:val="22"/>
                <w:szCs w:val="22"/>
              </w:rPr>
              <w:t xml:space="preserve">   ·   </w:t>
            </w:r>
            <w:r>
              <w:rPr>
                <w:rFonts w:ascii="Calibri" w:cs="Calibri" w:eastAsia="Calibri" w:hAnsi="Calibri"/>
                <w:b w:val="false"/>
                <w:bCs w:val="false"/>
                <w:i/>
                <w:iCs/>
                <w:color w:val="c1fae5"/>
                <w:sz w:val="20"/>
                <w:szCs w:val="20"/>
              </w:rPr>
              <w:t xml:space="preserve">Prepared by {{PREPARER_NAME}}, {{PREPARER_TITLE}}</w:t>
            </w:r>
            <w:r>
              <w:rPr>
                <w:rFonts w:ascii="Calibri" w:cs="Calibri" w:eastAsia="Calibri" w:hAnsi="Calibri"/>
                <w:b w:val="false"/>
                <w:bCs w:val="false"/>
                <w:i w:val="false"/>
                <w:iCs w:val="false"/>
                <w:color w:val="94a3b8"/>
                <w:sz w:val="20"/>
                <w:szCs w:val="20"/>
              </w:rPr>
              <w:t xml:space="preserve">   ·   Date: {{MEMO_DATE}}</w:t>
            </w:r>
          </w:p>
        </w:tc>
      </w:tr>
    </w:tbl>
    <w:p>
      <w:pPr>
        <w:keepNext w:val="false"/>
        <w:keepLines/>
        <w:spacing w:after="40" w:before="0" w:line="80"/>
        <w:jc w:val="left"/>
      </w:pPr>
      <w:r>
        <w:rPr>
          <w:rFonts w:ascii="Calibri" w:cs="Calibri" w:eastAsia="Calibri" w:hAnsi="Calibri"/>
          <w:b w:val="false"/>
          <w:bCs w:val="false"/>
          <w:i w:val="false"/>
          <w:iCs w:val="false"/>
          <w:color w:val="0f172a"/>
          <w:sz w:val="12"/>
          <w:szCs w:val="1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e2e8f0" w:sz="4"/>
              <w:left w:val="single" w:color="10b981" w:sz="8"/>
              <w:bottom w:val="single" w:color="e2e8f0" w:sz="4"/>
              <w:right w:val="single" w:color="e2e8f0" w:sz="4"/>
            </w:tcBorders>
            <w:shd w:fill="f8fafc" w:color="auto" w:val="clear"/>
            <w:tcMar>
              <w:top w:type="dxa" w:w="80"/>
              <w:left w:type="dxa" w:w="160"/>
              <w:bottom w:type="dxa" w:w="80"/>
              <w:right w:type="dxa" w:w="160"/>
            </w:tcMar>
            <w:vAlign w:val="top"/>
          </w:tcPr>
          <w:p>
            <w:pPr>
              <w:keepNext w:val="false"/>
              <w:keepLines/>
              <w:spacing w:after="0" w:before="0" w:line="240"/>
              <w:jc w:val="left"/>
            </w:pPr>
            <w:r>
              <w:rPr>
                <w:rFonts w:ascii="Calibri" w:cs="Calibri" w:eastAsia="Calibri" w:hAnsi="Calibri"/>
                <w:b/>
                <w:bCs/>
                <w:i w:val="false"/>
                <w:iCs w:val="false"/>
                <w:color w:val="047857"/>
                <w:sz w:val="18"/>
                <w:szCs w:val="18"/>
              </w:rPr>
              <w:t xml:space="preserve">How to use: </w:t>
            </w:r>
            <w:r>
              <w:rPr>
                <w:rFonts w:ascii="Calibri" w:cs="Calibri" w:eastAsia="Calibri" w:hAnsi="Calibri"/>
                <w:b w:val="false"/>
                <w:bCs w:val="false"/>
                <w:i/>
                <w:iCs/>
                <w:color w:val="475569"/>
                <w:sz w:val="18"/>
                <w:szCs w:val="18"/>
              </w:rPr>
              <w:t xml:space="preserve">Fill every {{PLACEHOLDER}} before presenting to leadership. This memo travels with the Bid/No-Bid matrix (FLK_04_Bid_No_Bid_Scoring_Matrix.xlsx). File the signed copy in your pursuit folder. FAR 15.306 pre-award discussions and DFARS 215.306 source selection records may reference it — write facts, not wishes.</w:t>
            </w:r>
          </w:p>
        </w:tc>
      </w:tr>
    </w:tbl>
    <w:p>
      <w:pPr>
        <w:keepNext w:val="false"/>
        <w:keepLines/>
        <w:spacing w:after="40" w:before="0" w:line="80"/>
        <w:jc w:val="left"/>
      </w:pPr>
      <w:r>
        <w:rPr>
          <w:rFonts w:ascii="Calibri" w:cs="Calibri" w:eastAsia="Calibri" w:hAnsi="Calibri"/>
          <w:b w:val="false"/>
          <w:bCs w:val="false"/>
          <w:i w:val="false"/>
          <w:iCs w:val="false"/>
          <w:color w:val="0f172a"/>
          <w:sz w:val="16"/>
          <w:szCs w:val="16"/>
        </w:rPr>
        <w:t xml:space="preserve"/>
      </w:r>
    </w:p>
    <w:p>
      <w:pPr>
        <w:keepNext/>
        <w:keepLines/>
        <w:spacing w:after="40" w:before="0" w:line="240"/>
        <w:jc w:val="left"/>
      </w:pPr>
      <w:r>
        <w:rPr>
          <w:rFonts w:ascii="Consolas" w:cs="Consolas" w:eastAsia="Consolas" w:hAnsi="Consolas"/>
          <w:b/>
          <w:bCs/>
          <w:i w:val="false"/>
          <w:iCs w:val="false"/>
          <w:color w:val="047857"/>
          <w:sz w:val="18"/>
          <w:szCs w:val="18"/>
        </w:rPr>
        <w:t xml:space="preserve">SECTION 1 — OPPORTUNITY SNAPSHOT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7160"/>
      </w:tblGrid>
      <w:tr>
        <w:trPr>
          <w:cantSplit/>
          <w:tblHeader/>
        </w:trPr>
        <w:tc>
          <w:tcPr>
            <w:tcW w:type="dxa" w:w="2200"/>
            <w:tcBorders>
              <w:top w:val="single" w:color="e2e8f0" w:sz="4"/>
              <w:left w:val="single" w:color="e2e8f0" w:sz="4"/>
              <w:bottom w:val="single" w:color="e2e8f0" w:sz="4"/>
              <w:right w:val="single" w:color="e2e8f0" w:sz="4"/>
            </w:tcBorders>
            <w:shd w:fill="0f172a" w:color="auto" w:val="clear"/>
            <w:tcMar>
              <w:top w:type="dxa" w:w="60"/>
              <w:left w:type="dxa" w:w="12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FIELD</w:t>
            </w:r>
          </w:p>
        </w:tc>
        <w:tc>
          <w:tcPr>
            <w:tcW w:type="dxa" w:w="7160"/>
            <w:tcBorders>
              <w:top w:val="single" w:color="e2e8f0" w:sz="4"/>
              <w:left w:val="single" w:color="e2e8f0" w:sz="4"/>
              <w:bottom w:val="single" w:color="e2e8f0" w:sz="4"/>
              <w:right w:val="single" w:color="e2e8f0" w:sz="4"/>
            </w:tcBorders>
            <w:shd w:fill="0f172a" w:color="auto" w:val="clear"/>
            <w:tcMar>
              <w:top w:type="dxa" w:w="60"/>
              <w:left w:type="dxa" w:w="120"/>
              <w:bottom w:type="dxa" w:w="60"/>
              <w:right w:type="dxa" w:w="12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VALUE</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Opportunity Title</w:t>
            </w:r>
          </w:p>
        </w:tc>
        <w:tc>
          <w:tcPr>
            <w:tcW w:type="dxa" w:w="716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{{OPP_TITLE}}</w:t>
            </w:r>
          </w:p>
        </w:tc>
      </w:tr>
      <w:tr>
        <w:trPr>
          <w:cantSplit/>
        </w:trPr>
        <w:tc>
          <w:tcPr>
            <w:tcW w:type="dxa" w:w="2200"/>
            <w:tcBorders>
              <w:top w:val="single" w:color="e2e8f0" w:sz="4"/>
              <w:left w:val="single" w:color="e2e8f0" w:sz="4"/>
              <w:bottom w:val="single" w:color="e2e8f0" w:sz="4"/>
              <w:right w:val="single" w:color="e2e8f0" w:sz="4"/>
            </w:tcBorders>
            <w:shd w:fill="f8fafc"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Issuing Agency / Office</w:t>
            </w:r>
          </w:p>
        </w:tc>
        <w:tc>
          <w:tcPr>
            <w:tcW w:type="dxa" w:w="7160"/>
            <w:tcBorders>
              <w:top w:val="single" w:color="e2e8f0" w:sz="4"/>
              <w:left w:val="single" w:color="e2e8f0" w:sz="4"/>
              <w:bottom w:val="single" w:color="e2e8f0" w:sz="4"/>
              <w:right w:val="single" w:color="e2e8f0" w:sz="4"/>
            </w:tcBorders>
            <w:shd w:fill="f8fafc"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{{AGENCY}} — {{OFFICE}}</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NAICS Code</w:t>
            </w:r>
          </w:p>
        </w:tc>
        <w:tc>
          <w:tcPr>
            <w:tcW w:type="dxa" w:w="716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{{NAICS}} — {{NAICS_TITLE}}</w:t>
            </w:r>
          </w:p>
        </w:tc>
      </w:tr>
      <w:tr>
        <w:trPr>
          <w:cantSplit/>
        </w:trPr>
        <w:tc>
          <w:tcPr>
            <w:tcW w:type="dxa" w:w="2200"/>
            <w:tcBorders>
              <w:top w:val="single" w:color="e2e8f0" w:sz="4"/>
              <w:left w:val="single" w:color="e2e8f0" w:sz="4"/>
              <w:bottom w:val="single" w:color="e2e8f0" w:sz="4"/>
              <w:right w:val="single" w:color="e2e8f0" w:sz="4"/>
            </w:tcBorders>
            <w:shd w:fill="f8fafc"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Estimated Value</w:t>
            </w:r>
          </w:p>
        </w:tc>
        <w:tc>
          <w:tcPr>
            <w:tcW w:type="dxa" w:w="7160"/>
            <w:tcBorders>
              <w:top w:val="single" w:color="e2e8f0" w:sz="4"/>
              <w:left w:val="single" w:color="e2e8f0" w:sz="4"/>
              <w:bottom w:val="single" w:color="e2e8f0" w:sz="4"/>
              <w:right w:val="single" w:color="e2e8f0" w:sz="4"/>
            </w:tcBorders>
            <w:shd w:fill="f8fafc"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${{VALUE_LOW}} – ${{VALUE_HIGH}}  ({{CONTRACT_TYPE}})</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Set-Aside / Socioeconomic</w:t>
            </w:r>
          </w:p>
        </w:tc>
        <w:tc>
          <w:tcPr>
            <w:tcW w:type="dxa" w:w="716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{{SET_ASIDE}}  (e.g., SDVOSB, 8(a), Full &amp; Open)</w:t>
            </w:r>
          </w:p>
        </w:tc>
      </w:tr>
      <w:tr>
        <w:trPr>
          <w:cantSplit/>
        </w:trPr>
        <w:tc>
          <w:tcPr>
            <w:tcW w:type="dxa" w:w="2200"/>
            <w:tcBorders>
              <w:top w:val="single" w:color="e2e8f0" w:sz="4"/>
              <w:left w:val="single" w:color="e2e8f0" w:sz="4"/>
              <w:bottom w:val="single" w:color="e2e8f0" w:sz="4"/>
              <w:right w:val="single" w:color="e2e8f0" w:sz="4"/>
            </w:tcBorders>
            <w:shd w:fill="f8fafc"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Proposal Due Date</w:t>
            </w:r>
          </w:p>
        </w:tc>
        <w:tc>
          <w:tcPr>
            <w:tcW w:type="dxa" w:w="7160"/>
            <w:tcBorders>
              <w:top w:val="single" w:color="e2e8f0" w:sz="4"/>
              <w:left w:val="single" w:color="e2e8f0" w:sz="4"/>
              <w:bottom w:val="single" w:color="e2e8f0" w:sz="4"/>
              <w:right w:val="single" w:color="e2e8f0" w:sz="4"/>
            </w:tcBorders>
            <w:shd w:fill="f8fafc"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{{DUE_DATE}} at {{DUE_TIME}} {{TIME_ZONE}} — {{DAYS_REMAINING}} days out</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475569"/>
                <w:sz w:val="18"/>
                <w:szCs w:val="18"/>
              </w:rPr>
              <w:t xml:space="preserve">Solicitation Number</w:t>
            </w:r>
          </w:p>
        </w:tc>
        <w:tc>
          <w:tcPr>
            <w:tcW w:type="dxa" w:w="7160"/>
            <w:tcBorders>
              <w:top w:val="single" w:color="e2e8f0" w:sz="4"/>
              <w:left w:val="single" w:color="e2e8f0" w:sz="4"/>
              <w:bottom w:val="single" w:color="e2e8f0" w:sz="4"/>
              <w:right w:val="single" w:color="e2e8f0" w:sz="4"/>
            </w:tcBorders>
            <w:shd w:fill="ffffff" w:color="auto" w:val="clear"/>
            <w:tcMar>
              <w:top w:type="dxa" w:w="60"/>
              <w:left w:type="dxa" w:w="120"/>
              <w:bottom w:type="dxa" w:w="60"/>
              <w:right w:type="dxa" w:w="12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{{SOL_NUMBER}}</w:t>
            </w:r>
          </w:p>
        </w:tc>
      </w:tr>
    </w:tbl>
    <w:p>
      <w:pPr>
        <w:keepNext w:val="false"/>
        <w:keepLines/>
        <w:spacing w:after="40" w:before="0" w:line="80"/>
        <w:jc w:val="left"/>
      </w:pPr>
      <w:r>
        <w:rPr>
          <w:rFonts w:ascii="Calibri" w:cs="Calibri" w:eastAsia="Calibri" w:hAnsi="Calibri"/>
          <w:b w:val="false"/>
          <w:bCs w:val="false"/>
          <w:i w:val="false"/>
          <w:iCs w:val="false"/>
          <w:color w:val="0f172a"/>
          <w:sz w:val="20"/>
          <w:szCs w:val="20"/>
        </w:rPr>
        <w:t xml:space="preserve"/>
      </w:r>
    </w:p>
    <w:p>
      <w:pPr>
        <w:keepNext/>
        <w:keepLines/>
        <w:spacing w:after="40" w:before="0" w:line="240"/>
        <w:jc w:val="left"/>
      </w:pPr>
      <w:r>
        <w:rPr>
          <w:rFonts w:ascii="Consolas" w:cs="Consolas" w:eastAsia="Consolas" w:hAnsi="Consolas"/>
          <w:b/>
          <w:bCs/>
          <w:i w:val="false"/>
          <w:iCs w:val="false"/>
          <w:color w:val="047857"/>
          <w:sz w:val="18"/>
          <w:szCs w:val="18"/>
        </w:rPr>
        <w:t xml:space="preserve">SECTION 2 — PWIN SUMMARY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600"/>
        <w:gridCol w:w="3880"/>
        <w:gridCol w:w="3880"/>
      </w:tblGrid>
      <w:tr>
        <w:trPr>
          <w:cantSplit/>
          <w:tblHeader/>
        </w:trPr>
        <w:tc>
          <w:tcPr>
            <w:tcW w:type="dxa" w:w="1600"/>
            <w:tcBorders>
              <w:top w:val="single" w:color="e2e8f0" w:sz="4"/>
              <w:left w:val="single" w:color="e2e8f0" w:sz="4"/>
              <w:bottom w:val="single" w:color="e2e8f0" w:sz="4"/>
              <w:right w:val="single" w:color="e2e8f0" w:sz="4"/>
            </w:tcBorders>
            <w:shd w:fill="047857"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PWIN SCORE</w:t>
            </w:r>
          </w:p>
        </w:tc>
        <w:tc>
          <w:tcPr>
            <w:tcW w:type="dxa" w:w="388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TOP STRENGTHS</w:t>
            </w:r>
          </w:p>
        </w:tc>
        <w:tc>
          <w:tcPr>
            <w:tcW w:type="dxa" w:w="3880"/>
            <w:tcBorders>
              <w:top w:val="single" w:color="e2e8f0" w:sz="4"/>
              <w:left w:val="single" w:color="e2e8f0" w:sz="4"/>
              <w:bottom w:val="single" w:color="e2e8f0" w:sz="4"/>
              <w:right w:val="single" w:color="e2e8f0" w:sz="4"/>
            </w:tcBorders>
            <w:shd w:fill="92400e"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KEY RISKS</w:t>
            </w:r>
          </w:p>
        </w:tc>
      </w:tr>
      <w:tr>
        <w:trPr>
          <w:cantSplit/>
        </w:trPr>
        <w:tc>
          <w:tcPr>
            <w:tcW w:type="dxa" w:w="1600"/>
            <w:tcBorders>
              <w:top w:val="single" w:color="e2e8f0" w:sz="4"/>
              <w:left w:val="single" w:color="e2e8f0" w:sz="4"/>
              <w:bottom w:val="single" w:color="e2e8f0" w:sz="4"/>
              <w:right w:val="single" w:color="e2e8f0" w:sz="4"/>
            </w:tcBorders>
            <w:shd w:fill="ffffff" w:color="auto" w:val="clear"/>
            <w:tcMar>
              <w:top w:type="dxa" w:w="100"/>
              <w:left w:type="dxa" w:w="100"/>
              <w:bottom w:type="dxa" w:w="100"/>
              <w:right w:type="dxa" w:w="80"/>
            </w:tcMar>
            <w:vAlign w:val="center"/>
          </w:tcPr>
          <w:p>
            <w:pPr>
              <w:keepNext w:val="false"/>
              <w:keepLines/>
              <w:spacing w:after="20" w:before="0" w:line="240"/>
              <w:jc w:val="center"/>
            </w:pPr>
            <w:r>
              <w:rPr>
                <w:rFonts w:ascii="Calibri" w:cs="Calibri" w:eastAsia="Calibri" w:hAnsi="Calibri"/>
                <w:b/>
                <w:bCs/>
                <w:i w:val="false"/>
                <w:iCs w:val="false"/>
                <w:color w:val="047857"/>
                <w:sz w:val="48"/>
                <w:szCs w:val="48"/>
              </w:rPr>
              <w:t xml:space="preserve">{{PWIN_SCORE}}</w:t>
            </w:r>
          </w:p>
          <w:p>
            <w:pPr>
              <w:keepNext w:val="false"/>
              <w:keepLines/>
              <w:spacing w:after="0" w:before="0" w:line="220"/>
              <w:jc w:val="center"/>
            </w:pPr>
            <w:r>
              <w:rPr>
                <w:rFonts w:ascii="Calibri" w:cs="Calibri" w:eastAsia="Calibri" w:hAnsi="Calibri"/>
                <w:b w:val="false"/>
                <w:bCs w:val="false"/>
                <w:i w:val="false"/>
                <w:iCs w:val="false"/>
                <w:color w:val="475569"/>
                <w:sz w:val="18"/>
                <w:szCs w:val="18"/>
              </w:rPr>
              <w:t xml:space="preserve">/ 100</w:t>
            </w:r>
          </w:p>
        </w:tc>
        <w:tc>
          <w:tcPr>
            <w:tcW w:type="dxa" w:w="3880"/>
            <w:tcBorders>
              <w:top w:val="single" w:color="e2e8f0" w:sz="4"/>
              <w:left w:val="single" w:color="e2e8f0" w:sz="4"/>
              <w:bottom w:val="single" w:color="e2e8f0" w:sz="4"/>
              <w:right w:val="single" w:color="e2e8f0" w:sz="4"/>
            </w:tcBorders>
            <w:shd w:fill="ffffff" w:color="auto" w:val="clear"/>
            <w:tcMar>
              <w:top w:type="dxa" w:w="100"/>
              <w:left w:type="dxa" w:w="120"/>
              <w:bottom w:type="dxa" w:w="100"/>
              <w:right w:type="dxa" w:w="100"/>
            </w:tcMar>
            <w:vAlign w:val="top"/>
          </w:tcPr>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{{STRENGTH_1 — e.g. Existing CPARS from USAF, avg 4.4/5 across 3 contracts}}</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{{STRENGTH_2 — e.g. Incumbent subcontractor with 18 months of site knowledge}}</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{{STRENGTH_3 — e.g. Price-to-win modeled at $2.1M; our loaded rate is $1.87M}}</w:t>
            </w:r>
          </w:p>
        </w:tc>
        <w:tc>
          <w:tcPr>
            <w:tcW w:type="dxa" w:w="3880"/>
            <w:tcBorders>
              <w:top w:val="single" w:color="e2e8f0" w:sz="4"/>
              <w:left w:val="single" w:color="e2e8f0" w:sz="4"/>
              <w:bottom w:val="single" w:color="e2e8f0" w:sz="4"/>
              <w:right w:val="single" w:color="e2e8f0" w:sz="4"/>
            </w:tcBorders>
            <w:shd w:fill="fef3c7" w:color="auto" w:val="clear"/>
            <w:tcMar>
              <w:top w:type="dxa" w:w="100"/>
              <w:left w:type="dxa" w:w="120"/>
              <w:bottom w:type="dxa" w:w="100"/>
              <w:right w:type="dxa" w:w="100"/>
            </w:tcMar>
            <w:vAlign w:val="top"/>
          </w:tcPr>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475569"/>
                <w:sz w:val="20"/>
                <w:szCs w:val="20"/>
              </w:rPr>
              <w:t xml:space="preserve">{{RISK_1 — e.g. No TS/SCI facility; requirement likely needs cleared staff onsite}}</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475569"/>
                <w:sz w:val="20"/>
                <w:szCs w:val="20"/>
              </w:rPr>
              <w:t xml:space="preserve">{{RISK_2 — e.g. Incumbent (DXC) confirmed rebidding with same key personnel}}</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475569"/>
                <w:sz w:val="20"/>
                <w:szCs w:val="20"/>
              </w:rPr>
              <w:t xml:space="preserve">{{RISK_3 — e.g. NAICS 541512 size standard $34M — we are at $31M TTM}}</w:t>
            </w:r>
          </w:p>
        </w:tc>
      </w:tr>
    </w:tbl>
    <w:p>
      <w:pPr>
        <w:keepNext w:val="false"/>
        <w:keepLines/>
        <w:spacing w:after="40" w:before="0" w:line="80"/>
        <w:jc w:val="left"/>
      </w:pPr>
      <w:r>
        <w:rPr>
          <w:rFonts w:ascii="Calibri" w:cs="Calibri" w:eastAsia="Calibri" w:hAnsi="Calibri"/>
          <w:b w:val="false"/>
          <w:bCs w:val="false"/>
          <w:i w:val="false"/>
          <w:iCs w:val="false"/>
          <w:color w:val="0f172a"/>
          <w:sz w:val="8"/>
          <w:szCs w:val="8"/>
        </w:rPr>
        <w:t xml:space="preserve"/>
      </w:r>
    </w:p>
    <w:p>
      <w:pPr>
        <w:keepNext w:val="false"/>
        <w:keepLines/>
        <w:spacing w:after="0" w:before="0" w:line="276"/>
        <w:jc w:val="left"/>
      </w:pPr>
      <w:r>
        <w:rPr>
          <w:rFonts w:ascii="Calibri" w:cs="Calibri" w:eastAsia="Calibri" w:hAnsi="Calibri"/>
          <w:b w:val="false"/>
          <w:bCs w:val="false"/>
          <w:i/>
          <w:iCs/>
          <w:color w:val="475569"/>
          <w:sz w:val="20"/>
          <w:szCs w:val="20"/>
        </w:rPr>
        <w:t xml:space="preserve">Source of PWin score: {{e.g. CapturePilot automated score + BD team override — see attached matrix FLK_04_Bid_No_Bid_Scoring_Matrix.xlsx}}</w:t>
      </w:r>
    </w:p>
    <w:p>
      <w:pPr>
        <w:keepNext w:val="false"/>
        <w:keepLines/>
        <w:spacing w:after="40" w:before="0" w:line="80"/>
        <w:jc w:val="left"/>
      </w:pPr>
      <w:r>
        <w:rPr>
          <w:rFonts w:ascii="Calibri" w:cs="Calibri" w:eastAsia="Calibri" w:hAnsi="Calibri"/>
          <w:b w:val="false"/>
          <w:bCs w:val="false"/>
          <w:i w:val="false"/>
          <w:iCs w:val="false"/>
          <w:color w:val="0f172a"/>
          <w:sz w:val="20"/>
          <w:szCs w:val="20"/>
        </w:rPr>
        <w:t xml:space="preserve"/>
      </w:r>
    </w:p>
    <w:p>
      <w:pPr>
        <w:keepNext/>
        <w:keepLines/>
        <w:spacing w:after="40" w:before="0" w:line="240"/>
        <w:jc w:val="left"/>
      </w:pPr>
      <w:r>
        <w:rPr>
          <w:rFonts w:ascii="Consolas" w:cs="Consolas" w:eastAsia="Consolas" w:hAnsi="Consolas"/>
          <w:b/>
          <w:bCs/>
          <w:i w:val="false"/>
          <w:iCs w:val="false"/>
          <w:color w:val="047857"/>
          <w:sz w:val="18"/>
          <w:szCs w:val="18"/>
        </w:rPr>
        <w:t xml:space="preserve">SECTION 3 — RESOURCES REQUIRED</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1680"/>
        <w:gridCol w:w="1680"/>
        <w:gridCol w:w="3400"/>
      </w:tblGrid>
      <w:tr>
        <w:trPr>
          <w:cantSplit/>
          <w:tblHeader/>
        </w:trPr>
        <w:tc>
          <w:tcPr>
            <w:tcW w:type="dxa" w:w="2600"/>
            <w:tcBorders>
              <w:top w:val="single" w:color="e2e8f0" w:sz="4"/>
              <w:left w:val="single" w:color="e2e8f0" w:sz="4"/>
              <w:bottom w:val="single" w:color="e2e8f0" w:sz="4"/>
              <w:right w:val="single" w:color="e2e8f0" w:sz="4"/>
            </w:tcBorders>
            <w:shd w:fill="0f172a"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RESOURCE / ROLE</w:t>
            </w:r>
          </w:p>
        </w:tc>
        <w:tc>
          <w:tcPr>
            <w:tcW w:type="dxa" w:w="1680"/>
            <w:tcBorders>
              <w:top w:val="single" w:color="e2e8f0" w:sz="4"/>
              <w:left w:val="single" w:color="e2e8f0" w:sz="4"/>
              <w:bottom w:val="single" w:color="e2e8f0" w:sz="4"/>
              <w:right w:val="single" w:color="e2e8f0" w:sz="4"/>
            </w:tcBorders>
            <w:shd w:fill="0f172a"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HOURS</w:t>
            </w:r>
          </w:p>
        </w:tc>
        <w:tc>
          <w:tcPr>
            <w:tcW w:type="dxa" w:w="1680"/>
            <w:tcBorders>
              <w:top w:val="single" w:color="e2e8f0" w:sz="4"/>
              <w:left w:val="single" w:color="e2e8f0" w:sz="4"/>
              <w:bottom w:val="single" w:color="e2e8f0" w:sz="4"/>
              <w:right w:val="single" w:color="e2e8f0" w:sz="4"/>
            </w:tcBorders>
            <w:shd w:fill="0f172a"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EST. COST</w:t>
            </w:r>
          </w:p>
        </w:tc>
        <w:tc>
          <w:tcPr>
            <w:tcW w:type="dxa" w:w="3400"/>
            <w:tcBorders>
              <w:top w:val="single" w:color="e2e8f0" w:sz="4"/>
              <w:left w:val="single" w:color="e2e8f0" w:sz="4"/>
              <w:bottom w:val="single" w:color="e2e8f0" w:sz="4"/>
              <w:right w:val="single" w:color="e2e8f0" w:sz="4"/>
            </w:tcBorders>
            <w:shd w:fill="0f172a"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NOTES</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BD / Capture Manager</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{{BD_HRS}}</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${{BD_COST}}</w:t>
            </w:r>
          </w:p>
        </w:tc>
        <w:tc>
          <w:tcPr>
            <w:tcW w:type="dxa" w:w="3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{{e.g. Teaming calls, customer intel, black hat review}}</w:t>
            </w:r>
          </w:p>
        </w:tc>
      </w:tr>
      <w:tr>
        <w:trPr>
          <w:cantSplit/>
        </w:trPr>
        <w:tc>
          <w:tcPr>
            <w:tcW w:type="dxa" w:w="26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Proposal Manager</w:t>
            </w:r>
          </w:p>
        </w:tc>
        <w:tc>
          <w:tcPr>
            <w:tcW w:type="dxa" w:w="168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{{PROP_MGR_HRS}}</w:t>
            </w:r>
          </w:p>
        </w:tc>
        <w:tc>
          <w:tcPr>
            <w:tcW w:type="dxa" w:w="168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${{PROP_MGR_COST}}</w:t>
            </w:r>
          </w:p>
        </w:tc>
        <w:tc>
          <w:tcPr>
            <w:tcW w:type="dxa" w:w="34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{{e.g. PWS compliance matrix, section leads, color reviews}}</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Technical Writer(s)</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{{TECH_HRS}}</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${{TECH_COST}}</w:t>
            </w:r>
          </w:p>
        </w:tc>
        <w:tc>
          <w:tcPr>
            <w:tcW w:type="dxa" w:w="3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{{e.g. Technical approach, management approach, past perf}}</w:t>
            </w:r>
          </w:p>
        </w:tc>
      </w:tr>
      <w:tr>
        <w:trPr>
          <w:cantSplit/>
        </w:trPr>
        <w:tc>
          <w:tcPr>
            <w:tcW w:type="dxa" w:w="26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SME / Technical Staff</w:t>
            </w:r>
          </w:p>
        </w:tc>
        <w:tc>
          <w:tcPr>
            <w:tcW w:type="dxa" w:w="168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{{SME_HRS}}</w:t>
            </w:r>
          </w:p>
        </w:tc>
        <w:tc>
          <w:tcPr>
            <w:tcW w:type="dxa" w:w="168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${{SME_COST}}</w:t>
            </w:r>
          </w:p>
        </w:tc>
        <w:tc>
          <w:tcPr>
            <w:tcW w:type="dxa" w:w="34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{{e.g. Solution design, resumes, staffing plan}}</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Pricing / Cost Analyst</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{{PRICE_HRS}}</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${{PRICE_COST}}</w:t>
            </w:r>
          </w:p>
        </w:tc>
        <w:tc>
          <w:tcPr>
            <w:tcW w:type="dxa" w:w="3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{{e.g. LCAT mapping, wrap rates, travel cost model}}</w:t>
            </w:r>
          </w:p>
        </w:tc>
      </w:tr>
      <w:tr>
        <w:trPr>
          <w:cantSplit/>
        </w:trPr>
        <w:tc>
          <w:tcPr>
            <w:tcW w:type="dxa" w:w="26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Subcontractor Support</w:t>
            </w:r>
          </w:p>
        </w:tc>
        <w:tc>
          <w:tcPr>
            <w:tcW w:type="dxa" w:w="168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{{SUB_HRS}}</w:t>
            </w:r>
          </w:p>
        </w:tc>
        <w:tc>
          <w:tcPr>
            <w:tcW w:type="dxa" w:w="168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${{SUB_COST}}</w:t>
            </w:r>
          </w:p>
        </w:tc>
        <w:tc>
          <w:tcPr>
            <w:tcW w:type="dxa" w:w="34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{{e.g. Teaming partner bid &amp; proposal contribution}}</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TOTAL</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{{TOTAL_HRS}}</w:t>
            </w:r>
          </w:p>
        </w:tc>
        <w:tc>
          <w:tcPr>
            <w:tcW w:type="dxa" w:w="168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${{TOTAL_COST}}</w:t>
            </w:r>
          </w:p>
        </w:tc>
        <w:tc>
          <w:tcPr>
            <w:tcW w:type="dxa" w:w="3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00"/>
              <w:jc w:val="left"/>
            </w:pPr>
            <w:r>
              <w:rPr>
                <w:rFonts w:ascii="Calibri" w:cs="Calibri" w:eastAsia="Calibri" w:hAnsi="Calibri"/>
                <w:b w:val="false"/>
                <w:bCs w:val="false"/>
                <w:i w:val="false"/>
                <w:iCs w:val="false"/>
                <w:color w:val="475569"/>
                <w:sz w:val="16"/>
                <w:szCs w:val="16"/>
              </w:rPr>
              <w:t xml:space="preserve">Sum above — compare to win probability before committing</w:t>
            </w:r>
          </w:p>
        </w:tc>
      </w:tr>
    </w:tbl>
    <w:p>
      <w:pPr>
        <w:keepNext w:val="false"/>
        <w:keepLines/>
        <w:spacing w:after="40" w:before="0" w:line="80"/>
        <w:jc w:val="left"/>
      </w:pPr>
      <w:r>
        <w:rPr>
          <w:rFonts w:ascii="Calibri" w:cs="Calibri" w:eastAsia="Calibri" w:hAnsi="Calibri"/>
          <w:b w:val="false"/>
          <w:bCs w:val="false"/>
          <w:i w:val="false"/>
          <w:iCs w:val="false"/>
          <w:color w:val="0f172a"/>
          <w:sz w:val="8"/>
          <w:szCs w:val="8"/>
        </w:rPr>
        <w:t xml:space="preserve"/>
      </w:r>
    </w:p>
    <w:p>
      <w:pPr>
        <w:keepNext w:val="false"/>
        <w:keepLines/>
        <w:spacing w:after="0" w:before="0" w:line="276"/>
        <w:jc w:val="left"/>
      </w:pPr>
      <w:r>
        <w:rPr>
          <w:rFonts w:ascii="Calibri" w:cs="Calibri" w:eastAsia="Calibri" w:hAnsi="Calibri"/>
          <w:b w:val="false"/>
          <w:bCs w:val="false"/>
          <w:i/>
          <w:iCs/>
          <w:color w:val="475569"/>
          <w:sz w:val="20"/>
          <w:szCs w:val="20"/>
        </w:rPr>
        <w:t xml:space="preserve">B&amp;P cost benchmark: federal BD professionals typically allocate 0.5–2% of contract value in proposal costs for competitive full-and-open solicitations; 0.25–0.75% for set-asides. Does this investment clear your internal hurdle rate?</w:t>
      </w:r>
    </w:p>
    <w:p>
      <w:pPr>
        <w:keepNext w:val="false"/>
        <w:keepLines/>
        <w:spacing w:after="40" w:before="0" w:line="80"/>
        <w:jc w:val="left"/>
      </w:pPr>
      <w:r>
        <w:rPr>
          <w:rFonts w:ascii="Calibri" w:cs="Calibri" w:eastAsia="Calibri" w:hAnsi="Calibri"/>
          <w:b w:val="false"/>
          <w:bCs w:val="false"/>
          <w:i w:val="false"/>
          <w:iCs w:val="false"/>
          <w:color w:val="0f172a"/>
          <w:sz w:val="20"/>
          <w:szCs w:val="20"/>
        </w:rPr>
        <w:t xml:space="preserve"/>
      </w:r>
    </w:p>
    <w:p>
      <w:pPr>
        <w:keepNext/>
        <w:keepLines/>
        <w:spacing w:after="40" w:before="0" w:line="240"/>
        <w:jc w:val="left"/>
      </w:pPr>
      <w:r>
        <w:rPr>
          <w:rFonts w:ascii="Consolas" w:cs="Consolas" w:eastAsia="Consolas" w:hAnsi="Consolas"/>
          <w:b/>
          <w:bCs/>
          <w:i w:val="false"/>
          <w:iCs w:val="false"/>
          <w:color w:val="047857"/>
          <w:sz w:val="18"/>
          <w:szCs w:val="18"/>
        </w:rPr>
        <w:t xml:space="preserve">SECTION 4 — STRATEGIC FIT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single" w:color="e2e8f0" w:sz="4"/>
              <w:left w:val="single" w:color="10b981" w:sz="8"/>
              <w:bottom w:val="single" w:color="e2e8f0" w:sz="4"/>
              <w:right w:val="single" w:color="e2e8f0" w:sz="4"/>
            </w:tcBorders>
            <w:shd w:fill="ffffff" w:color="auto" w:val="clear"/>
            <w:tcMar>
              <w:top w:type="dxa" w:w="80"/>
              <w:left w:type="dxa" w:w="160"/>
              <w:bottom w:type="dxa" w:w="80"/>
              <w:right w:type="dxa" w:w="160"/>
            </w:tcMar>
            <w:vAlign w:val="top"/>
          </w:tcPr>
          <w:p>
            <w:pPr>
              <w:keepNext w:val="false"/>
              <w:keepLines/>
              <w:spacing w:after="60" w:before="0" w:line="220"/>
              <w:jc w:val="left"/>
            </w:pPr>
            <w:r>
              <w:rPr>
                <w:rFonts w:ascii="Calibri" w:cs="Calibri" w:eastAsia="Calibri" w:hAnsi="Calibri"/>
                <w:b w:val="false"/>
                <w:bCs w:val="false"/>
                <w:i/>
                <w:iCs/>
                <w:color w:val="475569"/>
                <w:sz w:val="16"/>
                <w:szCs w:val="16"/>
              </w:rPr>
              <w:t xml:space="preserve">Address all three bullets. One to three sentences each. Be concrete — cite an agency, dollar figure, or FAR vehicle where possible.</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{{STRATEGIC_FIT_1 — How does this contract advance your agency relationship or NAICS expansion plan? E.g. "Winning this DoD SBIR follow-on under FAR 6.302-5 sole-source authority positions us as the sole vendor for Phase III work estimated at $4.8M."}}</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{{STRATEGIC_FIT_2 — What past performance citation does this produce? E.g. "A completed CPARS here fills the gap in our DoT reference list, making us competitive on the FY27 GSA OASIS+ unrestricted pools."}}</w:t>
            </w:r>
          </w:p>
          <w:p>
            <w:pPr>
              <w:keepNext w:val="false"/>
              <w:keepLines/>
              <w:spacing w:after="50" w:before="0" w:line="24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{{STRATEGIC_FIT_3 — Revenue or pipeline impact. E.g. "Base period revenue of $1.2M fills 60% of Q3 capacity gap and supports the two FTE hires planned for July."}}</w:t>
            </w:r>
          </w:p>
        </w:tc>
      </w:tr>
    </w:tbl>
    <w:p>
      <w:pPr>
        <w:keepNext w:val="false"/>
        <w:keepLines/>
        <w:spacing w:after="40" w:before="0" w:line="80"/>
        <w:jc w:val="left"/>
      </w:pPr>
      <w:r>
        <w:rPr>
          <w:rFonts w:ascii="Calibri" w:cs="Calibri" w:eastAsia="Calibri" w:hAnsi="Calibri"/>
          <w:b w:val="false"/>
          <w:bCs w:val="false"/>
          <w:i w:val="false"/>
          <w:iCs w:val="false"/>
          <w:color w:val="0f172a"/>
          <w:sz w:val="20"/>
          <w:szCs w:val="20"/>
        </w:rPr>
        <w:t xml:space="preserve"/>
      </w:r>
    </w:p>
    <w:p>
      <w:pPr>
        <w:keepNext/>
        <w:keepLines/>
        <w:spacing w:after="40" w:before="0" w:line="240"/>
        <w:jc w:val="left"/>
      </w:pPr>
      <w:r>
        <w:rPr>
          <w:rFonts w:ascii="Consolas" w:cs="Consolas" w:eastAsia="Consolas" w:hAnsi="Consolas"/>
          <w:b/>
          <w:bCs/>
          <w:i w:val="false"/>
          <w:iCs w:val="false"/>
          <w:color w:val="047857"/>
          <w:sz w:val="18"/>
          <w:szCs w:val="18"/>
        </w:rPr>
        <w:t xml:space="preserve">SECTION 5 — DECISION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120"/>
        <w:gridCol w:w="3120"/>
        <w:gridCol w:w="3120"/>
      </w:tblGrid>
      <w:tr>
        <w:trPr>
          <w:cantSplit/>
        </w:trPr>
        <w:tc>
          <w:tcPr>
            <w:tcW w:type="dxa" w:w="3120"/>
            <w:tcBorders>
              <w:top w:val="single" w:color="047857" w:sz="12"/>
              <w:left w:val="single" w:color="e2e8f0" w:sz="4"/>
              <w:bottom w:val="single" w:color="e2e8f0" w:sz="4"/>
              <w:right w:val="single" w:color="e2e8f0" w:sz="4"/>
            </w:tcBorders>
            <w:shd w:fill="ffffff" w:color="auto" w:val="clear"/>
            <w:tcMar>
              <w:top w:type="dxa" w:w="100"/>
              <w:left w:type="dxa" w:w="120"/>
              <w:bottom w:type="dxa" w:w="100"/>
              <w:right w:type="dxa" w:w="120"/>
            </w:tcMar>
            <w:vAlign w:val="top"/>
          </w:tcPr>
          <w:p>
            <w:pPr>
              <w:keepNext w:val="false"/>
              <w:keepLines/>
              <w:spacing w:after="40" w:before="0" w:line="240"/>
              <w:jc w:val="left"/>
            </w:pPr>
            <w:r>
              <w:rPr>
                <w:rFonts w:ascii="Calibri" w:cs="Calibri" w:eastAsia="Calibri" w:hAnsi="Calibri"/>
                <w:b/>
                <w:bCs/>
                <w:i w:val="false"/>
                <w:iCs w:val="false"/>
                <w:color w:val="047857"/>
                <w:sz w:val="28"/>
                <w:szCs w:val="28"/>
              </w:rPr>
              <w:t xml:space="preserve">☐  </w:t>
            </w:r>
            <w:r>
              <w:rPr>
                <w:rFonts w:ascii="Calibri" w:cs="Calibri" w:eastAsia="Calibri" w:hAnsi="Calibri"/>
                <w:b/>
                <w:bCs/>
                <w:i w:val="false"/>
                <w:iCs w:val="false"/>
                <w:color w:val="0f172a"/>
                <w:sz w:val="22"/>
                <w:szCs w:val="22"/>
              </w:rPr>
              <w:t xml:space="preserve">BID</w:t>
            </w:r>
          </w:p>
          <w:p>
            <w:pPr>
              <w:keepNext w:val="false"/>
              <w:keepLines/>
              <w:spacing w:after="0" w:before="0" w:line="276"/>
              <w:jc w:val="left"/>
            </w:pPr>
            <w:r>
              <w:rPr>
                <w:rFonts w:ascii="Calibri" w:cs="Calibri" w:eastAsia="Calibri" w:hAnsi="Calibri"/>
                <w:b w:val="false"/>
                <w:bCs w:val="false"/>
                <w:i/>
                <w:iCs/>
                <w:color w:val="475569"/>
                <w:sz w:val="20"/>
                <w:szCs w:val="20"/>
              </w:rPr>
              <w:t xml:space="preserve">Full resource commit. Assign PM and kick off capture plan within 48 hours.</w:t>
            </w:r>
          </w:p>
        </w:tc>
        <w:tc>
          <w:tcPr>
            <w:tcW w:type="dxa" w:w="3120"/>
            <w:tcBorders>
              <w:top w:val="single" w:color="ca8a04" w:sz="12"/>
              <w:left w:val="single" w:color="e2e8f0" w:sz="4"/>
              <w:bottom w:val="single" w:color="e2e8f0" w:sz="4"/>
              <w:right w:val="single" w:color="e2e8f0" w:sz="4"/>
            </w:tcBorders>
            <w:shd w:fill="ffffff" w:color="auto" w:val="clear"/>
            <w:tcMar>
              <w:top w:type="dxa" w:w="100"/>
              <w:left w:type="dxa" w:w="120"/>
              <w:bottom w:type="dxa" w:w="100"/>
              <w:right w:type="dxa" w:w="120"/>
            </w:tcMar>
            <w:vAlign w:val="top"/>
          </w:tcPr>
          <w:p>
            <w:pPr>
              <w:keepNext w:val="false"/>
              <w:keepLines/>
              <w:spacing w:after="40" w:before="0" w:line="240"/>
              <w:jc w:val="left"/>
            </w:pPr>
            <w:r>
              <w:rPr>
                <w:rFonts w:ascii="Calibri" w:cs="Calibri" w:eastAsia="Calibri" w:hAnsi="Calibri"/>
                <w:b/>
                <w:bCs/>
                <w:i w:val="false"/>
                <w:iCs w:val="false"/>
                <w:color w:val="ca8a04"/>
                <w:sz w:val="28"/>
                <w:szCs w:val="28"/>
              </w:rPr>
              <w:t xml:space="preserve">☐  </w:t>
            </w:r>
            <w:r>
              <w:rPr>
                <w:rFonts w:ascii="Calibri" w:cs="Calibri" w:eastAsia="Calibri" w:hAnsi="Calibri"/>
                <w:b/>
                <w:bCs/>
                <w:i w:val="false"/>
                <w:iCs w:val="false"/>
                <w:color w:val="0f172a"/>
                <w:sz w:val="22"/>
                <w:szCs w:val="22"/>
              </w:rPr>
              <w:t xml:space="preserve">CONDITIONAL BID</w:t>
            </w:r>
          </w:p>
          <w:p>
            <w:pPr>
              <w:keepNext w:val="false"/>
              <w:keepLines/>
              <w:spacing w:after="0" w:before="0" w:line="276"/>
              <w:jc w:val="left"/>
            </w:pPr>
            <w:r>
              <w:rPr>
                <w:rFonts w:ascii="Calibri" w:cs="Calibri" w:eastAsia="Calibri" w:hAnsi="Calibri"/>
                <w:b w:val="false"/>
                <w:bCs w:val="false"/>
                <w:i/>
                <w:iCs/>
                <w:color w:val="475569"/>
                <w:sz w:val="20"/>
                <w:szCs w:val="20"/>
              </w:rPr>
              <w:t xml:space="preserve">Bid contingent on resolving open items listed in Next Steps before {{GATE_DATE}}.</w:t>
            </w:r>
          </w:p>
        </w:tc>
        <w:tc>
          <w:tcPr>
            <w:tcW w:type="dxa" w:w="3120"/>
            <w:tcBorders>
              <w:top w:val="single" w:color="b91c1c" w:sz="12"/>
              <w:left w:val="single" w:color="e2e8f0" w:sz="4"/>
              <w:bottom w:val="single" w:color="e2e8f0" w:sz="4"/>
              <w:right w:val="single" w:color="e2e8f0" w:sz="4"/>
            </w:tcBorders>
            <w:shd w:fill="ffffff" w:color="auto" w:val="clear"/>
            <w:tcMar>
              <w:top w:type="dxa" w:w="100"/>
              <w:left w:type="dxa" w:w="120"/>
              <w:bottom w:type="dxa" w:w="100"/>
              <w:right w:type="dxa" w:w="120"/>
            </w:tcMar>
            <w:vAlign w:val="top"/>
          </w:tcPr>
          <w:p>
            <w:pPr>
              <w:keepNext w:val="false"/>
              <w:keepLines/>
              <w:spacing w:after="40" w:before="0" w:line="240"/>
              <w:jc w:val="left"/>
            </w:pPr>
            <w:r>
              <w:rPr>
                <w:rFonts w:ascii="Calibri" w:cs="Calibri" w:eastAsia="Calibri" w:hAnsi="Calibri"/>
                <w:b/>
                <w:bCs/>
                <w:i w:val="false"/>
                <w:iCs w:val="false"/>
                <w:color w:val="b91c1c"/>
                <w:sz w:val="28"/>
                <w:szCs w:val="28"/>
              </w:rPr>
              <w:t xml:space="preserve">☐  </w:t>
            </w:r>
            <w:r>
              <w:rPr>
                <w:rFonts w:ascii="Calibri" w:cs="Calibri" w:eastAsia="Calibri" w:hAnsi="Calibri"/>
                <w:b/>
                <w:bCs/>
                <w:i w:val="false"/>
                <w:iCs w:val="false"/>
                <w:color w:val="0f172a"/>
                <w:sz w:val="22"/>
                <w:szCs w:val="22"/>
              </w:rPr>
              <w:t xml:space="preserve">NO-BID</w:t>
            </w:r>
          </w:p>
          <w:p>
            <w:pPr>
              <w:keepNext w:val="false"/>
              <w:keepLines/>
              <w:spacing w:after="0" w:before="0" w:line="276"/>
              <w:jc w:val="left"/>
            </w:pPr>
            <w:r>
              <w:rPr>
                <w:rFonts w:ascii="Calibri" w:cs="Calibri" w:eastAsia="Calibri" w:hAnsi="Calibri"/>
                <w:b w:val="false"/>
                <w:bCs w:val="false"/>
                <w:i/>
                <w:iCs/>
                <w:color w:val="475569"/>
                <w:sz w:val="20"/>
                <w:szCs w:val="20"/>
              </w:rPr>
              <w:t xml:space="preserve">Document reasoning below. Flag for recompete watch list if incumbent contract ends within 24 months.</w:t>
            </w:r>
          </w:p>
        </w:tc>
      </w:tr>
    </w:tbl>
    <w:p>
      <w:pPr>
        <w:keepNext w:val="false"/>
        <w:keepLines/>
        <w:spacing w:after="40" w:before="0" w:line="80"/>
        <w:jc w:val="left"/>
      </w:pPr>
      <w:r>
        <w:rPr>
          <w:rFonts w:ascii="Calibri" w:cs="Calibri" w:eastAsia="Calibri" w:hAnsi="Calibri"/>
          <w:b w:val="false"/>
          <w:bCs w:val="false"/>
          <w:i w:val="false"/>
          <w:iCs w:val="false"/>
          <w:color w:val="0f172a"/>
          <w:sz w:val="12"/>
          <w:szCs w:val="1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9360"/>
      </w:tblGrid>
      <w:tr>
        <w:trPr>
          <w:cantSplit/>
        </w:trPr>
        <w:tc>
          <w:tcPr>
            <w:tcW w:type="dxa" w:w="9360"/>
            <w:tcBorders>
              <w:top w:val="single" w:color="e2e8f0" w:sz="4"/>
              <w:left w:val="single" w:color="e2e8f0" w:sz="4"/>
              <w:bottom w:val="single" w:color="e2e8f0" w:sz="4"/>
              <w:right w:val="single" w:color="e2e8f0" w:sz="4"/>
            </w:tcBorders>
            <w:shd w:fill="f8fafc" w:color="auto" w:val="clear"/>
            <w:tcMar>
              <w:top w:type="dxa" w:w="100"/>
              <w:left w:type="dxa" w:w="160"/>
              <w:bottom w:type="dxa" w:w="120"/>
              <w:right w:type="dxa" w:w="160"/>
            </w:tcMar>
            <w:vAlign w:val="top"/>
          </w:tcPr>
          <w:p>
            <w:pPr>
              <w:keepNext/>
              <w:keepLines/>
              <w:spacing w:after="40" w:before="0" w:line="240"/>
              <w:jc w:val="left"/>
            </w:pPr>
            <w:r>
              <w:rPr>
                <w:rFonts w:ascii="Calibri" w:cs="Calibri" w:eastAsia="Calibri" w:hAnsi="Calibri"/>
                <w:b/>
                <w:bCs/>
                <w:i w:val="false"/>
                <w:iCs w:val="false"/>
                <w:color w:val="0f172a"/>
                <w:sz w:val="22"/>
                <w:szCs w:val="22"/>
              </w:rPr>
              <w:t xml:space="preserve">Decision Rationale</w:t>
            </w:r>
          </w:p>
          <w:p>
            <w:pPr>
              <w:keepNext w:val="false"/>
              <w:keepLines/>
              <w:spacing w:after="0" w:before="0" w:line="276"/>
              <w:jc w:val="left"/>
            </w:pPr>
            <w:r>
              <w:rPr>
                <w:rFonts w:ascii="Calibri" w:cs="Calibri" w:eastAsia="Calibri" w:hAnsi="Calibri"/>
                <w:b w:val="false"/>
                <w:bCs w:val="false"/>
                <w:i w:val="false"/>
                <w:iCs w:val="false"/>
                <w:color w:val="0f172a"/>
                <w:sz w:val="20"/>
                <w:szCs w:val="20"/>
              </w:rPr>
              <w:t xml:space="preserve">{{DECISION_RATIONALE — 2–4 sentences. State the decisive factors. If Conditional Bid: list the specific conditions that must be met. If No-Bid: note whether to re-evaluate at next recompete cycle. E.g. "We are bidding. PWin of 72 is driven by an existing GSA Schedule 70 vehicle the CO confirmed is the preferred acquisition path, an SDVOSB set-aside that eliminates 80% of the competitive field, and an 18-month incumbent sub relationship. The primary risk is our proposed PM does not yet hold the required TS/SCI clearance — capture plan includes a timeline to resolve this before proposal submission."}}</w:t>
            </w:r>
          </w:p>
        </w:tc>
      </w:tr>
    </w:tbl>
    <w:p>
      <w:pPr>
        <w:keepNext w:val="false"/>
        <w:keepLines/>
        <w:spacing w:after="40" w:before="0" w:line="80"/>
        <w:jc w:val="left"/>
      </w:pPr>
      <w:r>
        <w:rPr>
          <w:rFonts w:ascii="Calibri" w:cs="Calibri" w:eastAsia="Calibri" w:hAnsi="Calibri"/>
          <w:b w:val="false"/>
          <w:bCs w:val="false"/>
          <w:i w:val="false"/>
          <w:iCs w:val="false"/>
          <w:color w:val="0f172a"/>
          <w:sz w:val="12"/>
          <w:szCs w:val="1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120"/>
        <w:gridCol w:w="3120"/>
        <w:gridCol w:w="3120"/>
      </w:tblGrid>
      <w:tr>
        <w:trPr>
          <w:cantSplit/>
        </w:trPr>
        <w:tc>
          <w:tcPr>
            <w:tcW w:type="dxa" w:w="3120"/>
            <w:tcBorders>
              <w:top w:val="single" w:color="e2e8f0" w:sz="4"/>
              <w:left w:val="single" w:color="e2e8f0" w:sz="4"/>
              <w:bottom w:val="single" w:color="e2e8f0" w:sz="4"/>
              <w:right w:val="single" w:color="e2e8f0" w:sz="4"/>
            </w:tcBorders>
            <w:shd w:fill="ffffff" w:color="auto" w:val="clear"/>
            <w:tcMar>
              <w:top w:type="dxa" w:w="80"/>
              <w:left w:type="dxa" w:w="120"/>
              <w:bottom w:type="dxa" w:w="100"/>
              <w:right w:type="dxa" w:w="80"/>
            </w:tcMar>
            <w:vAlign w:val="top"/>
          </w:tcPr>
          <w:p>
            <w:pPr>
              <w:keepNext/>
              <w:keepLines/>
              <w:spacing w:after="100" w:before="0" w:line="240"/>
              <w:jc w:val="left"/>
            </w:pPr>
            <w:r>
              <w:rPr>
                <w:rFonts w:ascii="Calibri" w:cs="Calibri" w:eastAsia="Calibri" w:hAnsi="Calibri"/>
                <w:b/>
                <w:bCs/>
                <w:i w:val="false"/>
                <w:iCs w:val="false"/>
                <w:color w:val="0f172a"/>
                <w:sz w:val="18"/>
                <w:szCs w:val="18"/>
              </w:rPr>
              <w:t xml:space="preserve">CEO / Decision Authority</w:t>
            </w:r>
          </w:p>
          <w:p>
            <w:pPr>
              <w:keepNext w:val="false"/>
              <w:keepLines/>
              <w:spacing w:after="30" w:before="0" w:line="240"/>
              <w:jc w:val="left"/>
            </w:pPr>
            <w:r>
              <w:rPr>
                <w:rFonts w:ascii="Calibri" w:cs="Calibri" w:eastAsia="Calibri" w:hAnsi="Calibri"/>
                <w:b w:val="false"/>
                <w:bCs w:val="false"/>
                <w:i w:val="false"/>
                <w:iCs w:val="false"/>
                <w:color w:val="475569"/>
                <w:sz w:val="18"/>
                <w:szCs w:val="18"/>
              </w:rPr>
              <w:t xml:space="preserve">Signature: ___________________________</w:t>
            </w:r>
          </w:p>
          <w:p>
            <w:pPr>
              <w:keepNext w:val="false"/>
              <w:keepLines/>
              <w:spacing w:after="0" w:before="0" w:line="240"/>
              <w:jc w:val="left"/>
            </w:pPr>
            <w:r>
              <w:rPr>
                <w:rFonts w:ascii="Calibri" w:cs="Calibri" w:eastAsia="Calibri" w:hAnsi="Calibri"/>
                <w:b w:val="false"/>
                <w:bCs w:val="false"/>
                <w:i w:val="false"/>
                <w:iCs w:val="false"/>
                <w:color w:val="475569"/>
                <w:sz w:val="18"/>
                <w:szCs w:val="18"/>
              </w:rPr>
              <w:t xml:space="preserve">Date: __________________</w:t>
            </w:r>
          </w:p>
        </w:tc>
        <w:tc>
          <w:tcPr>
            <w:tcW w:type="dxa" w:w="3120"/>
            <w:tcBorders>
              <w:top w:val="single" w:color="e2e8f0" w:sz="4"/>
              <w:left w:val="single" w:color="e2e8f0" w:sz="4"/>
              <w:bottom w:val="single" w:color="e2e8f0" w:sz="4"/>
              <w:right w:val="single" w:color="e2e8f0" w:sz="4"/>
            </w:tcBorders>
            <w:shd w:fill="f8fafc" w:color="auto" w:val="clear"/>
            <w:tcMar>
              <w:top w:type="dxa" w:w="80"/>
              <w:left w:type="dxa" w:w="120"/>
              <w:bottom w:type="dxa" w:w="100"/>
              <w:right w:type="dxa" w:w="80"/>
            </w:tcMar>
            <w:vAlign w:val="top"/>
          </w:tcPr>
          <w:p>
            <w:pPr>
              <w:keepNext/>
              <w:keepLines/>
              <w:spacing w:after="100" w:before="0" w:line="240"/>
              <w:jc w:val="left"/>
            </w:pPr>
            <w:r>
              <w:rPr>
                <w:rFonts w:ascii="Calibri" w:cs="Calibri" w:eastAsia="Calibri" w:hAnsi="Calibri"/>
                <w:b/>
                <w:bCs/>
                <w:i w:val="false"/>
                <w:iCs w:val="false"/>
                <w:color w:val="0f172a"/>
                <w:sz w:val="18"/>
                <w:szCs w:val="18"/>
              </w:rPr>
              <w:t xml:space="preserve">Capture / BD Lead</w:t>
            </w:r>
          </w:p>
          <w:p>
            <w:pPr>
              <w:keepNext w:val="false"/>
              <w:keepLines/>
              <w:spacing w:after="30" w:before="0" w:line="240"/>
              <w:jc w:val="left"/>
            </w:pPr>
            <w:r>
              <w:rPr>
                <w:rFonts w:ascii="Calibri" w:cs="Calibri" w:eastAsia="Calibri" w:hAnsi="Calibri"/>
                <w:b w:val="false"/>
                <w:bCs w:val="false"/>
                <w:i w:val="false"/>
                <w:iCs w:val="false"/>
                <w:color w:val="475569"/>
                <w:sz w:val="18"/>
                <w:szCs w:val="18"/>
              </w:rPr>
              <w:t xml:space="preserve">Signature: ___________________________</w:t>
            </w:r>
          </w:p>
          <w:p>
            <w:pPr>
              <w:keepNext w:val="false"/>
              <w:keepLines/>
              <w:spacing w:after="0" w:before="0" w:line="240"/>
              <w:jc w:val="left"/>
            </w:pPr>
            <w:r>
              <w:rPr>
                <w:rFonts w:ascii="Calibri" w:cs="Calibri" w:eastAsia="Calibri" w:hAnsi="Calibri"/>
                <w:b w:val="false"/>
                <w:bCs w:val="false"/>
                <w:i w:val="false"/>
                <w:iCs w:val="false"/>
                <w:color w:val="475569"/>
                <w:sz w:val="18"/>
                <w:szCs w:val="18"/>
              </w:rPr>
              <w:t xml:space="preserve">Date: __________________</w:t>
            </w:r>
          </w:p>
        </w:tc>
        <w:tc>
          <w:tcPr>
            <w:tcW w:type="dxa" w:w="3120"/>
            <w:tcBorders>
              <w:top w:val="single" w:color="e2e8f0" w:sz="4"/>
              <w:left w:val="single" w:color="e2e8f0" w:sz="4"/>
              <w:bottom w:val="single" w:color="e2e8f0" w:sz="4"/>
              <w:right w:val="single" w:color="e2e8f0" w:sz="4"/>
            </w:tcBorders>
            <w:shd w:fill="ffffff" w:color="auto" w:val="clear"/>
            <w:tcMar>
              <w:top w:type="dxa" w:w="80"/>
              <w:left w:type="dxa" w:w="120"/>
              <w:bottom w:type="dxa" w:w="100"/>
              <w:right w:type="dxa" w:w="80"/>
            </w:tcMar>
            <w:vAlign w:val="top"/>
          </w:tcPr>
          <w:p>
            <w:pPr>
              <w:keepNext/>
              <w:keepLines/>
              <w:spacing w:after="100" w:before="0" w:line="240"/>
              <w:jc w:val="left"/>
            </w:pPr>
            <w:r>
              <w:rPr>
                <w:rFonts w:ascii="Calibri" w:cs="Calibri" w:eastAsia="Calibri" w:hAnsi="Calibri"/>
                <w:b/>
                <w:bCs/>
                <w:i w:val="false"/>
                <w:iCs w:val="false"/>
                <w:color w:val="0f172a"/>
                <w:sz w:val="18"/>
                <w:szCs w:val="18"/>
              </w:rPr>
              <w:t xml:space="preserve">CFO / Finance Review</w:t>
            </w:r>
          </w:p>
          <w:p>
            <w:pPr>
              <w:keepNext w:val="false"/>
              <w:keepLines/>
              <w:spacing w:after="30" w:before="0" w:line="240"/>
              <w:jc w:val="left"/>
            </w:pPr>
            <w:r>
              <w:rPr>
                <w:rFonts w:ascii="Calibri" w:cs="Calibri" w:eastAsia="Calibri" w:hAnsi="Calibri"/>
                <w:b w:val="false"/>
                <w:bCs w:val="false"/>
                <w:i w:val="false"/>
                <w:iCs w:val="false"/>
                <w:color w:val="475569"/>
                <w:sz w:val="18"/>
                <w:szCs w:val="18"/>
              </w:rPr>
              <w:t xml:space="preserve">Signature: ___________________________</w:t>
            </w:r>
          </w:p>
          <w:p>
            <w:pPr>
              <w:keepNext w:val="false"/>
              <w:keepLines/>
              <w:spacing w:after="0" w:before="0" w:line="240"/>
              <w:jc w:val="left"/>
            </w:pPr>
            <w:r>
              <w:rPr>
                <w:rFonts w:ascii="Calibri" w:cs="Calibri" w:eastAsia="Calibri" w:hAnsi="Calibri"/>
                <w:b w:val="false"/>
                <w:bCs w:val="false"/>
                <w:i w:val="false"/>
                <w:iCs w:val="false"/>
                <w:color w:val="475569"/>
                <w:sz w:val="18"/>
                <w:szCs w:val="18"/>
              </w:rPr>
              <w:t xml:space="preserve">Date: __________________</w:t>
            </w:r>
          </w:p>
        </w:tc>
      </w:tr>
    </w:tbl>
    <w:p>
      <w:pPr>
        <w:keepNext w:val="false"/>
        <w:keepLines/>
        <w:spacing w:after="40" w:before="0" w:line="80"/>
        <w:jc w:val="left"/>
      </w:pPr>
      <w:r>
        <w:rPr>
          <w:rFonts w:ascii="Calibri" w:cs="Calibri" w:eastAsia="Calibri" w:hAnsi="Calibri"/>
          <w:b w:val="false"/>
          <w:bCs w:val="false"/>
          <w:i w:val="false"/>
          <w:iCs w:val="false"/>
          <w:color w:val="0f172a"/>
          <w:sz w:val="20"/>
          <w:szCs w:val="20"/>
        </w:rPr>
        <w:t xml:space="preserve"/>
      </w:r>
    </w:p>
    <w:p>
      <w:pPr>
        <w:keepNext/>
        <w:keepLines/>
        <w:spacing w:after="40" w:before="0" w:line="240"/>
        <w:jc w:val="left"/>
      </w:pPr>
      <w:r>
        <w:rPr>
          <w:rFonts w:ascii="Consolas" w:cs="Consolas" w:eastAsia="Consolas" w:hAnsi="Consolas"/>
          <w:b/>
          <w:bCs/>
          <w:i w:val="false"/>
          <w:iCs w:val="false"/>
          <w:color w:val="047857"/>
          <w:sz w:val="18"/>
          <w:szCs w:val="18"/>
        </w:rPr>
        <w:t xml:space="preserve">SECTION 6 — NEXT STEPS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800"/>
        <w:gridCol w:w="2800"/>
        <w:gridCol w:w="2760"/>
      </w:tblGrid>
      <w:tr>
        <w:trPr>
          <w:cantSplit/>
          <w:tblHeader/>
        </w:trPr>
        <w:tc>
          <w:tcPr>
            <w:tcW w:type="dxa" w:w="3800"/>
            <w:tcBorders>
              <w:top w:val="single" w:color="e2e8f0" w:sz="4"/>
              <w:left w:val="single" w:color="e2e8f0" w:sz="4"/>
              <w:bottom w:val="single" w:color="e2e8f0" w:sz="4"/>
              <w:right w:val="single" w:color="e2e8f0" w:sz="4"/>
            </w:tcBorders>
            <w:shd w:fill="047857"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ACTION ITEM</w:t>
            </w:r>
          </w:p>
        </w:tc>
        <w:tc>
          <w:tcPr>
            <w:tcW w:type="dxa" w:w="2800"/>
            <w:tcBorders>
              <w:top w:val="single" w:color="e2e8f0" w:sz="4"/>
              <w:left w:val="single" w:color="e2e8f0" w:sz="4"/>
              <w:bottom w:val="single" w:color="e2e8f0" w:sz="4"/>
              <w:right w:val="single" w:color="e2e8f0" w:sz="4"/>
            </w:tcBorders>
            <w:shd w:fill="047857"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OWNER</w:t>
            </w:r>
          </w:p>
        </w:tc>
        <w:tc>
          <w:tcPr>
            <w:tcW w:type="dxa" w:w="2760"/>
            <w:tcBorders>
              <w:top w:val="single" w:color="e2e8f0" w:sz="4"/>
              <w:left w:val="single" w:color="e2e8f0" w:sz="4"/>
              <w:bottom w:val="single" w:color="e2e8f0" w:sz="4"/>
              <w:right w:val="single" w:color="e2e8f0" w:sz="4"/>
            </w:tcBorders>
            <w:shd w:fill="047857" w:color="auto" w:val="clear"/>
            <w:tcMar>
              <w:top w:type="dxa" w:w="60"/>
              <w:left w:type="dxa" w:w="100"/>
              <w:bottom w:type="dxa" w:w="60"/>
              <w:right w:type="dxa" w:w="80"/>
            </w:tcMar>
            <w:vAlign w:val="center"/>
          </w:tcPr>
          <w:p>
            <w:pPr>
              <w:keepNext w:val="false"/>
              <w:keepLines/>
              <w:spacing w:after="0" w:before="0" w:line="200"/>
              <w:jc w:val="left"/>
            </w:pPr>
            <w:r>
              <w:rPr>
                <w:rFonts w:ascii="Consolas" w:cs="Consolas" w:eastAsia="Consolas" w:hAnsi="Consolas"/>
                <w:b/>
                <w:bCs/>
                <w:i w:val="false"/>
                <w:iCs w:val="false"/>
                <w:color w:val="ffffff"/>
                <w:sz w:val="16"/>
                <w:szCs w:val="16"/>
              </w:rPr>
              <w:t xml:space="preserve">DUE DATE</w:t>
            </w:r>
          </w:p>
        </w:tc>
      </w:tr>
      <w:tr>
        <w:trPr>
          <w:cantSplit/>
        </w:trPr>
        <w:tc>
          <w:tcPr>
            <w:tcW w:type="dxa" w:w="38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{{e.g. Schedule debrief call with CO at AFMC to gauge incumbent relationship}}</w:t>
            </w:r>
          </w:p>
        </w:tc>
        <w:tc>
          <w:tcPr>
            <w:tcW w:type="dxa" w:w="28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{{OWNER_1}}</w:t>
            </w:r>
          </w:p>
        </w:tc>
        <w:tc>
          <w:tcPr>
            <w:tcW w:type="dxa" w:w="276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{{DUE_1}}</w:t>
            </w:r>
          </w:p>
        </w:tc>
      </w:tr>
      <w:tr>
        <w:trPr>
          <w:cantSplit/>
        </w:trPr>
        <w:tc>
          <w:tcPr>
            <w:tcW w:type="dxa" w:w="38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{{e.g. Execute teaming NDA with [PARTNER_NAME] and confirm workshare split}}</w:t>
            </w:r>
          </w:p>
        </w:tc>
        <w:tc>
          <w:tcPr>
            <w:tcW w:type="dxa" w:w="28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{{OWNER_2}}</w:t>
            </w:r>
          </w:p>
        </w:tc>
        <w:tc>
          <w:tcPr>
            <w:tcW w:type="dxa" w:w="276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{{DUE_2}}</w:t>
            </w:r>
          </w:p>
        </w:tc>
      </w:tr>
      <w:tr>
        <w:trPr>
          <w:cantSplit/>
        </w:trPr>
        <w:tc>
          <w:tcPr>
            <w:tcW w:type="dxa" w:w="38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{{e.g. Finalize price-to-win model — loaded rates + G&amp;A confirmed by CFO}}</w:t>
            </w:r>
          </w:p>
        </w:tc>
        <w:tc>
          <w:tcPr>
            <w:tcW w:type="dxa" w:w="28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{{OWNER_3}}</w:t>
            </w:r>
          </w:p>
        </w:tc>
        <w:tc>
          <w:tcPr>
            <w:tcW w:type="dxa" w:w="276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{{DUE_3}}</w:t>
            </w:r>
          </w:p>
        </w:tc>
      </w:tr>
      <w:tr>
        <w:trPr>
          <w:cantSplit/>
        </w:trPr>
        <w:tc>
          <w:tcPr>
            <w:tcW w:type="dxa" w:w="38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{{e.g. Complete and submit proposal sections to PM by internal deadline}}</w:t>
            </w:r>
          </w:p>
        </w:tc>
        <w:tc>
          <w:tcPr>
            <w:tcW w:type="dxa" w:w="280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{{OWNER_4}}</w:t>
            </w:r>
          </w:p>
        </w:tc>
        <w:tc>
          <w:tcPr>
            <w:tcW w:type="dxa" w:w="2760"/>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{{DUE_4}}</w:t>
            </w:r>
          </w:p>
        </w:tc>
      </w:tr>
      <w:tr>
        <w:trPr>
          <w:cantSplit/>
        </w:trPr>
        <w:tc>
          <w:tcPr>
            <w:tcW w:type="dxa" w:w="38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{{Add row — delete unused rows before filing}}</w:t>
            </w:r>
          </w:p>
        </w:tc>
        <w:tc>
          <w:tcPr>
            <w:tcW w:type="dxa" w:w="28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bCs/>
                <w:i w:val="false"/>
                <w:iCs w:val="false"/>
                <w:color w:val="0f172a"/>
                <w:sz w:val="18"/>
                <w:szCs w:val="18"/>
              </w:rPr>
              <w:t xml:space="preserve"/>
            </w:r>
          </w:p>
        </w:tc>
        <w:tc>
          <w:tcPr>
            <w:tcW w:type="dxa" w:w="276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80"/>
            </w:tcMar>
            <w:vAlign w:val="center"/>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
            </w:r>
          </w:p>
        </w:tc>
      </w:tr>
    </w:tbl>
    <w:p>
      <w:pPr>
        <w:keepNext w:val="false"/>
        <w:keepLines/>
        <w:spacing w:after="40" w:before="0" w:line="80"/>
        <w:jc w:val="left"/>
      </w:pPr>
      <w:r>
        <w:rPr>
          <w:rFonts w:ascii="Calibri" w:cs="Calibri" w:eastAsia="Calibri" w:hAnsi="Calibri"/>
          <w:b w:val="false"/>
          <w:bCs w:val="false"/>
          <w:i w:val="false"/>
          <w:iCs w:val="false"/>
          <w:color w:val="0f172a"/>
          <w:sz w:val="16"/>
          <w:szCs w:val="16"/>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shd w:fill="0f172a" w:color="auto" w:val="clear"/>
            <w:tcMar>
              <w:top w:type="dxa" w:w="80"/>
              <w:left w:type="dxa" w:w="160"/>
              <w:bottom w:type="dxa" w:w="80"/>
              <w:right w:type="dxa" w:w="160"/>
            </w:tcMar>
            <w:vAlign w:val="center"/>
          </w:tcPr>
          <w:p>
            <w:pPr>
              <w:keepNext w:val="false"/>
              <w:keepLines/>
              <w:spacing w:after="0" w:before="0" w:line="200"/>
              <w:jc w:val="center"/>
            </w:pPr>
            <w:r>
              <w:rPr>
                <w:rFonts w:ascii="Consolas" w:cs="Consolas" w:eastAsia="Consolas" w:hAnsi="Consolas"/>
                <w:b/>
                <w:bCs/>
                <w:i w:val="false"/>
                <w:iCs w:val="false"/>
                <w:color w:val="10b981"/>
                <w:sz w:val="16"/>
                <w:szCs w:val="16"/>
              </w:rPr>
              <w:t xml:space="preserve">CapturePilot Federal Lead Kit  ·  FLK v1.5  ·  </w:t>
            </w:r>
            <w:r>
              <w:rPr>
                <w:rFonts w:ascii="Consolas" w:cs="Consolas" w:eastAsia="Consolas" w:hAnsi="Consolas"/>
                <w:b w:val="false"/>
                <w:bCs w:val="false"/>
                <w:i w:val="false"/>
                <w:iCs w:val="false"/>
                <w:color w:val="94a3b8"/>
                <w:sz w:val="16"/>
                <w:szCs w:val="16"/>
              </w:rPr>
              <w:t xml:space="preserve">capturepilot.com</w:t>
            </w:r>
            <w:r>
              <w:rPr>
                <w:rFonts w:ascii="Calibri" w:cs="Calibri" w:eastAsia="Calibri" w:hAnsi="Calibri"/>
                <w:b w:val="false"/>
                <w:bCs w:val="false"/>
                <w:i w:val="false"/>
                <w:iCs w:val="false"/>
                <w:color w:val="94a3b8"/>
                <w:sz w:val="16"/>
                <w:szCs w:val="16"/>
              </w:rPr>
              <w:t xml:space="preserve">   ·   Bid/No-Bid Decision Memo Template</w:t>
            </w:r>
          </w:p>
        </w:tc>
      </w:tr>
    </w:tbl>
    <w:sectPr>
      <w:pgSz w:w="12240" w:h="15840" w:orient="portrait"/>
      <w:pgMar w:top="1440" w:right="1440" w:bottom="1440" w:left="144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 No-Bid Decision Memo</dc:title>
  <dc:creator>CapturePilot</dc:creator>
  <dc:description>Federal Lead Kit v1.5 — Bid/No-Bid Decision Memo Template (FLK_04)</dc:description>
  <cp:lastModifiedBy>Un-named</cp:lastModifiedBy>
  <cp:revision>1</cp:revision>
  <dcterms:created xsi:type="dcterms:W3CDTF">2026-06-10T02:04:46.023Z</dcterms:created>
  <dcterms:modified xsi:type="dcterms:W3CDTF">2026-06-10T02:04:46.024Z</dcterms:modified>
</cp:coreProperties>
</file>

<file path=docProps/custom.xml><?xml version="1.0" encoding="utf-8"?>
<Properties xmlns="http://schemas.openxmlformats.org/officeDocument/2006/custom-properties" xmlns:vt="http://schemas.openxmlformats.org/officeDocument/2006/docPropsVTypes"/>
</file>