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40" w:before="8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059669"/>
          <w:sz w:val="16"/>
          <w:szCs w:val="16"/>
        </w:rPr>
        <w:t xml:space="preserve">06 · Past-Performance Reference Templates — Filled Example</w:t>
      </w:r>
    </w:p>
    <w:p>
      <w:pPr>
        <w:pStyle w:val="Heading1"/>
        <w:keepNext/>
        <w:keepLines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36"/>
          <w:szCs w:val="36"/>
        </w:rPr>
        <w:t xml:space="preserve">Sample Past-Performance Reference</w:t>
      </w:r>
    </w:p>
    <w:p>
      <w:pPr>
        <w:keepLines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IT Services / DoD Enterprise Modernization — US Army CECOM, Aberdeen Proving Ground MD</w:t>
      </w:r>
    </w:p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tbl>
      <w:tblPr>
        <w:tblW w:type="dxa" w:w="10080"/>
        <w:tblBorders>
          <w:top w:val="single" w:color="10B981" w:sz="6"/>
          <w:left w:val="single" w:color="10B981" w:sz="6"/>
          <w:bottom w:val="single" w:color="10B981" w:sz="6"/>
          <w:right w:val="single" w:color="10B981" w:sz="6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0FD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This is a completed example, not a template. Every field is filled with realistic — but fictional — data.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Use it to understand the depth and specificity evaluators expect, then adapt the structure to your own contracts.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The blank, fillable template is in FLK_06_Past_Performance_Reference_Template.docx.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Heading2"/>
        <w:keepNext/>
        <w:keepLines/>
        <w:pBdr>
          <w:bottom w:val="single" w:color="10B981" w:sz="12" w:space="4"/>
        </w:pBd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6"/>
          <w:szCs w:val="26"/>
        </w:rPr>
        <w:t xml:space="preserve">What makes this reference strong</w:t>
      </w:r>
    </w:p>
    <w:p>
      <w:pPr>
        <w:keepNext/>
        <w:keepLines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Most past-performance writeups die in evaluation because they're vague. "Delivered IT services to a DoD client" tells an evaluator nothing. The example below shows what "specific" actually looks like across five dimensions:</w:t>
      </w:r>
    </w:p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ListParagraph"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Dollar amounts + period of performance, not just "multi-year."</w:t>
      </w:r>
    </w:p>
    <w:p>
      <w:pPr>
        <w:pStyle w:val="ListParagraph"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Named deliverables with measurable acceptance criteria, not just deliverable categories.</w:t>
      </w:r>
    </w:p>
    <w:p>
      <w:pPr>
        <w:pStyle w:val="ListParagraph"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A concrete problem + root cause + fix + metric — not "resolved challenges."</w:t>
      </w:r>
    </w:p>
    <w:p>
      <w:pPr>
        <w:pStyle w:val="ListParagraph"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CPARS verbatim language with the actual rating word (Exceptional, not "exceeded expectations").</w:t>
      </w:r>
    </w:p>
    <w:p>
      <w:pPr>
        <w:pStyle w:val="ListParagraph"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POC last verified date — evaluators call; a stale reference is a red flag.</w:t>
      </w:r>
    </w:p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tbl>
      <w:tblPr>
        <w:tblW w:type="dxa" w:w="1008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BE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Tip: Once you draft your own version, save it as a permanent record — even if you don't win the bid.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Past-performance writeups compound. A reference you write today is worth more on your 50th bid than your 5th.</w:t>
            </w:r>
          </w:p>
        </w:tc>
      </w:tr>
    </w:tbl>
    <w:p>
      <w:pPr>
        <w:pageBreakBefore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keepNext/>
        <w:keepLines/>
        <w:spacing w:after="40" w:before="8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059669"/>
          <w:sz w:val="16"/>
          <w:szCs w:val="16"/>
        </w:rPr>
        <w:t xml:space="preserve">Completed Reference — Copy and Adapt</w:t>
      </w:r>
    </w:p>
    <w:p>
      <w:pPr>
        <w:pStyle w:val="Heading1"/>
        <w:keepNext/>
        <w:keepLines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36"/>
          <w:szCs w:val="36"/>
        </w:rPr>
        <w:t xml:space="preserve">Past-Performance Reference</w:t>
      </w:r>
    </w:p>
    <w:p>
      <w:pPr>
        <w:keepLines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US Army CECOM · Enterprise IT Modernization · Prime Contractor · CPARS Exceptional</w:t>
      </w:r>
    </w:p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Heading2"/>
        <w:keepNext/>
        <w:keepLines/>
        <w:pBdr>
          <w:bottom w:val="single" w:color="10B981" w:sz="12" w:space="4"/>
        </w:pBd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6"/>
          <w:szCs w:val="26"/>
        </w:rPr>
        <w:t xml:space="preserve">Contract Identification</w:t>
      </w:r>
    </w:p>
    <w:tbl>
      <w:tblPr>
        <w:tblW w:type="dxa" w:w="1008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000"/>
        <w:gridCol w:w="3040"/>
        <w:gridCol w:w="2000"/>
        <w:gridCol w:w="3040"/>
      </w:tblGrid>
      <w:tr>
        <w:trPr>
          <w:cantSplit/>
        </w:trPr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Agency / Client: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US Army CECOM (Communications-Electronics Command), Aberdeen Proving Ground, MD</w:t>
            </w:r>
          </w:p>
        </w:tc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Contract Type: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Firm-Fixed-Price (FFP) with Award Fee</w:t>
            </w:r>
          </w:p>
        </w:tc>
      </w:tr>
      <w:tr>
        <w:trPr>
          <w:cantSplit/>
        </w:trPr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Contract Number: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W15P7T-20-C-0042</w:t>
            </w:r>
          </w:p>
        </w:tc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Delivery Order #: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N/A — Standalone Contract</w:t>
            </w:r>
          </w:p>
        </w:tc>
      </w:tr>
      <w:tr>
        <w:trPr>
          <w:cantSplit/>
        </w:trPr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Program / Project: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Lifecycle Enterprise Network Modernization (LENM) Program</w:t>
            </w:r>
          </w:p>
        </w:tc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NAICS Code: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541512 — Computer Systems Design Services</w:t>
            </w:r>
          </w:p>
        </w:tc>
      </w:tr>
      <w:tr>
        <w:trPr>
          <w:cantSplit/>
        </w:trPr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Contract Value: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$4,823,400 (base + 3 option years all exercised)</w:t>
            </w:r>
          </w:p>
        </w:tc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Your Share: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100% — Prime Contractor (no subs)</w:t>
            </w:r>
          </w:p>
        </w:tc>
      </w:tr>
      <w:tr>
        <w:trPr>
          <w:cantSplit/>
        </w:trPr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Period of Performance: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May 15, 2020 – May 14, 2024 (4 years, all options exercised)</w:t>
            </w:r>
          </w:p>
        </w:tc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Option Years: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Base + 3 options; all exercised on time</w:t>
            </w:r>
          </w:p>
        </w:tc>
      </w:tr>
      <w:tr>
        <w:trPr>
          <w:cantSplit/>
        </w:trPr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Set-Aside Type: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8(a) Small Business Set-Aside (SBA)</w:t>
            </w:r>
          </w:p>
        </w:tc>
        <w:tc>
          <w:tcPr>
            <w:tcW w:type="dxa" w:w="2000"/>
            <w:shd w:fill="F8FAFC" w:color="auto" w:val="clear"/>
            <w:tcMar>
              <w:top w:type="dxa" w:w="80"/>
              <w:left w:type="dxa" w:w="120"/>
              <w:bottom w:type="dxa" w:w="80"/>
              <w:right w:type="dxa" w:w="9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Small Bus. Role:</w:t>
            </w:r>
          </w:p>
        </w:tc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Prime Contractor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Heading2"/>
        <w:keepNext/>
        <w:keepLines/>
        <w:pBdr>
          <w:bottom w:val="single" w:color="10B981" w:sz="12" w:space="4"/>
        </w:pBd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6"/>
          <w:szCs w:val="26"/>
        </w:rPr>
        <w:t xml:space="preserve">Reference Contact (Verified May 2024)</w:t>
      </w:r>
    </w:p>
    <w:tbl>
      <w:tblPr>
        <w:tblW w:type="dxa" w:w="1008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Contracting Officer:</w:t>
            </w:r>
          </w:p>
        </w:tc>
        <w:tc>
          <w:tcPr>
            <w:tcW w:type="dxa" w:w="72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COL (ret.) Margaret T. Holloway, Program Manager, CECOM Life Cycle Management Command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Phone (direct):</w:t>
            </w:r>
          </w:p>
        </w:tc>
        <w:tc>
          <w:tcPr>
            <w:tcW w:type="dxa" w:w="72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(443) 395-7214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Email:</w:t>
            </w:r>
          </w:p>
        </w:tc>
        <w:tc>
          <w:tcPr>
            <w:tcW w:type="dxa" w:w="72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margaret.t.holloway@army.mil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COR / Technical POC:</w:t>
            </w:r>
          </w:p>
        </w:tc>
        <w:tc>
          <w:tcPr>
            <w:tcW w:type="dxa" w:w="72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Mr. David R. Patel, GS-14, Senior IT Program Manager, Network Enterprise Center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COR Phone:</w:t>
            </w:r>
          </w:p>
        </w:tc>
        <w:tc>
          <w:tcPr>
            <w:tcW w:type="dxa" w:w="72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(443) 395-6088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Last Verified:</w:t>
            </w:r>
          </w:p>
        </w:tc>
        <w:tc>
          <w:tcPr>
            <w:tcW w:type="dxa" w:w="72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May 20, 2024 — spoke by phone; both contacts confirmed active and willing to be referenced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Heading2"/>
        <w:keepNext/>
        <w:keepLines/>
        <w:pBdr>
          <w:bottom w:val="single" w:color="10B981" w:sz="12" w:space="4"/>
        </w:pBd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6"/>
          <w:szCs w:val="26"/>
        </w:rPr>
        <w:t xml:space="preserve">Scope of Work Performed</w:t>
      </w:r>
    </w:p>
    <w:tbl>
      <w:tblPr>
        <w:tblW w:type="dxa" w:w="1008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Meridian Federal Solutions LLC modernized the enterprise network infrastructure across 14 CECOM tenant buildings at Aberdeen Proving Ground — approximately 2,400 workstations, 380 managed switches, and 47 server racks under a single SOW.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/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Work included: (1) full network topology redesign from legacy flat-architecture to a segmented, DISA STIG-compliant IPv4/IPv6 dual-stack environment; (2) decommission of 11 end-of-life Cisco Catalyst 2960 switch stacks and replacement with Cisco Catalyst 9300 series; (3) deployment of a zero-trust network access (ZTNA) overlay using Palo Alto Prisma Access integrated with existing CAC-based identity management; (4) migration of 38 VMware vSphere 6.5 clusters to vSphere 8.0 with NSX-T micro-segmentation enabled; and (5) full documentation and knowledge transfer to the 12-person government network operations team.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/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All work performed under DoD 8500.01 Information Assurance Policy and NIST SP 800-53 Rev 5 controls. ATO maintained throughout — no lapse.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Heading2"/>
        <w:keepNext/>
        <w:keepLines/>
        <w:pBdr>
          <w:bottom w:val="single" w:color="10B981" w:sz="12" w:space="4"/>
        </w:pBd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6"/>
          <w:szCs w:val="26"/>
        </w:rPr>
        <w:t xml:space="preserve">Key Deliverables (Named)</w:t>
      </w:r>
    </w:p>
    <w:p>
      <w:pPr>
        <w:keepNext/>
        <w:keepLines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The following three deliverables were formally accepted by the Contracting Officer's Representative under CDRL A001–A003:</w:t>
      </w:r>
    </w:p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tbl>
      <w:tblPr>
        <w:tblW w:type="dxa" w:w="1008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CDRL A001 — Network Architecture Design Package</w:t>
            </w:r>
          </w:p>
        </w:tc>
        <w:tc>
          <w:tcPr>
            <w:tcW w:type="dxa" w:w="7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Comprehensive as-built documentation covering all 14 buildings: physical and logical diagrams, IP address management (IPAM) export, VLAN scheme, security zone mapping, and STIG checklist. Delivered 6 days ahead of CD-1 milestone. CO acceptance letter on file.</w:t>
            </w:r>
          </w:p>
        </w:tc>
      </w:tr>
      <w:tr>
        <w:trPr>
          <w:cantSplit/>
        </w:trPr>
        <w:tc>
          <w:tcPr>
            <w:tcW w:type="dxa" w:w="24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CDRL A002 — ZTNA Integration Playbook</w:t>
            </w:r>
          </w:p>
        </w:tc>
        <w:tc>
          <w:tcPr>
            <w:tcW w:type="dxa" w:w="7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Step-by-step runbook for Palo Alto Prisma Access configuration, CAC integration test procedures, and rollback plan. Accepted at CDR with zero Category-I comments. Government network ops team used this document to onboard two additional buildings post-contract.</w:t>
            </w:r>
          </w:p>
        </w:tc>
      </w:tr>
      <w:tr>
        <w:trPr>
          <w:cantSplit/>
        </w:trPr>
        <w:tc>
          <w:tcPr>
            <w:tcW w:type="dxa" w:w="24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CDRL A003 — Migration Completion Report + Lessons Learned</w:t>
            </w:r>
          </w:p>
        </w:tc>
        <w:tc>
          <w:tcPr>
            <w:tcW w:type="dxa" w:w="7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Post-migration validation report covering VMware cluster health checks, micro-segmentation rule validation, and NSX-T policy audit. Includes 14-page lessons-learned annex. Submitted 12 days early to accommodate the government's FY end close-out schedule.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Heading2"/>
        <w:keepNext/>
        <w:keepLines/>
        <w:pBdr>
          <w:bottom w:val="single" w:color="10B981" w:sz="12" w:space="4"/>
        </w:pBd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6"/>
          <w:szCs w:val="26"/>
        </w:rPr>
        <w:t xml:space="preserve">Technical Innovations</w:t>
      </w:r>
    </w:p>
    <w:p>
      <w:pPr>
        <w:pStyle w:val="Heading3"/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2"/>
          <w:szCs w:val="22"/>
        </w:rPr>
        <w:t xml:space="preserve">Innovation 1 — Automated STIG Compliance Pipeline</w:t>
      </w:r>
    </w:p>
    <w:p>
      <w:pPr>
        <w:keepNext w:val="false"/>
        <w:keepLines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Rather than manually running individual STIG checklists (the standard approach on prior CECOM contracts), the team built a PowerShell + Ansible pipeline that auto-applied 94% of applicable DISA STIG controls on each newly provisioned switch and VM. This reduced the post-deployment compliance remediation cycle from an estimated 6 weeks to 9 days — validated by the government's IA team at final ATO renewal.</w:t>
      </w:r>
    </w:p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Heading3"/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2"/>
          <w:szCs w:val="22"/>
        </w:rPr>
        <w:t xml:space="preserve">Innovation 2 — Non-Disruptive Parallel Cutover Methodology</w:t>
      </w:r>
    </w:p>
    <w:p>
      <w:pPr>
        <w:keepNext w:val="false"/>
        <w:keepLines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The program's original cutover plan called for three maintenance-window outages (12 hours each) across the 14 buildings. Meridian proposed and executed a parallel-stack approach: new switches were cabled and configured live alongside the legacy stacks, with traffic migrated building-by-building during low-utilization windows. Total end-user downtime: 47 minutes cumulative across all 14 buildings over the 4-year program, against a 36-hour contractual downtime budget.</w:t>
      </w:r>
    </w:p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Heading2"/>
        <w:keepNext/>
        <w:keepLines/>
        <w:pBdr>
          <w:bottom w:val="single" w:color="10B981" w:sz="12" w:space="4"/>
        </w:pBd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6"/>
          <w:szCs w:val="26"/>
        </w:rPr>
        <w:t xml:space="preserve">Problem Solved — Root Cause + Fix + Measured Outcome</w:t>
      </w:r>
    </w:p>
    <w:tbl>
      <w:tblPr>
        <w:tblW w:type="dxa" w:w="10080"/>
        <w:tblBorders>
          <w:top w:val="single" w:color="10B981" w:sz="6"/>
          <w:left w:val="single" w:color="10B981" w:sz="6"/>
          <w:bottom w:val="single" w:color="10B981" w:sz="6"/>
          <w:right w:val="single" w:color="10B981" w:sz="6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0FD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The Problem: In Month 14, a VMware cluster migration failed during the Building 7 cutover window. The NSX-T distributed firewall pushed a misconfigured policy that blackholed traffic between the classified and unclassified VLANs. Three mission-critical applications (GCSS-Army, AESIP, and a locally hosted JWICS gateway) went down at 02:30 on a Tuesday.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/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Root Cause: The NSX-T policy export from the lab environment included a hard-coded IP range that overlapped with Building 7's production subnet — an environment-specific variable the migration checklist hadn't flagged.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/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The Fix: Meridian's on-call network engineer was on-site within 40 minutes. The misconfigured rule was identified via NSX-T flow-log analysis, corrected, and redeployed in 22 minutes. All three applications were back online 62 minutes after the initial alert.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/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Process Change: Meridian redesigned the migration playbook to replace all hard-coded IPs with environment-variable references, and added a pre-migration automated diff check against the target subnet table. Zero recurrences across the remaining 13 buildings and 3 years of the contract.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/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Measurable Outcome: Mean time to restore (MTTR) across all incidents over the 4-year contract: 34 minutes, against a contract SLA of 4 hours. Total unplanned downtime: 4.2 hours across the entire program life — 95% below the 90-hour allowable in the PWS.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pStyle w:val="Heading2"/>
        <w:keepNext/>
        <w:keepLines/>
        <w:pBdr>
          <w:bottom w:val="single" w:color="10B981" w:sz="12" w:space="4"/>
        </w:pBd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6"/>
          <w:szCs w:val="26"/>
        </w:rPr>
        <w:t xml:space="preserve">Performance Ratings (CPARS — Official)</w:t>
      </w:r>
    </w:p>
    <w:p>
      <w:pPr>
        <w:keepLines/>
        <w:spacing w:after="40" w:before="4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75569"/>
          <w:sz w:val="18"/>
          <w:szCs w:val="18"/>
        </w:rPr>
        <w:t xml:space="preserve">Source: CPARS official record, Contract W15P7T-20-C-0042, Final Assessment, May 2024. Reproduced verbatim.</w:t>
      </w:r>
    </w:p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tbl>
      <w:tblPr>
        <w:tblW w:type="dxa" w:w="1008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800"/>
        <w:gridCol w:w="3080"/>
        <w:gridCol w:w="4200"/>
      </w:tblGrid>
      <w:tr>
        <w:trPr>
          <w:cantSplit/>
          <w:tblHeader/>
        </w:trPr>
        <w:tc>
          <w:tcPr>
            <w:tcW w:type="dxa" w:w="2800"/>
            <w:shd w:fill="10B98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80"/>
            <w:shd w:fill="10B98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4200"/>
            <w:shd w:fill="10B98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 from CPARS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Technical Performance</w:t>
            </w:r>
          </w:p>
        </w:tc>
        <w:tc>
          <w:tcPr>
            <w:tcW w:type="dxa" w:w="30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59669"/>
                <w:sz w:val="16"/>
                <w:szCs w:val="16"/>
              </w:rPr>
              <w:t xml:space="preserve">Exceptional</w:t>
            </w:r>
          </w:p>
        </w:tc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475569"/>
                <w:sz w:val="16"/>
                <w:szCs w:val="16"/>
              </w:rPr>
              <w:t xml:space="preserve">"Contractor exceeded all technical requirements. Zero ATO lapses. STIG pipeline innovation materially reduced IA workload."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Schedule / Delivery</w:t>
            </w:r>
          </w:p>
        </w:tc>
        <w:tc>
          <w:tcPr>
            <w:tcW w:type="dxa" w:w="30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59669"/>
                <w:sz w:val="16"/>
                <w:szCs w:val="16"/>
              </w:rPr>
              <w:t xml:space="preserve">Exceptional</w:t>
            </w:r>
          </w:p>
        </w:tc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475569"/>
                <w:sz w:val="16"/>
                <w:szCs w:val="16"/>
              </w:rPr>
              <w:t xml:space="preserve">"All 47 CDRLs delivered on or before contractual due dates. CDDs for all three option years exercised without delay."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Management</w:t>
            </w:r>
          </w:p>
        </w:tc>
        <w:tc>
          <w:tcPr>
            <w:tcW w:type="dxa" w:w="30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59669"/>
                <w:sz w:val="16"/>
                <w:szCs w:val="16"/>
              </w:rPr>
              <w:t xml:space="preserve">Exceptional</w:t>
            </w:r>
          </w:p>
        </w:tc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475569"/>
                <w:sz w:val="16"/>
                <w:szCs w:val="16"/>
              </w:rPr>
              <w:t xml:space="preserve">"Program manager maintained proactive communication throughout. Staffing changes were transparent and managed without performance impact."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Cost Control</w:t>
            </w:r>
          </w:p>
        </w:tc>
        <w:tc>
          <w:tcPr>
            <w:tcW w:type="dxa" w:w="30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59669"/>
                <w:sz w:val="16"/>
                <w:szCs w:val="16"/>
              </w:rPr>
              <w:t xml:space="preserve">Exceptional</w:t>
            </w:r>
          </w:p>
        </w:tc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475569"/>
                <w:sz w:val="16"/>
                <w:szCs w:val="16"/>
              </w:rPr>
              <w:t xml:space="preserve">"Came in 2.3% under obligated ceiling across base + all options. No REAs filed. One unilateral mod for descope — no claim."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Small Business Subcontracting</w:t>
            </w:r>
          </w:p>
        </w:tc>
        <w:tc>
          <w:tcPr>
            <w:tcW w:type="dxa" w:w="30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59669"/>
                <w:sz w:val="16"/>
                <w:szCs w:val="16"/>
              </w:rPr>
              <w:t xml:space="preserve">N/A</w:t>
            </w:r>
          </w:p>
        </w:tc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475569"/>
                <w:sz w:val="16"/>
                <w:szCs w:val="16"/>
              </w:rPr>
              <w:t xml:space="preserve">Prime was 8(a) entity; no subcontracting plan required. All work self-performed.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tbl>
      <w:tblPr>
        <w:tblW w:type="dxa" w:w="1008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BE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How to adapt this to your contract: Replace the scope narrative with your actual deliverables and technology stack.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Keep the specificity: named CDRLs, named tools, real downtime numbers, actual CPARS verbatim language.</w:t>
            </w:r>
          </w:p>
          <w:p>
            <w:pPr>
              <w:keepLines/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If your contract didn't have CPARS (commercial work, sub-threshold award), mark ratings as self-reported and expect your POC to be called.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/>
      </w:r>
    </w:p>
    <w:p>
      <w:pPr>
        <w:keepLines/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75569"/>
          <w:sz w:val="18"/>
          <w:szCs w:val="18"/>
        </w:rPr>
        <w:t xml:space="preserve">© CapturePilot · Federal Lead Kit · FLK-06 · capturepilot.com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E2E8F0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360"/>
      <w:gridCol w:w="3360"/>
      <w:gridCol w:w="3360"/>
    </w:tblGrid>
    <w:tr>
      <w:trPr>
        <w:cantSplit/>
      </w:trPr>
      <w:tc>
        <w:tcPr>
          <w:tcW w:type="dxa" w:w="3360"/>
          <w:tcMar>
            <w:top w:type="dxa" w:w="100"/>
            <w:left w:type="dxa" w:w="0"/>
            <w:bottom w:type="dxa" w:w="0"/>
            <w:right w:type="dxa" w:w="0"/>
          </w:tcMar>
        </w:tcPr>
        <w:p>
          <w:r>
            <w:rPr>
              <w:rFonts w:ascii="Consolas" w:cs="Consolas" w:eastAsia="Consolas" w:hAnsi="Consolas"/>
              <w:b/>
              <w:bCs/>
              <w:i w:val="false"/>
              <w:iCs w:val="false"/>
              <w:caps w:val="false"/>
              <w:color w:val="059669"/>
              <w:sz w:val="14"/>
              <w:szCs w:val="14"/>
            </w:rPr>
            <w:t xml:space="preserve">CAPTUREPILOT</w:t>
          </w:r>
          <w:r>
            <w:rPr>
              <w:rFonts w:ascii="Consolas" w:cs="Consolas" w:eastAsia="Consolas" w:hAnsi="Consolas"/>
              <w:b w:val="false"/>
              <w:bCs w:val="false"/>
              <w:i w:val="false"/>
              <w:iCs w:val="false"/>
              <w:caps w:val="false"/>
              <w:color w:val="475569"/>
              <w:sz w:val="14"/>
              <w:szCs w:val="14"/>
            </w:rPr>
            <w:t xml:space="preserve">  ·  Federal Lead Kit</w:t>
          </w:r>
        </w:p>
      </w:tc>
      <w:tc>
        <w:tcPr>
          <w:tcW w:type="dxa" w:w="3360"/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center"/>
          </w:pPr>
          <w:r>
            <w:rPr>
              <w:rFonts w:ascii="Consolas" w:cs="Consolas" w:eastAsia="Consolas" w:hAnsi="Consolas"/>
              <w:b w:val="false"/>
              <w:bCs w:val="false"/>
              <w:i w:val="false"/>
              <w:iCs w:val="false"/>
              <w:caps w:val="false"/>
              <w:color w:val="475569"/>
              <w:sz w:val="14"/>
              <w:szCs w:val="14"/>
            </w:rPr>
            <w:t xml:space="preserve">FLK-06 · Sample Past-Performance Reference</w:t>
          </w:r>
        </w:p>
      </w:tc>
      <w:tc>
        <w:tcPr>
          <w:tcW w:type="dxa" w:w="3360"/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Consolas" w:cs="Consolas" w:eastAsia="Consolas" w:hAnsi="Consolas"/>
              <w:b w:val="false"/>
              <w:bCs w:val="false"/>
              <w:i w:val="false"/>
              <w:iCs w:val="false"/>
              <w:caps w:val="false"/>
              <w:color w:val="475569"/>
              <w:sz w:val="14"/>
              <w:szCs w:val="14"/>
            </w:rPr>
            <w:t xml:space="preserve">Page </w:t>
          </w:r>
          <w:r>
            <w:rPr>
              <w:rFonts w:ascii="Consolas" w:cs="Consolas" w:eastAsia="Consolas" w:hAnsi="Consolas"/>
              <w:color w:val="94A3B8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onsolas" w:cs="Consolas" w:eastAsia="Consolas" w:hAnsi="Consolas"/>
              <w:b w:val="false"/>
              <w:bCs w:val="false"/>
              <w:i w:val="false"/>
              <w:iCs w:val="false"/>
              <w:caps w:val="false"/>
              <w:color w:val="475569"/>
              <w:sz w:val="14"/>
              <w:szCs w:val="14"/>
            </w:rPr>
            <w:t xml:space="preserve"> of </w:t>
          </w:r>
          <w:r>
            <w:rPr>
              <w:rFonts w:ascii="Consolas" w:cs="Consolas" w:eastAsia="Consolas" w:hAnsi="Consolas"/>
              <w:color w:val="94A3B8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80"/>
    </w:tblGrid>
    <w:tr>
      <w:trPr>
        <w:cantSplit/>
        <w:trHeight w:val="80" w:hRule="exact"/>
      </w:trPr>
      <w:tc>
        <w:tcPr>
          <w:tcW w:type="dxa" w:w="10080"/>
          <w:shd w:fill="10B981" w:color="auto" w:val="clear"/>
        </w:tcPr>
        <w:p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0F172A"/>
              <w:sz w:val="20"/>
              <w:szCs w:val="20"/>
            </w:rPr>
            <w:t xml:space="preserve"/>
          </w:r>
        </w:p>
      </w:tc>
    </w:tr>
  </w:tbl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040"/>
      <w:gridCol w:w="5040"/>
    </w:tblGrid>
    <w:tr>
      <w:trPr>
        <w:cantSplit/>
      </w:trPr>
      <w:tc>
        <w:tcPr>
          <w:tcW w:type="dxa" w:w="5040"/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Consolas" w:cs="Consolas" w:eastAsia="Consolas" w:hAnsi="Consolas"/>
              <w:b/>
              <w:bCs/>
              <w:i w:val="false"/>
              <w:iCs w:val="false"/>
              <w:caps/>
              <w:color w:val="059669"/>
              <w:sz w:val="16"/>
              <w:szCs w:val="16"/>
            </w:rPr>
            <w:t xml:space="preserve">CAPTUREPILOT</w:t>
          </w:r>
        </w:p>
      </w:tc>
      <w:tc>
        <w:tcPr>
          <w:tcW w:type="dxa" w:w="5040"/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Consolas" w:cs="Consolas" w:eastAsia="Consolas" w:hAnsi="Consolas"/>
              <w:b w:val="false"/>
              <w:bCs w:val="false"/>
              <w:i w:val="false"/>
              <w:iCs w:val="false"/>
              <w:caps w:val="false"/>
              <w:color w:val="475569"/>
              <w:sz w:val="14"/>
              <w:szCs w:val="14"/>
            </w:rPr>
            <w:t xml:space="preserve">Sample Past-Performance Reference · IT Services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60" w:before="12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200"/>
    </w:pPr>
    <w:rPr>
      <w:rFonts w:ascii="Calibri" w:cs="Calibri" w:eastAsia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40" w:before="140"/>
    </w:pPr>
    <w:rPr>
      <w:rFonts w:ascii="Calibri" w:cs="Calibri" w:eastAsia="Calibri" w:hAnsi="Calibri"/>
      <w:b/>
      <w:bCs/>
      <w:color w:val="0F172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Past-Performance Reference — IT Services</dc:title>
  <dc:creator>CapturePilot</dc:creator>
  <dc:description>Federal Lead Kit FLK-06 · Filled example for DoD enterprise IT modernization</dc:description>
  <cp:lastModifiedBy>Un-named</cp:lastModifiedBy>
  <cp:revision>1</cp:revision>
  <dcterms:created xsi:type="dcterms:W3CDTF">2026-06-10T02:04:58.474Z</dcterms:created>
  <dcterms:modified xsi:type="dcterms:W3CDTF">2026-06-10T02:04:58.475Z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