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keepNext/>
              <w:keepLines/>
              <w:spacing w:after="4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7f3d0"/>
                <w:sz w:val="16"/>
                <w:szCs w:val="16"/>
              </w:rPr>
              <w:t xml:space="preserve">PAST PERFORMANCE REFERENCE</w:t>
            </w:r>
          </w:p>
          <w:p>
            <w:pPr>
              <w:keepNext/>
              <w:keepLines/>
              <w:spacing w:after="5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Federal Lead Kit — Janitorial Services  ·  VA Medical Center Custodial Contract</w:t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7f3d0"/>
                <w:sz w:val="20"/>
                <w:szCs w:val="20"/>
              </w:rPr>
              <w:t xml:space="preserve">Apex Custodial Solutions, LLC  ·  SDVOSB  ·  NAICS 561720  ·  CAGE 7RXV2  ·  UEI AXCS56172089VA</w:t>
            </w:r>
          </w:p>
        </w:tc>
      </w:tr>
    </w:tbl>
    <w:p>
      <w:pPr>
        <w:keepNext w:val="false"/>
        <w:keepLines/>
        <w:spacing w:after="2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1 — CONTRACT OVERVIEW</w:t>
            </w:r>
          </w:p>
        </w:tc>
      </w:tr>
    </w:tbl>
    <w:p>
      <w:pPr>
        <w:keepNext w:val="false"/>
        <w:keepLines/>
        <w:spacing w:after="8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Contract Number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VA258-19-C-0047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Contract Title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Custodial Services — VA Phoenix Health Care System (Main Campus + 4 CBOCs)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Agency / Customer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Department of Veterans Affairs — Phoenix Health Care System (VISN 18)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Contracting Office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VA Phoenix HCS, Network Contracting Office 18, 650 E. Indian School Rd, Phoenix AZ 85012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NAICS Code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561720 — Janitorial Services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PSC Code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S201 — Custodial Janitorial Services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Set-Aside Type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SDVOSB Sole-Source (FAR 19.1406 — below SAP threshold, extended via modifications)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Base Contract Value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$1,950,000 (3-year base: Oct 2019 – Sep 2022)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Total w/ Modifications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$2,400,000 (Mod P00001 added CBOC #4, Mod P00002 extended 12 months through Sep 2023)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Period of Performance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October 1, 2019 – September 30, 2024 (base + 2 option years exercised via IGCE review)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Firm-Fixed-Price (FFP), performance-based statement of work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Clearances Required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Background Investigation (BI) / Tier 1 — all custodial staff; contractor PM held PIV card</w:t>
            </w:r>
          </w:p>
        </w:tc>
      </w:tr>
    </w:tbl>
    <w:p>
      <w:pPr>
        <w:keepNext w:val="false"/>
        <w:keepLines/>
        <w:spacing w:after="2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2 — SCOPE OF WORK</w:t>
            </w:r>
          </w:p>
        </w:tc>
      </w:tr>
    </w:tbl>
    <w:p>
      <w:pPr>
        <w:keepNext w:val="false"/>
        <w:keepLines/>
        <w:spacing w:after="8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/>
      </w:r>
    </w:p>
    <w:tbl>
      <w:tblPr>
        <w:tblW w:type="dxa" w:w="9360"/>
        <w:tblBorders>
          <w:top w:val="single" w:color="a7f3d0" w:sz="4"/>
          <w:left w:val="single" w:color="a7f3d0" w:sz="4"/>
          <w:bottom w:val="single" w:color="a7f3d0" w:sz="4"/>
          <w:right w:val="single" w:color="a7f3d0" w:sz="4"/>
          <w:insideH w:val="single" w:color="a7f3d0" w:sz="4"/>
          <w:insideV w:val="single" w:color="a7f3d0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ecfdf5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Apex Custodial Solutions provided comprehensive custodial and infection-control services across 420,000 sq ft of clinical, administrative, and patient-care space at the VA Phoenix HCS main campus and four Community-Based Outpatient Clinics (CBOCs) in Mesa, Peoria, Sun City, and Surprise, AZ. Work was performed 365 days/year under a Performance Work Statement (PWS) aligned with VA Handbook 7610 (Housekeeping) and CDC environmental infection-control guidelines.</w:t>
            </w:r>
          </w:p>
        </w:tc>
      </w:tr>
    </w:tbl>
    <w:p>
      <w:pPr>
        <w:keepNext w:val="false"/>
        <w:keepLines/>
        <w:spacing w:after="12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2"/>
          <w:szCs w:val="12"/>
        </w:rP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600"/>
        <w:gridCol w:w="2500"/>
        <w:gridCol w:w="2600"/>
        <w:gridCol w:w="2660"/>
      </w:tblGrid>
      <w:tr>
        <w:trPr>
          <w:cantSplit/>
          <w:tblHeader/>
        </w:trPr>
        <w:tc>
          <w:tcPr>
            <w:tcW w:type="dxa" w:w="1600"/>
            <w:shd w:fill="047857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Schedule</w:t>
            </w:r>
          </w:p>
        </w:tc>
        <w:tc>
          <w:tcPr>
            <w:tcW w:type="dxa" w:w="2500"/>
            <w:shd w:fill="047857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Deliverable / Task</w:t>
            </w:r>
          </w:p>
        </w:tc>
        <w:tc>
          <w:tcPr>
            <w:tcW w:type="dxa" w:w="2600"/>
            <w:shd w:fill="047857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Performance Standard</w:t>
            </w:r>
          </w:p>
        </w:tc>
        <w:tc>
          <w:tcPr>
            <w:tcW w:type="dxa" w:w="2660"/>
            <w:shd w:fill="047857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FAR / VA Reference</w:t>
            </w:r>
          </w:p>
        </w:tc>
      </w:tr>
      <w:tr>
        <w:trPr>
          <w:cantSplit/>
        </w:trPr>
        <w:tc>
          <w:tcPr>
            <w:tcW w:type="dxa" w:w="1600"/>
            <w:shd w:fill="ecfdf5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6"/>
                <w:szCs w:val="16"/>
              </w:rPr>
              <w:t xml:space="preserve">Daily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High-touch surface disinfection (doorknobs, light switches, handrails, elevator buttons); restroom sanitation; trash removal; mopping all patient-care corridors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Zero Critical (Class C) findings per monthly QAE inspection; AQL 95%</w:t>
            </w:r>
          </w:p>
        </w:tc>
        <w:tc>
          <w:tcPr>
            <w:tcW w:type="dxa" w:w="266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VA PWS §3.2.1 / CDC 2019 Environmental Guidelines</w:t>
            </w:r>
          </w:p>
        </w:tc>
      </w:tr>
      <w:tr>
        <w:trPr>
          <w:cantSplit/>
        </w:trPr>
        <w:tc>
          <w:tcPr>
            <w:tcW w:type="dxa" w:w="1600"/>
            <w:shd w:fill="f0fdf4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6"/>
                <w:szCs w:val="16"/>
              </w:rPr>
              <w:t xml:space="preserve">Weekly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Deep-scrub of all hard-floor surfaces (surgical corridors + waiting areas); burnishing; restroom grout treatment; HEPA-vacuum all soft furnishings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No repeat findings across 2 consecutive monthly inspections; AQL 90%</w:t>
            </w:r>
          </w:p>
        </w:tc>
        <w:tc>
          <w:tcPr>
            <w:tcW w:type="dxa" w:w="266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VA PWS §3.2.2 / APPA Level 2 standard</w:t>
            </w:r>
          </w:p>
        </w:tc>
      </w:tr>
      <w:tr>
        <w:trPr>
          <w:cantSplit/>
        </w:trPr>
        <w:tc>
          <w:tcPr>
            <w:tcW w:type="dxa" w:w="1600"/>
            <w:shd w:fill="ecfdf5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6"/>
                <w:szCs w:val="16"/>
              </w:rPr>
              <w:t xml:space="preserve">Monthly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Carpet extraction (all CBOC waiting areas); high-dusting above 7 ft (lights, vents, ledges); log submission to COR via VetsPro CMMS within 3 business days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Written completion log delivered NLT 3 business days after last workday of month</w:t>
            </w:r>
          </w:p>
        </w:tc>
        <w:tc>
          <w:tcPr>
            <w:tcW w:type="dxa" w:w="266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VA PWS §3.2.3 / FAR 52.246-4 (Inspection of Services)</w:t>
            </w:r>
          </w:p>
        </w:tc>
      </w:tr>
      <w:tr>
        <w:trPr>
          <w:cantSplit/>
        </w:trPr>
        <w:tc>
          <w:tcPr>
            <w:tcW w:type="dxa" w:w="1600"/>
            <w:shd w:fill="f0fdf4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6"/>
                <w:szCs w:val="16"/>
              </w:rPr>
              <w:t xml:space="preserve">Annual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Strip-and-wax of all VCT floors; window cleaning (exterior + interior) including ladder-access zones; annual deep-clean report submitted to Facility Manager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Written report with pre/post photos delivered NLT Oct 15 each contract year</w:t>
            </w:r>
          </w:p>
        </w:tc>
        <w:tc>
          <w:tcPr>
            <w:tcW w:type="dxa" w:w="2660"/>
            <w:shd w:fill="ffffff" w:color="auto" w:val="clear"/>
            <w:tcMar>
              <w:top w:type="dxa" w:w="60"/>
              <w:left w:type="dxa" w:w="10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>VA PWS §3.2.4 / VA Handbook 7610 §8.3</w:t>
            </w:r>
          </w:p>
        </w:tc>
      </w:tr>
    </w:tbl>
    <w:p>
      <w:pPr>
        <w:keepNext w:val="false"/>
        <w:keepLines/>
        <w:spacing w:after="2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3 — CERTIFICATIONS &amp; INFECTION-CONTROL PROTOCOLS</w:t>
            </w:r>
          </w:p>
        </w:tc>
      </w:tr>
    </w:tbl>
    <w:p>
      <w:pPr>
        <w:keepNext w:val="false"/>
        <w:keepLines/>
        <w:spacing w:after="8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cfdf5" w:color="auto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keepNext/>
              <w:keepLines/>
              <w:spacing w:after="6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22"/>
                <w:szCs w:val="22"/>
              </w:rPr>
              <w:t xml:space="preserve">Green-Cleaning Certifications</w:t>
            </w:r>
          </w:p>
          <w:p>
            <w:pPr>
              <w:keepNext w:val="false"/>
              <w:keepLines/>
              <w:spacing w:after="40" w:before="0" w:line="240"/>
              <w:ind w:left="200" w:hanging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ISSA CIMS-GB Certification (Cleaning Industry Management Standard – Green Building), cert no. CIMS-23-0088, valid through Dec 2025</w:t>
            </w:r>
          </w:p>
          <w:p>
            <w:pPr>
              <w:keepNext w:val="false"/>
              <w:keepLines/>
              <w:spacing w:after="40" w:before="0" w:line="240"/>
              <w:ind w:left="200" w:hanging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EPA Safer Choice compliant products — full product list on file with VA COR (no quat-ammonium compounds in patient-care areas)</w:t>
            </w:r>
          </w:p>
          <w:p>
            <w:pPr>
              <w:keepNext w:val="false"/>
              <w:keepLines/>
              <w:spacing w:after="40" w:before="0" w:line="240"/>
              <w:ind w:left="200" w:hanging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GS-42-certified floor care products; GS-37-certified bathroom cleaners throughout all patient-care zones</w:t>
            </w:r>
          </w:p>
          <w:p>
            <w:pPr>
              <w:keepNext w:val="false"/>
              <w:keepLines/>
              <w:spacing w:after="40" w:before="0" w:line="240"/>
              <w:ind w:left="200" w:hanging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Green Seal–registered disinfectants meeting CDC kill-time thresholds for C. diff, MRSA, and VRE</w:t>
            </w:r>
          </w:p>
        </w:tc>
        <w:tc>
          <w:tcPr>
            <w:tcW w:type="dxa" w:w="4680"/>
            <w:shd w:fill="f0fdf4" w:color="auto" w:val="clear"/>
            <w:tcMar>
              <w:top w:type="dxa" w:w="100"/>
              <w:left w:type="dxa" w:w="80"/>
              <w:bottom w:type="dxa" w:w="100"/>
              <w:right w:type="dxa" w:w="140"/>
            </w:tcMar>
            <w:vAlign w:val="top"/>
          </w:tcPr>
          <w:p>
            <w:pPr>
              <w:keepNext/>
              <w:keepLines/>
              <w:spacing w:after="6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22"/>
                <w:szCs w:val="22"/>
              </w:rPr>
              <w:t xml:space="preserve">Infection-Control Protocols</w:t>
            </w:r>
          </w:p>
          <w:p>
            <w:pPr>
              <w:keepNext w:val="false"/>
              <w:keepLines/>
              <w:spacing w:after="40" w:before="0" w:line="240"/>
              <w:ind w:left="200" w:hanging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ICRA (Infection Control Risk Assessment) training completed by all staff before initial period of performance; refresher annually</w:t>
            </w:r>
          </w:p>
          <w:p>
            <w:pPr>
              <w:keepNext w:val="false"/>
              <w:keepLines/>
              <w:spacing w:after="40" w:before="0" w:line="240"/>
              <w:ind w:left="200" w:hanging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CDC 2019 Environmental Infection Control Guidelines followed for terminal cleans of isolation rooms; two-person team with observer</w:t>
            </w:r>
          </w:p>
          <w:p>
            <w:pPr>
              <w:keepNext w:val="false"/>
              <w:keepLines/>
              <w:spacing w:after="40" w:before="0" w:line="240"/>
              <w:ind w:left="200" w:hanging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Fluorescent marker and ATP bioluminescence audits conducted quarterly by PM; results shared with COR within 48 hours</w:t>
            </w:r>
          </w:p>
          <w:p>
            <w:pPr>
              <w:keepNext w:val="false"/>
              <w:keepLines/>
              <w:spacing w:after="40" w:before="0" w:line="240"/>
              <w:ind w:left="200" w:hanging="2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Color-coded microfiber system (red=restroom, yellow=patient care, blue=admin, green=food) enforced 100% of operating shifts</w:t>
            </w:r>
          </w:p>
        </w:tc>
      </w:tr>
    </w:tbl>
    <w:p>
      <w:pPr>
        <w:keepNext w:val="false"/>
        <w:keepLines/>
        <w:spacing w:after="2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4 — KEY PERSONNEL</w:t>
            </w:r>
          </w:p>
        </w:tc>
      </w:tr>
    </w:tbl>
    <w:p>
      <w:pPr>
        <w:keepNext w:val="false"/>
        <w:keepLines/>
        <w:spacing w:after="8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Contract Manager (PM)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Maria T. Sandoval — RBSM, CIMS; 15+ years federal custodial management; held PIV card entire PoP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Site Supervisor (Phoenix)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José A. Hernandez — ISSA Cleaning Management Institute Level II; on-site daily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FTE at Peak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22 direct FTE (14 day-shift, 8 evening-shift) + 3 part-time CBOC leads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Turnover Rate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11% annually (below VA-tracked industry median of 38% for services contracts in VISN 18)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Security Clearances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All 22 FTE completed Tier 1 BI prior to site access; zero access revocations during PoP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Subcontractors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None — 100% self-performed (Prime, sole-source SDVOSB)</w:t>
            </w:r>
          </w:p>
        </w:tc>
      </w:tr>
    </w:tbl>
    <w:p>
      <w:pPr>
        <w:keepNext w:val="false"/>
        <w:keepLines/>
        <w:spacing w:after="2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5 — PERFORMANCE RECORD</w:t>
            </w:r>
          </w:p>
        </w:tc>
      </w:tr>
    </w:tbl>
    <w:p>
      <w:pPr>
        <w:keepNext w:val="false"/>
        <w:keepLines/>
        <w:spacing w:after="8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CPARS Rating (FY2020)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Exceptional — "Contractor consistently exceeded all PWS requirements; zero critical deficiencies recorded" — CO Kim Wheeler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CPARS Rating (FY2021)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Exceptional — "Rapid response to COVID-19 terminal clean protocol changes; no healthcare-associated event linked to custodial areas"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CPARS Rating (FY2022)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Very Good — Site supervisor turnover in Q2 caused 2 minor findings; corrective action closed within 5 business days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CPARS Rating (FY2023)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Exceptional — All option-year metrics met or exceeded; facility satisfaction survey 4.7/5.0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Deductions / Penalties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None — no deductions or cure notices issued during the 5-year PoP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Complaints / Grievances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Zero formal grievances filed; one informal concern (odor in C-wing stairwell, Oct 2021) resolved same day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Option Years Exercised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 of 2 — VA exercised both options without gap; sole-source justification renewed under FAR 6.302-5 each time</w:t>
            </w:r>
          </w:p>
        </w:tc>
      </w:tr>
    </w:tbl>
    <w:p>
      <w:pPr>
        <w:keepNext w:val="false"/>
        <w:keepLines/>
        <w:spacing w:after="2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6 — AGENCY POINT OF CONTACT</w:t>
            </w:r>
          </w:p>
        </w:tc>
      </w:tr>
    </w:tbl>
    <w:p>
      <w:pPr>
        <w:keepNext w:val="false"/>
        <w:keepLines/>
        <w:spacing w:after="8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Contracting Officer (CO)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Kim A. Wheeler, Contracting Officer, VA NCO 18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 Phone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(602) 277-5551 ext. 7042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 Email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kim.wheeler2@va.gov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Contracting Officer Rep (COR)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Lt. Col. (Ret.) David R. Okafor, COR, Facilities Management, VA Phoenix HCS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COR Phone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(602) 277-5551 ext. 4291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COR Email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david.okafor@va.gov</w:t>
            </w:r>
          </w:p>
        </w:tc>
      </w:tr>
      <w:tr>
        <w:trPr>
          <w:cantSplit/>
        </w:trPr>
        <w:tc>
          <w:tcPr>
            <w:tcW w:type="dxa" w:w="2500"/>
            <w:shd w:fill="ecfd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Facility Manager (secondary POC)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Sandra M. Tran, Chief, Facilities Operations, VA Phoenix HCS</w:t>
            </w:r>
          </w:p>
        </w:tc>
      </w:tr>
      <w:tr>
        <w:trPr>
          <w:cantSplit/>
        </w:trPr>
        <w:tc>
          <w:tcPr>
            <w:tcW w:type="dxa" w:w="2500"/>
            <w:shd w:fill="f0fdf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Facility Manager Phone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(602) 277-5551 ext. 3305</w:t>
            </w:r>
          </w:p>
        </w:tc>
      </w:tr>
    </w:tbl>
    <w:p>
      <w:pPr>
        <w:keepNext w:val="false"/>
        <w:keepLines/>
        <w:spacing w:after="2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SECTION 7 — DIFFERENTIATORS FOR SIMILAR PROCUREMENTS</w:t>
            </w:r>
          </w:p>
        </w:tc>
      </w:tr>
    </w:tbl>
    <w:p>
      <w:pPr>
        <w:keepNext w:val="false"/>
        <w:keepLines/>
        <w:spacing w:after="8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8"/>
          <w:szCs w:val="8"/>
        </w:rPr>
        <w:t xml:space="preserve"/>
      </w:r>
    </w:p>
    <w:tbl>
      <w:tblPr>
        <w:tblW w:type="dxa" w:w="9360"/>
        <w:tblBorders>
          <w:top w:val="single" w:color="a7f3d0" w:sz="4"/>
          <w:left w:val="single" w:color="a7f3d0" w:sz="4"/>
          <w:bottom w:val="single" w:color="a7f3d0" w:sz="4"/>
          <w:right w:val="single" w:color="a7f3d0" w:sz="4"/>
          <w:insideH w:val="single" w:color="a7f3d0" w:sz="4"/>
          <w:insideV w:val="single" w:color="a7f3d0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f0fdf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 this section when submitting this reference in response to a Sources Sought, RFI, or solicitation. Tailor the two or three bullets most relevant to the agency's stated evaluation factors.</w:t>
            </w:r>
          </w:p>
        </w:tc>
      </w:tr>
    </w:tbl>
    <w:p>
      <w:pPr>
        <w:keepNext w:val="false"/>
        <w:keepLines/>
        <w:spacing w:after="12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2"/>
          <w:szCs w:val="12"/>
        </w:rPr>
        <w:t xml:space="preserve"/>
      </w:r>
    </w:p>
    <w:p>
      <w:pPr>
        <w:keepNext w:val="false"/>
        <w:keepLines/>
        <w:spacing w:after="40" w:before="0" w:line="240"/>
        <w:ind w:left="20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5 consecutive years, zero contract deductions — the VA measured us against AQL 95% on high-touch surface disinfection every single month. We hit it every time.</w:t>
      </w:r>
    </w:p>
    <w:p>
      <w:pPr>
        <w:keepNext w:val="false"/>
        <w:keepLines/>
        <w:spacing w:after="40" w:before="0" w:line="240"/>
        <w:ind w:left="20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ISSA CIMS-GB certified — not "pursuing" — which means our QA system, chemical inventory, and employee training all meet a third-party verified standard before we ever walk onto a federal campus.</w:t>
      </w:r>
    </w:p>
    <w:p>
      <w:pPr>
        <w:keepNext w:val="false"/>
        <w:keepLines/>
        <w:spacing w:after="40" w:before="0" w:line="240"/>
        <w:ind w:left="20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SDVOSB, self-performed — no pass-through risk, no subcontractor coordination gap, and the VA's small-business credit stays with a firm whose owner actually served.</w:t>
      </w:r>
    </w:p>
    <w:p>
      <w:pPr>
        <w:keepNext w:val="false"/>
        <w:keepLines/>
        <w:spacing w:after="40" w:before="0" w:line="240"/>
        <w:ind w:left="20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COVID-era track record: when VA changed the terminal-clean protocol to CDC's enhanced COVID-19 guidance in April 2020, we retrained 22 FTE and stood up the new protocol within 72 hours of the modification — without a stop-work or cure notice.</w:t>
      </w:r>
    </w:p>
    <w:p>
      <w:pPr>
        <w:keepNext w:val="false"/>
        <w:keepLines/>
        <w:spacing w:after="40" w:before="0" w:line="240"/>
        <w:ind w:left="20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8"/>
          <w:szCs w:val="18"/>
        </w:rPr>
        <w:t xml:space="preserve">Scalable — from a single CBOC (6,000 sq ft) to a 420,000 sq ft full-service medical center campus on the same contract vehicle.</w:t>
      </w:r>
    </w:p>
    <w:p>
      <w:pPr>
        <w:keepNext w:val="false"/>
        <w:keepLines/>
        <w:spacing w:after="2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7f3d0"/>
                <w:sz w:val="16"/>
                <w:szCs w:val="16"/>
              </w:rPr>
              <w:t xml:space="preserve">capturepilot.com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  ·  Federal Lead Kit — Past Performance Reference Templates  ·  FLK_06_Sample_Past_Performance_Janitorial</w:t>
            </w:r>
          </w:p>
        </w:tc>
      </w:tr>
    </w:tbl>
    <w:sectPr>
      <w:pgSz w:w="12240" w:h="15840" w:orient="portrait"/>
      <w:pgMar w:top="1440" w:right="1440" w:bottom="1440" w:left="144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Past Performance — VA Medical Center Janitorial Contract</dc:title>
  <dc:creator>CapturePilot</dc:creator>
  <dc:description>Federal Lead Kit · FLK_06 · Apex Custodial Solutions SDVOSB — VA Phoenix HCS</dc:description>
  <cp:lastModifiedBy>Un-named</cp:lastModifiedBy>
  <cp:revision>1</cp:revision>
  <dcterms:created xsi:type="dcterms:W3CDTF">2026-06-10T03:05:29.897Z</dcterms:created>
  <dcterms:modified xsi:type="dcterms:W3CDTF">2026-06-10T03:05:29.898Z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