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rPr>
          <w:cantSplit/>
        </w:trPr>
        <w:tc>
          <w:tcPr>
            <w:tcW w:type="dxa" w:w="9648"/>
            <w:tcBorders>
              <w:top w:val="none" w:color="FFFFFF" w:sz="0"/>
              <w:left w:val="none" w:color="FFFFFF" w:sz="0"/>
              <w:bottom w:val="none" w:color="FFFFFF" w:sz="0"/>
              <w:right w:val="none" w:color="FFFFFF" w:sz="0"/>
            </w:tcBorders>
            <w:shd w:fill="0f172a" w:color="auto" w:val="clear"/>
            <w:tcMar>
              <w:top w:type="dxa" w:w="200"/>
              <w:left w:type="dxa" w:w="200"/>
              <w:bottom w:type="dxa" w:w="200"/>
              <w:right w:type="dxa" w:w="200"/>
            </w:tcMar>
          </w:tcPr>
          <w:p>
            <w:pPr>
              <w:keepNext/>
              <w:keepLines/>
              <w:spacing w:after="40" w:before="0" w:line="300"/>
              <w:jc w:val="left"/>
            </w:pPr>
            <w:r>
              <w:rPr>
                <w:rFonts w:ascii="Calibri" w:cs="Calibri" w:eastAsia="Calibri" w:hAnsi="Calibri"/>
                <w:b/>
                <w:bCs/>
                <w:i w:val="false"/>
                <w:iCs w:val="false"/>
                <w:color w:val="ffffff"/>
                <w:sz w:val="36"/>
                <w:szCs w:val="36"/>
              </w:rPr>
              <w:t xml:space="preserve">QUALITY ASSURANCE SURVEILLANCE PLAN</w:t>
            </w:r>
          </w:p>
          <w:p>
            <w:pPr>
              <w:keepNext w:val="false"/>
              <w:keepLines/>
              <w:spacing w:after="20" w:before="0" w:line="240"/>
              <w:jc w:val="left"/>
            </w:pPr>
            <w:r>
              <w:rPr>
                <w:rFonts w:ascii="Calibri" w:cs="Calibri" w:eastAsia="Calibri" w:hAnsi="Calibri"/>
                <w:b/>
                <w:bCs/>
                <w:i w:val="false"/>
                <w:iCs w:val="false"/>
                <w:color w:val="10b981"/>
                <w:sz w:val="22"/>
                <w:szCs w:val="22"/>
              </w:rPr>
              <w:t xml:space="preserve">{{CONTRACT NUMBER}}</w:t>
            </w:r>
            <w:r>
              <w:rPr>
                <w:rFonts w:ascii="Calibri" w:cs="Calibri" w:eastAsia="Calibri" w:hAnsi="Calibri"/>
                <w:b w:val="false"/>
                <w:bCs w:val="false"/>
                <w:i w:val="false"/>
                <w:iCs w:val="false"/>
                <w:color w:val="94a3b8"/>
                <w:sz w:val="22"/>
                <w:szCs w:val="22"/>
              </w:rPr>
              <w:t xml:space="preserve">   ·   </w:t>
            </w:r>
            <w:r>
              <w:rPr>
                <w:rFonts w:ascii="Calibri" w:cs="Calibri" w:eastAsia="Calibri" w:hAnsi="Calibri"/>
                <w:b w:val="false"/>
                <w:bCs w:val="false"/>
                <w:i w:val="false"/>
                <w:iCs w:val="false"/>
                <w:color w:val="ffffff"/>
                <w:sz w:val="20"/>
                <w:szCs w:val="20"/>
              </w:rPr>
              <w:t xml:space="preserve">{{AGENCY / PROGRAM OFFICE}}</w:t>
            </w:r>
          </w:p>
          <w:p>
            <w:pPr>
              <w:keepNext w:val="false"/>
              <w:keepLines/>
              <w:spacing w:after="0" w:before="0" w:line="220"/>
              <w:jc w:val="left"/>
            </w:pPr>
            <w:r>
              <w:rPr>
                <w:rFonts w:ascii="Calibri" w:cs="Calibri" w:eastAsia="Calibri" w:hAnsi="Calibri"/>
                <w:b/>
                <w:bCs/>
                <w:i w:val="false"/>
                <w:iCs w:val="false"/>
                <w:color w:val="94a3b8"/>
                <w:sz w:val="20"/>
                <w:szCs w:val="20"/>
              </w:rPr>
              <w:t xml:space="preserve">Contractor: </w:t>
            </w:r>
            <w:r>
              <w:rPr>
                <w:rFonts w:ascii="Calibri" w:cs="Calibri" w:eastAsia="Calibri" w:hAnsi="Calibri"/>
                <w:b w:val="false"/>
                <w:bCs w:val="false"/>
                <w:i w:val="false"/>
                <w:iCs w:val="false"/>
                <w:color w:val="ffffff"/>
                <w:sz w:val="20"/>
                <w:szCs w:val="20"/>
              </w:rPr>
              <w:t xml:space="preserve">{{CONTRACTOR NAME}}</w:t>
            </w:r>
            <w:r>
              <w:rPr>
                <w:rFonts w:ascii="Calibri" w:cs="Calibri" w:eastAsia="Calibri" w:hAnsi="Calibri"/>
                <w:b w:val="false"/>
                <w:bCs w:val="false"/>
                <w:i w:val="false"/>
                <w:iCs w:val="false"/>
                <w:color w:val="94a3b8"/>
                <w:sz w:val="20"/>
                <w:szCs w:val="20"/>
              </w:rPr>
              <w:t xml:space="preserve">   ·   Period of Performance: </w:t>
            </w:r>
            <w:r>
              <w:rPr>
                <w:rFonts w:ascii="Calibri" w:cs="Calibri" w:eastAsia="Calibri" w:hAnsi="Calibri"/>
                <w:b w:val="false"/>
                <w:bCs w:val="false"/>
                <w:i w:val="false"/>
                <w:iCs w:val="false"/>
                <w:color w:val="ffffff"/>
                <w:sz w:val="20"/>
                <w:szCs w:val="20"/>
              </w:rPr>
              <w:t xml:space="preserve">{{MM/DD/YYYY – MM/DD/YYYY}}</w:t>
            </w:r>
          </w:p>
        </w:tc>
      </w:tr>
    </w:tbl>
    <w:p>
      <w:pPr>
        <w:keepNext w:val="false"/>
        <w:keepLines/>
        <w:spacing w:after="8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single" w:color="e2e8f0" w:sz="4"/>
          <w:left w:val="single" w:color="e2e8f0" w:sz="4"/>
          <w:bottom w:val="single" w:color="e2e8f0" w:sz="4"/>
          <w:right w:val="single" w:color="e2e8f0" w:sz="4"/>
          <w:insideH w:val="single" w:color="e2e8f0" w:sz="4"/>
          <w:insideV w:val="single" w:color="e2e8f0" w:sz="4"/>
        </w:tblBorders>
      </w:tblPr>
      <w:tblGrid>
        <w:gridCol w:w="4824"/>
        <w:gridCol w:w="4824"/>
      </w:tblGrid>
      <w:tr>
        <w:trPr>
          <w:cantSplit/>
        </w:trPr>
        <w:tc>
          <w:tcPr>
            <w:tcW w:type="dxa" w:w="4824"/>
            <w:tcBorders>
              <w:top w:val="single" w:color="e2e8f0" w:sz="4"/>
              <w:left w:val="single" w:color="e2e8f0" w:sz="4"/>
              <w:bottom w:val="single" w:color="e2e8f0" w:sz="4"/>
              <w:right w:val="single" w:color="e2e8f0" w:sz="4"/>
            </w:tcBorders>
            <w:shd w:fill="ffffff" w:color="auto" w:val="clear"/>
            <w:tcMar>
              <w:top w:type="dxa" w:w="100"/>
              <w:left w:type="dxa" w:w="140"/>
              <w:bottom w:type="dxa" w:w="100"/>
              <w:right w:type="dxa" w:w="140"/>
            </w:tcMar>
          </w:tcPr>
          <w:p>
            <w:pPr>
              <w:keepNext/>
              <w:keepLines/>
              <w:spacing w:after="10" w:before="0" w:line="180"/>
              <w:jc w:val="left"/>
            </w:pPr>
            <w:r>
              <w:rPr>
                <w:rFonts w:ascii="Consolas" w:cs="Consolas" w:eastAsia="Consolas" w:hAnsi="Consolas"/>
                <w:b/>
                <w:bCs/>
                <w:i w:val="false"/>
                <w:iCs w:val="false"/>
                <w:color w:val="047857"/>
                <w:sz w:val="16"/>
                <w:szCs w:val="16"/>
              </w:rPr>
              <w:t xml:space="preserve">Contracting Officer (CO)</w:t>
            </w:r>
          </w:p>
          <w:p>
            <w:pPr>
              <w:keepNext w:val="false"/>
              <w:keepLines/>
              <w:spacing w:after="30" w:before="0" w:line="220"/>
              <w:jc w:val="left"/>
            </w:pPr>
            <w:r>
              <w:rPr>
                <w:rFonts w:ascii="Calibri" w:cs="Calibri" w:eastAsia="Calibri" w:hAnsi="Calibri"/>
                <w:b w:val="false"/>
                <w:bCs w:val="false"/>
                <w:i w:val="false"/>
                <w:iCs w:val="false"/>
                <w:color w:val="0f172a"/>
                <w:sz w:val="20"/>
                <w:szCs w:val="20"/>
              </w:rPr>
              <w:t xml:space="preserve">{{CO Name · Email · Phone}}</w:t>
            </w:r>
          </w:p>
          <w:p>
            <w:pPr>
              <w:keepNext/>
              <w:keepLines/>
              <w:spacing w:after="10" w:before="0" w:line="180"/>
              <w:jc w:val="left"/>
            </w:pPr>
            <w:r>
              <w:rPr>
                <w:rFonts w:ascii="Consolas" w:cs="Consolas" w:eastAsia="Consolas" w:hAnsi="Consolas"/>
                <w:b/>
                <w:bCs/>
                <w:i w:val="false"/>
                <w:iCs w:val="false"/>
                <w:color w:val="047857"/>
                <w:sz w:val="16"/>
                <w:szCs w:val="16"/>
              </w:rPr>
              <w:t xml:space="preserve">COR / ACOR</w:t>
            </w:r>
          </w:p>
          <w:p>
            <w:pPr>
              <w:keepNext w:val="false"/>
              <w:keepLines/>
              <w:spacing w:after="30" w:before="0" w:line="220"/>
              <w:jc w:val="left"/>
            </w:pPr>
            <w:r>
              <w:rPr>
                <w:rFonts w:ascii="Calibri" w:cs="Calibri" w:eastAsia="Calibri" w:hAnsi="Calibri"/>
                <w:b w:val="false"/>
                <w:bCs w:val="false"/>
                <w:i w:val="false"/>
                <w:iCs w:val="false"/>
                <w:color w:val="0f172a"/>
                <w:sz w:val="20"/>
                <w:szCs w:val="20"/>
              </w:rPr>
              <w:t xml:space="preserve">{{COR Name · Email · Phone}}</w:t>
            </w:r>
          </w:p>
        </w:tc>
        <w:tc>
          <w:tcPr>
            <w:tcW w:type="dxa" w:w="4824"/>
            <w:tcBorders>
              <w:top w:val="single" w:color="e2e8f0" w:sz="4"/>
              <w:left w:val="single" w:color="e2e8f0" w:sz="4"/>
              <w:bottom w:val="single" w:color="e2e8f0" w:sz="4"/>
              <w:right w:val="single" w:color="e2e8f0" w:sz="4"/>
            </w:tcBorders>
            <w:shd w:fill="f8fafc" w:color="auto" w:val="clear"/>
            <w:tcMar>
              <w:top w:type="dxa" w:w="100"/>
              <w:left w:type="dxa" w:w="140"/>
              <w:bottom w:type="dxa" w:w="100"/>
              <w:right w:type="dxa" w:w="140"/>
            </w:tcMar>
          </w:tcPr>
          <w:p>
            <w:pPr>
              <w:keepNext/>
              <w:keepLines/>
              <w:spacing w:after="10" w:before="0" w:line="180"/>
              <w:jc w:val="left"/>
            </w:pPr>
            <w:r>
              <w:rPr>
                <w:rFonts w:ascii="Consolas" w:cs="Consolas" w:eastAsia="Consolas" w:hAnsi="Consolas"/>
                <w:b/>
                <w:bCs/>
                <w:i w:val="false"/>
                <w:iCs w:val="false"/>
                <w:color w:val="047857"/>
                <w:sz w:val="16"/>
                <w:szCs w:val="16"/>
              </w:rPr>
              <w:t xml:space="preserve">Contract Type</w:t>
            </w:r>
          </w:p>
          <w:p>
            <w:pPr>
              <w:keepNext w:val="false"/>
              <w:keepLines/>
              <w:spacing w:after="30" w:before="0" w:line="220"/>
              <w:jc w:val="left"/>
            </w:pPr>
            <w:r>
              <w:rPr>
                <w:rFonts w:ascii="Calibri" w:cs="Calibri" w:eastAsia="Calibri" w:hAnsi="Calibri"/>
                <w:b w:val="false"/>
                <w:bCs w:val="false"/>
                <w:i w:val="false"/>
                <w:iCs w:val="false"/>
                <w:color w:val="0f172a"/>
                <w:sz w:val="20"/>
                <w:szCs w:val="20"/>
              </w:rPr>
              <w:t xml:space="preserve">{{FFP / T&amp;M / CPFF / IDIQ — Task Order}}</w:t>
            </w:r>
          </w:p>
          <w:p>
            <w:pPr>
              <w:keepNext/>
              <w:keepLines/>
              <w:spacing w:after="10" w:before="0" w:line="180"/>
              <w:jc w:val="left"/>
            </w:pPr>
            <w:r>
              <w:rPr>
                <w:rFonts w:ascii="Consolas" w:cs="Consolas" w:eastAsia="Consolas" w:hAnsi="Consolas"/>
                <w:b/>
                <w:bCs/>
                <w:i w:val="false"/>
                <w:iCs w:val="false"/>
                <w:color w:val="047857"/>
                <w:sz w:val="16"/>
                <w:szCs w:val="16"/>
              </w:rPr>
              <w:t xml:space="preserve">QASP Version / Date</w:t>
            </w:r>
          </w:p>
          <w:p>
            <w:pPr>
              <w:keepNext w:val="false"/>
              <w:keepLines/>
              <w:spacing w:after="30" w:before="0" w:line="220"/>
              <w:jc w:val="left"/>
            </w:pPr>
            <w:r>
              <w:rPr>
                <w:rFonts w:ascii="Calibri" w:cs="Calibri" w:eastAsia="Calibri" w:hAnsi="Calibri"/>
                <w:b w:val="false"/>
                <w:bCs w:val="false"/>
                <w:i w:val="false"/>
                <w:iCs w:val="false"/>
                <w:color w:val="0f172a"/>
                <w:sz w:val="20"/>
                <w:szCs w:val="20"/>
              </w:rPr>
              <w:t xml:space="preserve">{{v1.0 · MM/DD/YYYY}}</w:t>
            </w:r>
          </w:p>
        </w:tc>
      </w:tr>
    </w:tbl>
    <w:p>
      <w:pPr>
        <w:keepNext w:val="false"/>
        <w:keepLines/>
        <w:spacing w:after="10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rPr>
          <w:cantSplit/>
        </w:trPr>
        <w:tc>
          <w:tcPr>
            <w:tcW w:type="dxa" w:w="9648"/>
            <w:tcBorders>
              <w:top w:val="none" w:color="FFFFFF" w:sz="0"/>
              <w:left w:val="none" w:color="FFFFFF" w:sz="0"/>
              <w:bottom w:val="none" w:color="FFFFFF" w:sz="0"/>
              <w:right w:val="none" w:color="FFFFFF" w:sz="0"/>
            </w:tcBorders>
            <w:shd w:fill="0f172a" w:color="auto" w:val="clear"/>
            <w:tcMar>
              <w:top w:type="dxa" w:w="100"/>
              <w:left w:type="dxa" w:w="160"/>
              <w:bottom w:type="dxa" w:w="100"/>
              <w:right w:type="dxa" w:w="160"/>
            </w:tcMar>
          </w:tcPr>
          <w:p>
            <w:pPr>
              <w:keepNext w:val="false"/>
              <w:keepLines/>
              <w:spacing w:after="0" w:before="0" w:line="240"/>
              <w:jc w:val="left"/>
            </w:pPr>
            <w:r>
              <w:rPr>
                <w:rFonts w:ascii="Consolas" w:cs="Consolas" w:eastAsia="Consolas" w:hAnsi="Consolas"/>
                <w:b/>
                <w:bCs/>
                <w:i w:val="false"/>
                <w:iCs w:val="false"/>
                <w:color w:val="ffffff"/>
                <w:sz w:val="22"/>
                <w:szCs w:val="22"/>
              </w:rPr>
              <w:t xml:space="preserve">1. SCOPE</w:t>
            </w:r>
          </w:p>
        </w:tc>
      </w:tr>
    </w:tbl>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PURPOSE</w:t>
      </w:r>
    </w:p>
    <w:p>
      <w:pPr>
        <w:keepNext w:val="false"/>
        <w:keepLines/>
        <w:spacing w:after="80" w:before="0" w:line="276"/>
        <w:jc w:val="left"/>
      </w:pPr>
      <w:r>
        <w:rPr>
          <w:rFonts w:ascii="Calibri" w:cs="Calibri" w:eastAsia="Calibri" w:hAnsi="Calibri"/>
          <w:b w:val="false"/>
          <w:bCs w:val="false"/>
          <w:i w:val="false"/>
          <w:iCs w:val="false"/>
          <w:color w:val="0f172a"/>
          <w:sz w:val="20"/>
          <w:szCs w:val="20"/>
        </w:rPr>
        <w:t xml:space="preserve">This QASP establishes the surveillance methods the government will use to confirm that {{CONTRACTOR NAME}} meets the performance standards defined in the Performance Work Statement (PWS) and contract SOW. It isn't a how-to-do-it guide for the contractor — it documents how the government verifies what got done.</w:t>
      </w:r>
    </w:p>
    <w:p>
      <w:pPr>
        <w:keepNext/>
        <w:keepLines/>
        <w:spacing w:after="40" w:before="160" w:line="220"/>
        <w:jc w:val="left"/>
      </w:pPr>
      <w:r>
        <w:rPr>
          <w:rFonts w:ascii="Consolas" w:cs="Consolas" w:eastAsia="Consolas" w:hAnsi="Consolas"/>
          <w:b/>
          <w:bCs/>
          <w:i w:val="false"/>
          <w:iCs w:val="false"/>
          <w:color w:val="047857"/>
          <w:sz w:val="16"/>
          <w:szCs w:val="16"/>
        </w:rPr>
        <w:t xml:space="preserve">CONTRACT SCOPE SUMMARY</w:t>
      </w:r>
    </w:p>
    <w:p>
      <w:pPr>
        <w:keepNext w:val="false"/>
        <w:keepLines/>
        <w:spacing w:after="80" w:before="0" w:line="276"/>
        <w:jc w:val="left"/>
      </w:pPr>
      <w:r>
        <w:rPr>
          <w:rFonts w:ascii="Calibri" w:cs="Calibri" w:eastAsia="Calibri" w:hAnsi="Calibri"/>
          <w:b w:val="false"/>
          <w:bCs w:val="false"/>
          <w:i w:val="false"/>
          <w:iCs w:val="false"/>
          <w:color w:val="0f172a"/>
          <w:sz w:val="20"/>
          <w:szCs w:val="20"/>
        </w:rPr>
        <w:t xml:space="preserve">[Briefly describe the work — e.g., "Provide IT help-desk support (Tier 1–3) for approximately 2,400 users across five USAF installations under a firm-fixed-price task order under ITES-3S, NAICS 541512."] FAR 46.401 requires the contracting officer to establish a quality assurance program for every contract above the micro-purchase threshold unless the CO determines it isn't appropriate.</w:t>
      </w:r>
    </w:p>
    <w:p>
      <w:pPr>
        <w:keepNext/>
        <w:keepLines/>
        <w:spacing w:after="40" w:before="160" w:line="220"/>
        <w:jc w:val="left"/>
      </w:pPr>
      <w:r>
        <w:rPr>
          <w:rFonts w:ascii="Consolas" w:cs="Consolas" w:eastAsia="Consolas" w:hAnsi="Consolas"/>
          <w:b/>
          <w:bCs/>
          <w:i w:val="false"/>
          <w:iCs w:val="false"/>
          <w:color w:val="047857"/>
          <w:sz w:val="16"/>
          <w:szCs w:val="16"/>
        </w:rPr>
        <w:t xml:space="preserve">QASP AUTHORITY</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FAR 46.401 — Government Contract Quality Assurance</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FAR 46.4 — Government Contract Quality Assurance Procedures</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FAR 52.246-4 / 52.246-5 / 52.246-6 (select applicable clause)</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DFARS 246.401 (if DoD contract)</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Agency-specific supplement: {{e.g., AFARS Part 5146, NMCARS 5246, HSAR Part 3046}}</w:t>
      </w:r>
    </w:p>
    <w:p>
      <w:pPr>
        <w:keepNext w:val="false"/>
        <w:keepLines/>
        <w:spacing w:after="8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rPr>
          <w:cantSplit/>
        </w:trPr>
        <w:tc>
          <w:tcPr>
            <w:tcW w:type="dxa" w:w="9648"/>
            <w:tcBorders>
              <w:top w:val="none" w:color="FFFFFF" w:sz="0"/>
              <w:left w:val="none" w:color="FFFFFF" w:sz="0"/>
              <w:bottom w:val="none" w:color="FFFFFF" w:sz="0"/>
              <w:right w:val="none" w:color="FFFFFF" w:sz="0"/>
            </w:tcBorders>
            <w:shd w:fill="0f172a" w:color="auto" w:val="clear"/>
            <w:tcMar>
              <w:top w:type="dxa" w:w="100"/>
              <w:left w:type="dxa" w:w="160"/>
              <w:bottom w:type="dxa" w:w="100"/>
              <w:right w:type="dxa" w:w="160"/>
            </w:tcMar>
          </w:tcPr>
          <w:p>
            <w:pPr>
              <w:keepNext w:val="false"/>
              <w:keepLines/>
              <w:spacing w:after="0" w:before="0" w:line="240"/>
              <w:jc w:val="left"/>
            </w:pPr>
            <w:r>
              <w:rPr>
                <w:rFonts w:ascii="Consolas" w:cs="Consolas" w:eastAsia="Consolas" w:hAnsi="Consolas"/>
                <w:b/>
                <w:bCs/>
                <w:i w:val="false"/>
                <w:iCs w:val="false"/>
                <w:color w:val="ffffff"/>
                <w:sz w:val="22"/>
                <w:szCs w:val="22"/>
              </w:rPr>
              <w:t xml:space="preserve">2. QUALITY STANDARDS</w:t>
            </w:r>
          </w:p>
        </w:tc>
      </w:tr>
    </w:tbl>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APPLICABLE STANDARDS</w:t>
      </w:r>
    </w:p>
    <w:p>
      <w:pPr>
        <w:keepNext w:val="false"/>
        <w:keepLines/>
        <w:spacing w:after="80" w:before="0" w:line="276"/>
        <w:jc w:val="left"/>
      </w:pPr>
      <w:r>
        <w:rPr>
          <w:rFonts w:ascii="Calibri" w:cs="Calibri" w:eastAsia="Calibri" w:hAnsi="Calibri"/>
          <w:b w:val="false"/>
          <w:bCs w:val="false"/>
          <w:i w:val="false"/>
          <w:iCs w:val="false"/>
          <w:color w:val="0f172a"/>
          <w:sz w:val="20"/>
          <w:szCs w:val="20"/>
        </w:rPr>
        <w:t xml:space="preserve">The following frameworks set the baseline against which contractor performance is measured. The contractor must maintain certifications current throughout the period of performance and provide updated certificates within 10 business days of renewal or lapse.</w:t>
      </w:r>
    </w:p>
    <w:tbl>
      <w:tblPr>
        <w:tblW w:type="dxa" w:w="9648"/>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3948"/>
        <w:gridCol w:w="3100"/>
      </w:tblGrid>
      <w:tr>
        <w:trPr>
          <w:cantSplit/>
          <w:tblHeader/>
        </w:trPr>
        <w:tc>
          <w:tcPr>
            <w:tcW w:type="dxa" w:w="26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Standard / Framework</w:t>
            </w:r>
          </w:p>
        </w:tc>
        <w:tc>
          <w:tcPr>
            <w:tcW w:type="dxa" w:w="3948"/>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Contractor Requirement</w:t>
            </w:r>
          </w:p>
        </w:tc>
        <w:tc>
          <w:tcPr>
            <w:tcW w:type="dxa" w:w="31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Verification Artifact</w:t>
            </w:r>
          </w:p>
        </w:tc>
      </w:tr>
      <w:tr>
        <w:trPr>
          <w:cantSplit/>
        </w:trPr>
        <w:tc>
          <w:tcPr>
            <w:tcW w:type="dxa" w:w="26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ISO 9001:2015</w:t>
            </w:r>
          </w:p>
        </w:tc>
        <w:tc>
          <w:tcPr>
            <w:tcW w:type="dxa" w:w="39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Maintain certified QMS; internal audits ≥ 1/year; management review ≥ 2/year</w:t>
            </w:r>
          </w:p>
        </w:tc>
        <w:tc>
          <w:tcPr>
            <w:tcW w:type="dxa" w:w="31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Certificate of Registration + last audit report</w:t>
            </w:r>
          </w:p>
        </w:tc>
      </w:tr>
      <w:tr>
        <w:trPr>
          <w:cantSplit/>
        </w:trPr>
        <w:tc>
          <w:tcPr>
            <w:tcW w:type="dxa" w:w="26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CMMI-SVC v2.0 (if applicable)</w:t>
            </w:r>
          </w:p>
        </w:tc>
        <w:tc>
          <w:tcPr>
            <w:tcW w:type="dxa" w:w="3948"/>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Maintain appraisal level cited in PWS (L2 or L3); notify CO within 5 days of status change</w:t>
            </w:r>
          </w:p>
        </w:tc>
        <w:tc>
          <w:tcPr>
            <w:tcW w:type="dxa" w:w="31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CMMI Institute appraisal result letter</w:t>
            </w:r>
          </w:p>
        </w:tc>
      </w:tr>
      <w:tr>
        <w:trPr>
          <w:cantSplit/>
        </w:trPr>
        <w:tc>
          <w:tcPr>
            <w:tcW w:type="dxa" w:w="26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NIST SP 800-53 / 800-171</w:t>
            </w:r>
          </w:p>
        </w:tc>
        <w:tc>
          <w:tcPr>
            <w:tcW w:type="dxa" w:w="39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Score ≥ 110 on SPRS at task-order award; notify CO within 72 hrs of any change ≥ –5 pts</w:t>
            </w:r>
          </w:p>
        </w:tc>
        <w:tc>
          <w:tcPr>
            <w:tcW w:type="dxa" w:w="31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SPRS score snapshot + SSP excerpt</w:t>
            </w:r>
          </w:p>
        </w:tc>
      </w:tr>
      <w:tr>
        <w:trPr>
          <w:cantSplit/>
        </w:trPr>
        <w:tc>
          <w:tcPr>
            <w:tcW w:type="dxa" w:w="26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Agency-Specific Standard</w:t>
            </w:r>
          </w:p>
        </w:tc>
        <w:tc>
          <w:tcPr>
            <w:tcW w:type="dxa" w:w="3948"/>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{{e.g., CMS TRM v7, DHS ISD, VA Directive 6500}} — describe requirement here</w:t>
            </w:r>
          </w:p>
        </w:tc>
        <w:tc>
          <w:tcPr>
            <w:tcW w:type="dxa" w:w="31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Evidence type specified in PWS §{{X.X}}</w:t>
            </w:r>
          </w:p>
        </w:tc>
      </w:tr>
      <w:tr>
        <w:trPr>
          <w:cantSplit/>
        </w:trPr>
        <w:tc>
          <w:tcPr>
            <w:tcW w:type="dxa" w:w="26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[Add row or delete]</w:t>
            </w:r>
          </w:p>
        </w:tc>
        <w:tc>
          <w:tcPr>
            <w:tcW w:type="dxa" w:w="39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w:t>
            </w:r>
          </w:p>
        </w:tc>
        <w:tc>
          <w:tcPr>
            <w:tcW w:type="dxa" w:w="31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w:t>
            </w:r>
          </w:p>
        </w:tc>
      </w:tr>
    </w:tbl>
    <w:p>
      <w:pPr>
        <w:keepNext w:val="false"/>
        <w:keepLines/>
        <w:spacing w:after="8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rPr>
          <w:cantSplit/>
        </w:trPr>
        <w:tc>
          <w:tcPr>
            <w:tcW w:type="dxa" w:w="9648"/>
            <w:tcBorders>
              <w:top w:val="none" w:color="FFFFFF" w:sz="0"/>
              <w:left w:val="none" w:color="FFFFFF" w:sz="0"/>
              <w:bottom w:val="none" w:color="FFFFFF" w:sz="0"/>
              <w:right w:val="none" w:color="FFFFFF" w:sz="0"/>
            </w:tcBorders>
            <w:shd w:fill="0f172a" w:color="auto" w:val="clear"/>
            <w:tcMar>
              <w:top w:type="dxa" w:w="100"/>
              <w:left w:type="dxa" w:w="160"/>
              <w:bottom w:type="dxa" w:w="100"/>
              <w:right w:type="dxa" w:w="160"/>
            </w:tcMar>
          </w:tcPr>
          <w:p>
            <w:pPr>
              <w:keepNext w:val="false"/>
              <w:keepLines/>
              <w:spacing w:after="0" w:before="0" w:line="240"/>
              <w:jc w:val="left"/>
            </w:pPr>
            <w:r>
              <w:rPr>
                <w:rFonts w:ascii="Consolas" w:cs="Consolas" w:eastAsia="Consolas" w:hAnsi="Consolas"/>
                <w:b/>
                <w:bCs/>
                <w:i w:val="false"/>
                <w:iCs w:val="false"/>
                <w:color w:val="ffffff"/>
                <w:sz w:val="22"/>
                <w:szCs w:val="22"/>
              </w:rPr>
              <w:t xml:space="preserve">3. PERFORMANCE INDICATORS</w:t>
            </w:r>
          </w:p>
        </w:tc>
      </w:tr>
    </w:tbl>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val="false"/>
        <w:keepLines/>
        <w:spacing w:after="80" w:before="0" w:line="276"/>
        <w:jc w:val="left"/>
      </w:pPr>
      <w:r>
        <w:rPr>
          <w:rFonts w:ascii="Calibri" w:cs="Calibri" w:eastAsia="Calibri" w:hAnsi="Calibri"/>
          <w:b w:val="false"/>
          <w:bCs w:val="false"/>
          <w:i w:val="false"/>
          <w:iCs w:val="false"/>
          <w:color w:val="0f172a"/>
          <w:sz w:val="20"/>
          <w:szCs w:val="20"/>
        </w:rPr>
        <w:t xml:space="preserve">For each deliverable below, the government will apply the surveillance method at the stated frequency. Failure to meet the Acceptable Quality Level (AQL) triggers the corrective action process in Section 4. Adjust rows to match your actual PWS deliverables — delete placeholder rows not applicable to your contract.</w:t>
      </w:r>
    </w:p>
    <w:tbl>
      <w:tblPr>
        <w:tblW w:type="dxa" w:w="9648"/>
        <w:tblBorders>
          <w:top w:val="single" w:color="e2e8f0" w:sz="4"/>
          <w:left w:val="single" w:color="e2e8f0" w:sz="4"/>
          <w:bottom w:val="single" w:color="e2e8f0" w:sz="4"/>
          <w:right w:val="single" w:color="e2e8f0" w:sz="4"/>
          <w:insideH w:val="single" w:color="e2e8f0" w:sz="4"/>
          <w:insideV w:val="single" w:color="e2e8f0" w:sz="4"/>
        </w:tblBorders>
      </w:tblPr>
      <w:tblGrid>
        <w:gridCol w:w="2000"/>
        <w:gridCol w:w="2000"/>
        <w:gridCol w:w="1400"/>
        <w:gridCol w:w="2400"/>
        <w:gridCol w:w="1848"/>
      </w:tblGrid>
      <w:tr>
        <w:trPr>
          <w:cantSplit/>
          <w:tblHeader/>
        </w:trPr>
        <w:tc>
          <w:tcPr>
            <w:tcW w:type="dxa" w:w="20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Deliverable / Service</w:t>
            </w:r>
          </w:p>
        </w:tc>
        <w:tc>
          <w:tcPr>
            <w:tcW w:type="dxa" w:w="20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Performance Standard</w:t>
            </w:r>
          </w:p>
        </w:tc>
        <w:tc>
          <w:tcPr>
            <w:tcW w:type="dxa" w:w="14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AQL</w:t>
            </w:r>
          </w:p>
        </w:tc>
        <w:tc>
          <w:tcPr>
            <w:tcW w:type="dxa" w:w="24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Surveillance Method</w:t>
            </w:r>
          </w:p>
        </w:tc>
        <w:tc>
          <w:tcPr>
            <w:tcW w:type="dxa" w:w="1848"/>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Frequency</w:t>
            </w:r>
          </w:p>
        </w:tc>
      </w:tr>
      <w:tr>
        <w:trPr>
          <w:cantSplit w:val="false"/>
        </w:trPr>
        <w:tc>
          <w:tcPr>
            <w:tcW w:type="dxa" w:w="2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Help Desk — Tier 1 Ticket Resolution</w:t>
            </w:r>
          </w:p>
        </w:tc>
        <w:tc>
          <w:tcPr>
            <w:tcW w:type="dxa" w:w="2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 90% of Tier 1 tickets resolved within 4 business hours</w:t>
            </w:r>
          </w:p>
        </w:tc>
        <w:tc>
          <w:tcPr>
            <w:tcW w:type="dxa" w:w="1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90% / period</w:t>
            </w:r>
          </w:p>
        </w:tc>
        <w:tc>
          <w:tcPr>
            <w:tcW w:type="dxa" w:w="2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Automated report pull from {{ServiceNow / Remedy}} + 5% random sample review by COR</w:t>
            </w:r>
          </w:p>
        </w:tc>
        <w:tc>
          <w:tcPr>
            <w:tcW w:type="dxa" w:w="18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Monthly</w:t>
            </w:r>
          </w:p>
        </w:tc>
      </w:tr>
      <w:tr>
        <w:trPr>
          <w:cantSplit w:val="false"/>
        </w:trPr>
        <w:tc>
          <w:tcPr>
            <w:tcW w:type="dxa" w:w="2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Monthly Status Report</w:t>
            </w:r>
          </w:p>
        </w:tc>
        <w:tc>
          <w:tcPr>
            <w:tcW w:type="dxa" w:w="2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Delivered by 5th calendar day of following month; contains all required sections per PWS §{{X.X}}</w:t>
            </w:r>
          </w:p>
        </w:tc>
        <w:tc>
          <w:tcPr>
            <w:tcW w:type="dxa" w:w="1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100% on-time; 0 missing sections</w:t>
            </w:r>
          </w:p>
        </w:tc>
        <w:tc>
          <w:tcPr>
            <w:tcW w:type="dxa" w:w="2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COR document review checklist (Appendix A)</w:t>
            </w:r>
          </w:p>
        </w:tc>
        <w:tc>
          <w:tcPr>
            <w:tcW w:type="dxa" w:w="1848"/>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Monthly</w:t>
            </w:r>
          </w:p>
        </w:tc>
      </w:tr>
      <w:tr>
        <w:trPr>
          <w:cantSplit w:val="false"/>
        </w:trPr>
        <w:tc>
          <w:tcPr>
            <w:tcW w:type="dxa" w:w="2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SLA Uptime — Network Monitoring</w:t>
            </w:r>
          </w:p>
        </w:tc>
        <w:tc>
          <w:tcPr>
            <w:tcW w:type="dxa" w:w="2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99.5% uptime, measured 24/7 excluding approved maintenance windows</w:t>
            </w:r>
          </w:p>
        </w:tc>
        <w:tc>
          <w:tcPr>
            <w:tcW w:type="dxa" w:w="1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99.5% / month</w:t>
            </w:r>
          </w:p>
        </w:tc>
        <w:tc>
          <w:tcPr>
            <w:tcW w:type="dxa" w:w="2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System-generated uptime log + COR spot review</w:t>
            </w:r>
          </w:p>
        </w:tc>
        <w:tc>
          <w:tcPr>
            <w:tcW w:type="dxa" w:w="18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Monthly; annual deep-dive</w:t>
            </w:r>
          </w:p>
        </w:tc>
      </w:tr>
      <w:tr>
        <w:trPr>
          <w:cantSplit w:val="false"/>
        </w:trPr>
        <w:tc>
          <w:tcPr>
            <w:tcW w:type="dxa" w:w="2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Key Personnel Staffing</w:t>
            </w:r>
          </w:p>
        </w:tc>
        <w:tc>
          <w:tcPr>
            <w:tcW w:type="dxa" w:w="2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All key positions filled; replacements submitted to CO within 30 days of vacancy per FAR 52.237-3</w:t>
            </w:r>
          </w:p>
        </w:tc>
        <w:tc>
          <w:tcPr>
            <w:tcW w:type="dxa" w:w="1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100% fill rate; 0 vacancies &gt; 30 days</w:t>
            </w:r>
          </w:p>
        </w:tc>
        <w:tc>
          <w:tcPr>
            <w:tcW w:type="dxa" w:w="2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Personnel roster submitted with each status report; COR verifies against approved list</w:t>
            </w:r>
          </w:p>
        </w:tc>
        <w:tc>
          <w:tcPr>
            <w:tcW w:type="dxa" w:w="1848"/>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Monthly</w:t>
            </w:r>
          </w:p>
        </w:tc>
      </w:tr>
      <w:tr>
        <w:trPr>
          <w:cantSplit w:val="false"/>
        </w:trPr>
        <w:tc>
          <w:tcPr>
            <w:tcW w:type="dxa" w:w="2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Security Incident Notification</w:t>
            </w:r>
          </w:p>
        </w:tc>
        <w:tc>
          <w:tcPr>
            <w:tcW w:type="dxa" w:w="2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Verbal notification to ISSO within 1 hour; written within 8 hours per NIST SP 800-61</w:t>
            </w:r>
          </w:p>
        </w:tc>
        <w:tc>
          <w:tcPr>
            <w:tcW w:type="dxa" w:w="1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100% compliance</w:t>
            </w:r>
          </w:p>
        </w:tc>
        <w:tc>
          <w:tcPr>
            <w:tcW w:type="dxa" w:w="2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Incident log review + after-action report</w:t>
            </w:r>
          </w:p>
        </w:tc>
        <w:tc>
          <w:tcPr>
            <w:tcW w:type="dxa" w:w="18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Per-event; monthly log audit</w:t>
            </w:r>
          </w:p>
        </w:tc>
      </w:tr>
      <w:tr>
        <w:trPr>
          <w:cantSplit w:val="false"/>
        </w:trPr>
        <w:tc>
          <w:tcPr>
            <w:tcW w:type="dxa" w:w="2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[Add row for your deliverable]</w:t>
            </w:r>
          </w:p>
        </w:tc>
        <w:tc>
          <w:tcPr>
            <w:tcW w:type="dxa" w:w="2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[Define the standard — measurable, time-bound]</w:t>
            </w:r>
          </w:p>
        </w:tc>
        <w:tc>
          <w:tcPr>
            <w:tcW w:type="dxa" w:w="1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[Target %]</w:t>
            </w:r>
          </w:p>
        </w:tc>
        <w:tc>
          <w:tcPr>
            <w:tcW w:type="dxa" w:w="2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[How will the government check? Random sampling, 100% inspection, periodic report, observation]</w:t>
            </w:r>
          </w:p>
        </w:tc>
        <w:tc>
          <w:tcPr>
            <w:tcW w:type="dxa" w:w="1848"/>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[Daily / Weekly / Monthly / Per-event]</w:t>
            </w:r>
          </w:p>
        </w:tc>
      </w:tr>
    </w:tbl>
    <w:p>
      <w:pPr>
        <w:keepNext w:val="false"/>
        <w:keepLines/>
        <w:spacing w:after="8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rPr>
          <w:cantSplit/>
        </w:trPr>
        <w:tc>
          <w:tcPr>
            <w:tcW w:type="dxa" w:w="9648"/>
            <w:tcBorders>
              <w:top w:val="none" w:color="FFFFFF" w:sz="0"/>
              <w:left w:val="none" w:color="FFFFFF" w:sz="0"/>
              <w:bottom w:val="none" w:color="FFFFFF" w:sz="0"/>
              <w:right w:val="none" w:color="FFFFFF" w:sz="0"/>
            </w:tcBorders>
            <w:shd w:fill="0f172a" w:color="auto" w:val="clear"/>
            <w:tcMar>
              <w:top w:type="dxa" w:w="100"/>
              <w:left w:type="dxa" w:w="160"/>
              <w:bottom w:type="dxa" w:w="100"/>
              <w:right w:type="dxa" w:w="160"/>
            </w:tcMar>
          </w:tcPr>
          <w:p>
            <w:pPr>
              <w:keepNext w:val="false"/>
              <w:keepLines/>
              <w:spacing w:after="0" w:before="0" w:line="240"/>
              <w:jc w:val="left"/>
            </w:pPr>
            <w:r>
              <w:rPr>
                <w:rFonts w:ascii="Consolas" w:cs="Consolas" w:eastAsia="Consolas" w:hAnsi="Consolas"/>
                <w:b/>
                <w:bCs/>
                <w:i w:val="false"/>
                <w:iCs w:val="false"/>
                <w:color w:val="ffffff"/>
                <w:sz w:val="22"/>
                <w:szCs w:val="22"/>
              </w:rPr>
              <w:t xml:space="preserve">4. CORRECTIVE ACTION PROCESS</w:t>
            </w:r>
          </w:p>
        </w:tc>
      </w:tr>
    </w:tbl>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STEP-BY-STEP</w:t>
      </w:r>
    </w:p>
    <w:p>
      <w:pPr>
        <w:keepNext w:val="false"/>
        <w:keepLines/>
        <w:spacing w:after="60" w:before="0" w:line="276"/>
        <w:ind w:left="280" w:hanging="280"/>
        <w:jc w:val="left"/>
      </w:pPr>
      <w:r>
        <w:rPr>
          <w:rFonts w:ascii="Calibri" w:cs="Calibri" w:eastAsia="Calibri" w:hAnsi="Calibri"/>
          <w:b/>
          <w:bCs/>
          <w:i w:val="false"/>
          <w:iCs w:val="false"/>
          <w:color w:val="047857"/>
          <w:sz w:val="20"/>
          <w:szCs w:val="20"/>
        </w:rPr>
        <w:t xml:space="preserve">1.  </w:t>
      </w:r>
      <w:r>
        <w:rPr>
          <w:rFonts w:ascii="Calibri" w:cs="Calibri" w:eastAsia="Calibri" w:hAnsi="Calibri"/>
          <w:b w:val="false"/>
          <w:bCs w:val="false"/>
          <w:i w:val="false"/>
          <w:iCs w:val="false"/>
          <w:color w:val="0f172a"/>
          <w:sz w:val="20"/>
          <w:szCs w:val="20"/>
        </w:rPr>
        <w:t xml:space="preserve">Identify deficiency — COR or designated inspector detects a missed AQL. Document in the Surveillance Activity Checklist (SAC) with date, deliverable, actual vs. required performance.</w:t>
      </w:r>
    </w:p>
    <w:p>
      <w:pPr>
        <w:keepNext w:val="false"/>
        <w:keepLines/>
        <w:spacing w:after="60" w:before="0" w:line="276"/>
        <w:ind w:left="280" w:hanging="280"/>
        <w:jc w:val="left"/>
      </w:pPr>
      <w:r>
        <w:rPr>
          <w:rFonts w:ascii="Calibri" w:cs="Calibri" w:eastAsia="Calibri" w:hAnsi="Calibri"/>
          <w:b/>
          <w:bCs/>
          <w:i w:val="false"/>
          <w:iCs w:val="false"/>
          <w:color w:val="047857"/>
          <w:sz w:val="20"/>
          <w:szCs w:val="20"/>
        </w:rPr>
        <w:t xml:space="preserve">2.  </w:t>
      </w:r>
      <w:r>
        <w:rPr>
          <w:rFonts w:ascii="Calibri" w:cs="Calibri" w:eastAsia="Calibri" w:hAnsi="Calibri"/>
          <w:b w:val="false"/>
          <w:bCs w:val="false"/>
          <w:i w:val="false"/>
          <w:iCs w:val="false"/>
          <w:color w:val="0f172a"/>
          <w:sz w:val="20"/>
          <w:szCs w:val="20"/>
        </w:rPr>
        <w:t xml:space="preserve">Informal notice — COR contacts contractor POC verbally or by email within 2 business days. Minor first-time deficiencies may be resolved informally; COR documents outcome in the SAC.</w:t>
      </w:r>
    </w:p>
    <w:p>
      <w:pPr>
        <w:keepNext w:val="false"/>
        <w:keepLines/>
        <w:spacing w:after="60" w:before="0" w:line="276"/>
        <w:ind w:left="280" w:hanging="280"/>
        <w:jc w:val="left"/>
      </w:pPr>
      <w:r>
        <w:rPr>
          <w:rFonts w:ascii="Calibri" w:cs="Calibri" w:eastAsia="Calibri" w:hAnsi="Calibri"/>
          <w:b/>
          <w:bCs/>
          <w:i w:val="false"/>
          <w:iCs w:val="false"/>
          <w:color w:val="047857"/>
          <w:sz w:val="20"/>
          <w:szCs w:val="20"/>
        </w:rPr>
        <w:t xml:space="preserve">3.  </w:t>
      </w:r>
      <w:r>
        <w:rPr>
          <w:rFonts w:ascii="Calibri" w:cs="Calibri" w:eastAsia="Calibri" w:hAnsi="Calibri"/>
          <w:b w:val="false"/>
          <w:bCs w:val="false"/>
          <w:i w:val="false"/>
          <w:iCs w:val="false"/>
          <w:color w:val="0f172a"/>
          <w:sz w:val="20"/>
          <w:szCs w:val="20"/>
        </w:rPr>
        <w:t xml:space="preserve">Cure Notice / Show Cause — If the deficiency isn't corrected or recurs, COR recommends issuance of a Cure Notice per FAR 49.607 (FFP) or Show Cause Letter (T&amp;M/cost-plus). CO issues notice. Contractor has {{10 / 15 / 30}} calendar days to respond with a corrective action plan (CAP).</w:t>
      </w:r>
    </w:p>
    <w:p>
      <w:pPr>
        <w:keepNext w:val="false"/>
        <w:keepLines/>
        <w:spacing w:after="60" w:before="0" w:line="276"/>
        <w:ind w:left="280" w:hanging="280"/>
        <w:jc w:val="left"/>
      </w:pPr>
      <w:r>
        <w:rPr>
          <w:rFonts w:ascii="Calibri" w:cs="Calibri" w:eastAsia="Calibri" w:hAnsi="Calibri"/>
          <w:b/>
          <w:bCs/>
          <w:i w:val="false"/>
          <w:iCs w:val="false"/>
          <w:color w:val="047857"/>
          <w:sz w:val="20"/>
          <w:szCs w:val="20"/>
        </w:rPr>
        <w:t xml:space="preserve">4.  </w:t>
      </w:r>
      <w:r>
        <w:rPr>
          <w:rFonts w:ascii="Calibri" w:cs="Calibri" w:eastAsia="Calibri" w:hAnsi="Calibri"/>
          <w:b w:val="false"/>
          <w:bCs w:val="false"/>
          <w:i w:val="false"/>
          <w:iCs w:val="false"/>
          <w:color w:val="0f172a"/>
          <w:sz w:val="20"/>
          <w:szCs w:val="20"/>
        </w:rPr>
        <w:t xml:space="preserve">CAP review — CO and COR evaluate the CAP within 5 business days of receipt. An inadequate or missing CAP may escalate to termination for default (FFP) or convenience (cost-type) per FAR 52.249-8 or 52.249-6.</w:t>
      </w:r>
    </w:p>
    <w:p>
      <w:pPr>
        <w:keepNext w:val="false"/>
        <w:keepLines/>
        <w:spacing w:after="60" w:before="0" w:line="276"/>
        <w:ind w:left="280" w:hanging="280"/>
        <w:jc w:val="left"/>
      </w:pPr>
      <w:r>
        <w:rPr>
          <w:rFonts w:ascii="Calibri" w:cs="Calibri" w:eastAsia="Calibri" w:hAnsi="Calibri"/>
          <w:b/>
          <w:bCs/>
          <w:i w:val="false"/>
          <w:iCs w:val="false"/>
          <w:color w:val="047857"/>
          <w:sz w:val="20"/>
          <w:szCs w:val="20"/>
        </w:rPr>
        <w:t xml:space="preserve">5.  </w:t>
      </w:r>
      <w:r>
        <w:rPr>
          <w:rFonts w:ascii="Calibri" w:cs="Calibri" w:eastAsia="Calibri" w:hAnsi="Calibri"/>
          <w:b w:val="false"/>
          <w:bCs w:val="false"/>
          <w:i w:val="false"/>
          <w:iCs w:val="false"/>
          <w:color w:val="0f172a"/>
          <w:sz w:val="20"/>
          <w:szCs w:val="20"/>
        </w:rPr>
        <w:t xml:space="preserve">Negative CPARS entry — COR initiates a Past Performance assessment update in CPARS reflecting any cure notice or sustained deficiency. See FAR 42.1503 and DFARS 242.1503 for DoD contracts.</w:t>
      </w:r>
    </w:p>
    <w:p>
      <w:pPr>
        <w:keepNext w:val="false"/>
        <w:keepLines/>
        <w:spacing w:after="60" w:before="0" w:line="276"/>
        <w:ind w:left="280" w:hanging="280"/>
        <w:jc w:val="left"/>
      </w:pPr>
      <w:r>
        <w:rPr>
          <w:rFonts w:ascii="Calibri" w:cs="Calibri" w:eastAsia="Calibri" w:hAnsi="Calibri"/>
          <w:b/>
          <w:bCs/>
          <w:i w:val="false"/>
          <w:iCs w:val="false"/>
          <w:color w:val="047857"/>
          <w:sz w:val="20"/>
          <w:szCs w:val="20"/>
        </w:rPr>
        <w:t xml:space="preserve">6.  </w:t>
      </w:r>
      <w:r>
        <w:rPr>
          <w:rFonts w:ascii="Calibri" w:cs="Calibri" w:eastAsia="Calibri" w:hAnsi="Calibri"/>
          <w:b w:val="false"/>
          <w:bCs w:val="false"/>
          <w:i w:val="false"/>
          <w:iCs w:val="false"/>
          <w:color w:val="0f172a"/>
          <w:sz w:val="20"/>
          <w:szCs w:val="20"/>
        </w:rPr>
        <w:t xml:space="preserve">Resolution &amp; close-out — Once the deficiency is corrected to the CO's satisfaction, COR updates the SAC with closure date. Close-out is required before the CO signs off on the final invoice.</w:t>
      </w:r>
    </w:p>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DEDUCTIONS / REMEDIES (FFP CONTRACTS)</w:t>
      </w:r>
    </w:p>
    <w:p>
      <w:pPr>
        <w:keepNext w:val="false"/>
        <w:keepLines/>
        <w:spacing w:after="80" w:before="0" w:line="276"/>
        <w:jc w:val="left"/>
      </w:pPr>
      <w:r>
        <w:rPr>
          <w:rFonts w:ascii="Calibri" w:cs="Calibri" w:eastAsia="Calibri" w:hAnsi="Calibri"/>
          <w:b w:val="false"/>
          <w:bCs w:val="false"/>
          <w:i w:val="false"/>
          <w:iCs w:val="false"/>
          <w:color w:val="0f172a"/>
          <w:sz w:val="20"/>
          <w:szCs w:val="20"/>
        </w:rPr>
        <w:t xml:space="preserve">If the contract includes a Service Level Agreement (SLA) with deduction schedule, the CO may issue a unilateral modification to reduce the invoice under FAR 52.246-4 (Fixed-Price) for work not performed to standard. Deduction amounts must be documented in writing and communicated to the contractor before invoice adjustment.</w:t>
      </w:r>
    </w:p>
    <w:p>
      <w:pPr>
        <w:keepNext w:val="false"/>
        <w:keepLines/>
        <w:spacing w:after="8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rPr>
          <w:cantSplit/>
        </w:trPr>
        <w:tc>
          <w:tcPr>
            <w:tcW w:type="dxa" w:w="9648"/>
            <w:tcBorders>
              <w:top w:val="none" w:color="FFFFFF" w:sz="0"/>
              <w:left w:val="none" w:color="FFFFFF" w:sz="0"/>
              <w:bottom w:val="none" w:color="FFFFFF" w:sz="0"/>
              <w:right w:val="none" w:color="FFFFFF" w:sz="0"/>
            </w:tcBorders>
            <w:shd w:fill="0f172a" w:color="auto" w:val="clear"/>
            <w:tcMar>
              <w:top w:type="dxa" w:w="100"/>
              <w:left w:type="dxa" w:w="160"/>
              <w:bottom w:type="dxa" w:w="100"/>
              <w:right w:type="dxa" w:w="160"/>
            </w:tcMar>
          </w:tcPr>
          <w:p>
            <w:pPr>
              <w:keepNext w:val="false"/>
              <w:keepLines/>
              <w:spacing w:after="0" w:before="0" w:line="240"/>
              <w:jc w:val="left"/>
            </w:pPr>
            <w:r>
              <w:rPr>
                <w:rFonts w:ascii="Consolas" w:cs="Consolas" w:eastAsia="Consolas" w:hAnsi="Consolas"/>
                <w:b/>
                <w:bCs/>
                <w:i w:val="false"/>
                <w:iCs w:val="false"/>
                <w:color w:val="ffffff"/>
                <w:sz w:val="22"/>
                <w:szCs w:val="22"/>
              </w:rPr>
              <w:t xml:space="preserve">5. PERFORMANCE REPORTING CADENCE</w:t>
            </w:r>
          </w:p>
        </w:tc>
      </w:tr>
    </w:tbl>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val="false"/>
        <w:keepLines/>
        <w:spacing w:after="80" w:before="0" w:line="276"/>
        <w:jc w:val="left"/>
      </w:pPr>
      <w:r>
        <w:rPr>
          <w:rFonts w:ascii="Calibri" w:cs="Calibri" w:eastAsia="Calibri" w:hAnsi="Calibri"/>
          <w:b w:val="false"/>
          <w:bCs w:val="false"/>
          <w:i w:val="false"/>
          <w:iCs w:val="false"/>
          <w:color w:val="0f172a"/>
          <w:sz w:val="20"/>
          <w:szCs w:val="20"/>
        </w:rPr>
        <w:t xml:space="preserve">The table below lists every recurring report the contractor must deliver. The COR's surveillance notes feed the quarterly CPARS narratives — keep records current.</w:t>
      </w:r>
    </w:p>
    <w:tbl>
      <w:tblPr>
        <w:tblW w:type="dxa" w:w="9648"/>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3000"/>
        <w:gridCol w:w="2200"/>
        <w:gridCol w:w="2048"/>
      </w:tblGrid>
      <w:tr>
        <w:trPr>
          <w:cantSplit/>
          <w:tblHeader/>
        </w:trPr>
        <w:tc>
          <w:tcPr>
            <w:tcW w:type="dxa" w:w="24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Report / Deliverable</w:t>
            </w:r>
          </w:p>
        </w:tc>
        <w:tc>
          <w:tcPr>
            <w:tcW w:type="dxa" w:w="30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Content Requirements</w:t>
            </w:r>
          </w:p>
        </w:tc>
        <w:tc>
          <w:tcPr>
            <w:tcW w:type="dxa" w:w="2200"/>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Due Date</w:t>
            </w:r>
          </w:p>
        </w:tc>
        <w:tc>
          <w:tcPr>
            <w:tcW w:type="dxa" w:w="2048"/>
            <w:tcBorders>
              <w:top w:val="single" w:color="e2e8f0" w:sz="4"/>
              <w:left w:val="single" w:color="e2e8f0" w:sz="4"/>
              <w:bottom w:val="single" w:color="e2e8f0" w:sz="4"/>
              <w:right w:val="single" w:color="e2e8f0" w:sz="4"/>
            </w:tcBorders>
            <w:shd w:fill="10b981" w:color="auto" w:val="clear"/>
            <w:tcMar>
              <w:top w:type="dxa" w:w="60"/>
              <w:left w:type="dxa" w:w="100"/>
              <w:bottom w:type="dxa" w:w="60"/>
              <w:right w:type="dxa" w:w="100"/>
            </w:tcMar>
            <w:vAlign w:val="top"/>
          </w:tcPr>
          <w:p>
            <w:pPr>
              <w:keepNext w:val="false"/>
              <w:keepLines/>
              <w:spacing w:after="0" w:before="0" w:line="200"/>
              <w:jc w:val="left"/>
            </w:pPr>
            <w:r>
              <w:rPr>
                <w:rFonts w:ascii="Consolas" w:cs="Consolas" w:eastAsia="Consolas" w:hAnsi="Consolas"/>
                <w:b/>
                <w:bCs/>
                <w:i w:val="false"/>
                <w:iCs w:val="false"/>
                <w:color w:val="ffffff"/>
                <w:sz w:val="16"/>
                <w:szCs w:val="16"/>
              </w:rPr>
              <w:t xml:space="preserve">Submit To</w:t>
            </w:r>
          </w:p>
        </w:tc>
      </w:tr>
      <w:tr>
        <w:trPr>
          <w:cantSplit w:val="false"/>
        </w:trPr>
        <w:tc>
          <w:tcPr>
            <w:tcW w:type="dxa" w:w="2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Monthly Status Report</w:t>
            </w:r>
          </w:p>
        </w:tc>
        <w:tc>
          <w:tcPr>
            <w:tcW w:type="dxa" w:w="3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Progress against PWS milestones; staffing roster; open issues log; financial summary (T&amp;M only)</w:t>
            </w:r>
          </w:p>
        </w:tc>
        <w:tc>
          <w:tcPr>
            <w:tcW w:type="dxa" w:w="22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5th calendar day of following month</w:t>
            </w:r>
          </w:p>
        </w:tc>
        <w:tc>
          <w:tcPr>
            <w:tcW w:type="dxa" w:w="20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COR + CO (email + contract file)</w:t>
            </w:r>
          </w:p>
        </w:tc>
      </w:tr>
      <w:tr>
        <w:trPr>
          <w:cantSplit w:val="false"/>
        </w:trPr>
        <w:tc>
          <w:tcPr>
            <w:tcW w:type="dxa" w:w="2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Quarterly Performance Self-Assessment</w:t>
            </w:r>
          </w:p>
        </w:tc>
        <w:tc>
          <w:tcPr>
            <w:tcW w:type="dxa" w:w="3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Contractor's own evaluation against AQLs; root-cause analysis for any missed metric; improvement actions</w:t>
            </w:r>
          </w:p>
        </w:tc>
        <w:tc>
          <w:tcPr>
            <w:tcW w:type="dxa" w:w="22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10th calendar day after end of each quarter</w:t>
            </w:r>
          </w:p>
        </w:tc>
        <w:tc>
          <w:tcPr>
            <w:tcW w:type="dxa" w:w="2048"/>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CO via CPARS supplemental (or email if CPARS N/A)</w:t>
            </w:r>
          </w:p>
        </w:tc>
      </w:tr>
      <w:tr>
        <w:trPr>
          <w:cantSplit w:val="false"/>
        </w:trPr>
        <w:tc>
          <w:tcPr>
            <w:tcW w:type="dxa" w:w="2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Annual Summary Report</w:t>
            </w:r>
          </w:p>
        </w:tc>
        <w:tc>
          <w:tcPr>
            <w:tcW w:type="dxa" w:w="3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Year-in-review: all metrics vs. standards; key personnel changes; subcontract plan progress (if applicable, FAR 52.219-9)</w:t>
            </w:r>
          </w:p>
        </w:tc>
        <w:tc>
          <w:tcPr>
            <w:tcW w:type="dxa" w:w="22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30 days before option period anniversary</w:t>
            </w:r>
          </w:p>
        </w:tc>
        <w:tc>
          <w:tcPr>
            <w:tcW w:type="dxa" w:w="20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CO + Program Manager</w:t>
            </w:r>
          </w:p>
        </w:tc>
      </w:tr>
      <w:tr>
        <w:trPr>
          <w:cantSplit w:val="false"/>
        </w:trPr>
        <w:tc>
          <w:tcPr>
            <w:tcW w:type="dxa" w:w="24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Incident / Issue Notification</w:t>
            </w:r>
          </w:p>
        </w:tc>
        <w:tc>
          <w:tcPr>
            <w:tcW w:type="dxa" w:w="30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Verbal + written notice per PWS §{{X.X}}; draft after-action within 5 business days</w:t>
            </w:r>
          </w:p>
        </w:tc>
        <w:tc>
          <w:tcPr>
            <w:tcW w:type="dxa" w:w="2200"/>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Per-event (see Section 3)</w:t>
            </w:r>
          </w:p>
        </w:tc>
        <w:tc>
          <w:tcPr>
            <w:tcW w:type="dxa" w:w="2048"/>
            <w:tcBorders>
              <w:top w:val="single" w:color="e2e8f0" w:sz="4"/>
              <w:left w:val="single" w:color="e2e8f0" w:sz="4"/>
              <w:bottom w:val="single" w:color="e2e8f0" w:sz="4"/>
              <w:right w:val="single" w:color="e2e8f0" w:sz="4"/>
            </w:tcBorders>
            <w:shd w:fill="ecfdf5"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CO + COR + ISSO (security incidents)</w:t>
            </w:r>
          </w:p>
        </w:tc>
      </w:tr>
      <w:tr>
        <w:trPr>
          <w:cantSplit w:val="false"/>
        </w:trPr>
        <w:tc>
          <w:tcPr>
            <w:tcW w:type="dxa" w:w="24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18"/>
                <w:szCs w:val="18"/>
              </w:rPr>
              <w:t xml:space="preserve">[Add custom report]</w:t>
            </w:r>
          </w:p>
        </w:tc>
        <w:tc>
          <w:tcPr>
            <w:tcW w:type="dxa" w:w="30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{{Describe content per PWS}}</w:t>
            </w:r>
          </w:p>
        </w:tc>
        <w:tc>
          <w:tcPr>
            <w:tcW w:type="dxa" w:w="2200"/>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{{Date / cadence}}</w:t>
            </w:r>
          </w:p>
        </w:tc>
        <w:tc>
          <w:tcPr>
            <w:tcW w:type="dxa" w:w="2048"/>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iCs/>
                <w:color w:val="475569"/>
                <w:sz w:val="18"/>
                <w:szCs w:val="18"/>
              </w:rPr>
              <w:t xml:space="preserve">{{Recipient}}</w:t>
            </w:r>
          </w:p>
        </w:tc>
      </w:tr>
    </w:tbl>
    <w:p>
      <w:pPr>
        <w:keepNext w:val="false"/>
        <w:keepLines/>
        <w:spacing w:after="8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none" w:color="FFFFFF" w:sz="0"/>
          <w:left w:val="none" w:color="FFFFFF" w:sz="0"/>
          <w:bottom w:val="none" w:color="FFFFFF" w:sz="0"/>
          <w:right w:val="none" w:color="FFFFFF" w:sz="0"/>
          <w:insideH w:val="none" w:color="FFFFFF" w:sz="0"/>
          <w:insideV w:val="none" w:color="FFFFFF" w:sz="0"/>
        </w:tblBorders>
      </w:tblPr>
      <w:tblGrid>
        <w:gridCol w:w="9648"/>
      </w:tblGrid>
      <w:tr>
        <w:trPr>
          <w:cantSplit/>
        </w:trPr>
        <w:tc>
          <w:tcPr>
            <w:tcW w:type="dxa" w:w="9648"/>
            <w:tcBorders>
              <w:top w:val="none" w:color="FFFFFF" w:sz="0"/>
              <w:left w:val="none" w:color="FFFFFF" w:sz="0"/>
              <w:bottom w:val="none" w:color="FFFFFF" w:sz="0"/>
              <w:right w:val="none" w:color="FFFFFF" w:sz="0"/>
            </w:tcBorders>
            <w:shd w:fill="0f172a" w:color="auto" w:val="clear"/>
            <w:tcMar>
              <w:top w:type="dxa" w:w="100"/>
              <w:left w:type="dxa" w:w="160"/>
              <w:bottom w:type="dxa" w:w="100"/>
              <w:right w:type="dxa" w:w="160"/>
            </w:tcMar>
          </w:tcPr>
          <w:p>
            <w:pPr>
              <w:keepNext w:val="false"/>
              <w:keepLines/>
              <w:spacing w:after="0" w:before="0" w:line="240"/>
              <w:jc w:val="left"/>
            </w:pPr>
            <w:r>
              <w:rPr>
                <w:rFonts w:ascii="Consolas" w:cs="Consolas" w:eastAsia="Consolas" w:hAnsi="Consolas"/>
                <w:b/>
                <w:bCs/>
                <w:i w:val="false"/>
                <w:iCs w:val="false"/>
                <w:color w:val="ffffff"/>
                <w:sz w:val="22"/>
                <w:szCs w:val="22"/>
              </w:rPr>
              <w:t xml:space="preserve">6. SAMPLE INSPECTION CHECKLIST (APPENDIX A)</w:t>
            </w:r>
          </w:p>
        </w:tc>
      </w:tr>
    </w:tbl>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val="false"/>
        <w:keepLines/>
        <w:spacing w:after="80" w:before="0" w:line="276"/>
        <w:jc w:val="left"/>
      </w:pPr>
      <w:r>
        <w:rPr>
          <w:rFonts w:ascii="Calibri" w:cs="Calibri" w:eastAsia="Calibri" w:hAnsi="Calibri"/>
          <w:b w:val="false"/>
          <w:bCs w:val="false"/>
          <w:i w:val="false"/>
          <w:iCs w:val="false"/>
          <w:color w:val="0f172a"/>
          <w:sz w:val="20"/>
          <w:szCs w:val="20"/>
        </w:rPr>
        <w:t xml:space="preserve">Use this checklist at each surveillance event. Make a copy, fill in the header, check each item, and file the signed copy in the contract administration record. Keep at least three years post-closeout per FAR 4.805.</w:t>
      </w:r>
    </w:p>
    <w:p>
      <w:pPr>
        <w:keepNext w:val="false"/>
        <w:keepLines/>
        <w:spacing w:after="40" w:before="0" w:line="80"/>
        <w:jc w:val="left"/>
      </w:pPr>
      <w:r>
        <w:rPr>
          <w:rFonts w:ascii="Calibri" w:cs="Calibri" w:eastAsia="Calibri" w:hAnsi="Calibri"/>
          <w:b w:val="false"/>
          <w:bCs w:val="false"/>
          <w:i w:val="false"/>
          <w:iCs w:val="false"/>
          <w:color w:val="0f172a"/>
          <w:sz w:val="4"/>
          <w:szCs w:val="4"/>
        </w:rPr>
        <w:t xml:space="preserve"/>
      </w:r>
    </w:p>
    <w:tbl>
      <w:tblPr>
        <w:tblW w:type="dxa" w:w="9648"/>
        <w:tblBorders>
          <w:top w:val="single" w:color="e2e8f0" w:sz="4"/>
          <w:left w:val="single" w:color="e2e8f0" w:sz="4"/>
          <w:bottom w:val="single" w:color="e2e8f0" w:sz="4"/>
          <w:right w:val="single" w:color="e2e8f0" w:sz="4"/>
          <w:insideH w:val="single" w:color="e2e8f0" w:sz="4"/>
          <w:insideV w:val="single" w:color="e2e8f0" w:sz="4"/>
        </w:tblBorders>
      </w:tblPr>
      <w:tblGrid>
        <w:gridCol w:w="3216"/>
        <w:gridCol w:w="3216"/>
        <w:gridCol w:w="3216"/>
      </w:tblGrid>
      <w:tr>
        <w:trPr>
          <w:cantSplit/>
        </w:trPr>
        <w:tc>
          <w:tcPr>
            <w:tcW w:type="dxa" w:w="3216"/>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100"/>
            </w:tcMar>
            <w:vAlign w:val="top"/>
          </w:tcPr>
          <w:p>
            <w:pPr>
              <w:keepNext/>
              <w:keepLines/>
              <w:spacing w:after="10" w:before="0" w:line="180"/>
              <w:jc w:val="left"/>
            </w:pPr>
            <w:r>
              <w:rPr>
                <w:rFonts w:ascii="Consolas" w:cs="Consolas" w:eastAsia="Consolas" w:hAnsi="Consolas"/>
                <w:b/>
                <w:bCs/>
                <w:i w:val="false"/>
                <w:iCs w:val="false"/>
                <w:color w:val="047857"/>
                <w:sz w:val="16"/>
                <w:szCs w:val="16"/>
              </w:rPr>
              <w:t xml:space="preserve">DATE OF INSPECTION</w:t>
            </w:r>
          </w:p>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{{MM/DD/YYYY}}</w:t>
            </w:r>
          </w:p>
        </w:tc>
        <w:tc>
          <w:tcPr>
            <w:tcW w:type="dxa" w:w="3216"/>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keepLines/>
              <w:spacing w:after="10" w:before="0" w:line="180"/>
              <w:jc w:val="left"/>
            </w:pPr>
            <w:r>
              <w:rPr>
                <w:rFonts w:ascii="Consolas" w:cs="Consolas" w:eastAsia="Consolas" w:hAnsi="Consolas"/>
                <w:b/>
                <w:bCs/>
                <w:i w:val="false"/>
                <w:iCs w:val="false"/>
                <w:color w:val="047857"/>
                <w:sz w:val="16"/>
                <w:szCs w:val="16"/>
              </w:rPr>
              <w:t xml:space="preserve">INSPECTOR (COR / ACOR)</w:t>
            </w:r>
          </w:p>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{{Name · Title}}</w:t>
            </w:r>
          </w:p>
        </w:tc>
        <w:tc>
          <w:tcPr>
            <w:tcW w:type="dxa" w:w="3216"/>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100"/>
            </w:tcMar>
            <w:vAlign w:val="top"/>
          </w:tcPr>
          <w:p>
            <w:pPr>
              <w:keepNext/>
              <w:keepLines/>
              <w:spacing w:after="10" w:before="0" w:line="180"/>
              <w:jc w:val="left"/>
            </w:pPr>
            <w:r>
              <w:rPr>
                <w:rFonts w:ascii="Consolas" w:cs="Consolas" w:eastAsia="Consolas" w:hAnsi="Consolas"/>
                <w:b/>
                <w:bCs/>
                <w:i w:val="false"/>
                <w:iCs w:val="false"/>
                <w:color w:val="047857"/>
                <w:sz w:val="16"/>
                <w:szCs w:val="16"/>
              </w:rPr>
              <w:t xml:space="preserve">PERIOD COVERED</w:t>
            </w:r>
          </w:p>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{{MM/DD/YYYY – MM/DD/YYYY}}</w:t>
            </w:r>
          </w:p>
        </w:tc>
      </w:tr>
    </w:tbl>
    <w:p>
      <w:pPr>
        <w:keepNext w:val="false"/>
        <w:keepLines/>
        <w:spacing w:after="6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DELIVERABLES &amp; REPORTING</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All scheduled deliverables received on or before due dates listed in Section 5</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Monthly Status Report contains all required sections per PWS §{{X.X}}</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Key personnel roster submitted and matches CO-approved list</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No key-personnel vacancies outstanding &gt; 30 calendar days</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Subcontractor utilization report attached (if SB subcontracting plan applies — FAR 52.219-9)</w:t>
      </w:r>
    </w:p>
    <w:p>
      <w:pPr>
        <w:keepNext w:val="false"/>
        <w:keepLines/>
        <w:spacing w:after="4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QUALITY &amp; COMPLIANCE</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Contractor AQL performance at or above thresholds in Section 3 for all metrics</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No open cure notices / show-cause letters from prior period</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ISO 9001 / CMMI certificate current (verify expiry date: {{expiry}})</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SPRS score current and on file with CO</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Any NIST SP 800-171 score change ≥ −5 pts reported within 72 hours</w:t>
      </w:r>
    </w:p>
    <w:p>
      <w:pPr>
        <w:keepNext w:val="false"/>
        <w:keepLines/>
        <w:spacing w:after="4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SECURITY &amp; INCIDENT MANAGEMENT</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No unresolved security incidents from prior period (verify incident log)</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ISSO/ISSM system access reviews completed per schedule</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All contractor personnel hold required clearances / suitability at required level</w:t>
      </w:r>
    </w:p>
    <w:p>
      <w:pPr>
        <w:keepNext w:val="false"/>
        <w:keepLines/>
        <w:spacing w:after="4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FINANCIAL (T&amp;M / COST-PLUS ONLY)</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Burn rate within ±10% of approved spend plan for this period</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Invoices submitted through {{IPP / OB10 / Agency portal}} with supporting labor/ODC detail</w:t>
      </w:r>
    </w:p>
    <w:p>
      <w:pPr>
        <w:keepNext w:val="false"/>
        <w:keepLines/>
        <w:spacing w:after="40" w:before="0" w:line="260"/>
        <w:ind w:left="200" w:hanging="200"/>
        <w:jc w:val="left"/>
      </w:pPr>
      <w:r>
        <w:rPr>
          <w:rFonts w:ascii="Calibri" w:cs="Calibri" w:eastAsia="Calibri" w:hAnsi="Calibri"/>
          <w:b/>
          <w:bCs/>
          <w:i w:val="false"/>
          <w:iCs w:val="false"/>
          <w:color w:val="047857"/>
          <w:sz w:val="20"/>
          <w:szCs w:val="20"/>
        </w:rPr>
        <w:t xml:space="preserve">☐  </w:t>
      </w:r>
      <w:r>
        <w:rPr>
          <w:rFonts w:ascii="Calibri" w:cs="Calibri" w:eastAsia="Calibri" w:hAnsi="Calibri"/>
          <w:b w:val="false"/>
          <w:bCs w:val="false"/>
          <w:i w:val="false"/>
          <w:iCs w:val="false"/>
          <w:color w:val="0f172a"/>
          <w:sz w:val="20"/>
          <w:szCs w:val="20"/>
        </w:rPr>
        <w:t xml:space="preserve">No unsupported charges identified in random invoice sample</w:t>
      </w:r>
    </w:p>
    <w:p>
      <w:pPr>
        <w:keepNext w:val="false"/>
        <w:keepLines/>
        <w:spacing w:after="4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NOTES / DEFICIENCIES FOUND</w:t>
      </w:r>
    </w:p>
    <w:p>
      <w:pPr>
        <w:keepNext w:val="false"/>
        <w:keepLines/>
        <w:spacing w:after="80" w:before="0" w:line="276"/>
        <w:jc w:val="left"/>
      </w:pPr>
      <w:r>
        <w:rPr>
          <w:rFonts w:ascii="Calibri" w:cs="Calibri" w:eastAsia="Calibri" w:hAnsi="Calibri"/>
          <w:b w:val="false"/>
          <w:bCs w:val="false"/>
          <w:i/>
          <w:iCs/>
          <w:color w:val="475569"/>
          <w:sz w:val="20"/>
          <w:szCs w:val="20"/>
        </w:rPr>
        <w:t xml:space="preserve">[Describe any deficiency in detail — deliverable name, date, deviation from standard, impact. Reference the applicable AQL row in Section 3. Leave blank if no deficiencies.]</w:t>
      </w:r>
    </w:p>
    <w:p>
      <w:pPr>
        <w:keepNext w:val="false"/>
        <w:keepLines/>
        <w:spacing w:after="40" w:before="0" w:line="80"/>
        <w:jc w:val="left"/>
      </w:pPr>
      <w:r>
        <w:rPr>
          <w:rFonts w:ascii="Calibri" w:cs="Calibri" w:eastAsia="Calibri" w:hAnsi="Calibri"/>
          <w:b w:val="false"/>
          <w:bCs w:val="false"/>
          <w:i w:val="false"/>
          <w:iCs w:val="false"/>
          <w:color w:val="0f172a"/>
          <w:sz w:val="4"/>
          <w:szCs w:val="4"/>
        </w:rPr>
        <w:t xml:space="preserve"/>
      </w:r>
    </w:p>
    <w:p>
      <w:pPr>
        <w:keepNext/>
        <w:keepLines/>
        <w:spacing w:after="40" w:before="160" w:line="220"/>
        <w:jc w:val="left"/>
      </w:pPr>
      <w:r>
        <w:rPr>
          <w:rFonts w:ascii="Consolas" w:cs="Consolas" w:eastAsia="Consolas" w:hAnsi="Consolas"/>
          <w:b/>
          <w:bCs/>
          <w:i w:val="false"/>
          <w:iCs w:val="false"/>
          <w:color w:val="047857"/>
          <w:sz w:val="16"/>
          <w:szCs w:val="16"/>
        </w:rPr>
        <w:t xml:space="preserve">INSPECTOR SIGNATURE &amp; DATE</w:t>
      </w:r>
    </w:p>
    <w:tbl>
      <w:tblPr>
        <w:tblW w:type="dxa" w:w="9648"/>
        <w:tblBorders>
          <w:top w:val="single" w:color="e2e8f0" w:sz="4"/>
          <w:left w:val="single" w:color="e2e8f0" w:sz="4"/>
          <w:bottom w:val="single" w:color="e2e8f0" w:sz="4"/>
          <w:right w:val="single" w:color="e2e8f0" w:sz="4"/>
          <w:insideH w:val="single" w:color="e2e8f0" w:sz="4"/>
          <w:insideV w:val="single" w:color="e2e8f0" w:sz="4"/>
        </w:tblBorders>
      </w:tblPr>
      <w:tblGrid>
        <w:gridCol w:w="5306"/>
        <w:gridCol w:w="4342"/>
      </w:tblGrid>
      <w:tr>
        <w:trPr>
          <w:cantSplit/>
        </w:trPr>
        <w:tc>
          <w:tcPr>
            <w:tcW w:type="dxa" w:w="5306"/>
            <w:tcBorders>
              <w:top w:val="single" w:color="e2e8f0" w:sz="4"/>
              <w:left w:val="single" w:color="e2e8f0" w:sz="4"/>
              <w:bottom w:val="single" w:color="e2e8f0" w:sz="4"/>
              <w:right w:val="single" w:color="e2e8f0" w:sz="4"/>
            </w:tcBorders>
            <w:shd w:fill="ffffff"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Signature: ___________________________________</w:t>
            </w:r>
          </w:p>
        </w:tc>
        <w:tc>
          <w:tcPr>
            <w:tcW w:type="dxa" w:w="4342"/>
            <w:tcBorders>
              <w:top w:val="single" w:color="e2e8f0" w:sz="4"/>
              <w:left w:val="single" w:color="e2e8f0" w:sz="4"/>
              <w:bottom w:val="single" w:color="e2e8f0" w:sz="4"/>
              <w:right w:val="single" w:color="e2e8f0" w:sz="4"/>
            </w:tcBorders>
            <w:shd w:fill="f8fafc" w:color="auto" w:val="clear"/>
            <w:tcMar>
              <w:top w:type="dxa" w:w="60"/>
              <w:left w:type="dxa" w:w="100"/>
              <w:bottom w:type="dxa" w:w="60"/>
              <w:right w:type="dxa" w:w="100"/>
            </w:tcMar>
            <w:vAlign w:val="top"/>
          </w:tcPr>
          <w:p>
            <w:pPr>
              <w:keepNext w:val="false"/>
              <w:keepLines/>
              <w:spacing w:after="0" w:before="0" w:line="220"/>
              <w:jc w:val="left"/>
            </w:pPr>
            <w:r>
              <w:rPr>
                <w:rFonts w:ascii="Calibri" w:cs="Calibri" w:eastAsia="Calibri" w:hAnsi="Calibri"/>
                <w:b w:val="false"/>
                <w:bCs w:val="false"/>
                <w:i w:val="false"/>
                <w:iCs w:val="false"/>
                <w:color w:val="0f172a"/>
                <w:sz w:val="20"/>
                <w:szCs w:val="20"/>
              </w:rPr>
              <w:t xml:space="preserve">Date: _____________________</w:t>
            </w:r>
          </w:p>
        </w:tc>
      </w:tr>
    </w:tbl>
    <w:p>
      <w:pPr>
        <w:keepNext w:val="false"/>
        <w:keepLines/>
        <w:spacing w:after="80" w:before="0" w:line="80"/>
        <w:jc w:val="left"/>
      </w:pPr>
      <w:r>
        <w:rPr>
          <w:rFonts w:ascii="Calibri" w:cs="Calibri" w:eastAsia="Calibri" w:hAnsi="Calibri"/>
          <w:b w:val="false"/>
          <w:bCs w:val="false"/>
          <w:i w:val="false"/>
          <w:iCs w:val="false"/>
          <w:color w:val="0f172a"/>
          <w:sz w:val="4"/>
          <w:szCs w:val="4"/>
        </w:rPr>
        <w:t xml:space="preserve"/>
      </w:r>
    </w:p>
    <w:p>
      <w:pPr>
        <w:keepNext w:val="false"/>
        <w:keepLines/>
        <w:spacing w:after="0" w:before="120" w:line="200"/>
        <w:jc w:val="center"/>
      </w:pPr>
      <w:r>
        <w:rPr>
          <w:rFonts w:ascii="Consolas" w:cs="Consolas" w:eastAsia="Consolas" w:hAnsi="Consolas"/>
          <w:b w:val="false"/>
          <w:bCs w:val="false"/>
          <w:i w:val="false"/>
          <w:iCs w:val="false"/>
          <w:color w:val="475569"/>
          <w:sz w:val="16"/>
          <w:szCs w:val="16"/>
        </w:rPr>
        <w:t xml:space="preserve">capturepilot.com</w:t>
      </w:r>
      <w:r>
        <w:rPr>
          <w:rFonts w:ascii="Calibri" w:cs="Calibri" w:eastAsia="Calibri" w:hAnsi="Calibri"/>
          <w:b w:val="false"/>
          <w:bCs w:val="false"/>
          <w:i w:val="false"/>
          <w:iCs w:val="false"/>
          <w:color w:val="94a3b8"/>
          <w:sz w:val="16"/>
          <w:szCs w:val="16"/>
        </w:rPr>
        <w:t xml:space="preserve">  ·  Federal Lead Kit v1.5 · Quality Assurance Surveillance Plan Template · FAR 46.401</w:t>
      </w:r>
    </w:p>
    <w:sectPr>
      <w:pgSz w:w="12240" w:h="15840" w:orient="portrait"/>
      <w:pgMar w:top="1296" w:right="1296" w:bottom="1296" w:left="1296" w:header="576" w:footer="57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Assurance Surveillance Plan (QASP) Template</dc:title>
  <dc:creator>CapturePilot</dc:creator>
  <dc:description>Federal Lead Kit v1.5 · Post-Award Compliance · Editable QASP Word template</dc:description>
  <cp:lastModifiedBy>Un-named</cp:lastModifiedBy>
  <cp:revision>1</cp:revision>
  <dcterms:created xsi:type="dcterms:W3CDTF">2026-06-10T02:10:17.799Z</dcterms:created>
  <dcterms:modified xsi:type="dcterms:W3CDTF">2026-06-10T02:10:17.799Z</dcterms:modified>
</cp:coreProperties>
</file>

<file path=docProps/custom.xml><?xml version="1.0" encoding="utf-8"?>
<Properties xmlns="http://schemas.openxmlformats.org/officeDocument/2006/custom-properties" xmlns:vt="http://schemas.openxmlformats.org/officeDocument/2006/docPropsVTypes"/>
</file>