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ind w:firstLine="0"/>
      </w:pPr>
      <w:r>
        <w:rPr>
          <w:rFonts w:ascii="Times New Roman" w:hAnsi="Times New Roman" w:eastAsia="Times New Roman"/>
          <w:i w:val="0"/>
          <w:sz w:val="24"/>
        </w:rPr>
        <w:t>Елена, вот готовый вариант только по ООО «АТЭК-С». Я собрала его именно по пунктам практической: SOCMINT, Google Dorking, документы и метаданные, реестры, закупки/арбитраж, граф связей и выводы.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Практическая работа № 1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/>
          <w:sz w:val="30"/>
        </w:rPr>
        <w:t>Комплексное OSINT-исследование ООО «АТЭК-С»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Цель работы — провести пассивное OSINT-исследование ООО «АТЭК-С» на основании информации, находящейся в открытом доступе, без сканирования сетевой инфраструктуры и попыток получения закрытой информации.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В ходе работы использовались открытые веб-источники, официальный сайт организации, поисковые операторы, публичные реестры юридических лиц, сведения о государственных закупках и арбитражных делах, публично размещённые PDF-документы и профессиональные сведения о сотрудниках.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2. Идентификация организации</w:t>
      </w:r>
    </w:p>
    <w:p>
      <w:pPr>
        <w:spacing w:after="120" w:line="276" w:lineRule="auto"/>
        <w:ind w:firstLine="0"/>
      </w:pPr>
      <w:r>
        <w:rPr>
          <w:rFonts w:ascii="Times New Roman" w:hAnsi="Times New Roman" w:eastAsia="Times New Roman"/>
          <w:i w:val="0"/>
          <w:sz w:val="24"/>
        </w:rPr>
        <w:t>Исследуемая организация: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Полное наименование:</w:t>
      </w:r>
      <w:r>
        <w:rPr>
          <w:rFonts w:ascii="Times New Roman" w:hAnsi="Times New Roman" w:eastAsia="Times New Roman"/>
          <w:sz w:val="24"/>
        </w:rPr>
        <w:t xml:space="preserve"> Общество с ограниченной ответственностью «АТЭК-С»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ИНН:</w:t>
      </w:r>
      <w:r>
        <w:rPr>
          <w:rFonts w:ascii="Times New Roman" w:hAnsi="Times New Roman" w:eastAsia="Times New Roman"/>
          <w:sz w:val="24"/>
        </w:rPr>
        <w:t xml:space="preserve"> 2312133345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КПП:</w:t>
      </w:r>
      <w:r>
        <w:rPr>
          <w:rFonts w:ascii="Times New Roman" w:hAnsi="Times New Roman" w:eastAsia="Times New Roman"/>
          <w:sz w:val="24"/>
        </w:rPr>
        <w:t xml:space="preserve"> 231201001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ОГРН:</w:t>
      </w:r>
      <w:r>
        <w:rPr>
          <w:rFonts w:ascii="Times New Roman" w:hAnsi="Times New Roman" w:eastAsia="Times New Roman"/>
          <w:sz w:val="24"/>
        </w:rPr>
        <w:t xml:space="preserve"> 1062312041296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Дата регистрации:</w:t>
      </w:r>
      <w:r>
        <w:rPr>
          <w:rFonts w:ascii="Times New Roman" w:hAnsi="Times New Roman" w:eastAsia="Times New Roman"/>
          <w:sz w:val="24"/>
        </w:rPr>
        <w:t xml:space="preserve"> 06.12.2006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Юридический адрес:</w:t>
      </w:r>
      <w:r>
        <w:rPr>
          <w:rFonts w:ascii="Times New Roman" w:hAnsi="Times New Roman" w:eastAsia="Times New Roman"/>
          <w:sz w:val="24"/>
        </w:rPr>
        <w:t xml:space="preserve"> г. Краснодар, Пашковский жилой массив, ул. Заводская, д. 32, офис 203.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Основной ОКВЭД:</w:t>
      </w:r>
      <w:r>
        <w:rPr>
          <w:rFonts w:ascii="Times New Roman" w:hAnsi="Times New Roman" w:eastAsia="Times New Roman"/>
          <w:sz w:val="24"/>
        </w:rPr>
        <w:t xml:space="preserve"> 62.09 — деятельность, связанная с использованием вычислительной техники и информационных технологий, прочая.</w:t>
      </w:r>
    </w:p>
    <w:p>
      <w:pPr>
        <w:spacing w:after="40" w:line="264" w:lineRule="auto"/>
      </w:pPr>
      <w:r>
        <w:rPr>
          <w:rFonts w:ascii="Times New Roman" w:hAnsi="Times New Roman" w:eastAsia="Times New Roman"/>
          <w:b/>
          <w:sz w:val="24"/>
        </w:rPr>
        <w:t>Директор:</w:t>
      </w:r>
      <w:r>
        <w:rPr>
          <w:rFonts w:ascii="Times New Roman" w:hAnsi="Times New Roman" w:eastAsia="Times New Roman"/>
          <w:sz w:val="24"/>
        </w:rPr>
        <w:t xml:space="preserve"> Косяков Евгений Валентинович. Наиболее свежая доступная выгрузка сведений ЕГРЮЛ также указывает его как единственного участника общества. </w:t>
      </w:r>
      <w:r>
        <w:rPr>
          <w:rFonts w:ascii="Times New Roman" w:hAnsi="Times New Roman" w:eastAsia="Times New Roman"/>
          <w:sz w:val="24"/>
        </w:rPr>
        <w:t>(</w:t>
      </w:r>
      <w:hyperlink r:id="rId9">
        <w:r>
          <w:rPr>
            <w:color w:val="0563C1"/>
            <w:u w:val="single"/>
            <w:rFonts w:ascii="Times New Roman" w:hAnsi="Times New Roman" w:eastAsia="Times New Roman"/>
            <w:sz w:val="24"/>
          </w:rPr>
          <w:t>egrul.org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По бухгалтерской отчётности за 2025 год выручка составляла около </w:t>
      </w:r>
      <w:r>
        <w:rPr>
          <w:rFonts w:ascii="Times New Roman" w:hAnsi="Times New Roman" w:eastAsia="Times New Roman"/>
          <w:b/>
          <w:sz w:val="24"/>
        </w:rPr>
        <w:t>115,87 млн руб.</w:t>
      </w:r>
      <w:r>
        <w:rPr>
          <w:rFonts w:ascii="Times New Roman" w:hAnsi="Times New Roman" w:eastAsia="Times New Roman"/>
          <w:sz w:val="24"/>
        </w:rPr>
        <w:t xml:space="preserve">, чистая прибыль — </w:t>
      </w:r>
      <w:r>
        <w:rPr>
          <w:rFonts w:ascii="Times New Roman" w:hAnsi="Times New Roman" w:eastAsia="Times New Roman"/>
          <w:b/>
          <w:sz w:val="24"/>
        </w:rPr>
        <w:t>234 тыс. руб.</w:t>
      </w:r>
      <w:r>
        <w:rPr>
          <w:rFonts w:ascii="Times New Roman" w:hAnsi="Times New Roman" w:eastAsia="Times New Roman"/>
          <w:sz w:val="24"/>
        </w:rPr>
        <w:t>; в открытом источнике численность за 2025 год указана как 33 человека. (</w:t>
      </w:r>
      <w:hyperlink r:id="rId10">
        <w:r>
          <w:rPr>
            <w:color w:val="0563C1"/>
            <w:u w:val="single"/>
            <w:rFonts w:ascii="Times New Roman" w:hAnsi="Times New Roman" w:eastAsia="Times New Roman"/>
            <w:sz w:val="24"/>
          </w:rPr>
          <w:t>firmoteka.ru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Основная специализация компании значительно шире формального ОКВЭД. На официальном сайте указаны защита персональных данных и конфиденциальной информации, аттестация объектов информатизации, системы защиты государственной тайны, поставка и сопровождение средств защиты информации, работы с БЛА и некоторые другие направления безопасности.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3. SOCMINT — поиск в социальных сетях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Times New Roman"/>
          <w:b/>
          <w:sz w:val="24"/>
        </w:rPr>
        <w:t>VK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В открытом справочнике обнаружена ссылка на страницу </w:t>
      </w:r>
      <w:r>
        <w:rPr>
          <w:rFonts w:ascii="Times New Roman" w:hAnsi="Times New Roman" w:eastAsia="Times New Roman"/>
          <w:b/>
          <w:sz w:val="24"/>
        </w:rPr>
        <w:t>VK с идентификатором `atekgc`</w:t>
      </w:r>
      <w:r>
        <w:rPr>
          <w:rFonts w:ascii="Times New Roman" w:hAnsi="Times New Roman" w:eastAsia="Times New Roman"/>
          <w:sz w:val="24"/>
        </w:rPr>
        <w:t>. Она сопоставлена с тем же сайтом `atekgc.ru`, краснодарским адресом и корпоративными телефонами, поэтому связь страницы с группой компаний АТЭК имеет достаточно сильные подтверждающие признаки. При этом непосредственно содержимое VK в используемой поисковой среде не открылось, поэтому частоту публикаций, хэштеги и геометки корректно утверждать нельзя. (</w:t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xn--n1al3a.xn--24-6kci4amthgkj1f.xn--80asehdb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Times New Roman"/>
          <w:b/>
          <w:sz w:val="24"/>
        </w:rPr>
        <w:t>Telegram и LinkedIn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При поиске по названию компании, домену, адресу и сочетаниям «АТЭК-С + Краснодар + Telegram/LinkedIn» </w:t>
      </w:r>
      <w:r>
        <w:rPr>
          <w:rFonts w:ascii="Times New Roman" w:hAnsi="Times New Roman" w:eastAsia="Times New Roman"/>
          <w:b/>
          <w:sz w:val="24"/>
        </w:rPr>
        <w:t>верифицированного официального канала Telegram и официальной страницы компании в LinkedIn найти не удалось</w:t>
      </w:r>
      <w:r>
        <w:rPr>
          <w:rFonts w:ascii="Times New Roman" w:hAnsi="Times New Roman" w:eastAsia="Times New Roman"/>
          <w:sz w:val="24"/>
        </w:rPr>
        <w:t>. Поэтому придумывать их для отчёта не следует. В задании указано, что такие страницы имеются, но актуальная открытая поисковая выдача этого не подтверждает. Возможные причины — удаление страниц, ограничение индексации либо изменение названия аккаунтов.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Зато LinkedIn фиксирует косвенный цифровой след организации: например, в одном из профессиональных профилей указана сертификация, выданная учебным центром АТЭК-С в 2024 году. (</w:t>
      </w:r>
      <w:hyperlink r:id="rId12">
        <w:r>
          <w:rPr>
            <w:color w:val="0563C1"/>
            <w:u w:val="single"/>
            <w:rFonts w:ascii="Times New Roman" w:hAnsi="Times New Roman" w:eastAsia="Times New Roman"/>
            <w:sz w:val="24"/>
          </w:rPr>
          <w:t>rs.linkedin.com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2"/>
        <w:keepNext/>
        <w:spacing w:before="140" w:after="100"/>
      </w:pPr>
      <w:r>
        <w:rPr>
          <w:rFonts w:ascii="Times New Roman" w:hAnsi="Times New Roman" w:eastAsia="Times New Roman"/>
          <w:b/>
          <w:sz w:val="24"/>
        </w:rPr>
        <w:t>Публикационная активность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На собственном сайте раздел «Новости» выглядит малoактивным: видимая выдача содержит публикацию от 21.01.2025 и две публикации 2016 года, посвящённые обсуждению профессионального стандарта специалистов по эксплуатации беспилотных авиационных систем. Это позволяет характеризовать </w:t>
      </w:r>
      <w:r>
        <w:rPr>
          <w:rFonts w:ascii="Times New Roman" w:hAnsi="Times New Roman" w:eastAsia="Times New Roman"/>
          <w:b/>
          <w:sz w:val="24"/>
        </w:rPr>
        <w:t>новостной раздел сайта</w:t>
      </w:r>
      <w:r>
        <w:rPr>
          <w:rFonts w:ascii="Times New Roman" w:hAnsi="Times New Roman" w:eastAsia="Times New Roman"/>
          <w:sz w:val="24"/>
        </w:rPr>
        <w:t xml:space="preserve"> как нерегулярно обновляемый, но не позволяет делать такой же вывод о закрытых или плохо индексируемых социальных сетях. (</w:t>
      </w:r>
      <w:hyperlink r:id="rId13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4. Сотрудники и профессиональный цифровой след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Из официальных источников подтверждается директор ООО «АТЭК-С» </w:t>
      </w:r>
      <w:r>
        <w:rPr>
          <w:rFonts w:ascii="Times New Roman" w:hAnsi="Times New Roman" w:eastAsia="Times New Roman"/>
          <w:b/>
          <w:sz w:val="24"/>
        </w:rPr>
        <w:t>Евгений Валентинович Косяков</w:t>
      </w:r>
      <w:r>
        <w:rPr>
          <w:rFonts w:ascii="Times New Roman" w:hAnsi="Times New Roman" w:eastAsia="Times New Roman"/>
          <w:sz w:val="24"/>
        </w:rPr>
        <w:t xml:space="preserve">. На странице учебного центра руководителем подразделения указана </w:t>
      </w:r>
      <w:r>
        <w:rPr>
          <w:rFonts w:ascii="Times New Roman" w:hAnsi="Times New Roman" w:eastAsia="Times New Roman"/>
          <w:b/>
          <w:sz w:val="24"/>
        </w:rPr>
        <w:t>Мария Викторовна Бердник</w:t>
      </w:r>
      <w:r>
        <w:rPr>
          <w:rFonts w:ascii="Times New Roman" w:hAnsi="Times New Roman" w:eastAsia="Times New Roman"/>
          <w:sz w:val="24"/>
        </w:rPr>
        <w:t>. (</w:t>
      </w:r>
      <w:hyperlink r:id="rId14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На сайте организации опубликован достаточно подробный состав преподавателей учебного центра с профессиональной квалификацией, стажем и преподаваемыми дисциплинами. Среди направлений — защита персональных данных, техническая защита конфиденциальной информации, КИИ, ГосСОПКА, Linux и информационная безопасность. (</w:t>
      </w:r>
      <w:hyperlink r:id="rId15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Это важная OSINT-находка: из одного публичного раздела можно восстановить часть кадровой структуры и области компетенций организации без обращения к закрытым источникам.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5. Google Dorking и исследование веб-контента</w:t>
      </w:r>
    </w:p>
    <w:p>
      <w:pPr>
        <w:spacing w:after="120" w:line="276" w:lineRule="auto"/>
        <w:ind w:firstLine="0"/>
      </w:pPr>
      <w:r>
        <w:rPr>
          <w:rFonts w:ascii="Times New Roman" w:hAnsi="Times New Roman" w:eastAsia="Times New Roman"/>
          <w:i w:val="0"/>
          <w:sz w:val="24"/>
        </w:rPr>
        <w:t>В процессе поиска применялись запросы вида: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site:atekgc.ru filetype:pdf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site:atekgc.ru "ООО АТЭК-С"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"ООО АТЭК-С" filetype:pdf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"ООО АТЭК-С" госзакупки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"2312133345" арбитраж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"АТЭК-С" Краснодар LinkedIn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"АТЭК-С" Краснодар Telegram</w:t>
      </w:r>
    </w:p>
    <w:p>
      <w:pPr>
        <w:spacing w:after="6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На официальном домене найдено значительное количество открытых PDF-файлов: положения учебного центра, учебные планы, локальные нормативные документы, документы по образовательной деятельности. Например, открыт учебный план программы повышения квалификации по обеспечению информационной безопасности органов государственной власти и местного самоуправления. (</w:t>
      </w:r>
      <w:hyperlink r:id="rId16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Отдельная интересная находка: один из старых документов на сайте содержит указание публиковать материалы на домене </w:t>
      </w:r>
      <w:r>
        <w:rPr>
          <w:rFonts w:ascii="Times New Roman" w:hAnsi="Times New Roman" w:eastAsia="Times New Roman"/>
          <w:b/>
          <w:sz w:val="24"/>
        </w:rPr>
        <w:t>`www.atekc.ru`</w:t>
      </w:r>
      <w:r>
        <w:rPr>
          <w:rFonts w:ascii="Times New Roman" w:hAnsi="Times New Roman" w:eastAsia="Times New Roman"/>
          <w:sz w:val="24"/>
        </w:rPr>
        <w:t xml:space="preserve">, тогда как действующий официальный сайт находится на </w:t>
      </w:r>
      <w:r>
        <w:rPr>
          <w:rFonts w:ascii="Times New Roman" w:hAnsi="Times New Roman" w:eastAsia="Times New Roman"/>
          <w:b/>
          <w:sz w:val="24"/>
        </w:rPr>
        <w:t>`atekgc.ru`</w:t>
      </w:r>
      <w:r>
        <w:rPr>
          <w:rFonts w:ascii="Times New Roman" w:hAnsi="Times New Roman" w:eastAsia="Times New Roman"/>
          <w:sz w:val="24"/>
        </w:rPr>
        <w:t>. Это свидетельствует об изменении или миграции корпоративного веб-домена. (</w:t>
      </w:r>
      <w:hyperlink r:id="rId17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6. Анализ сайта и технологий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По структуре URL вида `/wp-content/uploads/...` видно использование WordPress либо совместимой с WordPress структуры управления контентом. На странице также присутствует обращение к `mc.yandex.ru`, что указывает на использование счётчика Яндекс.Метрики.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При пассивном анализе не производилось сканирование портов, определение версий серверного ПО, перебор каталогов или попытки доступа к административным панелям — это соответствует условиям задания.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Дополнительная OSINT-деталь: главная страница в 2026 году всё ещё утверждает, что организация работает на рынке </w:t>
      </w:r>
      <w:r>
        <w:rPr>
          <w:rFonts w:ascii="Times New Roman" w:hAnsi="Times New Roman" w:eastAsia="Times New Roman"/>
          <w:b/>
          <w:sz w:val="24"/>
        </w:rPr>
        <w:t>18 лет</w:t>
      </w:r>
      <w:r>
        <w:rPr>
          <w:rFonts w:ascii="Times New Roman" w:hAnsi="Times New Roman" w:eastAsia="Times New Roman"/>
          <w:sz w:val="24"/>
        </w:rPr>
        <w:t>, хотя регистрация юридического лица датирована 2006 годом. Вероятно, текст главной страницы обновляется не синхронно с фактическим возрастом организации. (</w:t>
      </w:r>
      <w:hyperlink r:id="rId18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7. Анализ опубликованных документов и метаданных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Особенно информативным оказался PDF-файл с учебным планом. Помимо текста документа поисковая обработка обнаруживает сведения о цифровой подписи: документ подписан </w:t>
      </w:r>
      <w:r>
        <w:rPr>
          <w:rFonts w:ascii="Times New Roman" w:hAnsi="Times New Roman" w:eastAsia="Times New Roman"/>
          <w:b/>
          <w:sz w:val="24"/>
        </w:rPr>
        <w:t>Косяковым Е.В.</w:t>
      </w:r>
      <w:r>
        <w:rPr>
          <w:rFonts w:ascii="Times New Roman" w:hAnsi="Times New Roman" w:eastAsia="Times New Roman"/>
          <w:sz w:val="24"/>
        </w:rPr>
        <w:t>, организация указана как ООО «АТЭК-С», подразделение — директор; присутствуют дата электронной подписи и служебный e-mail. (</w:t>
      </w:r>
      <w:hyperlink r:id="rId19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Это хороший пример того, как опубликованный документ может раскрывать больше информации, чем основной текст: ФИО подписанта, должность, организацию, временную отметку и служебные идентификаторы.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На сайте также открыто доступны графические файлы, в частности фоновое изображение `bg-slide.jpg` и изображение эмблемы организации. (</w:t>
      </w:r>
      <w:hyperlink r:id="rId20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При анализе через веб-интерфейс поля EXIF этих изображений — GPS-координаты, модель камеры и дата съёмки — не были предоставлены, поэтому утверждать наличие или отсутствие таких данных нельзя. Для воспроизводимой локальной проверки следует скачать оригинальные файлы и выполнить: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exiftool имя_файла.jpg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exiftool имя_файла.pdf</w:t>
      </w:r>
    </w:p>
    <w:p>
      <w:pPr>
        <w:spacing w:after="6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В отчёте здесь лучше написать: </w:t>
      </w:r>
      <w:r>
        <w:rPr>
          <w:rFonts w:ascii="Times New Roman" w:hAnsi="Times New Roman" w:eastAsia="Times New Roman"/>
          <w:b/>
          <w:sz w:val="24"/>
        </w:rPr>
        <w:t>«Подтверждённых GPS-координат или данных модели камеры в доступном веб-представлении изображений обнаружить не удалось»</w:t>
      </w:r>
      <w:r>
        <w:rPr>
          <w:rFonts w:ascii="Times New Roman" w:hAnsi="Times New Roman" w:eastAsia="Times New Roman"/>
          <w:sz w:val="24"/>
        </w:rPr>
        <w:t>, а не придумывать несуществующие EXIF-поля.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8. Публичные реестры и лицензии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ООО «АТЭК-С» является действующим юридическим лицом. В открытых сведениях ЕГРЮЛ отображаются лицензии, связанные с технической защитой конфиденциальной информации, деятельностью в области специальных технических средств, образовательной деятельностью и другими лицензируемыми направлениями. (</w:t>
      </w:r>
      <w:hyperlink r:id="rId9">
        <w:r>
          <w:rPr>
            <w:color w:val="0563C1"/>
            <w:u w:val="single"/>
            <w:rFonts w:ascii="Times New Roman" w:hAnsi="Times New Roman" w:eastAsia="Times New Roman"/>
            <w:sz w:val="24"/>
          </w:rPr>
          <w:t>egrul.org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Собственный сайт организации дополнительно перечисляет лицензии ФСБ и ФСТЭК, лицензии на работы в сфере государственной тайны, криптографической защиты, технической защиты конфиденциальной информации, лицензию МЧС и другие разрешительные документы. (</w:t>
      </w:r>
      <w:hyperlink r:id="rId21">
        <w:r>
          <w:rPr>
            <w:color w:val="0563C1"/>
            <w:u w:val="single"/>
            <w:rFonts w:ascii="Times New Roman" w:hAnsi="Times New Roman" w:eastAsia="Times New Roman"/>
            <w:sz w:val="24"/>
          </w:rPr>
          <w:t>atekgc.ru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Таким образом, данные сайта хорошо согласуются с фактической специализацией организации в сфере информационной и комплексной безопасности.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9. Государственные закупки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Компания имеет заметный след в государственных закупках. Агрегатор открытых закупочных данных указывает </w:t>
      </w:r>
      <w:r>
        <w:rPr>
          <w:rFonts w:ascii="Times New Roman" w:hAnsi="Times New Roman" w:eastAsia="Times New Roman"/>
          <w:b/>
          <w:sz w:val="24"/>
        </w:rPr>
        <w:t>247 побед и 9 участий без побед</w:t>
      </w:r>
      <w:r>
        <w:rPr>
          <w:rFonts w:ascii="Times New Roman" w:hAnsi="Times New Roman" w:eastAsia="Times New Roman"/>
          <w:sz w:val="24"/>
        </w:rPr>
        <w:t xml:space="preserve"> в отображаемом им массиве; среди значимых заказчиков указаны Дирекция государственных закупок Краснодарского края, департамент контрактной системы Краснодарского края и Росгвардия. (</w:t>
      </w:r>
      <w:hyperlink r:id="rId22">
        <w:r>
          <w:rPr>
            <w:color w:val="0563C1"/>
            <w:u w:val="single"/>
            <w:rFonts w:ascii="Times New Roman" w:hAnsi="Times New Roman" w:eastAsia="Times New Roman"/>
            <w:sz w:val="24"/>
          </w:rPr>
          <w:t>b2b.house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Например, в 2019 году ООО «АТЭК-С» указано победителем закупки по </w:t>
      </w:r>
      <w:r>
        <w:rPr>
          <w:rFonts w:ascii="Times New Roman" w:hAnsi="Times New Roman" w:eastAsia="Times New Roman"/>
          <w:b/>
          <w:sz w:val="24"/>
        </w:rPr>
        <w:t>аттестации объектов информатизации по требованиям безопасности информации</w:t>
      </w:r>
      <w:r>
        <w:rPr>
          <w:rFonts w:ascii="Times New Roman" w:hAnsi="Times New Roman" w:eastAsia="Times New Roman"/>
          <w:sz w:val="24"/>
        </w:rPr>
        <w:t xml:space="preserve"> в рамках государственного оборонного заказа. (</w:t>
      </w:r>
      <w:hyperlink r:id="rId23">
        <w:r>
          <w:rPr>
            <w:color w:val="0563C1"/>
            <w:u w:val="single"/>
            <w:rFonts w:ascii="Times New Roman" w:hAnsi="Times New Roman" w:eastAsia="Times New Roman"/>
            <w:sz w:val="24"/>
          </w:rPr>
          <w:t>poisktenderov.ru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Количество закупок на различных агрегаторах может отличаться из-за разных временных диапазонов и методики подсчёта, поэтому в итоговом отчёте корректнее ссылаться на конкретный источник и дату его обновления.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10. Арбитражные дела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Публичный агрегатор арбитражной информации показывает </w:t>
      </w:r>
      <w:r>
        <w:rPr>
          <w:rFonts w:ascii="Times New Roman" w:hAnsi="Times New Roman" w:eastAsia="Times New Roman"/>
          <w:b/>
          <w:sz w:val="24"/>
        </w:rPr>
        <w:t>21 дело</w:t>
      </w:r>
      <w:r>
        <w:rPr>
          <w:rFonts w:ascii="Times New Roman" w:hAnsi="Times New Roman" w:eastAsia="Times New Roman"/>
          <w:sz w:val="24"/>
        </w:rPr>
        <w:t xml:space="preserve"> с участием ООО «АТЭК-С»: в 16 случаях организация указана истцом, в 5 — ответчиком; общая сумма требований в отображаемом массиве составляет около 28,1 млн руб. (</w:t>
      </w:r>
      <w:hyperlink r:id="rId24">
        <w:r>
          <w:rPr>
            <w:color w:val="0563C1"/>
            <w:u w:val="single"/>
            <w:rFonts w:ascii="Times New Roman" w:hAnsi="Times New Roman" w:eastAsia="Times New Roman"/>
            <w:sz w:val="24"/>
          </w:rPr>
          <w:t>b2b.house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Например, в деле № А40-301439/2025 ООО «АТЭК-С» фигурирует среди заявителей в деле о банкротстве ООО «ТК-Прогресс». Сам факт участия компании в арбитражном деле не свидетельствует о нарушении закона: необходимо учитывать процессуальную роль организации, предмет и результат конкретного спора. (</w:t>
      </w:r>
      <w:hyperlink r:id="rId24">
        <w:r>
          <w:rPr>
            <w:color w:val="0563C1"/>
            <w:u w:val="single"/>
            <w:rFonts w:ascii="Times New Roman" w:hAnsi="Times New Roman" w:eastAsia="Times New Roman"/>
            <w:sz w:val="24"/>
          </w:rPr>
          <w:t>b2b.house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11. Партнёры, клиенты и внешние связи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Официальный сайт в разделе «Наши клиенты» публично перечисляет, в частности, ЮТК, подразделения ГУВД/РОВД, Судебный департамент, Новороссийский морской торговый порт, структуры медицинского страхования, администрацию Краснодарского края, прокуратуру, ФСКН и «Билайн». Поскольку на странице не указаны даты сотрудничества, этот список следует рассматривать как заявленный компанией исторический или текущий перечень клиентов, а не как доказательство действующего договора в 2026 году.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Кубанский государственный технологический университет указывает ООО «АТЭК-С» среди организаций, с которыми кафедрой кибербезопасности и защиты информации заключены соглашения о сотрудничестве. (</w:t>
      </w:r>
      <w:hyperlink r:id="rId25">
        <w:r>
          <w:rPr>
            <w:color w:val="0563C1"/>
            <w:u w:val="single"/>
            <w:rFonts w:ascii="Times New Roman" w:hAnsi="Times New Roman" w:eastAsia="Times New Roman"/>
            <w:sz w:val="24"/>
          </w:rPr>
          <w:t>kubstu.ru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>Кроме того, производитель Dallas Lock размещает ООО «АТЭК-С» в перечне организаций, через которые возможно приобретение его решений, что демонстрирует ещё одну публично подтверждаемую коммерческую связь. (</w:t>
      </w:r>
      <w:hyperlink r:id="rId26">
        <w:r>
          <w:rPr>
            <w:color w:val="0563C1"/>
            <w:u w:val="single"/>
            <w:rFonts w:ascii="Times New Roman" w:hAnsi="Times New Roman" w:eastAsia="Times New Roman"/>
            <w:sz w:val="24"/>
          </w:rPr>
          <w:t>test.dallaslock.ru</w:t>
        </w:r>
      </w:hyperlink>
      <w:r>
        <w:rPr>
          <w:rFonts w:ascii="Times New Roman" w:hAnsi="Times New Roman" w:eastAsia="Times New Roman"/>
          <w:sz w:val="24"/>
        </w:rPr>
        <w:t>)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12. Граф связей</w:t>
      </w:r>
    </w:p>
    <w:p>
      <w:pPr>
        <w:spacing w:after="120" w:line="276" w:lineRule="auto"/>
        <w:ind w:firstLine="0"/>
      </w:pPr>
      <w:r>
        <w:rPr>
          <w:rFonts w:ascii="Times New Roman" w:hAnsi="Times New Roman" w:eastAsia="Times New Roman"/>
          <w:i w:val="0"/>
          <w:sz w:val="24"/>
        </w:rPr>
        <w:t>Для Maltego или ручной схемы можно использовать такую структуру: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 ООО «АТЭК-С»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┌──────────────────────┼──────────────────────┐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│                      │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Руководство            Учебный центр          Клиенты/заказчики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│                      │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>Е.В. Косяков           М.В. Бердник          Госструктуры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       │               Судебный департамент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преподаватели          НМТП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       │               Билайн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направления ИБ         и др.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┌────────────────┴───────────────┐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│          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Партнёры                         Регуляторы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│                  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КубГТУ                         ФСБ России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Dallas Lock                       ФСТЭК России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│                            МЧС России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Государственные закупки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             │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Дирекция госзакупок Краснодарского края</w:t>
      </w:r>
    </w:p>
    <w:p>
      <w:pPr>
        <w:spacing w:after="0"/>
        <w:ind w:left="397" w:right="283" w:firstLine="0"/>
        <w:shd w:fill="F3F3F3"/>
      </w:pPr>
      <w:r>
        <w:rPr>
          <w:rFonts w:ascii="Liberation Mono" w:hAnsi="Liberation Mono" w:eastAsia="Liberation Mono"/>
          <w:sz w:val="18"/>
        </w:rPr>
        <w:t xml:space="preserve"> Росгвардия и другие заказчики</w:t>
      </w:r>
    </w:p>
    <w:p>
      <w:pPr>
        <w:spacing w:after="60"/>
      </w:pP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Типы связей можно обозначить цветами: </w:t>
      </w:r>
      <w:r>
        <w:rPr>
          <w:rFonts w:ascii="Times New Roman" w:hAnsi="Times New Roman" w:eastAsia="Times New Roman"/>
          <w:b/>
          <w:sz w:val="24"/>
        </w:rPr>
        <w:t>официальная организационная</w:t>
      </w:r>
      <w:r>
        <w:rPr>
          <w:rFonts w:ascii="Times New Roman" w:hAnsi="Times New Roman" w:eastAsia="Times New Roman"/>
          <w:b/>
          <w:sz w:val="24"/>
        </w:rPr>
        <w:t>, договорная/закупочная</w:t>
      </w:r>
      <w:r>
        <w:rPr>
          <w:rFonts w:ascii="Times New Roman" w:hAnsi="Times New Roman" w:eastAsia="Times New Roman"/>
          <w:b/>
          <w:sz w:val="24"/>
        </w:rPr>
        <w:t>, образовательное сотрудничество</w:t>
      </w:r>
      <w:r>
        <w:rPr>
          <w:rFonts w:ascii="Times New Roman" w:hAnsi="Times New Roman" w:eastAsia="Times New Roman"/>
          <w:b/>
          <w:sz w:val="24"/>
        </w:rPr>
        <w:t>, клиентская</w:t>
      </w:r>
      <w:r>
        <w:rPr>
          <w:rFonts w:ascii="Times New Roman" w:hAnsi="Times New Roman" w:eastAsia="Times New Roman"/>
          <w:b/>
          <w:sz w:val="24"/>
        </w:rPr>
        <w:t>, регуляторная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13. Оценка цифрового следа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Цифровой след ООО «АТЭК-С» можно оценить как </w:t>
      </w:r>
      <w:r>
        <w:rPr>
          <w:rFonts w:ascii="Times New Roman" w:hAnsi="Times New Roman" w:eastAsia="Times New Roman"/>
          <w:b/>
          <w:sz w:val="24"/>
        </w:rPr>
        <w:t>достаточно широкий в официальных и деловых источниках</w:t>
      </w:r>
      <w:r>
        <w:rPr>
          <w:rFonts w:ascii="Times New Roman" w:hAnsi="Times New Roman" w:eastAsia="Times New Roman"/>
          <w:sz w:val="24"/>
        </w:rPr>
        <w:t>. Компания хорошо прослеживается через ЕГРЮЛ, закупки, арбитраж, собственный сайт, лицензии, образовательные документы и сведения партнёров.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При этом социальный цифровой след заметно слабее: подтверждается связь с VK, но официальные Telegram и LinkedIn по текущей открытой выдаче надёжно идентифицировать не удалось.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Наиболее информативными для OSINT оказались не социальные сети, а </w:t>
      </w:r>
      <w:r>
        <w:rPr>
          <w:rFonts w:ascii="Times New Roman" w:hAnsi="Times New Roman" w:eastAsia="Times New Roman"/>
          <w:b/>
          <w:sz w:val="24"/>
        </w:rPr>
        <w:t>PDF-документы, кадровые страницы учебного центра, государственные закупки, реестры лицензий и список клиентов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14. Выявленные риски и рекомендации</w:t>
      </w:r>
    </w:p>
    <w:p>
      <w:pPr>
        <w:spacing w:after="120" w:line="276" w:lineRule="auto"/>
        <w:ind w:firstLine="0"/>
      </w:pPr>
      <w:r>
        <w:rPr>
          <w:rFonts w:ascii="Times New Roman" w:hAnsi="Times New Roman" w:eastAsia="Times New Roman"/>
          <w:i w:val="0"/>
          <w:sz w:val="24"/>
        </w:rPr>
        <w:t>Основные риски связаны не с одной критической утечкой, а с совокупностью открытых данных:</w:t>
      </w:r>
    </w:p>
    <w:p>
      <w:pPr>
        <w:spacing w:after="60" w:line="264" w:lineRule="auto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В PDF-документах остаются сведения о цифровых подписях, должностях, датах и служебных контактах.</w:t>
      </w:r>
    </w:p>
    <w:p>
      <w:pPr>
        <w:spacing w:after="60" w:line="264" w:lineRule="auto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На сайте размещён подробный профессиональный состав сотрудников.</w:t>
      </w:r>
    </w:p>
    <w:p>
      <w:pPr>
        <w:spacing w:after="60" w:line="264" w:lineRule="auto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Одновременно раскрыты профиль деятельности, лицензии, клиенты, партнёры и направления компетенций.</w:t>
      </w:r>
    </w:p>
    <w:p>
      <w:pPr>
        <w:spacing w:after="60" w:line="264" w:lineRule="auto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В старых документах присутствует прежний домен, тогда как организация использует новый. Такие расхождения могут повышать риск фишинга и ошибочного перехода пользователей.</w:t>
      </w:r>
    </w:p>
    <w:p>
      <w:pPr>
        <w:spacing w:after="60" w:line="264" w:lineRule="auto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Часть публичной информации на сайте обновляется нерегулярно.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Рекомендуется перед публикацией документов автоматически очищать ненужные метаданные, поддерживать единый актуальный корпоративный домен, обновлять старые PDF и ссылки, явно размещать на основном сайте ссылки только на официальные социальные аккаунты, периодически проводить собственный OSINT-аудит и публиковать только необходимый объём сведений о сотрудниках.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15. Законность и этика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Исследование выполнено методом </w:t>
      </w:r>
      <w:r>
        <w:rPr>
          <w:rFonts w:ascii="Times New Roman" w:hAnsi="Times New Roman" w:eastAsia="Times New Roman"/>
          <w:b/>
          <w:sz w:val="24"/>
        </w:rPr>
        <w:t>пассивного сбора информации</w:t>
      </w:r>
      <w:r>
        <w:rPr>
          <w:rFonts w:ascii="Times New Roman" w:hAnsi="Times New Roman" w:eastAsia="Times New Roman"/>
          <w:sz w:val="24"/>
        </w:rPr>
        <w:t>. Использовались только сведения, доступные без авторизации и обхода средств защиты.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Не выполнялись сканирование сетевой инфраструктуры, подбор паролей, получение закрытых персональных данных, обход ограничений доступа или социальная инженерия.</w:t>
      </w:r>
    </w:p>
    <w:p>
      <w:pPr>
        <w:spacing w:after="120" w:line="276" w:lineRule="auto"/>
        <w:ind w:firstLine="397"/>
      </w:pPr>
      <w:r>
        <w:rPr>
          <w:rFonts w:ascii="Times New Roman" w:hAnsi="Times New Roman" w:eastAsia="Times New Roman"/>
          <w:i w:val="0"/>
          <w:sz w:val="24"/>
        </w:rPr>
        <w:t>Публичность информации не означает, что её допустимо использовать без ограничений в любых целях. При OSINT необходимо соблюдать законодательство о персональных данных, авторских правах и не собирать избыточную информацию о частной жизни сотрудников.</w:t>
      </w:r>
    </w:p>
    <w:p>
      <w:pPr>
        <w:spacing w:after="160" w:line="276" w:lineRule="auto"/>
        <w:ind w:firstLine="397"/>
      </w:pPr>
      <w:r>
        <w:rPr>
          <w:rFonts w:ascii="Times New Roman" w:hAnsi="Times New Roman" w:eastAsia="Times New Roman"/>
          <w:b/>
          <w:sz w:val="24"/>
        </w:rPr>
        <w:t>Итоговый вывод:</w:t>
      </w:r>
      <w:r>
        <w:rPr>
          <w:rFonts w:ascii="Times New Roman" w:hAnsi="Times New Roman" w:eastAsia="Times New Roman"/>
          <w:sz w:val="24"/>
        </w:rPr>
        <w:t xml:space="preserve"> ООО «АТЭК-С» имеет хорошо выраженный корпоративный цифровой след. Наибольшую OSINT-ценность представляют официальный сайт, открытые документы учебного центра, реестровые сведения, лицензии, закупки и публичные деловые связи. Одновременно совокупность этих данных позволяет достаточно подробно восстановить направления деятельности, структуру компетенций и часть связей компании, что подтверждает необходимость регулярного контроля собственного цифрового следа.</w:t>
      </w:r>
    </w:p>
    <w:p>
      <w:pPr>
        <w:spacing w:before="160" w:after="0" w:line="276" w:lineRule="auto"/>
        <w:ind w:firstLine="397"/>
      </w:pPr>
      <w:r>
        <w:rPr>
          <w:rFonts w:ascii="Times New Roman" w:hAnsi="Times New Roman" w:eastAsia="Times New Roman"/>
          <w:sz w:val="24"/>
        </w:rPr>
        <w:t xml:space="preserve">Для приложения к работе я бы взяла </w:t>
      </w:r>
      <w:r>
        <w:rPr>
          <w:rFonts w:ascii="Times New Roman" w:hAnsi="Times New Roman" w:eastAsia="Times New Roman"/>
          <w:b/>
          <w:sz w:val="24"/>
        </w:rPr>
        <w:t>6 скриншотов</w:t>
      </w:r>
      <w:r>
        <w:rPr>
          <w:rFonts w:ascii="Times New Roman" w:hAnsi="Times New Roman" w:eastAsia="Times New Roman"/>
          <w:sz w:val="24"/>
        </w:rPr>
        <w:t>: главную страницу ООО «АТЭК-С», страницу реквизитов, страницу лицензий, страницу педагогического состава, первую страницу PDF с учебным планом и электронными реквизитами документа, а также страницу с закупками или арбитражными делами. Этого будет достаточно, чтобы требование задания о «скриншотах, выдержках и метаданных» выглядело действительно выполненным, а не просто описанным.</w:t>
      </w:r>
    </w:p>
    <w:sectPr w:rsidR="00FC693F" w:rsidRPr="0006063C" w:rsidSect="00034616">
      <w:footerReference w:type="default" r:id="rId27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grul.org/2312133345?utm_source=chatgpt.com" TargetMode="External"/><Relationship Id="rId10" Type="http://schemas.openxmlformats.org/officeDocument/2006/relationships/hyperlink" Target="https://firmoteka.ru/2312133345?utm_source=chatgpt.com" TargetMode="External"/><Relationship Id="rId11" Type="http://schemas.openxmlformats.org/officeDocument/2006/relationships/hyperlink" Target="https://xn--n1al3a.xn--24-6kci4amthgkj1f.xn--80asehdb/%D0%BA%D1%80%D0%B0%D1%81%D0%BD%D0%BE%D0%B4%D0%B0%D1%80/%D0%B3%D0%BE%D1%81%D1%83%D0%B4%D0%B0%D1%80%D1%81%D1%82%D0%B2%D0%BE-%D0%B8-%D0%B2%D0%BB%D0%B0%D1%81%D1%82%D1%8C/%D0%B3%D0%BE%D1%81%D1%83%D0%B4%D0%B0%D1%80%D1%81%D1%82%D0%B2%D0%B5%D0%BD%D0%BD%D1%8B%D0%B5_%D1%81%D1%82%D1%80%D1%83%D0%BA%D1%82%D1%83%D1%80%D1%8B/%D1%81%D1%82%D1%80%D0%B0%D0%BD%D0%B8%D1%86%D0%B0-1?utm_source=chatgpt.com" TargetMode="External"/><Relationship Id="rId12" Type="http://schemas.openxmlformats.org/officeDocument/2006/relationships/hyperlink" Target="https://rs.linkedin.com/in/galina-yashina-5a128385?utm_source=chatgpt.com" TargetMode="External"/><Relationship Id="rId13" Type="http://schemas.openxmlformats.org/officeDocument/2006/relationships/hyperlink" Target="https://atekgc.ru/category/news/" TargetMode="External"/><Relationship Id="rId14" Type="http://schemas.openxmlformats.org/officeDocument/2006/relationships/hyperlink" Target="https://atekgc.ru/requisites" TargetMode="External"/><Relationship Id="rId15" Type="http://schemas.openxmlformats.org/officeDocument/2006/relationships/hyperlink" Target="https://atekgc.ru/sveden/employees/" TargetMode="External"/><Relationship Id="rId16" Type="http://schemas.openxmlformats.org/officeDocument/2006/relationships/hyperlink" Target="https://atekgc.ru/wp-content/uploads/Uchebnyi-plan-2.pdf" TargetMode="External"/><Relationship Id="rId17" Type="http://schemas.openxmlformats.org/officeDocument/2006/relationships/hyperlink" Target="https://atekgc.ru/wp-content/uploads/Polozhenie-ob-ohrane-zdorovya-obuchayushhihsya.pdf?utm_source=chatgpt.com" TargetMode="External"/><Relationship Id="rId18" Type="http://schemas.openxmlformats.org/officeDocument/2006/relationships/hyperlink" Target="https://atekgc.ru/" TargetMode="External"/><Relationship Id="rId19" Type="http://schemas.openxmlformats.org/officeDocument/2006/relationships/hyperlink" Target="https://atekgc.ru/wp-content/uploads/Uchebnyi-plan-2.pdf?utm_source=chatgpt.com" TargetMode="External"/><Relationship Id="rId20" Type="http://schemas.openxmlformats.org/officeDocument/2006/relationships/hyperlink" Target="https://atekgc.ru/wp-content/uploads/bg-slide.jpg" TargetMode="External"/><Relationship Id="rId21" Type="http://schemas.openxmlformats.org/officeDocument/2006/relationships/hyperlink" Target="https://atekgc.ru/litsenzii-i-dopuski/" TargetMode="External"/><Relationship Id="rId22" Type="http://schemas.openxmlformats.org/officeDocument/2006/relationships/hyperlink" Target="https://b2b.house/company/OOO-ATEK-S_909e25ac-01db-404d-8f2a-72e0d313dbfb/?backUrl=%2Fpurchase%2Fb8daf37e-73e5-44e6-ac55-9db0bf7114a3_ed085c13%2F&amp;utm_source=chatgpt.com" TargetMode="External"/><Relationship Id="rId23" Type="http://schemas.openxmlformats.org/officeDocument/2006/relationships/hyperlink" Target="https://poisktenderov.ru/item/0391100015319000088/?utm_source=chatgpt.com" TargetMode="External"/><Relationship Id="rId24" Type="http://schemas.openxmlformats.org/officeDocument/2006/relationships/hyperlink" Target="https://b2b.house/company/OOO-ATEK-S_909e25ac-01db-404d-8f2a-72e0d313dbfb/?utm_source=chatgpt.com" TargetMode="External"/><Relationship Id="rId25" Type="http://schemas.openxmlformats.org/officeDocument/2006/relationships/hyperlink" Target="https://kubstu.ru/s-146?utm_source=chatgpt.com" TargetMode="External"/><Relationship Id="rId26" Type="http://schemas.openxmlformats.org/officeDocument/2006/relationships/hyperlink" Target="https://www.test.dallaslock.ru/kupit/?utm_source=chatgpt.com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 — ООО «АТЭК-С»</dc:title>
  <dc:subject>Комплексное OSINT-исследование компании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