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jc w:val="center"/>
      </w:pPr>
      <w:r>
        <w:rPr>
          <w:b/>
          <w:sz w:val="26"/>
        </w:rPr>
        <w:t>Тема: Категорирование информационных ресурсов</w:t>
      </w:r>
    </w:p>
    <w:p>
      <w:r>
        <w:rPr>
          <w:b/>
        </w:rPr>
        <w:t xml:space="preserve">Предприятие: </w:t>
      </w:r>
      <w:r>
        <w:t>Автосалон</w:t>
      </w:r>
    </w:p>
    <w:p>
      <w:r>
        <w:rPr>
          <w:b/>
        </w:rPr>
        <w:t xml:space="preserve">Цель: </w:t>
      </w:r>
      <w:r>
        <w:t>изучить правила категорирования информационных ресурсов автосалона, определить категории конфиденциальности, уровни значимости и применимость классов защищённости.</w:t>
      </w:r>
    </w:p>
    <w:p>
      <w:r>
        <w:rPr>
          <w:b/>
        </w:rPr>
        <w:t xml:space="preserve">Исходные условия учебного примера. </w:t>
      </w:r>
      <w:r>
        <w:t>Автосалон является частной коммерческой организацией и использует CRM, бухгалтерскую систему, сервер и рабочие станции. Для примера предполагается обработка обычных персональных данных, отсутствие специальных и биометрических категорий, менее 100 000 субъектов-клиентов, не являющихся сотрудниками, и актуальность угроз 3-го типа. Уровень защищённости необходимо подтвердить анализом конкретной ИСПДн.</w:t>
      </w:r>
    </w:p>
    <w:p>
      <w:pPr>
        <w:jc w:val="center"/>
      </w:pPr>
      <w:r>
        <w:rPr>
          <w:b/>
        </w:rPr>
        <w:t>Таблица 1. Категорирование информационных ресурсов автосалона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№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Наименование информационных ресурсов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Объект воздействия (размещение ресурса)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Категория конфиденциальности / вид тайны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Уровень значимости (учебная оценка)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Класс защищённости (К1, К2, К3)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ФИО и контактные данные клиентов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CRM, база данных клиентов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информация,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Паспортные данные покупателей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CRM, защищённый сервер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информация,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УЗ1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Договоры купли-продажи автомобилей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Электронный архив документов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информация; могут содержать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Банковские реквизиты клиентов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Защищённая база данных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информация; персональные данные при наличии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УЗ1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Сведения о кредитных заявках покупателей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CRM, система обработки заявок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информация,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УЗ1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Персональные данные сотрудников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Кадровая информационная система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информация,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Сведения о заработной плате сотрудников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Бухгалтерская система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информация,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База автомобилей в наличии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Складская система, CRM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Внутренняя информация организации; отдельные сведения общедоступны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УЗ3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Закупочные цены автомобилей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Учётная система, сервер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Коммерческая тайна при введении соответствующего режима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Данные о продажах автомобилей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CRM, бухгалтерская система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Внутренняя финансовая информация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Логины и пароли сотрудников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Система управления учётными записями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служебная информация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УЗ1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Скан-копии паспортов и документов покупателей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Защищённое файловое хранилище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Конфиденциальная информация, персональные данные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УЗ1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История обслуживания автомобилей клиентов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Сервисная информационная система, CRM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Персональные данные при связи с конкретным клиентом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Видеозаписи с камер наблюдения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Видеорегистратор, сервер видеонаблюдения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Персональные данные, если возможно идентифицировать людей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УЗ2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  <w:tr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98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Резервные копии баз данных</w:t>
            </w:r>
          </w:p>
        </w:tc>
        <w:tc>
          <w:tcPr>
            <w:tcW w:type="dxa" w:w="1814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Резервный сервер или сетевое хранилище</w:t>
            </w:r>
          </w:p>
        </w:tc>
        <w:tc>
          <w:tcPr>
            <w:tcW w:type="dxa" w:w="2381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6"/>
              </w:rPr>
              <w:t>Содержат копии исходных данных, в том числе персональных</w:t>
            </w:r>
          </w:p>
        </w:tc>
        <w:tc>
          <w:tcPr>
            <w:tcW w:type="dxa" w:w="1474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УЗ1</w:t>
            </w:r>
          </w:p>
        </w:tc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sz w:val="16"/>
              </w:rPr>
              <w:t>Не применяется</w:t>
            </w:r>
          </w:p>
        </w:tc>
      </w:tr>
    </w:tbl>
    <w:p>
      <w:pPr>
        <w:pStyle w:val="Heading2"/>
      </w:pPr>
      <w:r>
        <w:t>1. Определение уровня защищённости персональных данных</w:t>
      </w:r>
    </w:p>
    <w:p>
      <w:r>
        <w:t>В соответствии с Постановлением Правительства РФ от 01.11.2012 № 1119 уровень защищённости ИСПДн определяется по типу актуальных угроз, категориям обрабатываемых персональных данных и количеству субъектов. Для приведённого учебного сценария (иные персональные данные, угрозы 3-го типа, менее 100 000 субъектов-клиентов, не являющихся сотрудниками) предусматривается УЗ-4 при условии подтверждения указанных характеристик и выполнения применимых требований.</w:t>
      </w:r>
    </w:p>
    <w:p>
      <w:r>
        <w:t>Важно: УЗ-1–УЗ-4 — нормативные уровни защищённости персональных данных. Обозначения УЗ1–УЗ3 в графе «Уровень значимости» таблицы — только учебная оценка критичности конкретного ресурса; это не нормативный уровень защищённости ИСПДн.</w:t>
      </w:r>
    </w:p>
    <w:p>
      <w:pPr>
        <w:pStyle w:val="Heading2"/>
      </w:pPr>
      <w:r>
        <w:t>2. Класс защищённости</w:t>
      </w:r>
    </w:p>
    <w:p>
      <w:r>
        <w:t>Классы К1–К3 нельзя назначать автоматически по факту обработки персональных данных. В данном примере рассматривается ИСПДн частной коммерческой организации, а не государственная информационная система, поэтому в графе указано «Не применяется». Требования к защите ИСПДн определяются с учётом Постановления Правительства РФ № 1119 и Приказа ФСТЭК России от 18.02.2013 № 21.</w:t>
      </w:r>
    </w:p>
    <w:p>
      <w:pPr>
        <w:pStyle w:val="Heading2"/>
      </w:pPr>
      <w:r>
        <w:t>3. Основные меры защиты информации</w:t>
      </w:r>
    </w:p>
    <w:p>
      <w:pPr>
        <w:pStyle w:val="ListNumber"/>
      </w:pPr>
      <w:r>
        <w:t>Разграничение доступа к CRM и бухгалтерской системе по должностным обязанностям.</w:t>
      </w:r>
    </w:p>
    <w:p>
      <w:pPr>
        <w:pStyle w:val="ListNumber"/>
      </w:pPr>
      <w:r>
        <w:t>Индивидуальные учётные записи и надёжная аутентификация.</w:t>
      </w:r>
    </w:p>
    <w:p>
      <w:pPr>
        <w:pStyle w:val="ListNumber"/>
      </w:pPr>
      <w:r>
        <w:t>Защита паспортных данных, договоров и иных документов от несанкционированного доступа.</w:t>
      </w:r>
    </w:p>
    <w:p>
      <w:pPr>
        <w:pStyle w:val="ListNumber"/>
      </w:pPr>
      <w:r>
        <w:t>Антивирусная защита серверов и рабочих станций.</w:t>
      </w:r>
    </w:p>
    <w:p>
      <w:pPr>
        <w:pStyle w:val="ListNumber"/>
      </w:pPr>
      <w:r>
        <w:t>Резервное копирование баз данных и проверка восстановления.</w:t>
      </w:r>
    </w:p>
    <w:p>
      <w:pPr>
        <w:pStyle w:val="ListNumber"/>
      </w:pPr>
      <w:r>
        <w:t>Регистрация событий безопасности и контроль действий пользователей.</w:t>
      </w:r>
    </w:p>
    <w:p>
      <w:pPr>
        <w:pStyle w:val="ListNumber"/>
      </w:pPr>
      <w:r>
        <w:t>Ограничение доступа к видеозаписям и документам.</w:t>
      </w:r>
    </w:p>
    <w:p>
      <w:pPr>
        <w:pStyle w:val="ListNumber"/>
      </w:pPr>
      <w:r>
        <w:t>Организационные и технические меры защиты персональных данных в соответствии с законодательством РФ.</w:t>
      </w:r>
    </w:p>
    <w:p>
      <w:pPr>
        <w:pStyle w:val="Heading2"/>
      </w:pPr>
      <w:r>
        <w:t>Вывод</w:t>
      </w:r>
    </w:p>
    <w:p>
      <w:r>
        <w:t>В ходе практической работы рассмотрены 15 информационных ресурсов автосалона, определены места их размещения, категории конфиденциальности и предварительная учебная оценка значимости. Для принятой модели ИСПДн предварительно определён уровень защищённости УЗ-4. Классы К1–К3 не назначаются, поскольку рассматриваемая система принадлежит частной организации и не является государственной информационной системой. Для реального объекта вывод необходимо подтвердить моделью угроз и документированными характеристиками информационной системы.</w:t>
      </w:r>
    </w:p>
    <w:sectPr w:rsidR="00FC693F" w:rsidRPr="0006063C" w:rsidSect="00034616">
      <w:pgSz w:w="15840" w:h="12240" w:orient="landscape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