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fichier .</w:t>
      </w:r>
      <w:proofErr w:type="spellStart"/>
      <w:r w:rsidR="00671837">
        <w:rPr>
          <w:sz w:val="26"/>
          <w:szCs w:val="26"/>
        </w:rPr>
        <w:t>env</w:t>
      </w:r>
      <w:proofErr w:type="spell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r w:rsidR="001513DB">
        <w:rPr>
          <w:sz w:val="26"/>
          <w:szCs w:val="26"/>
        </w:rPr>
        <w:t>url.searchParams</w:t>
      </w:r>
      <w:proofErr w:type="spell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w:t>
      </w:r>
      <w:r w:rsidR="00D3360D">
        <w:rPr>
          <w:sz w:val="26"/>
          <w:szCs w:val="26"/>
        </w:rPr>
        <w:lastRenderedPageBreak/>
        <w:t xml:space="preserve">un </w:t>
      </w:r>
      <w:proofErr w:type="spellStart"/>
      <w:r w:rsidR="00D3360D">
        <w:rPr>
          <w:sz w:val="26"/>
          <w:szCs w:val="26"/>
        </w:rPr>
        <w:t>EventListener</w:t>
      </w:r>
      <w:proofErr w:type="spellEnd"/>
      <w:r w:rsidR="006A43B9">
        <w:rPr>
          <w:sz w:val="26"/>
          <w:szCs w:val="26"/>
        </w:rPr>
        <w:t xml:space="preserve"> pour un click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tab/>
        <w:t xml:space="preserve">D’abord, je retourne tous les commentaires envoyé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r>
        <w:rPr>
          <w:sz w:val="26"/>
          <w:szCs w:val="26"/>
        </w:rPr>
        <w:t>re.exec</w:t>
      </w:r>
      <w:proofErr w:type="spell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lastRenderedPageBreak/>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50340C54" w:rsidR="00D96AA5" w:rsidRPr="00757266" w:rsidRDefault="00D96AA5" w:rsidP="00757266">
      <w:pPr>
        <w:rPr>
          <w:sz w:val="26"/>
          <w:szCs w:val="26"/>
        </w:rPr>
      </w:pPr>
      <w:r>
        <w:rPr>
          <w:sz w:val="26"/>
          <w:szCs w:val="26"/>
        </w:rPr>
        <w:tab/>
      </w:r>
      <w:r w:rsidR="001E7948">
        <w:rPr>
          <w:sz w:val="26"/>
          <w:szCs w:val="26"/>
        </w:rPr>
        <w:t xml:space="preserve">Parlons de la page d’édition. Dès l’ouverture de la page, </w:t>
      </w:r>
    </w:p>
    <w:sectPr w:rsidR="00D96AA5"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6E72"/>
    <w:rsid w:val="00217488"/>
    <w:rsid w:val="0022196F"/>
    <w:rsid w:val="00221CD5"/>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3AF7"/>
    <w:rsid w:val="003704F6"/>
    <w:rsid w:val="00374D78"/>
    <w:rsid w:val="00376082"/>
    <w:rsid w:val="00385CFC"/>
    <w:rsid w:val="00391B12"/>
    <w:rsid w:val="00393602"/>
    <w:rsid w:val="00394412"/>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E15"/>
    <w:rsid w:val="00840B13"/>
    <w:rsid w:val="00842A22"/>
    <w:rsid w:val="0085269B"/>
    <w:rsid w:val="0085488C"/>
    <w:rsid w:val="00855AAF"/>
    <w:rsid w:val="00855C7E"/>
    <w:rsid w:val="0087023A"/>
    <w:rsid w:val="00874C21"/>
    <w:rsid w:val="00880CB7"/>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A0365"/>
    <w:rsid w:val="009B2C1D"/>
    <w:rsid w:val="009B3F33"/>
    <w:rsid w:val="009B540A"/>
    <w:rsid w:val="009D1DCF"/>
    <w:rsid w:val="009D2802"/>
    <w:rsid w:val="009D2834"/>
    <w:rsid w:val="009D6197"/>
    <w:rsid w:val="009D7B75"/>
    <w:rsid w:val="00A12BD2"/>
    <w:rsid w:val="00A12C97"/>
    <w:rsid w:val="00A13DB9"/>
    <w:rsid w:val="00A2561E"/>
    <w:rsid w:val="00A26C1E"/>
    <w:rsid w:val="00A2732D"/>
    <w:rsid w:val="00A30D2F"/>
    <w:rsid w:val="00A352A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4F1A"/>
    <w:rsid w:val="00B06487"/>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56863"/>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22</Pages>
  <Words>9683</Words>
  <Characters>49001</Characters>
  <Application>Microsoft Office Word</Application>
  <DocSecurity>0</DocSecurity>
  <Lines>830</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322</cp:revision>
  <dcterms:created xsi:type="dcterms:W3CDTF">2024-10-03T12:17:00Z</dcterms:created>
  <dcterms:modified xsi:type="dcterms:W3CDTF">2024-12-02T10:55:00Z</dcterms:modified>
</cp:coreProperties>
</file>