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D76026" w14:textId="77777777" w:rsidR="007D3B00" w:rsidRDefault="00000000">
      <w:pPr>
        <w:pStyle w:val="Heading1"/>
      </w:pPr>
      <w:r>
        <w:t>Jury Duty</w:t>
      </w:r>
    </w:p>
    <w:p w14:paraId="7D11878C" w14:textId="77777777" w:rsidR="007D3B00" w:rsidRDefault="00000000">
      <w:pPr>
        <w:pStyle w:val="Heading2"/>
        <w:ind w:left="820"/>
      </w:pPr>
      <w:r>
        <w:t>Summary</w:t>
      </w:r>
    </w:p>
    <w:p w14:paraId="248A12BA" w14:textId="77777777" w:rsidR="007D3B00" w:rsidRDefault="00000000">
      <w:pPr>
        <w:ind w:left="820" w:right="818"/>
      </w:pPr>
      <w:r>
        <w:t>This section covers the duties of the employer when an employee is required to be a juror.</w:t>
      </w:r>
    </w:p>
    <w:p w14:paraId="5FFD2FA0" w14:textId="77777777" w:rsidR="007D3B00" w:rsidRDefault="00000000">
      <w:pPr>
        <w:pStyle w:val="Heading2"/>
        <w:ind w:left="820"/>
      </w:pPr>
      <w:r>
        <w:t>Text of Legislation</w:t>
      </w:r>
    </w:p>
    <w:p w14:paraId="0F1906F6" w14:textId="77777777" w:rsidR="007D3B00" w:rsidRDefault="00000000">
      <w:pPr>
        <w:ind w:left="820" w:right="818"/>
      </w:pPr>
      <w:r>
        <w:t>55. If an employee is required to attend court as a juror, the employer has the same duties under section 54 (2) to (4) in relation to the employee as if that employee were on leave under this Part.</w:t>
      </w:r>
    </w:p>
    <w:p w14:paraId="4E2CCC2E" w14:textId="77777777" w:rsidR="007D3B00" w:rsidRDefault="00000000">
      <w:pPr>
        <w:pStyle w:val="Heading2"/>
        <w:ind w:left="820"/>
      </w:pPr>
      <w:r>
        <w:t>Policy Interpretation</w:t>
      </w:r>
    </w:p>
    <w:p w14:paraId="27A1DF1F" w14:textId="77777777" w:rsidR="007D3B00" w:rsidRDefault="00000000">
      <w:pPr>
        <w:spacing w:after="520"/>
        <w:ind w:left="820" w:right="818"/>
      </w:pPr>
      <w:r>
        <w:t>Jury duty is a statutory requirement, not something that may or may not be granted at the discretion of the employer. It is an unpaid leave, unless the employer and employee agree otherwise.</w:t>
      </w:r>
    </w:p>
    <w:p w14:paraId="093D79EA" w14:textId="77777777" w:rsidR="007D3B00" w:rsidRDefault="00000000">
      <w:pPr>
        <w:pStyle w:val="Heading3"/>
        <w:ind w:left="820"/>
      </w:pPr>
      <w:r>
        <w:t>Terms and conditions of employment protected</w:t>
      </w:r>
    </w:p>
    <w:p w14:paraId="167AC4BA" w14:textId="77777777" w:rsidR="007D3B00" w:rsidRDefault="00000000">
      <w:pPr>
        <w:spacing w:after="285"/>
        <w:ind w:left="820" w:right="818"/>
      </w:pPr>
      <w:r>
        <w:t xml:space="preserve">Section 54 provides that an employer cannot terminate an employee or change a condition of employment without the employee's written consent </w:t>
      </w:r>
      <w:proofErr w:type="gramStart"/>
      <w:r>
        <w:t>as a result of</w:t>
      </w:r>
      <w:proofErr w:type="gramEnd"/>
      <w:r>
        <w:t xml:space="preserve"> a leave under this Part. See also s. 56 for an explanation of the effects of leave under this Part on employment and benefit payments.</w:t>
      </w:r>
    </w:p>
    <w:p w14:paraId="7ED9C851" w14:textId="77777777" w:rsidR="007D3B00" w:rsidRDefault="00000000">
      <w:pPr>
        <w:spacing w:after="285"/>
        <w:ind w:left="820" w:right="818"/>
      </w:pPr>
      <w:r>
        <w:t>In the event of a contravention under this Part of the Act, the director may apply a remedy under s.79(2). The determination issued under s.79(2) will include an escalating monetary penalty, subject to s.98.</w:t>
      </w:r>
    </w:p>
    <w:p w14:paraId="03E6C6D6" w14:textId="77777777" w:rsidR="007D3B00" w:rsidRDefault="00000000">
      <w:pPr>
        <w:pStyle w:val="Heading3"/>
        <w:ind w:left="820"/>
      </w:pPr>
      <w:r>
        <w:t>Employees covered by a collective agreement</w:t>
      </w:r>
    </w:p>
    <w:p w14:paraId="4766B983" w14:textId="77777777" w:rsidR="007D3B00" w:rsidRDefault="00000000">
      <w:pPr>
        <w:ind w:left="820" w:right="818"/>
      </w:pPr>
      <w:r>
        <w:t>Where there is a collective agreement, disputes respecting the application, interpretation or operation of Part 6 must be resolved through the grievance procedure, not through the enforcement provisions of the Act.</w:t>
      </w:r>
    </w:p>
    <w:p w14:paraId="11CC21AA" w14:textId="0FD96DC3" w:rsidR="007D3B00" w:rsidRDefault="007D3B00" w:rsidP="00510F16">
      <w:pPr>
        <w:tabs>
          <w:tab w:val="right" w:pos="11280"/>
        </w:tabs>
        <w:spacing w:after="231" w:line="265" w:lineRule="auto"/>
      </w:pPr>
    </w:p>
    <w:sectPr w:rsidR="007D3B00">
      <w:pgSz w:w="12240" w:h="15840"/>
      <w:pgMar w:top="330" w:right="480" w:bottom="277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B00"/>
    <w:rsid w:val="00510F16"/>
    <w:rsid w:val="007D3B00"/>
    <w:rsid w:val="00BB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07588"/>
  <w15:docId w15:val="{3D83A397-9374-A642-AAE4-7FABB4A1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35" w:line="330" w:lineRule="auto"/>
      <w:ind w:left="835" w:hanging="10"/>
    </w:pPr>
    <w:rPr>
      <w:rFonts w:ascii="Arial" w:eastAsia="Arial" w:hAnsi="Arial" w:cs="Arial"/>
      <w:color w:val="1D1D1F"/>
      <w:sz w:val="28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1" w:line="259" w:lineRule="auto"/>
      <w:ind w:left="825"/>
      <w:outlineLvl w:val="0"/>
    </w:pPr>
    <w:rPr>
      <w:rFonts w:ascii="Arial" w:eastAsia="Arial" w:hAnsi="Arial" w:cs="Arial"/>
      <w:b/>
      <w:color w:val="1D1D1F"/>
      <w:sz w:val="6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66" w:line="259" w:lineRule="auto"/>
      <w:ind w:left="835" w:hanging="10"/>
      <w:outlineLvl w:val="1"/>
    </w:pPr>
    <w:rPr>
      <w:rFonts w:ascii="Arial" w:eastAsia="Arial" w:hAnsi="Arial" w:cs="Arial"/>
      <w:b/>
      <w:color w:val="1D1D1F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81" w:line="259" w:lineRule="auto"/>
      <w:ind w:left="835" w:hanging="10"/>
      <w:outlineLvl w:val="2"/>
    </w:pPr>
    <w:rPr>
      <w:rFonts w:ascii="Arial" w:eastAsia="Arial" w:hAnsi="Arial" w:cs="Arial"/>
      <w:color w:val="1D1D1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D1D1F"/>
      <w:sz w:val="28"/>
    </w:rPr>
  </w:style>
  <w:style w:type="character" w:customStyle="1" w:styleId="Heading3Char">
    <w:name w:val="Heading 3 Char"/>
    <w:link w:val="Heading3"/>
    <w:rPr>
      <w:rFonts w:ascii="Arial" w:eastAsia="Arial" w:hAnsi="Arial" w:cs="Arial"/>
      <w:color w:val="1D1D1F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D1D1F"/>
      <w:sz w:val="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C68A3CA0FB14BBDBF28C1CB6CF9F2" ma:contentTypeVersion="10" ma:contentTypeDescription="Create a new document." ma:contentTypeScope="" ma:versionID="ed327ed2cb96fbf9d57818744ee8c1d3">
  <xsd:schema xmlns:xsd="http://www.w3.org/2001/XMLSchema" xmlns:xs="http://www.w3.org/2001/XMLSchema" xmlns:p="http://schemas.microsoft.com/office/2006/metadata/properties" xmlns:ns2="fdb29dfa-d8fc-45f6-89eb-541ac5e7b01c" xmlns:ns3="a99a20bd-0259-4001-be22-29faebd20e5d" targetNamespace="http://schemas.microsoft.com/office/2006/metadata/properties" ma:root="true" ma:fieldsID="ddb9d919ac7332247a0f88b60c83a06a" ns2:_="" ns3:_="">
    <xsd:import namespace="fdb29dfa-d8fc-45f6-89eb-541ac5e7b01c"/>
    <xsd:import namespace="a99a20bd-0259-4001-be22-29faebd20e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29dfa-d8fc-45f6-89eb-541ac5e7b0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d0512d-d70b-4ee3-81d4-fe0993d419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9a20bd-0259-4001-be22-29faebd20e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3c9b0b0-3cb2-4b79-835e-e96eca18f5bc}" ma:internalName="TaxCatchAll" ma:showField="CatchAllData" ma:web="a99a20bd-0259-4001-be22-29faebd20e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29dfa-d8fc-45f6-89eb-541ac5e7b01c">
      <Terms xmlns="http://schemas.microsoft.com/office/infopath/2007/PartnerControls"/>
    </lcf76f155ced4ddcb4097134ff3c332f>
    <TaxCatchAll xmlns="a99a20bd-0259-4001-be22-29faebd20e5d" xsi:nil="true"/>
  </documentManagement>
</p:properties>
</file>

<file path=customXml/itemProps1.xml><?xml version="1.0" encoding="utf-8"?>
<ds:datastoreItem xmlns:ds="http://schemas.openxmlformats.org/officeDocument/2006/customXml" ds:itemID="{8644A318-73EE-4878-BE28-6B6C0CBB378B}"/>
</file>

<file path=customXml/itemProps2.xml><?xml version="1.0" encoding="utf-8"?>
<ds:datastoreItem xmlns:ds="http://schemas.openxmlformats.org/officeDocument/2006/customXml" ds:itemID="{A1697C87-35BB-4F5B-BF58-D0962018B1F7}"/>
</file>

<file path=customXml/itemProps3.xml><?xml version="1.0" encoding="utf-8"?>
<ds:datastoreItem xmlns:ds="http://schemas.openxmlformats.org/officeDocument/2006/customXml" ds:itemID="{16F034C0-2BB7-4D4F-8C6C-2B4C6AF1AA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Jury Duty - Act Part 6, Section 55 - Province of British Columbia</dc:title>
  <dc:subject/>
  <dc:creator>Secreto, Lara S.</dc:creator>
  <cp:keywords/>
  <cp:lastModifiedBy>Secreto, Lara S.</cp:lastModifiedBy>
  <cp:revision>2</cp:revision>
  <dcterms:created xsi:type="dcterms:W3CDTF">2026-07-09T19:48:00Z</dcterms:created>
  <dcterms:modified xsi:type="dcterms:W3CDTF">2026-07-09T19:48:00Z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0x010100780C68A3CA0FB14BBDBF28C1CB6CF9F2</vt:lpwstr>
  </property>
</Properties>
</file>