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9E15CE" w14:textId="77777777" w:rsidR="00A96F17" w:rsidRDefault="00A96F17" w:rsidP="00A96F17">
      <w:pPr>
        <w:pStyle w:val="Heading1"/>
        <w:ind w:left="0"/>
      </w:pPr>
    </w:p>
    <w:p w14:paraId="0D35016D" w14:textId="67842576" w:rsidR="00B25C7A" w:rsidRDefault="00000000" w:rsidP="00A96F17">
      <w:pPr>
        <w:pStyle w:val="Heading1"/>
        <w:ind w:left="0"/>
      </w:pPr>
      <w:r>
        <w:t>Vacation Pay</w:t>
      </w:r>
    </w:p>
    <w:p w14:paraId="2A10DE0C" w14:textId="393A3710" w:rsidR="00B25C7A" w:rsidRDefault="00000000">
      <w:pPr>
        <w:spacing w:after="9" w:line="259" w:lineRule="auto"/>
        <w:ind w:right="0"/>
      </w:pPr>
      <w:r>
        <w:rPr>
          <w:rFonts w:ascii="Arial" w:eastAsia="Arial" w:hAnsi="Arial" w:cs="Arial"/>
          <w:b/>
          <w:color w:val="1D1D1F"/>
          <w:sz w:val="44"/>
          <w:vertAlign w:val="superscript"/>
        </w:rPr>
        <w:t>Summary</w:t>
      </w:r>
    </w:p>
    <w:p w14:paraId="642328FB" w14:textId="68029D61" w:rsidR="00B25C7A" w:rsidRDefault="00000000">
      <w:pPr>
        <w:spacing w:after="0" w:line="248" w:lineRule="auto"/>
        <w:ind w:left="279" w:right="1172" w:hanging="270"/>
        <w:jc w:val="both"/>
      </w:pPr>
      <w:r>
        <w:rPr>
          <w:rFonts w:ascii="Arial" w:eastAsia="Arial" w:hAnsi="Arial" w:cs="Arial"/>
          <w:color w:val="1D1D1F"/>
          <w:sz w:val="28"/>
        </w:rPr>
        <w:t>This section explains the calculation and amount of vacation pay an</w:t>
      </w:r>
    </w:p>
    <w:p w14:paraId="33E80EFC" w14:textId="3BA4A104" w:rsidR="00B25C7A" w:rsidRDefault="00000000" w:rsidP="00A96F17">
      <w:pPr>
        <w:spacing w:after="69" w:line="248" w:lineRule="auto"/>
        <w:ind w:left="0" w:right="924" w:firstLine="0"/>
        <w:jc w:val="both"/>
      </w:pPr>
      <w:r>
        <w:rPr>
          <w:rFonts w:ascii="Arial" w:eastAsia="Arial" w:hAnsi="Arial" w:cs="Arial"/>
          <w:color w:val="1D1D1F"/>
          <w:sz w:val="28"/>
        </w:rPr>
        <w:t xml:space="preserve">employee is entitled to, when they are entitled to it, and how it is to be paid. </w:t>
      </w:r>
    </w:p>
    <w:p w14:paraId="0253514D" w14:textId="66BCDDF0" w:rsidR="00B25C7A" w:rsidRDefault="00000000">
      <w:pPr>
        <w:spacing w:after="22"/>
        <w:ind w:left="4" w:right="39"/>
      </w:pPr>
      <w:r>
        <w:rPr>
          <w:rFonts w:ascii="Arial" w:eastAsia="Arial" w:hAnsi="Arial" w:cs="Arial"/>
          <w:b/>
          <w:color w:val="1D1D1F"/>
          <w:sz w:val="44"/>
          <w:vertAlign w:val="subscript"/>
        </w:rPr>
        <w:t xml:space="preserve">Text of Legislation </w:t>
      </w:r>
    </w:p>
    <w:p w14:paraId="30D436E9" w14:textId="77777777" w:rsidR="00A96F17" w:rsidRDefault="00000000" w:rsidP="00A96F17">
      <w:pPr>
        <w:spacing w:after="222" w:line="248" w:lineRule="auto"/>
        <w:ind w:left="274" w:right="0"/>
        <w:jc w:val="both"/>
      </w:pPr>
      <w:r>
        <w:rPr>
          <w:rFonts w:ascii="Arial" w:eastAsia="Arial" w:hAnsi="Arial" w:cs="Arial"/>
          <w:color w:val="1D1D1F"/>
          <w:sz w:val="28"/>
        </w:rPr>
        <w:t>58. (1) An employer must pay an employee the following amount of</w:t>
      </w:r>
      <w:r w:rsidR="00A96F17">
        <w:t xml:space="preserve"> </w:t>
      </w:r>
      <w:r w:rsidR="00A96F17">
        <w:rPr>
          <w:sz w:val="32"/>
          <w:szCs w:val="32"/>
        </w:rPr>
        <w:t xml:space="preserve">vacation </w:t>
      </w:r>
      <w:proofErr w:type="gramStart"/>
      <w:r w:rsidR="00A96F17">
        <w:rPr>
          <w:sz w:val="32"/>
          <w:szCs w:val="32"/>
        </w:rPr>
        <w:t>pay</w:t>
      </w:r>
      <w:proofErr w:type="gramEnd"/>
      <w:r w:rsidR="00A96F17">
        <w:rPr>
          <w:sz w:val="32"/>
          <w:szCs w:val="32"/>
        </w:rPr>
        <w:t>:</w:t>
      </w:r>
    </w:p>
    <w:p w14:paraId="639537A2" w14:textId="15757F7E" w:rsidR="00B25C7A" w:rsidRDefault="00A96F17" w:rsidP="00A96F17">
      <w:pPr>
        <w:spacing w:after="222" w:line="248" w:lineRule="auto"/>
        <w:ind w:left="274" w:right="0" w:firstLine="446"/>
        <w:jc w:val="both"/>
        <w:rPr>
          <w:rFonts w:ascii="Arial" w:eastAsia="Arial" w:hAnsi="Arial" w:cs="Arial"/>
          <w:color w:val="1D1D1F"/>
          <w:sz w:val="28"/>
        </w:rPr>
      </w:pPr>
      <w:r>
        <w:rPr>
          <w:rFonts w:ascii="Arial" w:eastAsia="Arial" w:hAnsi="Arial" w:cs="Arial"/>
          <w:color w:val="1D1D1F"/>
          <w:sz w:val="28"/>
        </w:rPr>
        <w:t xml:space="preserve">(a) </w:t>
      </w:r>
      <w:r w:rsidR="00000000">
        <w:rPr>
          <w:rFonts w:ascii="Arial" w:eastAsia="Arial" w:hAnsi="Arial" w:cs="Arial"/>
          <w:color w:val="1D1D1F"/>
          <w:sz w:val="28"/>
        </w:rPr>
        <w:t>after 5 calendar days of employment, at least 4% of the employee's</w:t>
      </w:r>
      <w:r>
        <w:rPr>
          <w:rFonts w:ascii="Arial" w:eastAsia="Arial" w:hAnsi="Arial" w:cs="Arial"/>
          <w:color w:val="1D1D1F"/>
          <w:sz w:val="28"/>
        </w:rPr>
        <w:t xml:space="preserve"> </w:t>
      </w:r>
      <w:r>
        <w:rPr>
          <w:rFonts w:ascii="Arial" w:eastAsia="Arial" w:hAnsi="Arial" w:cs="Arial"/>
          <w:color w:val="1D1D1F"/>
          <w:sz w:val="28"/>
        </w:rPr>
        <w:t>total wages during the year of employment entitling the employee to the</w:t>
      </w:r>
      <w:r>
        <w:t xml:space="preserve"> </w:t>
      </w:r>
      <w:r>
        <w:rPr>
          <w:rFonts w:ascii="Arial" w:eastAsia="Arial" w:hAnsi="Arial" w:cs="Arial"/>
          <w:color w:val="1D1D1F"/>
          <w:sz w:val="28"/>
        </w:rPr>
        <w:t>vacation pay;</w:t>
      </w:r>
    </w:p>
    <w:p w14:paraId="03C8E0E3" w14:textId="6487CF0C" w:rsidR="00B25C7A" w:rsidRDefault="00A96F17" w:rsidP="00A96F17">
      <w:pPr>
        <w:spacing w:after="222" w:line="248" w:lineRule="auto"/>
        <w:ind w:left="274" w:right="0" w:firstLine="446"/>
        <w:jc w:val="both"/>
      </w:pPr>
      <w:r>
        <w:rPr>
          <w:rFonts w:ascii="Arial" w:eastAsia="Arial" w:hAnsi="Arial" w:cs="Arial"/>
          <w:color w:val="1D1D1F"/>
          <w:sz w:val="28"/>
        </w:rPr>
        <w:t xml:space="preserve">(b) </w:t>
      </w:r>
      <w:r w:rsidR="00000000">
        <w:rPr>
          <w:rFonts w:ascii="Arial" w:eastAsia="Arial" w:hAnsi="Arial" w:cs="Arial"/>
          <w:color w:val="1D1D1F"/>
          <w:sz w:val="28"/>
        </w:rPr>
        <w:t>after 5 consecutive years of employment, at least 6% of the</w:t>
      </w:r>
      <w:r>
        <w:rPr>
          <w:rFonts w:ascii="Arial" w:eastAsia="Arial" w:hAnsi="Arial" w:cs="Arial"/>
          <w:color w:val="1D1D1F"/>
          <w:sz w:val="28"/>
        </w:rPr>
        <w:t xml:space="preserve"> </w:t>
      </w:r>
      <w:r>
        <w:rPr>
          <w:rFonts w:ascii="Arial" w:eastAsia="Arial" w:hAnsi="Arial" w:cs="Arial"/>
          <w:color w:val="1D1D1F"/>
          <w:sz w:val="28"/>
        </w:rPr>
        <w:t>employee's total wages during the year of employment entitling th</w:t>
      </w:r>
      <w:r>
        <w:rPr>
          <w:rFonts w:ascii="Arial" w:eastAsia="Arial" w:hAnsi="Arial" w:cs="Arial"/>
          <w:color w:val="1D1D1F"/>
          <w:sz w:val="28"/>
        </w:rPr>
        <w:t xml:space="preserve">e </w:t>
      </w:r>
      <w:r w:rsidR="00000000">
        <w:rPr>
          <w:rFonts w:ascii="Arial" w:eastAsia="Arial" w:hAnsi="Arial" w:cs="Arial"/>
          <w:color w:val="1D1D1F"/>
          <w:sz w:val="28"/>
        </w:rPr>
        <w:t>employee to the vacation pay.</w:t>
      </w:r>
    </w:p>
    <w:p w14:paraId="509C2806" w14:textId="77777777" w:rsidR="00B25C7A" w:rsidRDefault="00000000">
      <w:pPr>
        <w:spacing w:after="50" w:line="248" w:lineRule="auto"/>
        <w:ind w:left="274" w:right="0"/>
        <w:jc w:val="both"/>
      </w:pPr>
      <w:r>
        <w:rPr>
          <w:rFonts w:ascii="Arial" w:eastAsia="Arial" w:hAnsi="Arial" w:cs="Arial"/>
          <w:color w:val="1D1D1F"/>
          <w:sz w:val="28"/>
        </w:rPr>
        <w:t>(2) Vacation pay must be paid to an employee</w:t>
      </w:r>
    </w:p>
    <w:p w14:paraId="237F031E" w14:textId="77777777" w:rsidR="00A96F17" w:rsidRDefault="00A96F17" w:rsidP="00A96F17">
      <w:pPr>
        <w:spacing w:after="216" w:line="301" w:lineRule="auto"/>
        <w:ind w:right="505" w:firstLine="245"/>
      </w:pPr>
      <w:r>
        <w:t xml:space="preserve"> </w:t>
      </w:r>
      <w:r>
        <w:tab/>
      </w:r>
      <w:r w:rsidR="00000000">
        <w:rPr>
          <w:rFonts w:ascii="Arial" w:eastAsia="Arial" w:hAnsi="Arial" w:cs="Arial"/>
          <w:color w:val="1D1D1F"/>
          <w:sz w:val="28"/>
        </w:rPr>
        <w:t>(a) at least 7 days before the beginning of the employee's annual vacation or</w:t>
      </w:r>
    </w:p>
    <w:p w14:paraId="669E4EC1" w14:textId="566B9241" w:rsidR="00B25C7A" w:rsidRPr="00A96F17" w:rsidRDefault="00A96F17" w:rsidP="00A96F17">
      <w:pPr>
        <w:spacing w:after="216" w:line="301" w:lineRule="auto"/>
        <w:ind w:right="505" w:firstLine="245"/>
        <w:rPr>
          <w:sz w:val="32"/>
          <w:szCs w:val="32"/>
        </w:rPr>
      </w:pPr>
      <w:r w:rsidRPr="00A96F17">
        <w:rPr>
          <w:sz w:val="32"/>
          <w:szCs w:val="32"/>
        </w:rPr>
        <w:t xml:space="preserve">(b) </w:t>
      </w:r>
      <w:r w:rsidR="00000000" w:rsidRPr="00A96F17">
        <w:rPr>
          <w:sz w:val="32"/>
          <w:szCs w:val="32"/>
        </w:rPr>
        <w:t>on the employee's scheduled paydays, if</w:t>
      </w:r>
    </w:p>
    <w:p w14:paraId="62401EB9" w14:textId="77777777" w:rsidR="00B25C7A" w:rsidRPr="00A96F17" w:rsidRDefault="00000000">
      <w:pPr>
        <w:numPr>
          <w:ilvl w:val="2"/>
          <w:numId w:val="2"/>
        </w:numPr>
        <w:spacing w:after="494" w:line="259" w:lineRule="auto"/>
        <w:ind w:right="39" w:hanging="330"/>
        <w:rPr>
          <w:sz w:val="32"/>
          <w:szCs w:val="32"/>
        </w:rPr>
      </w:pPr>
      <w:r w:rsidRPr="00A96F17">
        <w:rPr>
          <w:sz w:val="32"/>
          <w:szCs w:val="32"/>
        </w:rPr>
        <w:t>agreed in writing by the employer and the employee, or</w:t>
      </w:r>
    </w:p>
    <w:p w14:paraId="50E78C87" w14:textId="77777777" w:rsidR="00B25C7A" w:rsidRPr="00A96F17" w:rsidRDefault="00000000">
      <w:pPr>
        <w:numPr>
          <w:ilvl w:val="2"/>
          <w:numId w:val="2"/>
        </w:numPr>
        <w:spacing w:after="329" w:line="259" w:lineRule="auto"/>
        <w:ind w:right="39" w:hanging="330"/>
        <w:rPr>
          <w:sz w:val="32"/>
          <w:szCs w:val="32"/>
        </w:rPr>
      </w:pPr>
      <w:r w:rsidRPr="00A96F17">
        <w:rPr>
          <w:sz w:val="32"/>
          <w:szCs w:val="32"/>
        </w:rPr>
        <w:t>provided by the collective agreement.</w:t>
      </w:r>
    </w:p>
    <w:p w14:paraId="5E06F168" w14:textId="3DCDEB84" w:rsidR="00B25C7A" w:rsidRPr="00A96F17" w:rsidRDefault="00000000" w:rsidP="00A96F17">
      <w:pPr>
        <w:pStyle w:val="ListParagraph"/>
        <w:numPr>
          <w:ilvl w:val="0"/>
          <w:numId w:val="2"/>
        </w:numPr>
        <w:spacing w:after="0"/>
        <w:ind w:right="39"/>
        <w:rPr>
          <w:sz w:val="32"/>
          <w:szCs w:val="32"/>
        </w:rPr>
      </w:pPr>
      <w:r w:rsidRPr="00A96F17">
        <w:rPr>
          <w:sz w:val="32"/>
          <w:szCs w:val="32"/>
        </w:rPr>
        <w:t xml:space="preserve">Any vacation </w:t>
      </w:r>
      <w:proofErr w:type="gramStart"/>
      <w:r w:rsidRPr="00A96F17">
        <w:rPr>
          <w:sz w:val="32"/>
          <w:szCs w:val="32"/>
        </w:rPr>
        <w:t>pay</w:t>
      </w:r>
      <w:proofErr w:type="gramEnd"/>
      <w:r w:rsidRPr="00A96F17">
        <w:rPr>
          <w:sz w:val="32"/>
          <w:szCs w:val="32"/>
        </w:rPr>
        <w:t xml:space="preserve"> an employee is entitled to when the employment terminates must be</w:t>
      </w:r>
      <w:r w:rsidR="00A96F17">
        <w:rPr>
          <w:sz w:val="32"/>
          <w:szCs w:val="32"/>
        </w:rPr>
        <w:t xml:space="preserve"> </w:t>
      </w:r>
      <w:r w:rsidRPr="00A96F17">
        <w:rPr>
          <w:sz w:val="32"/>
          <w:szCs w:val="32"/>
        </w:rPr>
        <w:t>paid to the employee at the time set by section 18 for paying wages.</w:t>
      </w:r>
      <w:r w:rsidR="00A96F17">
        <w:rPr>
          <w:sz w:val="32"/>
          <w:szCs w:val="32"/>
        </w:rPr>
        <w:br/>
      </w:r>
    </w:p>
    <w:p w14:paraId="4B67FEDE" w14:textId="77777777" w:rsidR="00B25C7A" w:rsidRDefault="00000000">
      <w:pPr>
        <w:spacing w:after="294" w:line="259" w:lineRule="auto"/>
        <w:ind w:left="9" w:right="0" w:firstLine="0"/>
      </w:pPr>
      <w:r>
        <w:rPr>
          <w:rFonts w:cs="Calibri"/>
          <w:noProof/>
          <w:color w:val="000000"/>
          <w:sz w:val="22"/>
        </w:rPr>
        <mc:AlternateContent>
          <mc:Choice Requires="wpg">
            <w:drawing>
              <wp:inline distT="0" distB="0" distL="0" distR="0" wp14:anchorId="0BC7F027" wp14:editId="1054CD7B">
                <wp:extent cx="6457949" cy="9525"/>
                <wp:effectExtent l="0" t="0" r="0" b="0"/>
                <wp:docPr id="7337" name="Group 7337"/>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7815" name="Shape 7815"/>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7337" style="width:508.5pt;height:0.75pt;mso-position-horizontal-relative:char;mso-position-vertical-relative:line" coordsize="64579,95">
                <v:shape id="Shape 7816"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6FA96D8D" w14:textId="77777777" w:rsidR="00B25C7A" w:rsidRDefault="00000000">
      <w:pPr>
        <w:pStyle w:val="Heading2"/>
        <w:ind w:left="4"/>
      </w:pPr>
      <w:r>
        <w:lastRenderedPageBreak/>
        <w:t>Policy Interpretation</w:t>
      </w:r>
    </w:p>
    <w:p w14:paraId="51DCB16F" w14:textId="77777777" w:rsidR="00B25C7A" w:rsidRDefault="00000000">
      <w:pPr>
        <w:pStyle w:val="Heading3"/>
        <w:ind w:left="4"/>
      </w:pPr>
      <w:r>
        <w:t>Subsection (1)</w:t>
      </w:r>
    </w:p>
    <w:p w14:paraId="1A8FC8DE" w14:textId="77777777" w:rsidR="00B25C7A" w:rsidRDefault="00000000">
      <w:pPr>
        <w:ind w:left="4" w:right="39"/>
      </w:pPr>
      <w:r>
        <w:t>Employees are entitled to vacation pay after completing 5 calendar days of employment, regardless of the number of hours worked during that period.</w:t>
      </w:r>
    </w:p>
    <w:p w14:paraId="1919A273" w14:textId="77777777" w:rsidR="00B25C7A" w:rsidRDefault="00000000">
      <w:pPr>
        <w:pStyle w:val="Heading3"/>
        <w:ind w:left="619"/>
      </w:pPr>
      <w:r>
        <w:t>Example</w:t>
      </w:r>
    </w:p>
    <w:p w14:paraId="0779D94B" w14:textId="77777777" w:rsidR="00B25C7A" w:rsidRDefault="00000000">
      <w:pPr>
        <w:ind w:left="619" w:right="39"/>
      </w:pPr>
      <w:r>
        <w:t xml:space="preserve">Anisha is hired to work on Mondays and Tuesdays only. Anisha works four hours on Monday and four hours on Tuesday and is terminated on Saturday. Anisha is entitled to vacation pay because they were employed for more than five </w:t>
      </w:r>
      <w:r>
        <w:rPr>
          <w:rFonts w:cs="Calibri"/>
          <w:b/>
        </w:rPr>
        <w:t>calendar</w:t>
      </w:r>
      <w:r>
        <w:t xml:space="preserve"> days.</w:t>
      </w:r>
    </w:p>
    <w:p w14:paraId="6891B89B" w14:textId="77777777" w:rsidR="00B25C7A" w:rsidRDefault="00000000">
      <w:pPr>
        <w:spacing w:after="394"/>
        <w:ind w:left="4" w:right="39"/>
      </w:pPr>
      <w:r>
        <w:t>Employees must receive at least 4% of their total wages for vacation pay until they have been employed for five consecutive years, at which time they must receive at least 6% vacation pay.</w:t>
      </w:r>
    </w:p>
    <w:p w14:paraId="39641283" w14:textId="77777777" w:rsidR="00B25C7A" w:rsidRDefault="00000000">
      <w:pPr>
        <w:pStyle w:val="Heading3"/>
        <w:ind w:left="4"/>
      </w:pPr>
      <w:r>
        <w:t>Vacation Pay</w:t>
      </w:r>
    </w:p>
    <w:p w14:paraId="4F26FD43" w14:textId="77777777" w:rsidR="00B25C7A" w:rsidRDefault="00000000">
      <w:pPr>
        <w:ind w:left="4" w:right="39"/>
      </w:pPr>
      <w:r>
        <w:t>An employee is entitled to two weeks' vacation after completion of their first year of employment. The vacation time is to be taken during the second year of employment, with the vacation pay calculated as 4% of total wages earned in the first year. Paid vacation pay becomes part of total wages for the year it is paid. Vacation pay in subsequent years is based on 4% of the total wages in the previous year. After completion of five years of employment, the employee becomes entitled to three weeks' vacation, with 6% vacation pay based on total wages from the fifth year of employment. In the following years, an employee’s vacation entitlement remains at three weeks' vacation with 6% vacation pay, based on the previous year’s total wages.</w:t>
      </w:r>
    </w:p>
    <w:p w14:paraId="25CECCBB" w14:textId="77777777" w:rsidR="00B25C7A" w:rsidRDefault="00000000">
      <w:pPr>
        <w:pStyle w:val="Heading3"/>
        <w:ind w:left="4"/>
      </w:pPr>
      <w:r>
        <w:t>Total Wages</w:t>
      </w:r>
    </w:p>
    <w:p w14:paraId="0990F02A" w14:textId="77777777" w:rsidR="00B25C7A" w:rsidRDefault="00000000">
      <w:pPr>
        <w:spacing w:after="394"/>
        <w:ind w:left="4" w:right="39"/>
      </w:pPr>
      <w:r>
        <w:t xml:space="preserve">The wages used for calculating vacation pay includes all money paid by an employer to an employee which meets the definition of “wages” under s.1 of the Act. This also includes overtime, statutory holiday pay, sick pay required by this Act, bonuses that meet the definition of “wages” and previously paid vacation pay. Total wages also </w:t>
      </w:r>
      <w:proofErr w:type="gramStart"/>
      <w:r>
        <w:t>includes</w:t>
      </w:r>
      <w:proofErr w:type="gramEnd"/>
      <w:r>
        <w:t xml:space="preserve"> compensation for length of service under s.63 and termination pay under s.64.</w:t>
      </w:r>
    </w:p>
    <w:p w14:paraId="185A20A6" w14:textId="77777777" w:rsidR="00B25C7A" w:rsidRDefault="00000000">
      <w:pPr>
        <w:pStyle w:val="Heading3"/>
        <w:ind w:left="4"/>
      </w:pPr>
      <w:r>
        <w:lastRenderedPageBreak/>
        <w:t>Calculation of vacation pay</w:t>
      </w:r>
    </w:p>
    <w:p w14:paraId="54A34C48" w14:textId="77777777" w:rsidR="00B25C7A" w:rsidRDefault="00000000">
      <w:pPr>
        <w:spacing w:after="394"/>
        <w:ind w:left="4" w:right="39"/>
      </w:pPr>
      <w:r>
        <w:t xml:space="preserve">An employee becomes entitled to 6% vacation pay at the </w:t>
      </w:r>
      <w:r>
        <w:rPr>
          <w:rFonts w:cs="Calibri"/>
          <w:b/>
        </w:rPr>
        <w:t>completion</w:t>
      </w:r>
      <w:r>
        <w:t xml:space="preserve"> of their fifth year of employment. If an employee has </w:t>
      </w:r>
      <w:r>
        <w:rPr>
          <w:rFonts w:cs="Calibri"/>
          <w:b/>
        </w:rPr>
        <w:t>not completed</w:t>
      </w:r>
      <w:r>
        <w:t xml:space="preserve"> their fifth year of consecutive employment, and their employment ends, the vacation pay is based on 4% of gross earnings in the fifth year of employment. Vacation pay for an employee who </w:t>
      </w:r>
      <w:r>
        <w:rPr>
          <w:rFonts w:cs="Calibri"/>
          <w:b/>
        </w:rPr>
        <w:t xml:space="preserve">completes </w:t>
      </w:r>
      <w:r>
        <w:t>five years of employment is calculated as 6% of the gross wages earned by the employee during the fifth year of employment.</w:t>
      </w:r>
    </w:p>
    <w:p w14:paraId="17B2470B" w14:textId="77777777" w:rsidR="00B25C7A" w:rsidRDefault="00000000">
      <w:pPr>
        <w:pStyle w:val="Heading3"/>
        <w:ind w:left="4"/>
      </w:pPr>
      <w:r>
        <w:t>Vacation Pay in Excess of Minimum Standards</w:t>
      </w:r>
    </w:p>
    <w:p w14:paraId="2D5C1F27" w14:textId="77777777" w:rsidR="00B25C7A" w:rsidRDefault="00000000">
      <w:pPr>
        <w:ind w:left="4" w:right="39"/>
      </w:pPr>
      <w:r>
        <w:t>The Director will enforce a vacation pay entitlement established under an employment contract if it is greater than the minimum standard set out in the Act. This is because the wording of section 58(1) refers to “at least” 4% or 6%.</w:t>
      </w:r>
    </w:p>
    <w:p w14:paraId="4223F0D0" w14:textId="77777777" w:rsidR="00B25C7A" w:rsidRDefault="00000000">
      <w:pPr>
        <w:pStyle w:val="Heading3"/>
        <w:ind w:left="619"/>
      </w:pPr>
      <w:r>
        <w:t>Example</w:t>
      </w:r>
    </w:p>
    <w:p w14:paraId="77DA26A3" w14:textId="77777777" w:rsidR="00B25C7A" w:rsidRDefault="00000000">
      <w:pPr>
        <w:spacing w:after="394"/>
        <w:ind w:left="619" w:right="39"/>
      </w:pPr>
      <w:r>
        <w:t>When an employee started work at the hardware store in June, they were told that four weeks' vacation and 8% vacation pay would be given during their first year. The employee requests four weeks' vacation in November, which is granted, and receives 8% of the first years' wages as vacation pay at that time. The employee quits the following May. They are not entitled to any vacation pay upon termination because the year’s vacation entitlement has been taken.</w:t>
      </w:r>
    </w:p>
    <w:p w14:paraId="07093B92" w14:textId="77777777" w:rsidR="00B25C7A" w:rsidRDefault="00000000">
      <w:pPr>
        <w:ind w:left="619" w:right="39"/>
      </w:pPr>
      <w:r>
        <w:t>If the employee quits after their first anniversary date, then any vacation pay owing would be based on total gross earnings, less the vacation pay received in November.</w:t>
      </w:r>
    </w:p>
    <w:p w14:paraId="083F095D" w14:textId="77777777" w:rsidR="00B25C7A" w:rsidRDefault="00000000">
      <w:pPr>
        <w:ind w:left="619" w:right="39"/>
      </w:pPr>
      <w:r>
        <w:t>If the employee does not take a vacation and quits before completing their first year of employment, they are entitled to receive 8% of total wages on termination, as per the terms of their employment contract.</w:t>
      </w:r>
    </w:p>
    <w:p w14:paraId="7556E689" w14:textId="77777777" w:rsidR="00B25C7A" w:rsidRDefault="00000000">
      <w:pPr>
        <w:pStyle w:val="Heading3"/>
        <w:ind w:left="4"/>
      </w:pPr>
      <w:r>
        <w:t>Commission Earnings</w:t>
      </w:r>
    </w:p>
    <w:p w14:paraId="21D706FD" w14:textId="77777777" w:rsidR="00B25C7A" w:rsidRDefault="00000000">
      <w:pPr>
        <w:spacing w:after="491" w:line="260" w:lineRule="auto"/>
        <w:ind w:left="4" w:right="0"/>
      </w:pPr>
      <w:r>
        <w:rPr>
          <w:rFonts w:cs="Calibri"/>
          <w:b/>
        </w:rPr>
        <w:t>A salesperson paid entirely or partly by commission is entitled to vacation pay.</w:t>
      </w:r>
    </w:p>
    <w:p w14:paraId="5133DD11" w14:textId="77777777" w:rsidR="00B25C7A" w:rsidRDefault="00000000">
      <w:pPr>
        <w:spacing w:after="394"/>
        <w:ind w:left="4" w:right="39"/>
      </w:pPr>
      <w:r>
        <w:t xml:space="preserve">Commissioned employees may have commission payments become payable while they are on vacation. Such amounts are wages for work previously performed.  The payment of earned wages for work previously performed cannot be treated as vacation pay simply because the employee was on vacation </w:t>
      </w:r>
      <w:r>
        <w:lastRenderedPageBreak/>
        <w:t>at the time the wages were paid, such as in the case of a commission contract where commissions become payable when a customer takes delivery of goods. An employee who receives commission payments after employment terminates is also entitled to receive vacation pay on those subsequent payments.</w:t>
      </w:r>
    </w:p>
    <w:p w14:paraId="4DB4C81E" w14:textId="77777777" w:rsidR="00B25C7A" w:rsidRDefault="00000000">
      <w:pPr>
        <w:pStyle w:val="Heading3"/>
        <w:ind w:left="4"/>
      </w:pPr>
      <w:r>
        <w:t>Salaries</w:t>
      </w:r>
    </w:p>
    <w:p w14:paraId="2B6DF2CD" w14:textId="77777777" w:rsidR="00B25C7A" w:rsidRDefault="00000000">
      <w:pPr>
        <w:spacing w:after="394"/>
        <w:ind w:left="4" w:right="39"/>
      </w:pPr>
      <w:r>
        <w:t xml:space="preserve">If employers continue paying salaried employees during their vacation period when no work is being performed by the employee, this </w:t>
      </w:r>
      <w:proofErr w:type="gramStart"/>
      <w:r>
        <w:t>is considered to be</w:t>
      </w:r>
      <w:proofErr w:type="gramEnd"/>
      <w:r>
        <w:t xml:space="preserve"> vacation pay. The salary received during the vacation must equal at least 4% or 6% of gross earnings, whichever is applicable, as set out above in subsection (1).</w:t>
      </w:r>
    </w:p>
    <w:p w14:paraId="34087C63" w14:textId="77777777" w:rsidR="00B25C7A" w:rsidRDefault="00000000">
      <w:pPr>
        <w:pStyle w:val="Heading3"/>
        <w:ind w:left="4"/>
      </w:pPr>
      <w:r>
        <w:t>Vacation pay after leave</w:t>
      </w:r>
    </w:p>
    <w:p w14:paraId="4498BA9B" w14:textId="77777777" w:rsidR="00B25C7A" w:rsidRDefault="00000000">
      <w:pPr>
        <w:ind w:left="4" w:right="39"/>
      </w:pPr>
      <w:r>
        <w:t>Any employee leave of absence, including leave under Part 6, or any other employer authorized leave of absence is included when determining continuous employment for vacation entitlement. Examples of other leaves include medical leave and education leave.</w:t>
      </w:r>
    </w:p>
    <w:p w14:paraId="323BA194" w14:textId="77777777" w:rsidR="00B25C7A" w:rsidRDefault="00000000">
      <w:pPr>
        <w:pStyle w:val="Heading3"/>
        <w:ind w:left="619"/>
      </w:pPr>
      <w:r>
        <w:t>Example</w:t>
      </w:r>
    </w:p>
    <w:p w14:paraId="34B2795E" w14:textId="77777777" w:rsidR="00B25C7A" w:rsidRDefault="00000000">
      <w:pPr>
        <w:ind w:left="619" w:right="39"/>
      </w:pPr>
      <w:r>
        <w:t xml:space="preserve">During their first year of employment, an employee goes on maternity leave after working three months. They return to work in their second year of employment. The employee is entitled to at least two weeks of vacation time accrued during their first year of employment. Annual vacation pay pursuant to section 58 in this example is calculated as 4% of the total wages they earned in their first year of employment, which in this case is three months' wages. As such, the vacation pay will be less than if the employee had worked the entire year. The leave of absence does not affect accrued vacation </w:t>
      </w:r>
      <w:proofErr w:type="gramStart"/>
      <w:r>
        <w:t>time,</w:t>
      </w:r>
      <w:proofErr w:type="gramEnd"/>
      <w:r>
        <w:t xml:space="preserve"> it just reduces the amount of vacation pay the employee will receive.</w:t>
      </w:r>
    </w:p>
    <w:p w14:paraId="3DE6D361" w14:textId="77777777" w:rsidR="00B25C7A" w:rsidRDefault="00000000">
      <w:pPr>
        <w:ind w:left="4" w:right="39"/>
      </w:pPr>
      <w:r>
        <w:t>If the conditions of employment require an employer to pay an employee vacation pay based on vacation time accrued, the vacation pay would not be reduced. The Director would enforce the vacation payment provided in the employment contract.</w:t>
      </w:r>
    </w:p>
    <w:p w14:paraId="5B480DF9" w14:textId="77777777" w:rsidR="00B25C7A" w:rsidRDefault="00000000">
      <w:pPr>
        <w:spacing w:after="491" w:line="260" w:lineRule="auto"/>
        <w:ind w:left="4" w:right="0"/>
      </w:pPr>
      <w:r>
        <w:rPr>
          <w:rFonts w:cs="Calibri"/>
          <w:b/>
        </w:rPr>
        <w:t>Subsection (2)</w:t>
      </w:r>
    </w:p>
    <w:p w14:paraId="764CEC36" w14:textId="77777777" w:rsidR="00B25C7A" w:rsidRDefault="00000000">
      <w:pPr>
        <w:pStyle w:val="Heading3"/>
        <w:ind w:left="4"/>
      </w:pPr>
      <w:r>
        <w:lastRenderedPageBreak/>
        <w:t>Timing of payment</w:t>
      </w:r>
    </w:p>
    <w:p w14:paraId="000EBCE5" w14:textId="77777777" w:rsidR="00B25C7A" w:rsidRDefault="00000000">
      <w:pPr>
        <w:spacing w:after="394"/>
        <w:ind w:left="4" w:right="39"/>
      </w:pPr>
      <w:r>
        <w:t>Under s.58(2)(a), vacation pay must be paid to an employee "at least 7 days before the beginning of the employee’s vacation". This provision is to ensure that an employee has use of earned vacation pay on their holidays.</w:t>
      </w:r>
    </w:p>
    <w:p w14:paraId="5071589C" w14:textId="77777777" w:rsidR="00B25C7A" w:rsidRDefault="00000000">
      <w:pPr>
        <w:spacing w:after="394"/>
        <w:ind w:left="4" w:right="39"/>
      </w:pPr>
      <w:r>
        <w:t>In accordance with s.27 of the Act, vacation pay should be identified on the wage statement. Section 28(l) of the Act also requires an employer to maintain a record of “the dates of the annual vacation taken by the employee, the amounts paid by the employer and the days and amounts owing”.</w:t>
      </w:r>
    </w:p>
    <w:p w14:paraId="27613416" w14:textId="77777777" w:rsidR="00B25C7A" w:rsidRDefault="00000000">
      <w:pPr>
        <w:spacing w:after="491" w:line="260" w:lineRule="auto"/>
        <w:ind w:left="4" w:right="0"/>
      </w:pPr>
      <w:r>
        <w:rPr>
          <w:rFonts w:cs="Calibri"/>
          <w:b/>
        </w:rPr>
        <w:t>Subsection (2)(b)</w:t>
      </w:r>
    </w:p>
    <w:p w14:paraId="5718082F" w14:textId="77777777" w:rsidR="00B25C7A" w:rsidRDefault="00000000">
      <w:pPr>
        <w:pStyle w:val="Heading3"/>
        <w:ind w:left="4"/>
      </w:pPr>
      <w:r>
        <w:t>When an employee is paid on each scheduled payday</w:t>
      </w:r>
    </w:p>
    <w:p w14:paraId="4FFEC4E5" w14:textId="77777777" w:rsidR="00B25C7A" w:rsidRDefault="00000000">
      <w:pPr>
        <w:ind w:left="4" w:right="39"/>
      </w:pPr>
      <w:r>
        <w:t xml:space="preserve">An employee and employer may agree, </w:t>
      </w:r>
      <w:r>
        <w:rPr>
          <w:rFonts w:cs="Calibri"/>
          <w:b/>
        </w:rPr>
        <w:t>in writing</w:t>
      </w:r>
      <w:r>
        <w:t>, that the employee will receive their vacation pay on every scheduled payday. However, when vacation pay is paid on each pay period, the employee will be entitled to an adjustment upon reaching their fifth anniversary.</w:t>
      </w:r>
    </w:p>
    <w:p w14:paraId="7BD46C84" w14:textId="77777777" w:rsidR="00B25C7A" w:rsidRDefault="00000000">
      <w:pPr>
        <w:pStyle w:val="Heading3"/>
        <w:ind w:left="619"/>
      </w:pPr>
      <w:r>
        <w:t>Example</w:t>
      </w:r>
    </w:p>
    <w:p w14:paraId="1F53F04D" w14:textId="77777777" w:rsidR="00B25C7A" w:rsidRDefault="00000000">
      <w:pPr>
        <w:ind w:left="619" w:right="39"/>
      </w:pPr>
      <w:r>
        <w:t xml:space="preserve">An employee is paid 4% vacation pay on every cheque. Upon completion of their fifth year of employment, the employee receives 6% vacation pay on each cheque. They also receive a one-time 2% vacation pay adjustment based on total gross earnings during the fifth year of employment. The 2% vacation pay adjustment, which the employee becomes entitled to upon </w:t>
      </w:r>
      <w:r>
        <w:rPr>
          <w:rFonts w:cs="Calibri"/>
          <w:b/>
        </w:rPr>
        <w:t>completion</w:t>
      </w:r>
      <w:r>
        <w:t xml:space="preserve"> of their fifth year of employment (employment anniversary) should be paid on the first payday following the completion of the fifth year of employment. Payment of the 2% adjustment ensures that the employee has received 6% vacation pay when they take their next annual vacation.</w:t>
      </w:r>
    </w:p>
    <w:p w14:paraId="72368679" w14:textId="77777777" w:rsidR="00B25C7A" w:rsidRDefault="00000000">
      <w:pPr>
        <w:spacing w:after="491" w:line="260" w:lineRule="auto"/>
        <w:ind w:left="4" w:right="0"/>
      </w:pPr>
      <w:r>
        <w:rPr>
          <w:rFonts w:cs="Calibri"/>
          <w:b/>
        </w:rPr>
        <w:t>Subsection (3)</w:t>
      </w:r>
    </w:p>
    <w:p w14:paraId="30D1BB41" w14:textId="77777777" w:rsidR="00B25C7A" w:rsidRDefault="00000000">
      <w:pPr>
        <w:pStyle w:val="Heading3"/>
        <w:ind w:left="4"/>
      </w:pPr>
      <w:r>
        <w:t>Termination</w:t>
      </w:r>
    </w:p>
    <w:p w14:paraId="79098AA5" w14:textId="77777777" w:rsidR="00B25C7A" w:rsidRDefault="00000000">
      <w:pPr>
        <w:ind w:left="4" w:right="39"/>
      </w:pPr>
      <w:r>
        <w:t>Money paid for compensation in lieu of written notice under s.63 and group termination pay under s.64 is included in the calculation of vacation pay. Section 18 of the Act requires that all wages, including vacation pay, is payable as follows:</w:t>
      </w:r>
    </w:p>
    <w:p w14:paraId="7E18DA91" w14:textId="77777777" w:rsidR="00B25C7A" w:rsidRDefault="00000000">
      <w:pPr>
        <w:spacing w:after="120" w:line="430" w:lineRule="auto"/>
        <w:ind w:left="349" w:right="1737"/>
      </w:pPr>
      <w:r>
        <w:rPr>
          <w:rFonts w:cs="Calibri"/>
          <w:noProof/>
          <w:color w:val="000000"/>
          <w:sz w:val="22"/>
        </w:rPr>
        <w:lastRenderedPageBreak/>
        <mc:AlternateContent>
          <mc:Choice Requires="wpg">
            <w:drawing>
              <wp:anchor distT="0" distB="0" distL="114300" distR="114300" simplePos="0" relativeHeight="251659264" behindDoc="0" locked="0" layoutInCell="1" allowOverlap="1" wp14:anchorId="205B9BD6" wp14:editId="75762466">
                <wp:simplePos x="0" y="0"/>
                <wp:positionH relativeFrom="column">
                  <wp:posOffset>214959</wp:posOffset>
                </wp:positionH>
                <wp:positionV relativeFrom="paragraph">
                  <wp:posOffset>86720</wp:posOffset>
                </wp:positionV>
                <wp:extent cx="57150" cy="390525"/>
                <wp:effectExtent l="0" t="0" r="0" b="0"/>
                <wp:wrapSquare wrapText="bothSides"/>
                <wp:docPr id="6533" name="Group 6533"/>
                <wp:cNvGraphicFramePr/>
                <a:graphic xmlns:a="http://schemas.openxmlformats.org/drawingml/2006/main">
                  <a:graphicData uri="http://schemas.microsoft.com/office/word/2010/wordprocessingGroup">
                    <wpg:wgp>
                      <wpg:cNvGrpSpPr/>
                      <wpg:grpSpPr>
                        <a:xfrm>
                          <a:off x="0" y="0"/>
                          <a:ext cx="57150" cy="390525"/>
                          <a:chOff x="0" y="0"/>
                          <a:chExt cx="57150" cy="390525"/>
                        </a:xfrm>
                      </wpg:grpSpPr>
                      <wps:wsp>
                        <wps:cNvPr id="944" name="Shape 944"/>
                        <wps:cNvSpPr/>
                        <wps:spPr>
                          <a:xfrm>
                            <a:off x="0" y="0"/>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4"/>
                                  <a:pt x="56425" y="36007"/>
                                  <a:pt x="54975" y="39505"/>
                                </a:cubicBezTo>
                                <a:cubicBezTo>
                                  <a:pt x="53525" y="43005"/>
                                  <a:pt x="51460" y="46093"/>
                                  <a:pt x="48781" y="48772"/>
                                </a:cubicBezTo>
                                <a:cubicBezTo>
                                  <a:pt x="46101" y="51451"/>
                                  <a:pt x="43011" y="53516"/>
                                  <a:pt x="39510" y="54967"/>
                                </a:cubicBezTo>
                                <a:cubicBezTo>
                                  <a:pt x="36009" y="56418"/>
                                  <a:pt x="32364" y="57144"/>
                                  <a:pt x="28575" y="57150"/>
                                </a:cubicBezTo>
                                <a:cubicBezTo>
                                  <a:pt x="24786" y="57144"/>
                                  <a:pt x="21141" y="56418"/>
                                  <a:pt x="17640" y="54967"/>
                                </a:cubicBezTo>
                                <a:cubicBezTo>
                                  <a:pt x="14139" y="53516"/>
                                  <a:pt x="11049" y="51451"/>
                                  <a:pt x="8369" y="48772"/>
                                </a:cubicBezTo>
                                <a:cubicBezTo>
                                  <a:pt x="5690" y="46093"/>
                                  <a:pt x="3625" y="43005"/>
                                  <a:pt x="2175" y="39505"/>
                                </a:cubicBezTo>
                                <a:cubicBezTo>
                                  <a:pt x="725" y="36007"/>
                                  <a:pt x="0" y="32364"/>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s:wsp>
                        <wps:cNvPr id="946" name="Shape 946"/>
                        <wps:cNvSpPr/>
                        <wps:spPr>
                          <a:xfrm>
                            <a:off x="0" y="333375"/>
                            <a:ext cx="57150" cy="57150"/>
                          </a:xfrm>
                          <a:custGeom>
                            <a:avLst/>
                            <a:gdLst/>
                            <a:ahLst/>
                            <a:cxnLst/>
                            <a:rect l="0" t="0" r="0" b="0"/>
                            <a:pathLst>
                              <a:path w="57150" h="57150">
                                <a:moveTo>
                                  <a:pt x="28575" y="0"/>
                                </a:moveTo>
                                <a:cubicBezTo>
                                  <a:pt x="32364" y="0"/>
                                  <a:pt x="36009" y="726"/>
                                  <a:pt x="39510" y="2170"/>
                                </a:cubicBezTo>
                                <a:cubicBezTo>
                                  <a:pt x="43011" y="3621"/>
                                  <a:pt x="46101" y="5686"/>
                                  <a:pt x="48781" y="8365"/>
                                </a:cubicBezTo>
                                <a:cubicBezTo>
                                  <a:pt x="51460" y="11044"/>
                                  <a:pt x="53525" y="14132"/>
                                  <a:pt x="54975" y="17636"/>
                                </a:cubicBezTo>
                                <a:cubicBezTo>
                                  <a:pt x="56425" y="21137"/>
                                  <a:pt x="57150" y="24783"/>
                                  <a:pt x="57150" y="28575"/>
                                </a:cubicBezTo>
                                <a:cubicBezTo>
                                  <a:pt x="57150" y="32361"/>
                                  <a:pt x="56425" y="36001"/>
                                  <a:pt x="54975" y="39505"/>
                                </a:cubicBezTo>
                                <a:cubicBezTo>
                                  <a:pt x="53525" y="43002"/>
                                  <a:pt x="51460" y="46090"/>
                                  <a:pt x="48781" y="48772"/>
                                </a:cubicBezTo>
                                <a:cubicBezTo>
                                  <a:pt x="46101" y="51448"/>
                                  <a:pt x="43011" y="53513"/>
                                  <a:pt x="39510" y="54964"/>
                                </a:cubicBezTo>
                                <a:cubicBezTo>
                                  <a:pt x="36009" y="56418"/>
                                  <a:pt x="32364" y="57144"/>
                                  <a:pt x="28575" y="57150"/>
                                </a:cubicBezTo>
                                <a:cubicBezTo>
                                  <a:pt x="24786" y="57144"/>
                                  <a:pt x="21141" y="56418"/>
                                  <a:pt x="17640" y="54964"/>
                                </a:cubicBezTo>
                                <a:cubicBezTo>
                                  <a:pt x="14139" y="53513"/>
                                  <a:pt x="11049" y="51448"/>
                                  <a:pt x="8369" y="48772"/>
                                </a:cubicBezTo>
                                <a:cubicBezTo>
                                  <a:pt x="5690" y="46090"/>
                                  <a:pt x="3625" y="43002"/>
                                  <a:pt x="2175" y="39505"/>
                                </a:cubicBezTo>
                                <a:cubicBezTo>
                                  <a:pt x="725" y="36001"/>
                                  <a:pt x="0" y="32361"/>
                                  <a:pt x="0" y="28575"/>
                                </a:cubicBezTo>
                                <a:cubicBezTo>
                                  <a:pt x="0" y="24783"/>
                                  <a:pt x="725" y="21137"/>
                                  <a:pt x="2175" y="17636"/>
                                </a:cubicBezTo>
                                <a:cubicBezTo>
                                  <a:pt x="3625" y="14132"/>
                                  <a:pt x="5690" y="11044"/>
                                  <a:pt x="8369" y="8365"/>
                                </a:cubicBezTo>
                                <a:cubicBezTo>
                                  <a:pt x="11049" y="5686"/>
                                  <a:pt x="14139" y="3621"/>
                                  <a:pt x="17640" y="2170"/>
                                </a:cubicBezTo>
                                <a:cubicBezTo>
                                  <a:pt x="21141" y="726"/>
                                  <a:pt x="24786" y="0"/>
                                  <a:pt x="28575" y="0"/>
                                </a:cubicBezTo>
                                <a:close/>
                              </a:path>
                            </a:pathLst>
                          </a:custGeom>
                          <a:ln w="0" cap="flat">
                            <a:miter lim="127000"/>
                          </a:ln>
                        </wps:spPr>
                        <wps:style>
                          <a:lnRef idx="0">
                            <a:srgbClr val="000000">
                              <a:alpha val="0"/>
                            </a:srgbClr>
                          </a:lnRef>
                          <a:fillRef idx="1">
                            <a:srgbClr val="292929"/>
                          </a:fillRef>
                          <a:effectRef idx="0">
                            <a:scrgbClr r="0" g="0" b="0"/>
                          </a:effectRef>
                          <a:fontRef idx="none"/>
                        </wps:style>
                        <wps:bodyPr/>
                      </wps:wsp>
                    </wpg:wgp>
                  </a:graphicData>
                </a:graphic>
              </wp:anchor>
            </w:drawing>
          </mc:Choice>
          <mc:Fallback xmlns:a="http://schemas.openxmlformats.org/drawingml/2006/main">
            <w:pict>
              <v:group id="Group 6533" style="width:4.5pt;height:30.75pt;position:absolute;mso-position-horizontal-relative:text;mso-position-horizontal:absolute;margin-left:16.9259pt;mso-position-vertical-relative:text;margin-top:6.82837pt;" coordsize="571,3905">
                <v:shape id="Shape 944" style="position:absolute;width:571;height:571;left:0;top:0;" coordsize="57150,57150" path="m28575,0c32364,0,36009,726,39510,2170c43011,3621,46101,5686,48781,8365c51460,11044,53525,14132,54975,17636c56425,21137,57150,24783,57150,28575c57150,32364,56425,36007,54975,39505c53525,43005,51460,46093,48781,48772c46101,51451,43011,53516,39510,54967c36009,56418,32364,57144,28575,57150c24786,57144,21141,56418,17640,54967c14139,53516,11049,51451,8369,48772c5690,46093,3625,43005,2175,39505c725,36007,0,32364,0,28575c0,24783,725,21137,2175,17636c3625,14132,5690,11044,8369,8365c11049,5686,14139,3621,17640,2170c21141,726,24786,0,28575,0x">
                  <v:stroke weight="0pt" endcap="flat" joinstyle="miter" miterlimit="10" on="false" color="#000000" opacity="0"/>
                  <v:fill on="true" color="#292929"/>
                </v:shape>
                <v:shape id="Shape 946" style="position:absolute;width:571;height:571;left:0;top:3333;" coordsize="57150,57150" path="m28575,0c32364,0,36009,726,39510,2170c43011,3621,46101,5686,48781,8365c51460,11044,53525,14132,54975,17636c56425,21137,57150,24783,57150,28575c57150,32361,56425,36001,54975,39505c53525,43002,51460,46090,48781,48772c46101,51448,43011,53513,39510,54964c36009,56418,32364,57144,28575,57150c24786,57144,21141,56418,17640,54964c14139,53513,11049,51448,8369,48772c5690,46090,3625,43002,2175,39505c725,36001,0,32361,0,28575c0,24783,725,21137,2175,17636c3625,14132,5690,11044,8369,8365c11049,5686,14139,3621,17640,2170c21141,726,24786,0,28575,0x">
                  <v:stroke weight="0pt" endcap="flat" joinstyle="miter" miterlimit="10" on="false" color="#000000" opacity="0"/>
                  <v:fill on="true" color="#292929"/>
                </v:shape>
                <w10:wrap type="square"/>
              </v:group>
            </w:pict>
          </mc:Fallback>
        </mc:AlternateContent>
      </w:r>
      <w:r>
        <w:t>within 48 hours after the employer terminates the employment; within six days after the employee terminates the employment.</w:t>
      </w:r>
    </w:p>
    <w:p w14:paraId="1A85EBD5" w14:textId="77777777" w:rsidR="00B25C7A" w:rsidRDefault="00000000">
      <w:pPr>
        <w:spacing w:after="394"/>
        <w:ind w:left="4" w:right="39"/>
      </w:pPr>
      <w:r>
        <w:t>An employee who becomes entitled to additional “earned wages” after termination, such as a commission in accordance with their employment contract, is entitled to receive vacation pay on those payments. These wages must be paid to an employee when they become due.</w:t>
      </w:r>
    </w:p>
    <w:p w14:paraId="1EB5074C" w14:textId="77777777" w:rsidR="00B25C7A" w:rsidRDefault="00000000">
      <w:pPr>
        <w:pStyle w:val="Heading3"/>
        <w:ind w:left="4"/>
      </w:pPr>
      <w:r>
        <w:t>Limitations on Collection of Vacation Pay</w:t>
      </w:r>
    </w:p>
    <w:p w14:paraId="21E5BBF0" w14:textId="77777777" w:rsidR="00B25C7A" w:rsidRDefault="00000000">
      <w:pPr>
        <w:spacing w:after="394"/>
        <w:ind w:left="4" w:right="39"/>
      </w:pPr>
      <w:r>
        <w:t>Terminated employees can claim past vacation pay entitlements subject to certain time limits. The amount of vacation pay that can be claimed under the Act is determined by the employee's anniversary date, the dates vacations were taken and the date of termination.</w:t>
      </w:r>
    </w:p>
    <w:p w14:paraId="0567AB0D" w14:textId="77777777" w:rsidR="00B25C7A" w:rsidRDefault="00000000">
      <w:pPr>
        <w:spacing w:after="394"/>
        <w:ind w:left="4" w:right="39"/>
      </w:pPr>
      <w:r>
        <w:t xml:space="preserve">Section 80 of the Act limits recovery of wages to those wages which become </w:t>
      </w:r>
      <w:r>
        <w:rPr>
          <w:rFonts w:cs="Calibri"/>
          <w:b/>
        </w:rPr>
        <w:t xml:space="preserve">payable </w:t>
      </w:r>
      <w:r>
        <w:t>within 12 months of the date of the complaint or termination of employment, whichever is earlier.</w:t>
      </w:r>
    </w:p>
    <w:p w14:paraId="7519C26C" w14:textId="77777777" w:rsidR="00B25C7A" w:rsidRDefault="00000000">
      <w:pPr>
        <w:spacing w:after="494" w:line="259" w:lineRule="auto"/>
        <w:ind w:left="4" w:right="39"/>
      </w:pPr>
      <w:r>
        <w:t>The maximum vacation pay entitlement could be up to 36 months less a day.</w:t>
      </w:r>
    </w:p>
    <w:p w14:paraId="7844ABFB" w14:textId="77777777" w:rsidR="00B25C7A" w:rsidRDefault="00000000">
      <w:pPr>
        <w:spacing w:after="494" w:line="259" w:lineRule="auto"/>
        <w:ind w:left="4" w:right="39"/>
      </w:pPr>
      <w:r>
        <w:t>See s.80 for information on limits to vacation pay recovery under the Act.</w:t>
      </w:r>
    </w:p>
    <w:p w14:paraId="7D86BB09" w14:textId="77777777" w:rsidR="00B25C7A" w:rsidRDefault="00000000">
      <w:pPr>
        <w:pStyle w:val="Heading3"/>
        <w:ind w:left="4"/>
      </w:pPr>
      <w:r>
        <w:t>Employees covered by a collective agreement</w:t>
      </w:r>
    </w:p>
    <w:p w14:paraId="34C2360A" w14:textId="77777777" w:rsidR="00B25C7A" w:rsidRDefault="00000000">
      <w:pPr>
        <w:ind w:left="4" w:right="39"/>
      </w:pPr>
      <w:r>
        <w:t>If a collective agreement contains any provisions about annual vacation or vacation pay that meet or exceed the requirements of Part 7, those provisions of the collective agreement replace the Act’s requirements for employees covered by the agreement. Otherwise, the Act’s requirements are deemed to be incorporated in the collective agreement.</w:t>
      </w:r>
    </w:p>
    <w:p w14:paraId="199FFB85" w14:textId="77777777" w:rsidR="00B25C7A" w:rsidRDefault="00000000">
      <w:pPr>
        <w:ind w:left="4" w:right="39"/>
      </w:pPr>
      <w:r>
        <w:t>Where there is a collective agreement, disputes respecting the application, interpretation or operation of Part 7 must be resolved through the grievance procedure, not through the enforcement provisions of the Act.</w:t>
      </w:r>
    </w:p>
    <w:p w14:paraId="2980E7A6" w14:textId="77777777" w:rsidR="00B25C7A" w:rsidRDefault="00000000">
      <w:pPr>
        <w:spacing w:after="0"/>
        <w:ind w:left="4" w:right="39"/>
      </w:pPr>
      <w:r>
        <w:t>Under ss. 33 and 37 of the Employment Standards Regulation certain employees and occupations are excluded from Part 7.</w:t>
      </w:r>
    </w:p>
    <w:p w14:paraId="514385F9" w14:textId="77777777" w:rsidR="00B25C7A" w:rsidRDefault="00000000">
      <w:pPr>
        <w:spacing w:after="294" w:line="259" w:lineRule="auto"/>
        <w:ind w:left="9" w:right="0" w:firstLine="0"/>
      </w:pPr>
      <w:r>
        <w:rPr>
          <w:rFonts w:cs="Calibri"/>
          <w:noProof/>
          <w:color w:val="000000"/>
          <w:sz w:val="22"/>
        </w:rPr>
        <mc:AlternateContent>
          <mc:Choice Requires="wpg">
            <w:drawing>
              <wp:inline distT="0" distB="0" distL="0" distR="0" wp14:anchorId="505F5E15" wp14:editId="75A91D39">
                <wp:extent cx="6457949" cy="9525"/>
                <wp:effectExtent l="0" t="0" r="0" b="0"/>
                <wp:docPr id="6764" name="Group 6764"/>
                <wp:cNvGraphicFramePr/>
                <a:graphic xmlns:a="http://schemas.openxmlformats.org/drawingml/2006/main">
                  <a:graphicData uri="http://schemas.microsoft.com/office/word/2010/wordprocessingGroup">
                    <wpg:wgp>
                      <wpg:cNvGrpSpPr/>
                      <wpg:grpSpPr>
                        <a:xfrm>
                          <a:off x="0" y="0"/>
                          <a:ext cx="6457949" cy="9525"/>
                          <a:chOff x="0" y="0"/>
                          <a:chExt cx="6457949" cy="9525"/>
                        </a:xfrm>
                      </wpg:grpSpPr>
                      <wps:wsp>
                        <wps:cNvPr id="7817" name="Shape 7817"/>
                        <wps:cNvSpPr/>
                        <wps:spPr>
                          <a:xfrm>
                            <a:off x="0" y="0"/>
                            <a:ext cx="6457949" cy="9525"/>
                          </a:xfrm>
                          <a:custGeom>
                            <a:avLst/>
                            <a:gdLst/>
                            <a:ahLst/>
                            <a:cxnLst/>
                            <a:rect l="0" t="0" r="0" b="0"/>
                            <a:pathLst>
                              <a:path w="6457949" h="9525">
                                <a:moveTo>
                                  <a:pt x="0" y="0"/>
                                </a:moveTo>
                                <a:lnTo>
                                  <a:pt x="6457949" y="0"/>
                                </a:lnTo>
                                <a:lnTo>
                                  <a:pt x="6457949" y="9525"/>
                                </a:lnTo>
                                <a:lnTo>
                                  <a:pt x="0" y="9525"/>
                                </a:lnTo>
                                <a:lnTo>
                                  <a:pt x="0" y="0"/>
                                </a:lnTo>
                              </a:path>
                            </a:pathLst>
                          </a:custGeom>
                          <a:ln w="0" cap="flat">
                            <a:miter lim="127000"/>
                          </a:ln>
                        </wps:spPr>
                        <wps:style>
                          <a:lnRef idx="0">
                            <a:srgbClr val="000000">
                              <a:alpha val="0"/>
                            </a:srgbClr>
                          </a:lnRef>
                          <a:fillRef idx="1">
                            <a:srgbClr val="DEDEDE"/>
                          </a:fillRef>
                          <a:effectRef idx="0">
                            <a:scrgbClr r="0" g="0" b="0"/>
                          </a:effectRef>
                          <a:fontRef idx="none"/>
                        </wps:style>
                        <wps:bodyPr/>
                      </wps:wsp>
                    </wpg:wgp>
                  </a:graphicData>
                </a:graphic>
              </wp:inline>
            </w:drawing>
          </mc:Choice>
          <mc:Fallback xmlns:a="http://schemas.openxmlformats.org/drawingml/2006/main">
            <w:pict>
              <v:group id="Group 6764" style="width:508.5pt;height:0.75pt;mso-position-horizontal-relative:char;mso-position-vertical-relative:line" coordsize="64579,95">
                <v:shape id="Shape 7818" style="position:absolute;width:64579;height:95;left:0;top:0;" coordsize="6457949,9525" path="m0,0l6457949,0l6457949,9525l0,9525l0,0">
                  <v:stroke weight="0pt" endcap="flat" joinstyle="miter" miterlimit="10" on="false" color="#000000" opacity="0"/>
                  <v:fill on="true" color="#dedede"/>
                </v:shape>
              </v:group>
            </w:pict>
          </mc:Fallback>
        </mc:AlternateContent>
      </w:r>
    </w:p>
    <w:p w14:paraId="016CF131" w14:textId="031F59F2" w:rsidR="00B25C7A" w:rsidRDefault="00B25C7A">
      <w:pPr>
        <w:spacing w:after="3" w:line="259" w:lineRule="auto"/>
        <w:ind w:left="4" w:right="642"/>
      </w:pPr>
    </w:p>
    <w:sectPr w:rsidR="00B25C7A">
      <w:headerReference w:type="even" r:id="rId7"/>
      <w:headerReference w:type="default" r:id="rId8"/>
      <w:footerReference w:type="even" r:id="rId9"/>
      <w:footerReference w:type="default" r:id="rId10"/>
      <w:headerReference w:type="first" r:id="rId11"/>
      <w:footerReference w:type="first" r:id="rId12"/>
      <w:pgSz w:w="12240" w:h="15840"/>
      <w:pgMar w:top="583" w:right="973" w:bottom="409" w:left="1026"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0696BE" w14:textId="77777777" w:rsidR="00920679" w:rsidRDefault="00920679">
      <w:pPr>
        <w:spacing w:after="0" w:line="240" w:lineRule="auto"/>
      </w:pPr>
      <w:r>
        <w:separator/>
      </w:r>
    </w:p>
  </w:endnote>
  <w:endnote w:type="continuationSeparator" w:id="0">
    <w:p w14:paraId="4AF6719A" w14:textId="77777777" w:rsidR="00920679" w:rsidRDefault="009206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AAB21" w14:textId="77777777" w:rsidR="00B25C7A" w:rsidRDefault="00000000">
    <w:pPr>
      <w:tabs>
        <w:tab w:val="right" w:pos="10733"/>
      </w:tabs>
      <w:spacing w:after="0" w:line="259" w:lineRule="auto"/>
      <w:ind w:left="-546" w:right="-493" w:firstLine="0"/>
    </w:pPr>
    <w:r>
      <w:rPr>
        <w:rFonts w:ascii="Times New Roman" w:eastAsia="Times New Roman" w:hAnsi="Times New Roman"/>
        <w:color w:val="000000"/>
        <w:sz w:val="16"/>
      </w:rPr>
      <w:t>https://www2.gov.bc.ca/gov/content/employment-business/employment-standards-advice/employment-standards/forms-resources/igm/esa-part-7-section-58</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59798" w14:textId="2D917A85" w:rsidR="00B25C7A" w:rsidRDefault="00B25C7A">
    <w:pPr>
      <w:tabs>
        <w:tab w:val="right" w:pos="10733"/>
      </w:tabs>
      <w:spacing w:after="0" w:line="259" w:lineRule="auto"/>
      <w:ind w:left="-546" w:right="-49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CF94A1" w14:textId="77777777" w:rsidR="00B25C7A" w:rsidRDefault="00000000">
    <w:pPr>
      <w:tabs>
        <w:tab w:val="right" w:pos="10733"/>
      </w:tabs>
      <w:spacing w:after="0" w:line="259" w:lineRule="auto"/>
      <w:ind w:left="-546" w:right="-493" w:firstLine="0"/>
    </w:pPr>
    <w:r>
      <w:rPr>
        <w:rFonts w:ascii="Times New Roman" w:eastAsia="Times New Roman" w:hAnsi="Times New Roman"/>
        <w:color w:val="000000"/>
        <w:sz w:val="16"/>
      </w:rPr>
      <w:t>https://www2.gov.bc.ca/gov/content/employment-business/employment-standards-advice/employment-standards/forms-resources/igm/esa-part-7-section-58</w:t>
    </w:r>
    <w:r>
      <w:rPr>
        <w:rFonts w:ascii="Times New Roman" w:eastAsia="Times New Roman" w:hAnsi="Times New Roman"/>
        <w:color w:val="000000"/>
        <w:sz w:val="16"/>
      </w:rPr>
      <w:tab/>
    </w:r>
    <w:r>
      <w:fldChar w:fldCharType="begin"/>
    </w:r>
    <w:r>
      <w:instrText xml:space="preserve"> PAGE   \* MERGEFORMAT </w:instrText>
    </w:r>
    <w:r>
      <w:fldChar w:fldCharType="separate"/>
    </w:r>
    <w:r>
      <w:rPr>
        <w:rFonts w:ascii="Times New Roman" w:eastAsia="Times New Roman" w:hAnsi="Times New Roman"/>
        <w:color w:val="000000"/>
        <w:sz w:val="16"/>
      </w:rPr>
      <w:t>1</w:t>
    </w:r>
    <w:r>
      <w:rPr>
        <w:rFonts w:ascii="Times New Roman" w:eastAsia="Times New Roman" w:hAnsi="Times New Roman"/>
        <w:color w:val="000000"/>
        <w:sz w:val="16"/>
      </w:rPr>
      <w:fldChar w:fldCharType="end"/>
    </w:r>
    <w:r>
      <w:rPr>
        <w:rFonts w:ascii="Times New Roman" w:eastAsia="Times New Roman" w:hAnsi="Times New Roman"/>
        <w:color w:val="000000"/>
        <w:sz w:val="16"/>
      </w:rPr>
      <w:t>/</w:t>
    </w:r>
    <w:fldSimple w:instr=" NUMPAGES   \* MERGEFORMAT ">
      <w:r>
        <w:rPr>
          <w:rFonts w:ascii="Times New Roman" w:eastAsia="Times New Roman" w:hAnsi="Times New Roman"/>
          <w:color w:val="000000"/>
          <w:sz w:val="16"/>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81A247" w14:textId="77777777" w:rsidR="00920679" w:rsidRDefault="00920679">
      <w:pPr>
        <w:spacing w:after="0" w:line="240" w:lineRule="auto"/>
      </w:pPr>
      <w:r>
        <w:separator/>
      </w:r>
    </w:p>
  </w:footnote>
  <w:footnote w:type="continuationSeparator" w:id="0">
    <w:p w14:paraId="4F762360" w14:textId="77777777" w:rsidR="00920679" w:rsidRDefault="009206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85257F" w14:textId="77777777" w:rsidR="00B25C7A" w:rsidRDefault="00000000">
    <w:pPr>
      <w:tabs>
        <w:tab w:val="center" w:pos="5915"/>
      </w:tabs>
      <w:spacing w:after="0" w:line="259" w:lineRule="auto"/>
      <w:ind w:left="-546" w:right="0" w:firstLine="0"/>
    </w:pPr>
    <w:r>
      <w:rPr>
        <w:rFonts w:ascii="Times New Roman" w:eastAsia="Times New Roman" w:hAnsi="Times New Roman"/>
        <w:color w:val="000000"/>
        <w:sz w:val="16"/>
      </w:rPr>
      <w:t>7/1/26, 8:30 PM</w:t>
    </w:r>
    <w:r>
      <w:rPr>
        <w:rFonts w:ascii="Times New Roman" w:eastAsia="Times New Roman" w:hAnsi="Times New Roman"/>
        <w:color w:val="000000"/>
        <w:sz w:val="16"/>
      </w:rPr>
      <w:tab/>
      <w:t>Vacation Pay - Act Part 7, Section 58 -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17CDEE" w14:textId="1FD0EFF0" w:rsidR="00B25C7A" w:rsidRDefault="00B25C7A">
    <w:pPr>
      <w:tabs>
        <w:tab w:val="center" w:pos="5915"/>
      </w:tabs>
      <w:spacing w:after="0" w:line="259" w:lineRule="auto"/>
      <w:ind w:left="-546"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F39147" w14:textId="77777777" w:rsidR="00B25C7A" w:rsidRDefault="00000000">
    <w:pPr>
      <w:tabs>
        <w:tab w:val="center" w:pos="5915"/>
      </w:tabs>
      <w:spacing w:after="0" w:line="259" w:lineRule="auto"/>
      <w:ind w:left="-546" w:right="0" w:firstLine="0"/>
    </w:pPr>
    <w:r>
      <w:rPr>
        <w:rFonts w:ascii="Times New Roman" w:eastAsia="Times New Roman" w:hAnsi="Times New Roman"/>
        <w:color w:val="000000"/>
        <w:sz w:val="16"/>
      </w:rPr>
      <w:t>7/1/26, 8:30 PM</w:t>
    </w:r>
    <w:r>
      <w:rPr>
        <w:rFonts w:ascii="Times New Roman" w:eastAsia="Times New Roman" w:hAnsi="Times New Roman"/>
        <w:color w:val="000000"/>
        <w:sz w:val="16"/>
      </w:rPr>
      <w:tab/>
      <w:t>Vacation Pay - Act Part 7, Section 58 -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3E07A0"/>
    <w:multiLevelType w:val="hybridMultilevel"/>
    <w:tmpl w:val="DF5C4CEC"/>
    <w:lvl w:ilvl="0" w:tplc="8C24B832">
      <w:start w:val="2"/>
      <w:numFmt w:val="decimal"/>
      <w:lvlText w:val="(%1)"/>
      <w:lvlJc w:val="left"/>
      <w:pPr>
        <w:ind w:left="344"/>
      </w:pPr>
      <w:rPr>
        <w:rFonts w:ascii="Calibri" w:eastAsia="Calibri" w:hAnsi="Calibri" w:cs="Calibri"/>
        <w:b w:val="0"/>
        <w:i w:val="0"/>
        <w:strike w:val="0"/>
        <w:dstrike w:val="0"/>
        <w:color w:val="292929"/>
        <w:sz w:val="32"/>
        <w:szCs w:val="32"/>
        <w:u w:val="none" w:color="000000"/>
        <w:bdr w:val="none" w:sz="0" w:space="0" w:color="auto"/>
        <w:shd w:val="clear" w:color="auto" w:fill="auto"/>
        <w:vertAlign w:val="baseline"/>
      </w:rPr>
    </w:lvl>
    <w:lvl w:ilvl="1" w:tplc="C06432BC">
      <w:start w:val="1"/>
      <w:numFmt w:val="lowerLetter"/>
      <w:lvlText w:val="(%2)"/>
      <w:lvlJc w:val="left"/>
      <w:pPr>
        <w:ind w:left="436"/>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D486BDDA">
      <w:start w:val="1"/>
      <w:numFmt w:val="lowerRoman"/>
      <w:lvlText w:val="(%3)"/>
      <w:lvlJc w:val="left"/>
      <w:pPr>
        <w:ind w:left="1539"/>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D520C8AE">
      <w:start w:val="1"/>
      <w:numFmt w:val="decimal"/>
      <w:lvlText w:val="%4"/>
      <w:lvlJc w:val="left"/>
      <w:pPr>
        <w:ind w:left="22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76808F88">
      <w:start w:val="1"/>
      <w:numFmt w:val="lowerLetter"/>
      <w:lvlText w:val="%5"/>
      <w:lvlJc w:val="left"/>
      <w:pPr>
        <w:ind w:left="300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CCCA13D4">
      <w:start w:val="1"/>
      <w:numFmt w:val="lowerRoman"/>
      <w:lvlText w:val="%6"/>
      <w:lvlJc w:val="left"/>
      <w:pPr>
        <w:ind w:left="372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2CA2CEE0">
      <w:start w:val="1"/>
      <w:numFmt w:val="decimal"/>
      <w:lvlText w:val="%7"/>
      <w:lvlJc w:val="left"/>
      <w:pPr>
        <w:ind w:left="444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07DA9A32">
      <w:start w:val="1"/>
      <w:numFmt w:val="lowerLetter"/>
      <w:lvlText w:val="%8"/>
      <w:lvlJc w:val="left"/>
      <w:pPr>
        <w:ind w:left="516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13D2BFA6">
      <w:start w:val="1"/>
      <w:numFmt w:val="lowerRoman"/>
      <w:lvlText w:val="%9"/>
      <w:lvlJc w:val="left"/>
      <w:pPr>
        <w:ind w:left="5880"/>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abstractNum w:abstractNumId="1" w15:restartNumberingAfterBreak="0">
    <w:nsid w:val="610F4BF9"/>
    <w:multiLevelType w:val="hybridMultilevel"/>
    <w:tmpl w:val="8A5ED728"/>
    <w:lvl w:ilvl="0" w:tplc="B3CE9DE8">
      <w:start w:val="1"/>
      <w:numFmt w:val="lowerLetter"/>
      <w:lvlText w:val="(%1)"/>
      <w:lvlJc w:val="left"/>
      <w:pPr>
        <w:ind w:left="26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1" w:tplc="7E4A5B16">
      <w:start w:val="1"/>
      <w:numFmt w:val="lowerLetter"/>
      <w:lvlText w:val="%2"/>
      <w:lvlJc w:val="left"/>
      <w:pPr>
        <w:ind w:left="152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2" w:tplc="DE62E4F2">
      <w:start w:val="1"/>
      <w:numFmt w:val="lowerRoman"/>
      <w:lvlText w:val="%3"/>
      <w:lvlJc w:val="left"/>
      <w:pPr>
        <w:ind w:left="224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3" w:tplc="BDE8073C">
      <w:start w:val="1"/>
      <w:numFmt w:val="decimal"/>
      <w:lvlText w:val="%4"/>
      <w:lvlJc w:val="left"/>
      <w:pPr>
        <w:ind w:left="296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4" w:tplc="DE80671A">
      <w:start w:val="1"/>
      <w:numFmt w:val="lowerLetter"/>
      <w:lvlText w:val="%5"/>
      <w:lvlJc w:val="left"/>
      <w:pPr>
        <w:ind w:left="368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5" w:tplc="C088CC6E">
      <w:start w:val="1"/>
      <w:numFmt w:val="lowerRoman"/>
      <w:lvlText w:val="%6"/>
      <w:lvlJc w:val="left"/>
      <w:pPr>
        <w:ind w:left="440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6" w:tplc="25EE7918">
      <w:start w:val="1"/>
      <w:numFmt w:val="decimal"/>
      <w:lvlText w:val="%7"/>
      <w:lvlJc w:val="left"/>
      <w:pPr>
        <w:ind w:left="512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7" w:tplc="F9D6420C">
      <w:start w:val="1"/>
      <w:numFmt w:val="lowerLetter"/>
      <w:lvlText w:val="%8"/>
      <w:lvlJc w:val="left"/>
      <w:pPr>
        <w:ind w:left="584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lvl w:ilvl="8" w:tplc="4FAC077C">
      <w:start w:val="1"/>
      <w:numFmt w:val="lowerRoman"/>
      <w:lvlText w:val="%9"/>
      <w:lvlJc w:val="left"/>
      <w:pPr>
        <w:ind w:left="6564"/>
      </w:pPr>
      <w:rPr>
        <w:rFonts w:ascii="Calibri" w:eastAsia="Calibri" w:hAnsi="Calibri" w:cs="Calibri"/>
        <w:b w:val="0"/>
        <w:i w:val="0"/>
        <w:strike w:val="0"/>
        <w:dstrike w:val="0"/>
        <w:color w:val="292929"/>
        <w:sz w:val="24"/>
        <w:szCs w:val="24"/>
        <w:u w:val="none" w:color="000000"/>
        <w:bdr w:val="none" w:sz="0" w:space="0" w:color="auto"/>
        <w:shd w:val="clear" w:color="auto" w:fill="auto"/>
        <w:vertAlign w:val="baseline"/>
      </w:rPr>
    </w:lvl>
  </w:abstractNum>
  <w:num w:numId="1" w16cid:durableId="1300770984">
    <w:abstractNumId w:val="1"/>
  </w:num>
  <w:num w:numId="2" w16cid:durableId="9112788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C7A"/>
    <w:rsid w:val="00920679"/>
    <w:rsid w:val="00A96F17"/>
    <w:rsid w:val="00B25C7A"/>
    <w:rsid w:val="00BB527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0CE25CE9"/>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9" w:line="343" w:lineRule="auto"/>
      <w:ind w:left="19" w:right="12" w:hanging="10"/>
    </w:pPr>
    <w:rPr>
      <w:rFonts w:ascii="Calibri" w:eastAsia="Calibri" w:hAnsi="Calibri" w:cs="Times New Roman"/>
      <w:color w:val="292929"/>
      <w:lang w:val="en" w:eastAsia="en"/>
    </w:rPr>
  </w:style>
  <w:style w:type="paragraph" w:styleId="Heading1">
    <w:name w:val="heading 1"/>
    <w:next w:val="Normal"/>
    <w:link w:val="Heading1Char"/>
    <w:uiPriority w:val="9"/>
    <w:qFormat/>
    <w:pPr>
      <w:keepNext/>
      <w:keepLines/>
      <w:spacing w:after="0" w:line="259" w:lineRule="auto"/>
      <w:ind w:left="279"/>
      <w:outlineLvl w:val="0"/>
    </w:pPr>
    <w:rPr>
      <w:rFonts w:ascii="Arial" w:eastAsia="Arial" w:hAnsi="Arial" w:cs="Arial"/>
      <w:b/>
      <w:color w:val="1D1D1F"/>
      <w:sz w:val="66"/>
    </w:rPr>
  </w:style>
  <w:style w:type="paragraph" w:styleId="Heading2">
    <w:name w:val="heading 2"/>
    <w:next w:val="Normal"/>
    <w:link w:val="Heading2Char"/>
    <w:uiPriority w:val="9"/>
    <w:unhideWhenUsed/>
    <w:qFormat/>
    <w:pPr>
      <w:keepNext/>
      <w:keepLines/>
      <w:spacing w:after="279" w:line="259" w:lineRule="auto"/>
      <w:ind w:left="19" w:hanging="10"/>
      <w:outlineLvl w:val="1"/>
    </w:pPr>
    <w:rPr>
      <w:rFonts w:ascii="Calibri" w:eastAsia="Calibri" w:hAnsi="Calibri" w:cs="Calibri"/>
      <w:b/>
      <w:color w:val="292929"/>
      <w:sz w:val="30"/>
    </w:rPr>
  </w:style>
  <w:style w:type="paragraph" w:styleId="Heading3">
    <w:name w:val="heading 3"/>
    <w:next w:val="Normal"/>
    <w:link w:val="Heading3Char"/>
    <w:uiPriority w:val="9"/>
    <w:unhideWhenUsed/>
    <w:qFormat/>
    <w:pPr>
      <w:keepNext/>
      <w:keepLines/>
      <w:spacing w:after="491" w:line="260" w:lineRule="auto"/>
      <w:ind w:left="19" w:hanging="10"/>
      <w:outlineLvl w:val="2"/>
    </w:pPr>
    <w:rPr>
      <w:rFonts w:ascii="Calibri" w:eastAsia="Calibri" w:hAnsi="Calibri" w:cs="Calibri"/>
      <w:b/>
      <w:color w:val="2929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292929"/>
      <w:sz w:val="24"/>
    </w:rPr>
  </w:style>
  <w:style w:type="character" w:customStyle="1" w:styleId="Heading2Char">
    <w:name w:val="Heading 2 Char"/>
    <w:link w:val="Heading2"/>
    <w:rPr>
      <w:rFonts w:ascii="Calibri" w:eastAsia="Calibri" w:hAnsi="Calibri" w:cs="Calibri"/>
      <w:b/>
      <w:color w:val="292929"/>
      <w:sz w:val="30"/>
    </w:rPr>
  </w:style>
  <w:style w:type="character" w:customStyle="1" w:styleId="Heading1Char">
    <w:name w:val="Heading 1 Char"/>
    <w:link w:val="Heading1"/>
    <w:rPr>
      <w:rFonts w:ascii="Arial" w:eastAsia="Arial" w:hAnsi="Arial" w:cs="Arial"/>
      <w:b/>
      <w:color w:val="1D1D1F"/>
      <w:sz w:val="66"/>
    </w:rPr>
  </w:style>
  <w:style w:type="paragraph" w:styleId="ListParagraph">
    <w:name w:val="List Paragraph"/>
    <w:basedOn w:val="Normal"/>
    <w:uiPriority w:val="34"/>
    <w:qFormat/>
    <w:rsid w:val="00A96F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6D03DE4D-82FD-4D17-8A56-933715963AAB}"/>
</file>

<file path=customXml/itemProps2.xml><?xml version="1.0" encoding="utf-8"?>
<ds:datastoreItem xmlns:ds="http://schemas.openxmlformats.org/officeDocument/2006/customXml" ds:itemID="{6B25D41E-1857-494C-9C1E-578A309560B5}"/>
</file>

<file path=customXml/itemProps3.xml><?xml version="1.0" encoding="utf-8"?>
<ds:datastoreItem xmlns:ds="http://schemas.openxmlformats.org/officeDocument/2006/customXml" ds:itemID="{5B2F917E-DB40-4CF7-962F-5036BEBE3367}"/>
</file>

<file path=docProps/app.xml><?xml version="1.0" encoding="utf-8"?>
<Properties xmlns="http://schemas.openxmlformats.org/officeDocument/2006/extended-properties" xmlns:vt="http://schemas.openxmlformats.org/officeDocument/2006/docPropsVTypes">
  <Template>Normal.dotm</Template>
  <TotalTime>1</TotalTime>
  <Pages>6</Pages>
  <Words>1522</Words>
  <Characters>8680</Characters>
  <Application>Microsoft Office Word</Application>
  <DocSecurity>0</DocSecurity>
  <Lines>72</Lines>
  <Paragraphs>20</Paragraphs>
  <ScaleCrop>false</ScaleCrop>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Vacation Pay - Act Part 7, Section 58 - Province of British Columbia</dc:title>
  <dc:subject/>
  <dc:creator>Secreto, Lara S.</dc:creator>
  <cp:keywords/>
  <cp:lastModifiedBy>Secreto, Lara S.</cp:lastModifiedBy>
  <cp:revision>2</cp:revision>
  <dcterms:created xsi:type="dcterms:W3CDTF">2026-07-09T04:48:00Z</dcterms:created>
  <dcterms:modified xsi:type="dcterms:W3CDTF">2026-07-09T04:48:00Z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