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08316" w14:textId="77777777" w:rsidR="007B2783" w:rsidRPr="00A86EA6" w:rsidRDefault="00000000">
      <w:pPr>
        <w:spacing w:after="161" w:line="259" w:lineRule="auto"/>
        <w:ind w:left="0" w:firstLine="0"/>
        <w:rPr>
          <w:lang w:val="en-CA"/>
        </w:rPr>
      </w:pPr>
      <w:r w:rsidRPr="00A86EA6">
        <w:rPr>
          <w:b/>
          <w:sz w:val="66"/>
          <w:lang w:val="en-CA"/>
        </w:rPr>
        <w:t>Banking of Overtime Wages</w:t>
      </w:r>
    </w:p>
    <w:p w14:paraId="00A9CF1C" w14:textId="522134E9" w:rsidR="007B2783" w:rsidRPr="00A86EA6" w:rsidRDefault="00000000" w:rsidP="00A86EA6">
      <w:pPr>
        <w:spacing w:after="763"/>
        <w:ind w:right="76"/>
        <w:rPr>
          <w:lang w:val="en-CA"/>
        </w:rPr>
      </w:pPr>
      <w:r w:rsidRPr="00A86EA6">
        <w:rPr>
          <w:lang w:val="en-CA"/>
        </w:rPr>
        <w:t>Last updated on March 6, 2024</w:t>
      </w:r>
    </w:p>
    <w:p w14:paraId="0D7B02FF" w14:textId="77777777" w:rsidR="007B2783" w:rsidRPr="00A86EA6" w:rsidRDefault="00000000">
      <w:pPr>
        <w:pStyle w:val="Heading1"/>
        <w:ind w:left="-5"/>
        <w:rPr>
          <w:lang w:val="en-CA"/>
        </w:rPr>
      </w:pPr>
      <w:r w:rsidRPr="00A86EA6">
        <w:rPr>
          <w:lang w:val="en-CA"/>
        </w:rPr>
        <w:t>Summary</w:t>
      </w:r>
    </w:p>
    <w:p w14:paraId="432EAF5A" w14:textId="77777777" w:rsidR="007B2783" w:rsidRPr="00A86EA6" w:rsidRDefault="00000000">
      <w:pPr>
        <w:spacing w:after="735"/>
        <w:ind w:left="-5" w:right="76"/>
        <w:rPr>
          <w:lang w:val="en-CA"/>
        </w:rPr>
      </w:pPr>
      <w:r w:rsidRPr="00A86EA6">
        <w:rPr>
          <w:lang w:val="en-CA"/>
        </w:rPr>
        <w:t xml:space="preserve">This section explains how an employer may establish a time bank for an employee’s overtime wages and the rules associated with paying out monies credited to a time bank. </w:t>
      </w:r>
    </w:p>
    <w:p w14:paraId="7109F64F" w14:textId="77777777" w:rsidR="007B2783" w:rsidRPr="00A86EA6" w:rsidRDefault="00000000">
      <w:pPr>
        <w:pStyle w:val="Heading1"/>
        <w:ind w:left="-5"/>
        <w:rPr>
          <w:lang w:val="en-CA"/>
        </w:rPr>
      </w:pPr>
      <w:r w:rsidRPr="00A86EA6">
        <w:rPr>
          <w:lang w:val="en-CA"/>
        </w:rPr>
        <w:t>Text of Legislation</w:t>
      </w:r>
    </w:p>
    <w:p w14:paraId="263B185B" w14:textId="77777777" w:rsidR="007B2783" w:rsidRPr="00A86EA6" w:rsidRDefault="00000000">
      <w:pPr>
        <w:ind w:left="-5" w:right="76"/>
        <w:rPr>
          <w:lang w:val="en-CA"/>
        </w:rPr>
      </w:pPr>
      <w:r w:rsidRPr="00A86EA6">
        <w:rPr>
          <w:lang w:val="en-CA"/>
        </w:rPr>
        <w:t>42 (1) At the written request of an employee, an employer may establish a time bank for the employee and credit the employee's overtime wages to the time bank instead of paying them to the employee within the time required under section 17.</w:t>
      </w:r>
    </w:p>
    <w:p w14:paraId="44222503" w14:textId="77777777" w:rsidR="007B2783" w:rsidRPr="00A86EA6" w:rsidRDefault="00000000">
      <w:pPr>
        <w:numPr>
          <w:ilvl w:val="0"/>
          <w:numId w:val="1"/>
        </w:numPr>
        <w:ind w:right="76"/>
        <w:rPr>
          <w:lang w:val="en-CA"/>
        </w:rPr>
      </w:pPr>
      <w:r w:rsidRPr="00A86EA6">
        <w:rPr>
          <w:lang w:val="en-CA"/>
        </w:rPr>
        <w:t>Overtime wages must be credited to a time bank at the rates requiredunder section 37 (4), (5) or (6) or 40.</w:t>
      </w:r>
    </w:p>
    <w:p w14:paraId="6CF2C8A4" w14:textId="77777777" w:rsidR="007B2783" w:rsidRPr="00A86EA6" w:rsidRDefault="00000000">
      <w:pPr>
        <w:numPr>
          <w:ilvl w:val="0"/>
          <w:numId w:val="1"/>
        </w:numPr>
        <w:ind w:right="76"/>
        <w:rPr>
          <w:lang w:val="en-CA"/>
        </w:rPr>
      </w:pPr>
      <w:r w:rsidRPr="00A86EA6">
        <w:rPr>
          <w:lang w:val="en-CA"/>
        </w:rPr>
        <w:t>If a time bank is established, the employee may at any time requestthe employer to do one or more of the following:</w:t>
      </w:r>
    </w:p>
    <w:p w14:paraId="390832A4" w14:textId="77777777" w:rsidR="007B2783" w:rsidRPr="00A86EA6" w:rsidRDefault="00000000">
      <w:pPr>
        <w:numPr>
          <w:ilvl w:val="0"/>
          <w:numId w:val="2"/>
        </w:numPr>
        <w:ind w:right="43"/>
        <w:rPr>
          <w:lang w:val="en-CA"/>
        </w:rPr>
      </w:pPr>
      <w:r w:rsidRPr="00A86EA6">
        <w:rPr>
          <w:lang w:val="en-CA"/>
        </w:rPr>
        <w:t>pay the employee all or part of the overtime wages credited to thetime bank;</w:t>
      </w:r>
    </w:p>
    <w:p w14:paraId="0A8B892F" w14:textId="77777777" w:rsidR="007B2783" w:rsidRPr="00A86EA6" w:rsidRDefault="00000000">
      <w:pPr>
        <w:numPr>
          <w:ilvl w:val="0"/>
          <w:numId w:val="2"/>
        </w:numPr>
        <w:spacing w:after="143" w:line="434" w:lineRule="auto"/>
        <w:ind w:right="43"/>
        <w:rPr>
          <w:lang w:val="en-CA"/>
        </w:rPr>
      </w:pPr>
      <w:r w:rsidRPr="00A86EA6">
        <w:rPr>
          <w:lang w:val="en-CA"/>
        </w:rPr>
        <w:t>allow the employee to use the credited overtime wages to take time offwith pay at a time agreed by the employer and the employee; (c) close the time bank.</w:t>
      </w:r>
    </w:p>
    <w:p w14:paraId="261A8E1E" w14:textId="77777777" w:rsidR="007B2783" w:rsidRPr="00A86EA6" w:rsidRDefault="00000000">
      <w:pPr>
        <w:numPr>
          <w:ilvl w:val="1"/>
          <w:numId w:val="3"/>
        </w:numPr>
        <w:ind w:right="76"/>
        <w:rPr>
          <w:lang w:val="en-CA"/>
        </w:rPr>
      </w:pPr>
      <w:r w:rsidRPr="00A86EA6">
        <w:rPr>
          <w:lang w:val="en-CA"/>
        </w:rPr>
        <w:t>The employer may close an employee's time bank after one month'swritten notice to the employee.</w:t>
      </w:r>
    </w:p>
    <w:p w14:paraId="63CAD7A8" w14:textId="77777777" w:rsidR="007B2783" w:rsidRPr="00A86EA6" w:rsidRDefault="00000000">
      <w:pPr>
        <w:numPr>
          <w:ilvl w:val="1"/>
          <w:numId w:val="3"/>
        </w:numPr>
        <w:ind w:right="76"/>
        <w:rPr>
          <w:lang w:val="en-CA"/>
        </w:rPr>
      </w:pPr>
      <w:r w:rsidRPr="00A86EA6">
        <w:rPr>
          <w:lang w:val="en-CA"/>
        </w:rPr>
        <w:lastRenderedPageBreak/>
        <w:t>Within 6 months of closing an employee's time bank undersubsection (3.1), the employer must do one of the following:</w:t>
      </w:r>
    </w:p>
    <w:p w14:paraId="77C04229" w14:textId="77777777" w:rsidR="007B2783" w:rsidRPr="00A86EA6" w:rsidRDefault="00000000">
      <w:pPr>
        <w:numPr>
          <w:ilvl w:val="0"/>
          <w:numId w:val="4"/>
        </w:numPr>
        <w:ind w:right="76"/>
        <w:rPr>
          <w:lang w:val="en-CA"/>
        </w:rPr>
      </w:pPr>
      <w:r w:rsidRPr="00A86EA6">
        <w:rPr>
          <w:lang w:val="en-CA"/>
        </w:rPr>
        <w:t>pay the employee all of the overtime wages credited to the time bankat the time it was closed;</w:t>
      </w:r>
    </w:p>
    <w:p w14:paraId="25B721F2" w14:textId="77777777" w:rsidR="007B2783" w:rsidRPr="00A86EA6" w:rsidRDefault="00000000">
      <w:pPr>
        <w:numPr>
          <w:ilvl w:val="0"/>
          <w:numId w:val="4"/>
        </w:numPr>
        <w:ind w:right="76"/>
        <w:rPr>
          <w:lang w:val="en-CA"/>
        </w:rPr>
      </w:pPr>
      <w:r w:rsidRPr="00A86EA6">
        <w:rPr>
          <w:lang w:val="en-CA"/>
        </w:rPr>
        <w:t>allow the employee to use the credited overtime wages to take time offwith pay;</w:t>
      </w:r>
    </w:p>
    <w:p w14:paraId="7D9E0EE9" w14:textId="77777777" w:rsidR="007B2783" w:rsidRPr="00A86EA6" w:rsidRDefault="00000000">
      <w:pPr>
        <w:numPr>
          <w:ilvl w:val="0"/>
          <w:numId w:val="4"/>
        </w:numPr>
        <w:ind w:right="76"/>
        <w:rPr>
          <w:lang w:val="en-CA"/>
        </w:rPr>
      </w:pPr>
      <w:r w:rsidRPr="00A86EA6">
        <w:rPr>
          <w:lang w:val="en-CA"/>
        </w:rPr>
        <w:t>pay the employee for part of the overtime wages credited to the timebank at the time it was closed and allow the employee to use the remainder of the credited overtime wages to take time off with pay.</w:t>
      </w:r>
    </w:p>
    <w:p w14:paraId="33AF0438" w14:textId="77777777" w:rsidR="007B2783" w:rsidRDefault="00000000">
      <w:pPr>
        <w:numPr>
          <w:ilvl w:val="0"/>
          <w:numId w:val="5"/>
        </w:numPr>
        <w:spacing w:after="381" w:line="259" w:lineRule="auto"/>
        <w:ind w:right="76" w:hanging="439"/>
      </w:pPr>
      <w:r>
        <w:t>[Repealed 2003-65-6.]</w:t>
      </w:r>
    </w:p>
    <w:p w14:paraId="5C41B0AF" w14:textId="77777777" w:rsidR="007B2783" w:rsidRPr="00A86EA6" w:rsidRDefault="00000000">
      <w:pPr>
        <w:numPr>
          <w:ilvl w:val="0"/>
          <w:numId w:val="5"/>
        </w:numPr>
        <w:ind w:right="76" w:hanging="439"/>
        <w:rPr>
          <w:lang w:val="en-CA"/>
        </w:rPr>
      </w:pPr>
      <w:r w:rsidRPr="00A86EA6">
        <w:rPr>
          <w:lang w:val="en-CA"/>
        </w:rPr>
        <w:t>On termination of employment or on receiving the employee's writtenrequest to close the time bank, the employer must pay the employee any amount credited to the time bank.</w:t>
      </w:r>
    </w:p>
    <w:p w14:paraId="5F240955" w14:textId="77777777" w:rsidR="007B2783" w:rsidRDefault="00000000">
      <w:pPr>
        <w:numPr>
          <w:ilvl w:val="0"/>
          <w:numId w:val="5"/>
        </w:numPr>
        <w:spacing w:after="748"/>
        <w:ind w:right="76" w:hanging="439"/>
      </w:pPr>
      <w:r>
        <w:t>[Repealed 2003-65-6.]</w:t>
      </w:r>
    </w:p>
    <w:p w14:paraId="0486E0F8" w14:textId="77777777" w:rsidR="007B2783" w:rsidRDefault="00000000">
      <w:pPr>
        <w:pStyle w:val="Heading1"/>
        <w:ind w:left="-5"/>
      </w:pPr>
      <w:r>
        <w:t>Policy Interpretation</w:t>
      </w:r>
    </w:p>
    <w:p w14:paraId="45712A76" w14:textId="77777777" w:rsidR="007B2783" w:rsidRDefault="00000000">
      <w:pPr>
        <w:pStyle w:val="Heading2"/>
        <w:ind w:left="-5"/>
      </w:pPr>
      <w:r>
        <w:t>Subsection (1)</w:t>
      </w:r>
    </w:p>
    <w:p w14:paraId="2176DCB1" w14:textId="77777777" w:rsidR="007B2783" w:rsidRPr="00A86EA6" w:rsidRDefault="00000000">
      <w:pPr>
        <w:ind w:left="-5" w:right="76"/>
        <w:rPr>
          <w:lang w:val="en-CA"/>
        </w:rPr>
      </w:pPr>
      <w:r w:rsidRPr="00A86EA6">
        <w:rPr>
          <w:lang w:val="en-CA"/>
        </w:rPr>
        <w:t>If an employee makes a written request, an employer can create a time bank and credit overtime wages to the time bank instead of paying the overtime wages each pay period.</w:t>
      </w:r>
    </w:p>
    <w:p w14:paraId="67FD3463" w14:textId="77777777" w:rsidR="007B2783" w:rsidRPr="00A86EA6" w:rsidRDefault="00000000">
      <w:pPr>
        <w:pStyle w:val="Heading2"/>
        <w:ind w:left="-5"/>
        <w:rPr>
          <w:lang w:val="en-CA"/>
        </w:rPr>
      </w:pPr>
      <w:r w:rsidRPr="00A86EA6">
        <w:rPr>
          <w:lang w:val="en-CA"/>
        </w:rPr>
        <w:t>Subsection (2)</w:t>
      </w:r>
    </w:p>
    <w:p w14:paraId="77CF9BBE" w14:textId="77777777" w:rsidR="007B2783" w:rsidRPr="00A86EA6" w:rsidRDefault="00000000">
      <w:pPr>
        <w:ind w:left="-5" w:right="76"/>
        <w:rPr>
          <w:lang w:val="en-CA"/>
        </w:rPr>
      </w:pPr>
      <w:r w:rsidRPr="00A86EA6">
        <w:rPr>
          <w:lang w:val="en-CA"/>
        </w:rPr>
        <w:t>Overtime wages must be credited to the time bank at the appropriate overtime rate as set out in section 40, or as required under an averaging agreement under s.37.</w:t>
      </w:r>
    </w:p>
    <w:p w14:paraId="7296C9CC" w14:textId="77777777" w:rsidR="007B2783" w:rsidRPr="00A86EA6" w:rsidRDefault="00000000">
      <w:pPr>
        <w:pStyle w:val="Heading2"/>
        <w:ind w:left="-5"/>
        <w:rPr>
          <w:lang w:val="en-CA"/>
        </w:rPr>
      </w:pPr>
      <w:r w:rsidRPr="00A86EA6">
        <w:rPr>
          <w:lang w:val="en-CA"/>
        </w:rPr>
        <w:lastRenderedPageBreak/>
        <w:t>Subsection (3)</w:t>
      </w:r>
    </w:p>
    <w:p w14:paraId="1DC88807" w14:textId="77777777" w:rsidR="007B2783" w:rsidRPr="00A86EA6" w:rsidRDefault="00000000">
      <w:pPr>
        <w:ind w:left="-5" w:right="76"/>
        <w:rPr>
          <w:lang w:val="en-CA"/>
        </w:rPr>
      </w:pPr>
      <w:r w:rsidRPr="00A86EA6">
        <w:rPr>
          <w:lang w:val="en-CA"/>
        </w:rPr>
        <w:t>Any time an employee requests to be paid part or all of the wages in the time bank, the employer must pay these wages.</w:t>
      </w:r>
    </w:p>
    <w:p w14:paraId="31174431" w14:textId="77777777" w:rsidR="007B2783" w:rsidRPr="00A86EA6" w:rsidRDefault="00000000">
      <w:pPr>
        <w:ind w:left="-5" w:right="76"/>
        <w:rPr>
          <w:lang w:val="en-CA"/>
        </w:rPr>
      </w:pPr>
      <w:r w:rsidRPr="00A86EA6">
        <w:rPr>
          <w:lang w:val="en-CA"/>
        </w:rPr>
        <w:t>An employee may use banked wages to take time off with pay at a time mutually agreed to by the employer and the employee.</w:t>
      </w:r>
    </w:p>
    <w:p w14:paraId="649FE8DC" w14:textId="77777777" w:rsidR="007B2783" w:rsidRPr="00A86EA6" w:rsidRDefault="00000000">
      <w:pPr>
        <w:pStyle w:val="Heading2"/>
        <w:ind w:left="-5"/>
        <w:rPr>
          <w:lang w:val="en-CA"/>
        </w:rPr>
      </w:pPr>
      <w:r w:rsidRPr="00A86EA6">
        <w:rPr>
          <w:lang w:val="en-CA"/>
        </w:rPr>
        <w:t>Example</w:t>
      </w:r>
    </w:p>
    <w:p w14:paraId="65B530B0" w14:textId="77777777" w:rsidR="007B2783" w:rsidRPr="00A86EA6" w:rsidRDefault="00000000">
      <w:pPr>
        <w:ind w:left="-5" w:right="76"/>
        <w:rPr>
          <w:lang w:val="en-CA"/>
        </w:rPr>
      </w:pPr>
      <w:r w:rsidRPr="00A86EA6">
        <w:rPr>
          <w:lang w:val="en-CA"/>
        </w:rPr>
        <w:t>An employee earns $20/hour. They make a written request to have a time bank established, and their employer agrees. In January they work a 10 hour shift and their employer credits $60 to the time bank (2 hours at the employee's overtime rate of $30/hr.) In February the employee works 4 more hours of overtime, and is credited with another 4 hours’ pay at time and a half, totalling $120. In March, the employer agrees to the employee's request for a day off. The employee is paid $160 for the day out of their time bank at their regular rate of 8 hours x $20/hour, leaving $20 in the time bank.</w:t>
      </w:r>
    </w:p>
    <w:p w14:paraId="7319B7EF" w14:textId="77777777" w:rsidR="007B2783" w:rsidRPr="00A86EA6" w:rsidRDefault="00000000">
      <w:pPr>
        <w:ind w:left="-5" w:right="76"/>
        <w:rPr>
          <w:lang w:val="en-CA"/>
        </w:rPr>
      </w:pPr>
      <w:r w:rsidRPr="00A86EA6">
        <w:rPr>
          <w:lang w:val="en-CA"/>
        </w:rPr>
        <w:t>At any time, an employee may request that the employer close the time bank.</w:t>
      </w:r>
    </w:p>
    <w:p w14:paraId="3CB25086" w14:textId="77777777" w:rsidR="007B2783" w:rsidRPr="00A86EA6" w:rsidRDefault="00000000">
      <w:pPr>
        <w:pStyle w:val="Heading2"/>
        <w:ind w:left="-5"/>
        <w:rPr>
          <w:lang w:val="en-CA"/>
        </w:rPr>
      </w:pPr>
      <w:r w:rsidRPr="00A86EA6">
        <w:rPr>
          <w:lang w:val="en-CA"/>
        </w:rPr>
        <w:t>Subsection (3.1)</w:t>
      </w:r>
    </w:p>
    <w:p w14:paraId="1FC7F288" w14:textId="77777777" w:rsidR="007B2783" w:rsidRPr="00A86EA6" w:rsidRDefault="00000000">
      <w:pPr>
        <w:ind w:left="-5" w:right="76"/>
        <w:rPr>
          <w:lang w:val="en-CA"/>
        </w:rPr>
      </w:pPr>
      <w:r w:rsidRPr="00A86EA6">
        <w:rPr>
          <w:lang w:val="en-CA"/>
        </w:rPr>
        <w:t>An employer may close an employee’s time bank after providing one month’s notice to the employee. The notice must be in writing.</w:t>
      </w:r>
    </w:p>
    <w:p w14:paraId="54B01AAE" w14:textId="77777777" w:rsidR="007B2783" w:rsidRPr="00A86EA6" w:rsidRDefault="00000000">
      <w:pPr>
        <w:pStyle w:val="Heading2"/>
        <w:ind w:left="-5"/>
        <w:rPr>
          <w:lang w:val="en-CA"/>
        </w:rPr>
      </w:pPr>
      <w:r w:rsidRPr="00A86EA6">
        <w:rPr>
          <w:lang w:val="en-CA"/>
        </w:rPr>
        <w:t>Subsection (3.2)</w:t>
      </w:r>
    </w:p>
    <w:p w14:paraId="02FC65CC" w14:textId="77777777" w:rsidR="007B2783" w:rsidRPr="00A86EA6" w:rsidRDefault="00000000">
      <w:pPr>
        <w:spacing w:after="366" w:line="259" w:lineRule="auto"/>
        <w:ind w:left="-5" w:right="76"/>
        <w:rPr>
          <w:lang w:val="en-CA"/>
        </w:rPr>
      </w:pPr>
      <w:r w:rsidRPr="00A86EA6">
        <w:rPr>
          <w:lang w:val="en-CA"/>
        </w:rPr>
        <w:t>Within six months of closing an employee's time bank, an employer must:</w:t>
      </w:r>
    </w:p>
    <w:p w14:paraId="27D9FBC2" w14:textId="77777777" w:rsidR="007B2783" w:rsidRPr="00A86EA6" w:rsidRDefault="00000000">
      <w:pPr>
        <w:spacing w:after="47"/>
        <w:ind w:left="610" w:right="76"/>
        <w:rPr>
          <w:lang w:val="en-CA"/>
        </w:rPr>
      </w:pPr>
      <w:r w:rsidRPr="00A86EA6">
        <w:rPr>
          <w:lang w:val="en-CA"/>
        </w:rPr>
        <w:t>pay the employee all overtime wages remaining in the time bank at the time it was closed;</w:t>
      </w:r>
    </w:p>
    <w:p w14:paraId="709C013E" w14:textId="77777777" w:rsidR="007B2783" w:rsidRPr="00A86EA6" w:rsidRDefault="00000000">
      <w:pPr>
        <w:ind w:left="610" w:right="241"/>
        <w:rPr>
          <w:lang w:val="en-CA"/>
        </w:rPr>
      </w:pPr>
      <w:r w:rsidRPr="00A86EA6">
        <w:rPr>
          <w:lang w:val="en-CA"/>
        </w:rPr>
        <w:t>allow the employee to use the credited overtime wages to take paid time off; or give the employee a combination of pay and paid time off.</w:t>
      </w:r>
    </w:p>
    <w:p w14:paraId="2BE8881C" w14:textId="77777777" w:rsidR="007B2783" w:rsidRPr="00A86EA6" w:rsidRDefault="00000000">
      <w:pPr>
        <w:spacing w:after="385" w:line="259" w:lineRule="auto"/>
        <w:ind w:left="-5"/>
        <w:rPr>
          <w:lang w:val="en-CA"/>
        </w:rPr>
      </w:pPr>
      <w:r w:rsidRPr="00A86EA6">
        <w:rPr>
          <w:lang w:val="en-CA"/>
        </w:rPr>
        <w:lastRenderedPageBreak/>
        <w:t xml:space="preserve">Subsection (4). </w:t>
      </w:r>
      <w:r w:rsidRPr="00A86EA6">
        <w:rPr>
          <w:i/>
          <w:lang w:val="en-CA"/>
        </w:rPr>
        <w:t>Repealed</w:t>
      </w:r>
    </w:p>
    <w:p w14:paraId="12BA52E5" w14:textId="77777777" w:rsidR="007B2783" w:rsidRPr="00A86EA6" w:rsidRDefault="00000000">
      <w:pPr>
        <w:pStyle w:val="Heading2"/>
        <w:ind w:left="-5"/>
        <w:rPr>
          <w:lang w:val="en-CA"/>
        </w:rPr>
      </w:pPr>
      <w:r w:rsidRPr="00A86EA6">
        <w:rPr>
          <w:lang w:val="en-CA"/>
        </w:rPr>
        <w:t>Subsection (5)</w:t>
      </w:r>
    </w:p>
    <w:p w14:paraId="110AE1ED" w14:textId="77777777" w:rsidR="007B2783" w:rsidRPr="00A86EA6" w:rsidRDefault="00000000">
      <w:pPr>
        <w:ind w:left="-5" w:right="76"/>
        <w:rPr>
          <w:lang w:val="en-CA"/>
        </w:rPr>
      </w:pPr>
      <w:r w:rsidRPr="00A86EA6">
        <w:rPr>
          <w:lang w:val="en-CA"/>
        </w:rPr>
        <w:t>When an employee requests at any time to have their time bank closed, all wages must be paid out on the next payday. The request must be in writing.</w:t>
      </w:r>
    </w:p>
    <w:p w14:paraId="698A068E" w14:textId="77777777" w:rsidR="007B2783" w:rsidRPr="00A86EA6" w:rsidRDefault="00000000">
      <w:pPr>
        <w:ind w:left="-5" w:right="76"/>
        <w:rPr>
          <w:lang w:val="en-CA"/>
        </w:rPr>
      </w:pPr>
      <w:r w:rsidRPr="00A86EA6">
        <w:rPr>
          <w:lang w:val="en-CA"/>
        </w:rPr>
        <w:t>When employment ends, the employer must pay out any wages in the time bank on the final paycheque as required by s.18 of the Act.</w:t>
      </w:r>
    </w:p>
    <w:p w14:paraId="6F2A5E09" w14:textId="77777777" w:rsidR="007B2783" w:rsidRPr="00A86EA6" w:rsidRDefault="00000000">
      <w:pPr>
        <w:spacing w:after="385" w:line="259" w:lineRule="auto"/>
        <w:ind w:left="-5"/>
        <w:rPr>
          <w:lang w:val="en-CA"/>
        </w:rPr>
      </w:pPr>
      <w:r w:rsidRPr="00A86EA6">
        <w:rPr>
          <w:lang w:val="en-CA"/>
        </w:rPr>
        <w:t xml:space="preserve">Subsection (6). </w:t>
      </w:r>
      <w:r w:rsidRPr="00A86EA6">
        <w:rPr>
          <w:i/>
          <w:lang w:val="en-CA"/>
        </w:rPr>
        <w:t>Repealed</w:t>
      </w:r>
    </w:p>
    <w:p w14:paraId="4766610D" w14:textId="77777777" w:rsidR="007B2783" w:rsidRPr="00A86EA6" w:rsidRDefault="00000000">
      <w:pPr>
        <w:pStyle w:val="Heading2"/>
        <w:spacing w:after="96"/>
        <w:ind w:left="-5"/>
        <w:rPr>
          <w:lang w:val="en-CA"/>
        </w:rPr>
      </w:pPr>
      <w:r w:rsidRPr="00A86EA6">
        <w:rPr>
          <w:lang w:val="en-CA"/>
        </w:rPr>
        <w:t>Annual Vacation Pay</w:t>
      </w:r>
    </w:p>
    <w:p w14:paraId="3DA60B36" w14:textId="77777777" w:rsidR="007B2783" w:rsidRPr="00A86EA6" w:rsidRDefault="00000000">
      <w:pPr>
        <w:ind w:left="-5" w:right="76"/>
        <w:rPr>
          <w:lang w:val="en-CA"/>
        </w:rPr>
      </w:pPr>
      <w:r w:rsidRPr="00A86EA6">
        <w:rPr>
          <w:lang w:val="en-CA"/>
        </w:rPr>
        <w:t>Annual vacation pay is payable on all wages including overtime that is banked under this section. Annual vacation pay on overtime wages banked under this section is paid in accordance with s.58 of the Act.</w:t>
      </w:r>
    </w:p>
    <w:p w14:paraId="2608E824" w14:textId="77777777" w:rsidR="007B2783" w:rsidRPr="00A86EA6" w:rsidRDefault="00000000">
      <w:pPr>
        <w:pStyle w:val="Heading2"/>
        <w:ind w:left="-5"/>
        <w:rPr>
          <w:lang w:val="en-CA"/>
        </w:rPr>
      </w:pPr>
      <w:r w:rsidRPr="00A86EA6">
        <w:rPr>
          <w:lang w:val="en-CA"/>
        </w:rPr>
        <w:t>Record Keeping</w:t>
      </w:r>
    </w:p>
    <w:p w14:paraId="3EBE7888" w14:textId="77777777" w:rsidR="007B2783" w:rsidRPr="00A86EA6" w:rsidRDefault="00000000">
      <w:pPr>
        <w:ind w:left="-5" w:right="76"/>
        <w:rPr>
          <w:lang w:val="en-CA"/>
        </w:rPr>
      </w:pPr>
      <w:r w:rsidRPr="00A86EA6">
        <w:rPr>
          <w:lang w:val="en-CA"/>
        </w:rPr>
        <w:t>Section 27, Wage statements and s.28, Payroll records set out the records that an employer must keep if a time bank is established. These records must be kept for four years after employment ends.</w:t>
      </w:r>
    </w:p>
    <w:p w14:paraId="2C22CFE0" w14:textId="77777777" w:rsidR="007B2783" w:rsidRPr="00A86EA6" w:rsidRDefault="00000000">
      <w:pPr>
        <w:pStyle w:val="Heading2"/>
        <w:ind w:left="-5"/>
        <w:rPr>
          <w:lang w:val="en-CA"/>
        </w:rPr>
      </w:pPr>
      <w:r w:rsidRPr="00A86EA6">
        <w:rPr>
          <w:lang w:val="en-CA"/>
        </w:rPr>
        <w:t>Employees covered by a collective agreement</w:t>
      </w:r>
    </w:p>
    <w:p w14:paraId="4E8D8F61" w14:textId="77777777" w:rsidR="007B2783" w:rsidRPr="00A86EA6" w:rsidRDefault="00000000">
      <w:pPr>
        <w:ind w:left="-5"/>
        <w:rPr>
          <w:lang w:val="en-CA"/>
        </w:rPr>
      </w:pPr>
      <w:r w:rsidRPr="00A86EA6">
        <w:rPr>
          <w:lang w:val="en-CA"/>
        </w:rPr>
        <w:t>If a collective agreement contains any provisions about hours of work or overtime that meet or exceed the requirements of Part 4, those provisions of the collective agreement replace the Act’s requirements for employees covered by the agreement. Otherwise, the Act’s requirements are deemed to be incorporated in the collective agreement.</w:t>
      </w:r>
    </w:p>
    <w:p w14:paraId="27C24F43" w14:textId="77777777" w:rsidR="007B2783" w:rsidRPr="00A86EA6" w:rsidRDefault="00000000">
      <w:pPr>
        <w:ind w:left="-5" w:right="76"/>
        <w:rPr>
          <w:lang w:val="en-CA"/>
        </w:rPr>
      </w:pPr>
      <w:r w:rsidRPr="00A86EA6">
        <w:rPr>
          <w:lang w:val="en-CA"/>
        </w:rPr>
        <w:t>Where there is a collective agreement, disputes respecting the application, interpretation or operation of Part 4 must be resolved through the grievance procedure, not through the enforcement provisions of the Act.</w:t>
      </w:r>
    </w:p>
    <w:p w14:paraId="4EF027B8" w14:textId="2BFD8E7A" w:rsidR="007B2783" w:rsidRPr="0001418A" w:rsidRDefault="00000000" w:rsidP="0001418A">
      <w:pPr>
        <w:spacing w:after="735"/>
        <w:ind w:left="-5" w:right="76"/>
        <w:rPr>
          <w:lang w:val="en-CA"/>
        </w:rPr>
      </w:pPr>
      <w:r w:rsidRPr="00A86EA6">
        <w:rPr>
          <w:lang w:val="en-CA"/>
        </w:rPr>
        <w:lastRenderedPageBreak/>
        <w:t>Certain employees are exempt from this section, or Part 4 entirely, under the Employment Standards Regulation.</w:t>
      </w:r>
    </w:p>
    <w:sectPr w:rsidR="007B2783" w:rsidRPr="0001418A">
      <w:headerReference w:type="even" r:id="rId7"/>
      <w:footerReference w:type="even" r:id="rId8"/>
      <w:headerReference w:type="first" r:id="rId9"/>
      <w:footerReference w:type="first" r:id="rId10"/>
      <w:pgSz w:w="12240" w:h="15840"/>
      <w:pgMar w:top="665" w:right="1313" w:bottom="67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1E471" w14:textId="77777777" w:rsidR="00B91A60" w:rsidRDefault="00B91A60">
      <w:pPr>
        <w:spacing w:after="0" w:line="240" w:lineRule="auto"/>
      </w:pPr>
      <w:r>
        <w:separator/>
      </w:r>
    </w:p>
  </w:endnote>
  <w:endnote w:type="continuationSeparator" w:id="0">
    <w:p w14:paraId="39C11013" w14:textId="77777777" w:rsidR="00B91A60" w:rsidRDefault="00B91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A0445" w14:textId="77777777" w:rsidR="007B2783"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https://www2.gov.bc.ca/gov/content/employment-business/employment-standards-advice/employment-standards/forms-resources/igm/esa-part-4-section-42</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sidR="007B2783">
        <w:rPr>
          <w:rFonts w:ascii="Times New Roman" w:eastAsia="Times New Roman" w:hAnsi="Times New Roman" w:cs="Times New Roman"/>
          <w:color w:val="000000"/>
          <w:sz w:val="16"/>
        </w:rP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B05C" w14:textId="77777777" w:rsidR="007B2783"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https://www2.gov.bc.ca/gov/content/employment-business/employment-standards-advice/employment-standards/forms-resources/igm/esa-part-4-section-42</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sidR="007B2783">
        <w:rPr>
          <w:rFonts w:ascii="Times New Roman" w:eastAsia="Times New Roman" w:hAnsi="Times New Roman" w:cs="Times New Roman"/>
          <w:color w:val="000000"/>
          <w:sz w:val="16"/>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77EAF" w14:textId="77777777" w:rsidR="00B91A60" w:rsidRDefault="00B91A60">
      <w:pPr>
        <w:spacing w:after="0" w:line="240" w:lineRule="auto"/>
      </w:pPr>
      <w:r>
        <w:separator/>
      </w:r>
    </w:p>
  </w:footnote>
  <w:footnote w:type="continuationSeparator" w:id="0">
    <w:p w14:paraId="4FD99ECB" w14:textId="77777777" w:rsidR="00B91A60" w:rsidRDefault="00B91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885C5" w14:textId="77777777" w:rsidR="007B2783" w:rsidRPr="00A86EA6" w:rsidRDefault="00000000">
    <w:pPr>
      <w:tabs>
        <w:tab w:val="center" w:pos="5637"/>
      </w:tabs>
      <w:spacing w:after="0" w:line="259" w:lineRule="auto"/>
      <w:ind w:left="-825" w:firstLine="0"/>
      <w:rPr>
        <w:lang w:val="en-CA"/>
      </w:rPr>
    </w:pPr>
    <w:r w:rsidRPr="00A86EA6">
      <w:rPr>
        <w:rFonts w:ascii="Times New Roman" w:eastAsia="Times New Roman" w:hAnsi="Times New Roman" w:cs="Times New Roman"/>
        <w:color w:val="000000"/>
        <w:sz w:val="16"/>
        <w:lang w:val="en-CA"/>
      </w:rPr>
      <w:t>7/1/26, 8:20 PM</w:t>
    </w:r>
    <w:r w:rsidRPr="00A86EA6">
      <w:rPr>
        <w:rFonts w:ascii="Times New Roman" w:eastAsia="Times New Roman" w:hAnsi="Times New Roman" w:cs="Times New Roman"/>
        <w:color w:val="000000"/>
        <w:sz w:val="16"/>
        <w:lang w:val="en-CA"/>
      </w:rPr>
      <w:tab/>
      <w:t>Banking of Overtime Wages - Act Part 4, Section 42 -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0F1B4" w14:textId="77777777" w:rsidR="007B2783" w:rsidRPr="00A86EA6" w:rsidRDefault="00000000">
    <w:pPr>
      <w:tabs>
        <w:tab w:val="center" w:pos="5637"/>
      </w:tabs>
      <w:spacing w:after="0" w:line="259" w:lineRule="auto"/>
      <w:ind w:left="-825" w:firstLine="0"/>
      <w:rPr>
        <w:lang w:val="en-CA"/>
      </w:rPr>
    </w:pPr>
    <w:r w:rsidRPr="00A86EA6">
      <w:rPr>
        <w:rFonts w:ascii="Times New Roman" w:eastAsia="Times New Roman" w:hAnsi="Times New Roman" w:cs="Times New Roman"/>
        <w:color w:val="000000"/>
        <w:sz w:val="16"/>
        <w:lang w:val="en-CA"/>
      </w:rPr>
      <w:t>7/1/26, 8:20 PM</w:t>
    </w:r>
    <w:r w:rsidRPr="00A86EA6">
      <w:rPr>
        <w:rFonts w:ascii="Times New Roman" w:eastAsia="Times New Roman" w:hAnsi="Times New Roman" w:cs="Times New Roman"/>
        <w:color w:val="000000"/>
        <w:sz w:val="16"/>
        <w:lang w:val="en-CA"/>
      </w:rPr>
      <w:tab/>
      <w:t>Banking of Overtime Wages - Act Part 4, Section 42 -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479DE"/>
    <w:multiLevelType w:val="hybridMultilevel"/>
    <w:tmpl w:val="1C404D1C"/>
    <w:lvl w:ilvl="0" w:tplc="9A8A1D7C">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A7B6930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1B26FE1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4F4441B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80269B76">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A75E3E1E">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71FC6FEE">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720A683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81E234B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160F6DF8"/>
    <w:multiLevelType w:val="hybridMultilevel"/>
    <w:tmpl w:val="F476DD6C"/>
    <w:lvl w:ilvl="0" w:tplc="2D7650B0">
      <w:start w:val="2"/>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E31E8C3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15F0022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286C1896">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84C03F94">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8B804180">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4ED4820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967A43B4">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D09EBD7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49405DDE"/>
    <w:multiLevelType w:val="multilevel"/>
    <w:tmpl w:val="989C2F5E"/>
    <w:lvl w:ilvl="0">
      <w:start w:val="3"/>
      <w:numFmt w:val="decimal"/>
      <w:lvlText w:val="%1"/>
      <w:lvlJc w:val="left"/>
      <w:pPr>
        <w:ind w:left="3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start w:val="1"/>
      <w:numFmt w:val="decimal"/>
      <w:lvlRestart w:val="0"/>
      <w:lvlText w:val="(%1.%2)"/>
      <w:lvlJc w:val="left"/>
      <w:pPr>
        <w:ind w:left="73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3" w15:restartNumberingAfterBreak="0">
    <w:nsid w:val="681949D0"/>
    <w:multiLevelType w:val="hybridMultilevel"/>
    <w:tmpl w:val="C5C21F0E"/>
    <w:lvl w:ilvl="0" w:tplc="C3CE3660">
      <w:start w:val="4"/>
      <w:numFmt w:val="decimal"/>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5EA4379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7172ADAA">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E1806DFE">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48F8E4A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2EEED0C8">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19960EAA">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F9723126">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C4C8DC1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4" w15:restartNumberingAfterBreak="0">
    <w:nsid w:val="6E185E4F"/>
    <w:multiLevelType w:val="hybridMultilevel"/>
    <w:tmpl w:val="9B6CF194"/>
    <w:lvl w:ilvl="0" w:tplc="442A84E4">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8F620BC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A30C807A">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6CAA524E">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F680271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B9B25698">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9B8E228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14B0EAD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D63407D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937910884">
    <w:abstractNumId w:val="1"/>
  </w:num>
  <w:num w:numId="2" w16cid:durableId="858811848">
    <w:abstractNumId w:val="0"/>
  </w:num>
  <w:num w:numId="3" w16cid:durableId="1014765051">
    <w:abstractNumId w:val="2"/>
  </w:num>
  <w:num w:numId="4" w16cid:durableId="8725511">
    <w:abstractNumId w:val="4"/>
  </w:num>
  <w:num w:numId="5" w16cid:durableId="44427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783"/>
    <w:rsid w:val="0001418A"/>
    <w:rsid w:val="00673083"/>
    <w:rsid w:val="007B2783"/>
    <w:rsid w:val="00A86EA6"/>
    <w:rsid w:val="00B91A60"/>
    <w:rsid w:val="00DF4631"/>
    <w:rsid w:val="00F803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E31F5"/>
  <w15:docId w15:val="{7D37CA8B-AA41-4E53-948E-2C6BC941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7" w:line="330"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81" w:line="259" w:lineRule="auto"/>
      <w:ind w:left="10" w:hanging="10"/>
      <w:outlineLvl w:val="0"/>
    </w:pPr>
    <w:rPr>
      <w:rFonts w:ascii="Arial" w:eastAsia="Arial" w:hAnsi="Arial" w:cs="Arial"/>
      <w:b/>
      <w:color w:val="1D1D1F"/>
      <w:sz w:val="28"/>
    </w:rPr>
  </w:style>
  <w:style w:type="paragraph" w:styleId="Heading2">
    <w:name w:val="heading 2"/>
    <w:next w:val="Normal"/>
    <w:link w:val="Heading2Char"/>
    <w:uiPriority w:val="9"/>
    <w:unhideWhenUsed/>
    <w:qFormat/>
    <w:pPr>
      <w:keepNext/>
      <w:keepLines/>
      <w:spacing w:after="385" w:line="259" w:lineRule="auto"/>
      <w:ind w:left="10" w:hanging="10"/>
      <w:outlineLvl w:val="1"/>
    </w:pPr>
    <w:rPr>
      <w:rFonts w:ascii="Arial" w:eastAsia="Arial" w:hAnsi="Arial" w:cs="Arial"/>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character" w:customStyle="1" w:styleId="Heading2Char">
    <w:name w:val="Heading 2 Char"/>
    <w:link w:val="Heading2"/>
    <w:rPr>
      <w:rFonts w:ascii="Arial" w:eastAsia="Arial" w:hAnsi="Arial" w:cs="Arial"/>
      <w:color w:val="1D1D1F"/>
      <w:sz w:val="28"/>
    </w:rPr>
  </w:style>
  <w:style w:type="paragraph" w:styleId="Header">
    <w:name w:val="header"/>
    <w:basedOn w:val="Normal"/>
    <w:link w:val="HeaderChar"/>
    <w:uiPriority w:val="99"/>
    <w:unhideWhenUsed/>
    <w:rsid w:val="00A86E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6EA6"/>
    <w:rPr>
      <w:rFonts w:ascii="Arial" w:eastAsia="Arial" w:hAnsi="Arial" w:cs="Arial"/>
      <w:color w:val="1D1D1F"/>
      <w:sz w:val="28"/>
    </w:rPr>
  </w:style>
  <w:style w:type="paragraph" w:styleId="Footer">
    <w:name w:val="footer"/>
    <w:basedOn w:val="Normal"/>
    <w:link w:val="FooterChar"/>
    <w:uiPriority w:val="99"/>
    <w:semiHidden/>
    <w:unhideWhenUsed/>
    <w:rsid w:val="00A86EA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6EA6"/>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293F431E-DB6E-443F-A7C4-C6861C853D24}"/>
</file>

<file path=customXml/itemProps2.xml><?xml version="1.0" encoding="utf-8"?>
<ds:datastoreItem xmlns:ds="http://schemas.openxmlformats.org/officeDocument/2006/customXml" ds:itemID="{54B6086F-FAF4-4D6B-8314-98AFF807B335}"/>
</file>

<file path=customXml/itemProps3.xml><?xml version="1.0" encoding="utf-8"?>
<ds:datastoreItem xmlns:ds="http://schemas.openxmlformats.org/officeDocument/2006/customXml" ds:itemID="{8A6236A8-6FBF-43F2-80B5-1C1C428CEA37}"/>
</file>

<file path=docProps/app.xml><?xml version="1.0" encoding="utf-8"?>
<Properties xmlns="http://schemas.openxmlformats.org/officeDocument/2006/extended-properties" xmlns:vt="http://schemas.openxmlformats.org/officeDocument/2006/docPropsVTypes">
  <Template>Normal.dotm</Template>
  <TotalTime>1</TotalTime>
  <Pages>5</Pages>
  <Words>774</Words>
  <Characters>4261</Characters>
  <Application>Microsoft Office Word</Application>
  <DocSecurity>0</DocSecurity>
  <Lines>35</Lines>
  <Paragraphs>10</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of Overtime Wages - Act Part 4, Section 42 - Province of British Columbia</dc:title>
  <dc:subject/>
  <dc:creator>Arely Rodriguez</dc:creator>
  <cp:keywords/>
  <cp:lastModifiedBy>Arely Rodriguez</cp:lastModifiedBy>
  <cp:revision>3</cp:revision>
  <dcterms:created xsi:type="dcterms:W3CDTF">2026-07-09T17:46:00Z</dcterms:created>
  <dcterms:modified xsi:type="dcterms:W3CDTF">2026-07-09T18:44:00Z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