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3265" w14:textId="77777777" w:rsidR="00E374E7" w:rsidRPr="002801BE" w:rsidRDefault="00000000">
      <w:pPr>
        <w:spacing w:after="161" w:line="259" w:lineRule="auto"/>
        <w:ind w:left="0" w:firstLine="0"/>
        <w:rPr>
          <w:lang w:val="en-CA"/>
        </w:rPr>
      </w:pPr>
      <w:r w:rsidRPr="002801BE">
        <w:rPr>
          <w:b/>
          <w:sz w:val="66"/>
          <w:lang w:val="en-CA"/>
        </w:rPr>
        <w:t>Bereavement Leave</w:t>
      </w:r>
    </w:p>
    <w:p w14:paraId="21B7A895" w14:textId="5A1B02F2" w:rsidR="00E374E7" w:rsidRPr="002801BE" w:rsidRDefault="00000000" w:rsidP="002801BE">
      <w:pPr>
        <w:spacing w:after="762"/>
        <w:rPr>
          <w:lang w:val="en-CA"/>
        </w:rPr>
      </w:pPr>
      <w:r w:rsidRPr="002801BE">
        <w:rPr>
          <w:lang w:val="en-CA"/>
        </w:rPr>
        <w:t>Last updated on April 1, 2021</w:t>
      </w:r>
    </w:p>
    <w:p w14:paraId="1DCB214A" w14:textId="77777777" w:rsidR="00E374E7" w:rsidRPr="002801BE" w:rsidRDefault="00000000">
      <w:pPr>
        <w:pStyle w:val="Heading1"/>
        <w:ind w:left="-5"/>
        <w:rPr>
          <w:lang w:val="en-CA"/>
        </w:rPr>
      </w:pPr>
      <w:r w:rsidRPr="002801BE">
        <w:rPr>
          <w:lang w:val="en-CA"/>
        </w:rPr>
        <w:t>Summary</w:t>
      </w:r>
    </w:p>
    <w:p w14:paraId="14C8E076" w14:textId="77777777" w:rsidR="00E374E7" w:rsidRPr="002801BE" w:rsidRDefault="00000000">
      <w:pPr>
        <w:spacing w:after="735"/>
        <w:ind w:left="-5"/>
        <w:rPr>
          <w:lang w:val="en-CA"/>
        </w:rPr>
      </w:pPr>
      <w:r w:rsidRPr="002801BE">
        <w:rPr>
          <w:lang w:val="en-CA"/>
        </w:rPr>
        <w:t xml:space="preserve">This section explains when an employee qualifies for bereavement leave and the length of the leave. </w:t>
      </w:r>
    </w:p>
    <w:p w14:paraId="7957DAC4" w14:textId="77777777" w:rsidR="00E374E7" w:rsidRPr="002801BE" w:rsidRDefault="00000000">
      <w:pPr>
        <w:pStyle w:val="Heading1"/>
        <w:ind w:left="-5"/>
        <w:rPr>
          <w:lang w:val="en-CA"/>
        </w:rPr>
      </w:pPr>
      <w:r w:rsidRPr="002801BE">
        <w:rPr>
          <w:lang w:val="en-CA"/>
        </w:rPr>
        <w:t>Text of Legislation</w:t>
      </w:r>
    </w:p>
    <w:p w14:paraId="3A70917B" w14:textId="77777777" w:rsidR="00E374E7" w:rsidRPr="002801BE" w:rsidRDefault="00000000">
      <w:pPr>
        <w:spacing w:after="735"/>
        <w:ind w:left="-5"/>
        <w:rPr>
          <w:lang w:val="en-CA"/>
        </w:rPr>
      </w:pPr>
      <w:r w:rsidRPr="002801BE">
        <w:rPr>
          <w:lang w:val="en-CA"/>
        </w:rPr>
        <w:t xml:space="preserve">53. An employee is entitled to up to 3 days of unpaid leave on the death of a member of the employee's immediate family. </w:t>
      </w:r>
    </w:p>
    <w:p w14:paraId="0B89F454" w14:textId="77777777" w:rsidR="00E374E7" w:rsidRPr="002801BE" w:rsidRDefault="00000000">
      <w:pPr>
        <w:pStyle w:val="Heading1"/>
        <w:ind w:left="-5"/>
        <w:rPr>
          <w:lang w:val="en-CA"/>
        </w:rPr>
      </w:pPr>
      <w:r w:rsidRPr="002801BE">
        <w:rPr>
          <w:lang w:val="en-CA"/>
        </w:rPr>
        <w:t>Policy Interpretation</w:t>
      </w:r>
    </w:p>
    <w:p w14:paraId="466EE96C" w14:textId="77777777" w:rsidR="00E374E7" w:rsidRPr="002801BE" w:rsidRDefault="00000000">
      <w:pPr>
        <w:ind w:left="-5"/>
        <w:rPr>
          <w:lang w:val="en-CA"/>
        </w:rPr>
      </w:pPr>
      <w:r w:rsidRPr="002801BE">
        <w:rPr>
          <w:lang w:val="en-CA"/>
        </w:rPr>
        <w:t>An employee is entitled to an unpaid leave of absence of up to 3 days to grieve, attend a funeral, and take care of issues relating to the death of a member of their “immediate family”.</w:t>
      </w:r>
    </w:p>
    <w:p w14:paraId="27FDA2D6" w14:textId="77777777" w:rsidR="00E374E7" w:rsidRPr="002801BE" w:rsidRDefault="00000000">
      <w:pPr>
        <w:spacing w:after="381" w:line="259" w:lineRule="auto"/>
        <w:ind w:left="-5"/>
        <w:rPr>
          <w:lang w:val="en-CA"/>
        </w:rPr>
      </w:pPr>
      <w:r w:rsidRPr="002801BE">
        <w:rPr>
          <w:lang w:val="en-CA"/>
        </w:rPr>
        <w:t>“Immediate family”</w:t>
      </w:r>
    </w:p>
    <w:p w14:paraId="485CB3F9" w14:textId="77777777" w:rsidR="00E374E7" w:rsidRPr="002801BE" w:rsidRDefault="00000000">
      <w:pPr>
        <w:ind w:left="-5"/>
        <w:rPr>
          <w:lang w:val="en-CA"/>
        </w:rPr>
      </w:pPr>
      <w:r w:rsidRPr="002801BE">
        <w:rPr>
          <w:lang w:val="en-CA"/>
        </w:rPr>
        <w:t xml:space="preserve">Under s.1 of the Act “immediate family” means the spouse, child, parent, guardian, sibling, grandchild or grandparent of an employee, and any person who lives with an employee as a member of the employee’s family. It includes common-law spouses, </w:t>
      </w:r>
      <w:proofErr w:type="gramStart"/>
      <w:r w:rsidRPr="002801BE">
        <w:rPr>
          <w:lang w:val="en-CA"/>
        </w:rPr>
        <w:t>step-parents</w:t>
      </w:r>
      <w:proofErr w:type="gramEnd"/>
      <w:r w:rsidRPr="002801BE">
        <w:rPr>
          <w:lang w:val="en-CA"/>
        </w:rPr>
        <w:t xml:space="preserve">, and </w:t>
      </w:r>
      <w:proofErr w:type="gramStart"/>
      <w:r w:rsidRPr="002801BE">
        <w:rPr>
          <w:lang w:val="en-CA"/>
        </w:rPr>
        <w:t>step-children</w:t>
      </w:r>
      <w:proofErr w:type="gramEnd"/>
      <w:r w:rsidRPr="002801BE">
        <w:rPr>
          <w:lang w:val="en-CA"/>
        </w:rPr>
        <w:t xml:space="preserve">, and same sex partners and their children </w:t>
      </w:r>
      <w:proofErr w:type="gramStart"/>
      <w:r w:rsidRPr="002801BE">
        <w:rPr>
          <w:lang w:val="en-CA"/>
        </w:rPr>
        <w:t>as long as</w:t>
      </w:r>
      <w:proofErr w:type="gramEnd"/>
      <w:r w:rsidRPr="002801BE">
        <w:rPr>
          <w:lang w:val="en-CA"/>
        </w:rPr>
        <w:t xml:space="preserve"> they live with the employee as a member of the employee’s family</w:t>
      </w:r>
    </w:p>
    <w:p w14:paraId="27713532" w14:textId="77777777" w:rsidR="00E374E7" w:rsidRPr="002801BE" w:rsidRDefault="00000000">
      <w:pPr>
        <w:spacing w:after="381" w:line="259" w:lineRule="auto"/>
        <w:ind w:left="-5"/>
        <w:rPr>
          <w:lang w:val="en-CA"/>
        </w:rPr>
      </w:pPr>
      <w:r w:rsidRPr="002801BE">
        <w:rPr>
          <w:lang w:val="en-CA"/>
        </w:rPr>
        <w:t>Duration of leave</w:t>
      </w:r>
    </w:p>
    <w:p w14:paraId="3D127B8F" w14:textId="77777777" w:rsidR="00E374E7" w:rsidRPr="002801BE" w:rsidRDefault="00000000">
      <w:pPr>
        <w:ind w:left="-5"/>
        <w:rPr>
          <w:lang w:val="en-CA"/>
        </w:rPr>
      </w:pPr>
      <w:r w:rsidRPr="002801BE">
        <w:rPr>
          <w:lang w:val="en-CA"/>
        </w:rPr>
        <w:lastRenderedPageBreak/>
        <w:t>Days of unpaid leave do not have to be consecutive and there is no requirement for payment unless agreed to by the employer and the employee. An employee may choose to take less than 3 days’ leave. In the event of a dispute, it would be reasonable for an employer to request that an employee provide proof of death and the nature of the relationship.</w:t>
      </w:r>
    </w:p>
    <w:p w14:paraId="091ADFDD" w14:textId="77777777" w:rsidR="00E374E7" w:rsidRPr="002801BE" w:rsidRDefault="00000000">
      <w:pPr>
        <w:spacing w:after="381" w:line="259" w:lineRule="auto"/>
        <w:ind w:left="-5"/>
        <w:rPr>
          <w:lang w:val="en-CA"/>
        </w:rPr>
      </w:pPr>
      <w:r w:rsidRPr="002801BE">
        <w:rPr>
          <w:lang w:val="en-CA"/>
        </w:rPr>
        <w:t>Terms and conditions of employment protected</w:t>
      </w:r>
    </w:p>
    <w:p w14:paraId="670ADCA0" w14:textId="77777777" w:rsidR="00E374E7" w:rsidRPr="002801BE" w:rsidRDefault="00000000">
      <w:pPr>
        <w:ind w:left="-5"/>
        <w:rPr>
          <w:lang w:val="en-CA"/>
        </w:rPr>
      </w:pPr>
      <w:r w:rsidRPr="002801BE">
        <w:rPr>
          <w:lang w:val="en-CA"/>
        </w:rPr>
        <w:t xml:space="preserve">Section 54 provides that an employer cannot terminate an employee or change a condition of employment without the employee's written consent </w:t>
      </w:r>
      <w:proofErr w:type="gramStart"/>
      <w:r w:rsidRPr="002801BE">
        <w:rPr>
          <w:lang w:val="en-CA"/>
        </w:rPr>
        <w:t>as a result of</w:t>
      </w:r>
      <w:proofErr w:type="gramEnd"/>
      <w:r w:rsidRPr="002801BE">
        <w:rPr>
          <w:lang w:val="en-CA"/>
        </w:rPr>
        <w:t xml:space="preserve"> a leave under this Part. See also section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26BEE0EF" w14:textId="77777777" w:rsidR="00E374E7" w:rsidRPr="002801BE" w:rsidRDefault="00000000">
      <w:pPr>
        <w:ind w:left="-5"/>
        <w:rPr>
          <w:lang w:val="en-CA"/>
        </w:rPr>
      </w:pPr>
      <w:r w:rsidRPr="002801BE">
        <w:rPr>
          <w:lang w:val="en-CA"/>
        </w:rPr>
        <w:t>In the event of a contravention under this Part of the Act, the director may order a remedy in a determination under s.79(2). The determination will include an escalating monetary penalty, subject to s.98.</w:t>
      </w:r>
    </w:p>
    <w:p w14:paraId="03C7FF81" w14:textId="77777777" w:rsidR="00E374E7" w:rsidRPr="002801BE" w:rsidRDefault="00000000">
      <w:pPr>
        <w:spacing w:after="381" w:line="259" w:lineRule="auto"/>
        <w:ind w:left="-5"/>
        <w:rPr>
          <w:lang w:val="en-CA"/>
        </w:rPr>
      </w:pPr>
      <w:r w:rsidRPr="002801BE">
        <w:rPr>
          <w:lang w:val="en-CA"/>
        </w:rPr>
        <w:t>Employees covered by a collective agreement</w:t>
      </w:r>
    </w:p>
    <w:p w14:paraId="45290A8E" w14:textId="2285B73B" w:rsidR="00E374E7" w:rsidRPr="002801BE" w:rsidRDefault="00000000" w:rsidP="002801BE">
      <w:pPr>
        <w:spacing w:after="735"/>
        <w:ind w:left="-5"/>
        <w:rPr>
          <w:lang w:val="en-CA"/>
        </w:rPr>
      </w:pPr>
      <w:r w:rsidRPr="002801BE">
        <w:rPr>
          <w:lang w:val="en-CA"/>
        </w:rPr>
        <w:t>Where there is a collective agreement, disputes respecting the application, interpretation or operation of Part 6 must be resolved through the grievance procedure, not through the enforcement provisions of the Act.</w:t>
      </w:r>
    </w:p>
    <w:sectPr w:rsidR="00E374E7" w:rsidRPr="002801BE">
      <w:headerReference w:type="even" r:id="rId6"/>
      <w:footerReference w:type="even" r:id="rId7"/>
      <w:headerReference w:type="first" r:id="rId8"/>
      <w:footerReference w:type="first" r:id="rId9"/>
      <w:pgSz w:w="12240" w:h="15840"/>
      <w:pgMar w:top="680" w:right="1321" w:bottom="95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D038" w14:textId="77777777" w:rsidR="00AE2755" w:rsidRDefault="00AE2755">
      <w:pPr>
        <w:spacing w:after="0" w:line="240" w:lineRule="auto"/>
      </w:pPr>
      <w:r>
        <w:separator/>
      </w:r>
    </w:p>
  </w:endnote>
  <w:endnote w:type="continuationSeparator" w:id="0">
    <w:p w14:paraId="2424B0AE" w14:textId="77777777" w:rsidR="00AE2755" w:rsidRDefault="00AE2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E914" w14:textId="77777777" w:rsidR="00E374E7"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1D38" w14:textId="77777777" w:rsidR="00E374E7" w:rsidRDefault="00000000">
    <w:pPr>
      <w:tabs>
        <w:tab w:val="right" w:pos="10455"/>
      </w:tabs>
      <w:spacing w:after="0" w:line="259" w:lineRule="auto"/>
      <w:ind w:left="-825" w:right="-840" w:firstLine="0"/>
    </w:pPr>
    <w:r>
      <w:rPr>
        <w:rFonts w:ascii="Times New Roman" w:eastAsia="Times New Roman" w:hAnsi="Times New Roman" w:cs="Times New Roman"/>
        <w:color w:val="000000"/>
        <w:sz w:val="16"/>
      </w:rPr>
      <w:t>https://www2.gov.bc.ca/gov/content/employment-business/employment-standards-advice/employment-standards/forms-resources/igm/esa-part-6-section-53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8ACD5" w14:textId="77777777" w:rsidR="00AE2755" w:rsidRDefault="00AE2755">
      <w:pPr>
        <w:spacing w:after="0" w:line="240" w:lineRule="auto"/>
      </w:pPr>
      <w:r>
        <w:separator/>
      </w:r>
    </w:p>
  </w:footnote>
  <w:footnote w:type="continuationSeparator" w:id="0">
    <w:p w14:paraId="2FF47293" w14:textId="77777777" w:rsidR="00AE2755" w:rsidRDefault="00AE2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67BF" w14:textId="77777777" w:rsidR="00E374E7" w:rsidRPr="002801BE" w:rsidRDefault="00000000">
    <w:pPr>
      <w:tabs>
        <w:tab w:val="center" w:pos="5637"/>
      </w:tabs>
      <w:spacing w:after="0" w:line="259" w:lineRule="auto"/>
      <w:ind w:left="-825" w:firstLine="0"/>
      <w:rPr>
        <w:lang w:val="en-CA"/>
      </w:rPr>
    </w:pPr>
    <w:r w:rsidRPr="002801BE">
      <w:rPr>
        <w:rFonts w:ascii="Times New Roman" w:eastAsia="Times New Roman" w:hAnsi="Times New Roman" w:cs="Times New Roman"/>
        <w:color w:val="000000"/>
        <w:sz w:val="16"/>
        <w:lang w:val="en-CA"/>
      </w:rPr>
      <w:t>7/1/26, 8:28 PM</w:t>
    </w:r>
    <w:r w:rsidRPr="002801BE">
      <w:rPr>
        <w:rFonts w:ascii="Times New Roman" w:eastAsia="Times New Roman" w:hAnsi="Times New Roman" w:cs="Times New Roman"/>
        <w:color w:val="000000"/>
        <w:sz w:val="16"/>
        <w:lang w:val="en-CA"/>
      </w:rPr>
      <w:tab/>
      <w:t>Bereavement Leave - Act Part 6, Section 53 -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98A3" w14:textId="77777777" w:rsidR="00E374E7" w:rsidRPr="002801BE" w:rsidRDefault="00000000">
    <w:pPr>
      <w:tabs>
        <w:tab w:val="center" w:pos="5637"/>
      </w:tabs>
      <w:spacing w:after="0" w:line="259" w:lineRule="auto"/>
      <w:ind w:left="-825" w:firstLine="0"/>
      <w:rPr>
        <w:lang w:val="en-CA"/>
      </w:rPr>
    </w:pPr>
    <w:r w:rsidRPr="002801BE">
      <w:rPr>
        <w:rFonts w:ascii="Times New Roman" w:eastAsia="Times New Roman" w:hAnsi="Times New Roman" w:cs="Times New Roman"/>
        <w:color w:val="000000"/>
        <w:sz w:val="16"/>
        <w:lang w:val="en-CA"/>
      </w:rPr>
      <w:t>7/1/26, 8:28 PM</w:t>
    </w:r>
    <w:r w:rsidRPr="002801BE">
      <w:rPr>
        <w:rFonts w:ascii="Times New Roman" w:eastAsia="Times New Roman" w:hAnsi="Times New Roman" w:cs="Times New Roman"/>
        <w:color w:val="000000"/>
        <w:sz w:val="16"/>
        <w:lang w:val="en-CA"/>
      </w:rPr>
      <w:tab/>
      <w:t>Bereavement Leave - Act Part 6, Section 53 -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4E7"/>
    <w:rsid w:val="002801BE"/>
    <w:rsid w:val="00900744"/>
    <w:rsid w:val="00AE2755"/>
    <w:rsid w:val="00E374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C616"/>
  <w15:docId w15:val="{9E19CBD9-3D68-439C-8FF6-922BF464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280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1BE"/>
    <w:rPr>
      <w:rFonts w:ascii="Arial" w:eastAsia="Arial" w:hAnsi="Arial" w:cs="Arial"/>
      <w:color w:val="1D1D1F"/>
      <w:sz w:val="28"/>
    </w:rPr>
  </w:style>
  <w:style w:type="paragraph" w:styleId="Footer">
    <w:name w:val="footer"/>
    <w:basedOn w:val="Normal"/>
    <w:link w:val="FooterChar"/>
    <w:uiPriority w:val="99"/>
    <w:semiHidden/>
    <w:unhideWhenUsed/>
    <w:rsid w:val="002801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01BE"/>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1355E6CB-3F6C-4831-B48F-8D943B33178D}"/>
</file>

<file path=customXml/itemProps2.xml><?xml version="1.0" encoding="utf-8"?>
<ds:datastoreItem xmlns:ds="http://schemas.openxmlformats.org/officeDocument/2006/customXml" ds:itemID="{AF51EA8F-FA84-4A61-819E-D5B4A78B0747}"/>
</file>

<file path=customXml/itemProps3.xml><?xml version="1.0" encoding="utf-8"?>
<ds:datastoreItem xmlns:ds="http://schemas.openxmlformats.org/officeDocument/2006/customXml" ds:itemID="{CCFE6548-0E16-44D0-86CD-C6A5C38EF724}"/>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1922</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Bereavement Leave - Act Part 6, Section 53 - Province of British Columbia</dc:title>
  <dc:subject/>
  <dc:creator>Arely Rodriguez</dc:creator>
  <cp:keywords/>
  <cp:lastModifiedBy>Arely Rodriguez</cp:lastModifiedBy>
  <cp:revision>2</cp:revision>
  <dcterms:created xsi:type="dcterms:W3CDTF">2026-07-09T17:53:00Z</dcterms:created>
  <dcterms:modified xsi:type="dcterms:W3CDTF">2026-07-09T17:53:00Z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