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28ddbb2403b84fd09da8658d59b96f33ee88b2"/>
    <w:p>
      <w:pPr>
        <w:pStyle w:val="Heading1"/>
      </w:pPr>
      <w:r>
        <w:t xml:space="preserve">Arbitration &amp; Dispute Resolution — Issues Review Memo</w:t>
      </w:r>
    </w:p>
    <w:p>
      <w:pPr>
        <w:pStyle w:val="FirstParagraph"/>
      </w:pPr>
      <w:r>
        <w:rPr>
          <w:b/>
          <w:bCs/>
        </w:rPr>
        <w:t xml:space="preserve">WHITFIELD &amp; CRANE LLP</w:t>
      </w:r>
      <w:r>
        <w:t xml:space="preserve"> </w:t>
      </w:r>
      <w:r>
        <w:t xml:space="preserve">840 Third Avenue, 28th Floor, New York, NY 10022</w:t>
      </w:r>
    </w:p>
    <w:p>
      <w:pPr>
        <w:pStyle w:val="BodyText"/>
      </w:pPr>
      <w:r>
        <w:rPr>
          <w:b/>
          <w:bCs/>
        </w:rPr>
        <w:t xml:space="preserve">PRIVILEGED &amp; CONFIDENTIAL — ATTORNEY-CLIENT COMMUNICATION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Angela R. Matsuda, General Counsel, Greenleaf Nutritionals, Inc.</w:t>
            </w:r>
          </w:p>
        </w:tc>
      </w:tr>
      <w:tr>
        <w:tc>
          <w:tcPr/>
          <w:p>
            <w:pPr>
              <w:pStyle w:val="Compact"/>
              <w:jc w:val="left"/>
            </w:pPr>
            <w:r>
              <w:rPr>
                <w:b/>
                <w:bCs/>
              </w:rPr>
              <w:t xml:space="preserve">CC:</w:t>
            </w:r>
          </w:p>
        </w:tc>
        <w:tc>
          <w:tcPr/>
          <w:p>
            <w:pPr>
              <w:pStyle w:val="Compact"/>
              <w:jc w:val="left"/>
            </w:pPr>
            <w:r>
              <w:t xml:space="preserve">David T. Heller, Chief Executive Officer; Jonathan F. Park, Ridgeway Capital Partners</w:t>
            </w:r>
          </w:p>
        </w:tc>
      </w:tr>
      <w:tr>
        <w:tc>
          <w:tcPr/>
          <w:p>
            <w:pPr>
              <w:pStyle w:val="Compact"/>
              <w:jc w:val="left"/>
            </w:pPr>
            <w:r>
              <w:rPr>
                <w:b/>
                <w:bCs/>
              </w:rPr>
              <w:t xml:space="preserve">FROM:</w:t>
            </w:r>
          </w:p>
        </w:tc>
        <w:tc>
          <w:tcPr/>
          <w:p>
            <w:pPr>
              <w:pStyle w:val="Compact"/>
              <w:jc w:val="left"/>
            </w:pPr>
            <w:r>
              <w:t xml:space="preserve">Marcus J. Elliott, Partner; Sophia Bransfield, Whitfield &amp; Crane LLP</w:t>
            </w:r>
          </w:p>
        </w:tc>
      </w:tr>
      <w:tr>
        <w:tc>
          <w:tcPr/>
          <w:p>
            <w:pPr>
              <w:pStyle w:val="Compact"/>
              <w:jc w:val="left"/>
            </w:pPr>
            <w:r>
              <w:rPr>
                <w:b/>
                <w:bCs/>
              </w:rPr>
              <w:t xml:space="preserve">DATE:</w:t>
            </w:r>
          </w:p>
        </w:tc>
        <w:tc>
          <w:tcPr/>
          <w:p>
            <w:pPr>
              <w:pStyle w:val="Compact"/>
              <w:jc w:val="left"/>
            </w:pPr>
            <w:r>
              <w:t xml:space="preserve">July 8, 2025</w:t>
            </w:r>
          </w:p>
        </w:tc>
      </w:tr>
      <w:tr>
        <w:tc>
          <w:tcPr/>
          <w:p>
            <w:pPr>
              <w:pStyle w:val="Compact"/>
              <w:jc w:val="left"/>
            </w:pPr>
            <w:r>
              <w:rPr>
                <w:b/>
                <w:bCs/>
              </w:rPr>
              <w:t xml:space="preserve">RE:</w:t>
            </w:r>
          </w:p>
        </w:tc>
        <w:tc>
          <w:tcPr/>
          <w:p>
            <w:pPr>
              <w:pStyle w:val="Compact"/>
              <w:jc w:val="left"/>
            </w:pPr>
            <w:r>
              <w:t xml:space="preserve">Severity-Rated Issues and Recommendations — Arbitration &amp; Dispute Resolution Provisions Across the Pacifica Transaction Documents</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out our review of the arbitration and dispute resolution provisions across the three principal Pacifica transaction documents — the Exclusive Supply Agreement (</w:t>
      </w:r>
      <w:r>
        <w:t xml:space="preserve">“</w:t>
      </w:r>
      <w:r>
        <w:rPr>
          <w:b/>
          <w:bCs/>
        </w:rPr>
        <w:t xml:space="preserve">SA</w:t>
      </w:r>
      <w:r>
        <w:t xml:space="preserve">”</w:t>
      </w:r>
      <w:r>
        <w:t xml:space="preserve">), the Quality Assurance Side Letter (</w:t>
      </w:r>
      <w:r>
        <w:t xml:space="preserve">“</w:t>
      </w:r>
      <w:r>
        <w:rPr>
          <w:b/>
          <w:bCs/>
        </w:rPr>
        <w:t xml:space="preserve">QA Letter</w:t>
      </w:r>
      <w:r>
        <w:t xml:space="preserve">”</w:t>
      </w:r>
      <w:r>
        <w:t xml:space="preserve">), and the IP License Agreement (</w:t>
      </w:r>
      <w:r>
        <w:t xml:space="preserve">“</w:t>
      </w:r>
      <w:r>
        <w:rPr>
          <w:b/>
          <w:bCs/>
        </w:rPr>
        <w:t xml:space="preserve">IPLA</w:t>
      </w:r>
      <w:r>
        <w:t xml:space="preserve">”</w:t>
      </w:r>
      <w:r>
        <w:t xml:space="preserve">) — together with the explanatory memorandum prepared by Harmon &amp; Grey LLP (</w:t>
      </w:r>
      <w:r>
        <w:t xml:space="preserve">“</w:t>
      </w:r>
      <w:r>
        <w:rPr>
          <w:b/>
          <w:bCs/>
        </w:rPr>
        <w:t xml:space="preserve">H&amp;G</w:t>
      </w:r>
      <w:r>
        <w:t xml:space="preserve">”</w:t>
      </w:r>
      <w:r>
        <w:t xml:space="preserve">) dated July 3, 2025 and the internal Greenleaf/Ridgeway email chain of June 30–July 1, 2025. We identified</w:t>
      </w:r>
      <w:r>
        <w:t xml:space="preserve"> </w:t>
      </w:r>
      <w:r>
        <w:rPr>
          <w:b/>
          <w:bCs/>
        </w:rPr>
        <w:t xml:space="preserve">seventeen (17) issues</w:t>
      </w:r>
      <w:r>
        <w:t xml:space="preserve">, rated by severity:</w:t>
      </w:r>
      <w:r>
        <w:t xml:space="preserve"> </w:t>
      </w:r>
      <w:r>
        <w:rPr>
          <w:b/>
          <w:bCs/>
        </w:rPr>
        <w:t xml:space="preserve">three (3) Critical, five (5) High, five (5) Medium, and four (4) Low.</w:t>
      </w:r>
    </w:p>
    <w:p>
      <w:pPr>
        <w:pStyle w:val="BodyText"/>
      </w:pPr>
      <w:r>
        <w:rPr>
          <w:b/>
          <w:bCs/>
        </w:rPr>
        <w:t xml:space="preserve">The central problem is fragmentation.</w:t>
      </w:r>
      <w:r>
        <w:t xml:space="preserve"> </w:t>
      </w:r>
      <w:r>
        <w:t xml:space="preserve">The three documents — which together govern a single, integrated, exclusive supply relationship with minimum commitments of $178 million over the initial term (and potentially $250M+ over renewals) — each route disputes to a</w:t>
      </w:r>
      <w:r>
        <w:t xml:space="preserve"> </w:t>
      </w:r>
      <w:r>
        <w:rPr>
          <w:i/>
          <w:iCs/>
        </w:rPr>
        <w:t xml:space="preserve">different</w:t>
      </w:r>
      <w:r>
        <w:t xml:space="preserve"> </w:t>
      </w:r>
      <w:r>
        <w:t xml:space="preserve">arbitral institution (ICC, SIAC, and LCIA), a</w:t>
      </w:r>
      <w:r>
        <w:t xml:space="preserve"> </w:t>
      </w:r>
      <w:r>
        <w:rPr>
          <w:i/>
          <w:iCs/>
        </w:rPr>
        <w:t xml:space="preserve">different</w:t>
      </w:r>
      <w:r>
        <w:t xml:space="preserve"> </w:t>
      </w:r>
      <w:r>
        <w:t xml:space="preserve">seat (Singapore, Singapore, and London), and a</w:t>
      </w:r>
      <w:r>
        <w:t xml:space="preserve"> </w:t>
      </w:r>
      <w:r>
        <w:rPr>
          <w:i/>
          <w:iCs/>
        </w:rPr>
        <w:t xml:space="preserve">different</w:t>
      </w:r>
      <w:r>
        <w:t xml:space="preserve"> </w:t>
      </w:r>
      <w:r>
        <w:t xml:space="preserve">governing law (New York, Singapore, and England &amp; Wales). The cross-document precedence and consolidation clauses do not resolve the resulting overlaps; they conflict with one another and, in several places, with the very clauses they purport to govern. The result is a real risk of parallel proceedings, inconsistent findings, and a</w:t>
      </w:r>
      <w:r>
        <w:t xml:space="preserve"> </w:t>
      </w:r>
      <w:r>
        <w:t xml:space="preserve">“</w:t>
      </w:r>
      <w:r>
        <w:t xml:space="preserve">pathological clause</w:t>
      </w:r>
      <w:r>
        <w:t xml:space="preserve">”</w:t>
      </w:r>
      <w:r>
        <w:t xml:space="preserve"> </w:t>
      </w:r>
      <w:r>
        <w:t xml:space="preserve">challenge of the kind that delayed enforcement of Pacifica’s 2023 ICC award by approximately fourteen months — the precise outcome the current framework was, by H&amp;G’s own account, designed to avoid.</w:t>
      </w:r>
    </w:p>
    <w:p>
      <w:pPr>
        <w:pStyle w:val="BodyText"/>
      </w:pPr>
      <w:r>
        <w:rPr>
          <w:b/>
          <w:bCs/>
        </w:rPr>
        <w:t xml:space="preserve">The most serious commercial exposure is the consequential damages waiver.</w:t>
      </w:r>
      <w:r>
        <w:t xml:space="preserve"> </w:t>
      </w:r>
      <w:r>
        <w:t xml:space="preserve">Section 14.11 of the SA bars the tribunal from awarding punitive, exemplary, or consequential damages. Read together with the SA’s indemnification regime (Articles 10–11), the QA Letter’s recall-cost provisions (Section 6), and the QA Letter’s express cross-reference (Section 6.6), the waiver could cap Greenleaf’s recovery in a contamination/recall or supply-failure scenario at a fraction of its actual loss — and the exclusivity structure (no backup supplier) amplifies that exposure. This aligns with the priorities articulated by Mr. Heller and Mr. Park, and we regard it as a deal-level concern.</w:t>
      </w:r>
    </w:p>
    <w:p>
      <w:pPr>
        <w:pStyle w:val="BodyText"/>
      </w:pPr>
      <w:r>
        <w:rPr>
          <w:b/>
          <w:bCs/>
        </w:rPr>
        <w:t xml:space="preserve">Our principal recommendations</w:t>
      </w:r>
      <w:r>
        <w:t xml:space="preserve"> </w:t>
      </w:r>
      <w:r>
        <w:t xml:space="preserve">are: (1) unify the dispute resolution framework across all three documents under a single institution, seat, and set of procedural rules; (2) negotiate carve-outs from the consequential damages waiver (or restructure it as a cap) for recall costs, lost profits from supply failure, and third-party claims; (3) add a contractual joinder/consolidation mechanism covering non-signatory co-manufacturers; (4) replace the blanket discovery bar with IBA-style limited, targeted document production; and (5) extend and harmonize the limitation period and the latent-defect notice windows. Detailed analysis follows.</w:t>
      </w:r>
    </w:p>
    <w:bookmarkStart w:id="20"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C1 Fragmented architecture (3 institutions/seats/laws); C2 Conflicting precedence &amp; consolidation clauses; C3 Overbroad consequential damages waiver</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H1 Arbitration-agreement governing law; H2 Co-manufacturer joinder; H3 Discovery bar; H4 Limitation period; H5 U.S. enforceability</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M1 Appeal on law; M2 Cost allocation; M3 Number of arbitrators; M4 Interim-relief scope; M5 Expert-determination finality</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L1 Confidentiality; L2 Language; L3 Notices; L4 Fallback law / escalation / survival</w:t>
            </w:r>
          </w:p>
        </w:tc>
      </w:tr>
    </w:tbl>
    <w:p>
      <w:r>
        <w:pict>
          <v:rect style="width:0;height:1.5pt" o:hralign="center" o:hrstd="t" o:hr="t"/>
        </w:pict>
      </w:r>
    </w:p>
    <w:bookmarkEnd w:id="20"/>
    <w:bookmarkEnd w:id="21"/>
    <w:bookmarkStart w:id="22" w:name="ii.-documents-reviewed"/>
    <w:p>
      <w:pPr>
        <w:pStyle w:val="Heading2"/>
      </w:pPr>
      <w:r>
        <w:t xml:space="preserve">II. Documents Reviewed</w:t>
      </w:r>
    </w:p>
    <w:p>
      <w:pPr>
        <w:pStyle w:val="Compact"/>
        <w:numPr>
          <w:ilvl w:val="0"/>
          <w:numId w:val="1001"/>
        </w:numPr>
      </w:pPr>
      <w:r>
        <w:rPr>
          <w:b/>
          <w:bCs/>
        </w:rPr>
        <w:t xml:space="preserve">Exclusive Supply Agreement</w:t>
      </w:r>
      <w:r>
        <w:t xml:space="preserve"> </w:t>
      </w:r>
      <w:r>
        <w:t xml:space="preserve">(</w:t>
      </w:r>
      <w:r>
        <w:t xml:space="preserve">“</w:t>
      </w:r>
      <w:r>
        <w:t xml:space="preserve">SA</w:t>
      </w:r>
      <w:r>
        <w:t xml:space="preserve">”</w:t>
      </w:r>
      <w:r>
        <w:t xml:space="preserve">), execution draft dated August 1, 2025 (prepared by H&amp;G for Pacifica) — Article 14 (Dispute Resolution) and Article 15 (General Provisions), with related provisions on inspection/acceptance (Art. 7), indemnification (Art. 10), and limitation of liability (Art. 11).</w:t>
      </w:r>
    </w:p>
    <w:p>
      <w:pPr>
        <w:pStyle w:val="Compact"/>
        <w:numPr>
          <w:ilvl w:val="0"/>
          <w:numId w:val="1001"/>
        </w:numPr>
      </w:pPr>
      <w:r>
        <w:rPr>
          <w:b/>
          <w:bCs/>
        </w:rPr>
        <w:t xml:space="preserve">Quality Assurance Side Letter</w:t>
      </w:r>
      <w:r>
        <w:t xml:space="preserve"> </w:t>
      </w:r>
      <w:r>
        <w:t xml:space="preserve">(</w:t>
      </w:r>
      <w:r>
        <w:t xml:space="preserve">“</w:t>
      </w:r>
      <w:r>
        <w:t xml:space="preserve">QA Letter</w:t>
      </w:r>
      <w:r>
        <w:t xml:space="preserve">”</w:t>
      </w:r>
      <w:r>
        <w:t xml:space="preserve">), dated August 1, 2025 — Section 7 (Dispute Resolution), Section 6 (Recall Cost Allocation), and Section 8 (Relationship to Supply Agreement).</w:t>
      </w:r>
    </w:p>
    <w:p>
      <w:pPr>
        <w:pStyle w:val="Compact"/>
        <w:numPr>
          <w:ilvl w:val="0"/>
          <w:numId w:val="1001"/>
        </w:numPr>
      </w:pPr>
      <w:r>
        <w:rPr>
          <w:b/>
          <w:bCs/>
        </w:rPr>
        <w:t xml:space="preserve">IP License Agreement</w:t>
      </w:r>
      <w:r>
        <w:t xml:space="preserve"> </w:t>
      </w:r>
      <w:r>
        <w:t xml:space="preserve">(</w:t>
      </w:r>
      <w:r>
        <w:t xml:space="preserve">“</w:t>
      </w:r>
      <w:r>
        <w:t xml:space="preserve">IPLA</w:t>
      </w:r>
      <w:r>
        <w:t xml:space="preserve">”</w:t>
      </w:r>
      <w:r>
        <w:t xml:space="preserve">), execution draft dated July 18, 2025 — Section 9 (Dispute Resolution) and Section 10 (General Provisions).</w:t>
      </w:r>
    </w:p>
    <w:p>
      <w:pPr>
        <w:pStyle w:val="Compact"/>
        <w:numPr>
          <w:ilvl w:val="0"/>
          <w:numId w:val="1001"/>
        </w:numPr>
      </w:pPr>
      <w:r>
        <w:rPr>
          <w:b/>
          <w:bCs/>
        </w:rPr>
        <w:t xml:space="preserve">Harmon &amp; Grey LLP memorandum</w:t>
      </w:r>
      <w:r>
        <w:t xml:space="preserve"> </w:t>
      </w:r>
      <w:r>
        <w:t xml:space="preserve">dated July 3, 2025 — drafter’s rationale for the dispute resolution architecture (shared with W&amp;C for review).</w:t>
      </w:r>
    </w:p>
    <w:p>
      <w:pPr>
        <w:pStyle w:val="Compact"/>
        <w:numPr>
          <w:ilvl w:val="0"/>
          <w:numId w:val="1001"/>
        </w:numPr>
      </w:pPr>
      <w:r>
        <w:rPr>
          <w:b/>
          <w:bCs/>
        </w:rPr>
        <w:t xml:space="preserve">Internal email chain</w:t>
      </w:r>
      <w:r>
        <w:t xml:space="preserve"> </w:t>
      </w:r>
      <w:r>
        <w:t xml:space="preserve">(Greenleaf/Ridgeway), June 30–July 1, 2025 — articulates Greenleaf’s negotiating priorities and commercial concerns.</w:t>
      </w:r>
    </w:p>
    <w:p>
      <w:r>
        <w:pict>
          <v:rect style="width:0;height:1.5pt" o:hralign="center" o:hrstd="t" o:hr="t"/>
        </w:pict>
      </w:r>
    </w:p>
    <w:bookmarkEnd w:id="22"/>
    <w:bookmarkStart w:id="23" w:name="X22c1fc9d8f33150f366623f30d121b34ea12301"/>
    <w:p>
      <w:pPr>
        <w:pStyle w:val="Heading2"/>
      </w:pPr>
      <w:r>
        <w:t xml:space="preserve">III. Comparison of Dispute Resolution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SA (Art. 14)</w:t>
            </w:r>
          </w:p>
        </w:tc>
        <w:tc>
          <w:tcPr/>
          <w:p>
            <w:pPr>
              <w:pStyle w:val="Compact"/>
              <w:jc w:val="left"/>
            </w:pPr>
            <w:r>
              <w:t xml:space="preserve">QA Letter (§7)</w:t>
            </w:r>
          </w:p>
        </w:tc>
        <w:tc>
          <w:tcPr/>
          <w:p>
            <w:pPr>
              <w:pStyle w:val="Compact"/>
              <w:jc w:val="left"/>
            </w:pPr>
            <w:r>
              <w:t xml:space="preserve">IPLA (§9)</w:t>
            </w:r>
          </w:p>
        </w:tc>
      </w:tr>
      <w:tr>
        <w:tc>
          <w:tcPr/>
          <w:p>
            <w:pPr>
              <w:pStyle w:val="Compact"/>
              <w:jc w:val="left"/>
            </w:pPr>
            <w:r>
              <w:t xml:space="preserve">Administering institution</w:t>
            </w:r>
          </w:p>
        </w:tc>
        <w:tc>
          <w:tcPr/>
          <w:p>
            <w:pPr>
              <w:pStyle w:val="Compact"/>
              <w:jc w:val="left"/>
            </w:pPr>
            <w:r>
              <w:t xml:space="preserve">ICC</w:t>
            </w:r>
          </w:p>
        </w:tc>
        <w:tc>
          <w:tcPr/>
          <w:p>
            <w:pPr>
              <w:pStyle w:val="Compact"/>
              <w:jc w:val="left"/>
            </w:pPr>
            <w:r>
              <w:t xml:space="preserve">SIAC (expert determination → arbitration)</w:t>
            </w:r>
          </w:p>
        </w:tc>
        <w:tc>
          <w:tcPr/>
          <w:p>
            <w:pPr>
              <w:pStyle w:val="Compact"/>
              <w:jc w:val="left"/>
            </w:pPr>
            <w:r>
              <w:t xml:space="preserve">LCIA</w:t>
            </w:r>
          </w:p>
        </w:tc>
      </w:tr>
      <w:tr>
        <w:tc>
          <w:tcPr/>
          <w:p>
            <w:pPr>
              <w:pStyle w:val="Compact"/>
              <w:jc w:val="left"/>
            </w:pPr>
            <w:r>
              <w:t xml:space="preserve">Seat</w:t>
            </w:r>
          </w:p>
        </w:tc>
        <w:tc>
          <w:tcPr/>
          <w:p>
            <w:pPr>
              <w:pStyle w:val="Compact"/>
              <w:jc w:val="left"/>
            </w:pPr>
            <w:r>
              <w:t xml:space="preserve">Singapore</w:t>
            </w:r>
          </w:p>
        </w:tc>
        <w:tc>
          <w:tcPr/>
          <w:p>
            <w:pPr>
              <w:pStyle w:val="Compact"/>
              <w:jc w:val="left"/>
            </w:pPr>
            <w:r>
              <w:t xml:space="preserve">Singapore</w:t>
            </w:r>
          </w:p>
        </w:tc>
        <w:tc>
          <w:tcPr/>
          <w:p>
            <w:pPr>
              <w:pStyle w:val="Compact"/>
              <w:jc w:val="left"/>
            </w:pPr>
            <w:r>
              <w:t xml:space="preserve">London</w:t>
            </w:r>
          </w:p>
        </w:tc>
      </w:tr>
      <w:tr>
        <w:tc>
          <w:tcPr/>
          <w:p>
            <w:pPr>
              <w:pStyle w:val="Compact"/>
              <w:jc w:val="left"/>
            </w:pPr>
            <w:r>
              <w:t xml:space="preserve">Hearing venue</w:t>
            </w:r>
          </w:p>
        </w:tc>
        <w:tc>
          <w:tcPr/>
          <w:p>
            <w:pPr>
              <w:pStyle w:val="Compact"/>
              <w:jc w:val="left"/>
            </w:pPr>
            <w:r>
              <w:t xml:space="preserve">London, England</w:t>
            </w:r>
          </w:p>
        </w:tc>
        <w:tc>
          <w:tcPr/>
          <w:p>
            <w:pPr>
              <w:pStyle w:val="Compact"/>
              <w:jc w:val="left"/>
            </w:pPr>
            <w:r>
              <w:t xml:space="preserve">Singapore (implied)</w:t>
            </w:r>
          </w:p>
        </w:tc>
        <w:tc>
          <w:tcPr/>
          <w:p>
            <w:pPr>
              <w:pStyle w:val="Compact"/>
              <w:jc w:val="left"/>
            </w:pPr>
            <w:r>
              <w:t xml:space="preserve">London (implied)</w:t>
            </w:r>
          </w:p>
        </w:tc>
      </w:tr>
      <w:tr>
        <w:tc>
          <w:tcPr/>
          <w:p>
            <w:pPr>
              <w:pStyle w:val="Compact"/>
              <w:jc w:val="left"/>
            </w:pPr>
            <w:r>
              <w:t xml:space="preserve">Substantive governing law</w:t>
            </w:r>
          </w:p>
        </w:tc>
        <w:tc>
          <w:tcPr/>
          <w:p>
            <w:pPr>
              <w:pStyle w:val="Compact"/>
              <w:jc w:val="left"/>
            </w:pPr>
            <w:r>
              <w:t xml:space="preserve">New York (UCC Art. 2)</w:t>
            </w:r>
          </w:p>
        </w:tc>
        <w:tc>
          <w:tcPr/>
          <w:p>
            <w:pPr>
              <w:pStyle w:val="Compact"/>
              <w:jc w:val="left"/>
            </w:pPr>
            <w:r>
              <w:t xml:space="preserve">Singapore</w:t>
            </w:r>
          </w:p>
        </w:tc>
        <w:tc>
          <w:tcPr/>
          <w:p>
            <w:pPr>
              <w:pStyle w:val="Compact"/>
              <w:jc w:val="left"/>
            </w:pPr>
            <w:r>
              <w:t xml:space="preserve">England &amp; Wales</w:t>
            </w:r>
          </w:p>
        </w:tc>
      </w:tr>
      <w:tr>
        <w:tc>
          <w:tcPr/>
          <w:p>
            <w:pPr>
              <w:pStyle w:val="Compact"/>
              <w:jc w:val="left"/>
            </w:pPr>
            <w:r>
              <w:t xml:space="preserve">Number of arbitrators</w:t>
            </w:r>
          </w:p>
        </w:tc>
        <w:tc>
          <w:tcPr/>
          <w:p>
            <w:pPr>
              <w:pStyle w:val="Compact"/>
              <w:jc w:val="left"/>
            </w:pPr>
            <w:r>
              <w:t xml:space="preserve">1; either party may demand 3 within 15 days</w:t>
            </w:r>
          </w:p>
        </w:tc>
        <w:tc>
          <w:tcPr/>
          <w:p>
            <w:pPr>
              <w:pStyle w:val="Compact"/>
              <w:jc w:val="left"/>
            </w:pPr>
            <w:r>
              <w:t xml:space="preserve">1 Expert; 3 arbitrators (arbitration)</w:t>
            </w:r>
          </w:p>
        </w:tc>
        <w:tc>
          <w:tcPr/>
          <w:p>
            <w:pPr>
              <w:pStyle w:val="Compact"/>
              <w:jc w:val="left"/>
            </w:pPr>
            <w:r>
              <w:t xml:space="preserve">1</w:t>
            </w:r>
          </w:p>
        </w:tc>
      </w:tr>
      <w:tr>
        <w:tc>
          <w:tcPr/>
          <w:p>
            <w:pPr>
              <w:pStyle w:val="Compact"/>
              <w:jc w:val="left"/>
            </w:pPr>
            <w:r>
              <w:t xml:space="preserve">Costs / fees</w:t>
            </w:r>
          </w:p>
        </w:tc>
        <w:tc>
          <w:tcPr/>
          <w:p>
            <w:pPr>
              <w:pStyle w:val="Compact"/>
              <w:jc w:val="left"/>
            </w:pPr>
            <w:r>
              <w:t xml:space="preserve">Loser-pays, incl. prevailing party’s attorneys’ fees</w:t>
            </w:r>
          </w:p>
        </w:tc>
        <w:tc>
          <w:tcPr/>
          <w:p>
            <w:pPr>
              <w:pStyle w:val="Compact"/>
              <w:jc w:val="left"/>
            </w:pPr>
            <w:r>
              <w:t xml:space="preserve">Expert: each bears own + share expert fees; Arbitration: silent</w:t>
            </w:r>
          </w:p>
        </w:tc>
        <w:tc>
          <w:tcPr/>
          <w:p>
            <w:pPr>
              <w:pStyle w:val="Compact"/>
              <w:jc w:val="left"/>
            </w:pPr>
            <w:r>
              <w:t xml:space="preserve">Each bears own; tribunal/LCIA costs shared equally unless tribunal orders</w:t>
            </w:r>
          </w:p>
        </w:tc>
      </w:tr>
      <w:tr>
        <w:tc>
          <w:tcPr/>
          <w:p>
            <w:pPr>
              <w:pStyle w:val="Compact"/>
              <w:jc w:val="left"/>
            </w:pPr>
            <w:r>
              <w:t xml:space="preserve">Discovery / document production</w:t>
            </w:r>
          </w:p>
        </w:tc>
        <w:tc>
          <w:tcPr/>
          <w:p>
            <w:pPr>
              <w:pStyle w:val="Compact"/>
              <w:jc w:val="left"/>
            </w:pPr>
            <w:r>
              <w:t xml:space="preserve">None permitted</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t xml:space="preserve">Limitation period</w:t>
            </w:r>
          </w:p>
        </w:tc>
        <w:tc>
          <w:tcPr/>
          <w:p>
            <w:pPr>
              <w:pStyle w:val="Compact"/>
              <w:jc w:val="left"/>
            </w:pPr>
            <w:r>
              <w:t xml:space="preserve">1 year from knowledge</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Appeal</w:t>
            </w:r>
          </w:p>
        </w:tc>
        <w:tc>
          <w:tcPr/>
          <w:p>
            <w:pPr>
              <w:pStyle w:val="Compact"/>
              <w:jc w:val="left"/>
            </w:pPr>
            <w:r>
              <w:t xml:space="preserve">On questions of law to High Court of Singapore</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t xml:space="preserve">Interim relief</w:t>
            </w:r>
          </w:p>
        </w:tc>
        <w:tc>
          <w:tcPr/>
          <w:p>
            <w:pPr>
              <w:pStyle w:val="Compact"/>
              <w:jc w:val="left"/>
            </w:pPr>
            <w:r>
              <w:t xml:space="preserve">Any court of competent jurisdiction worldwide</w:t>
            </w:r>
          </w:p>
        </w:tc>
        <w:tc>
          <w:tcPr/>
          <w:p>
            <w:pPr>
              <w:pStyle w:val="Compact"/>
              <w:jc w:val="left"/>
            </w:pPr>
            <w:r>
              <w:t xml:space="preserve">Tribunal may grant injunction / specific performance / damages</w:t>
            </w:r>
          </w:p>
        </w:tc>
        <w:tc>
          <w:tcPr/>
          <w:p>
            <w:pPr>
              <w:pStyle w:val="Compact"/>
              <w:jc w:val="left"/>
            </w:pPr>
            <w:r>
              <w:t xml:space="preserve">Not addressed (LCIA emergency arbitrator; English court)</w:t>
            </w:r>
          </w:p>
        </w:tc>
      </w:tr>
      <w:tr>
        <w:tc>
          <w:tcPr/>
          <w:p>
            <w:pPr>
              <w:pStyle w:val="Compact"/>
              <w:jc w:val="left"/>
            </w:pPr>
            <w:r>
              <w:t xml:space="preserve">Confidentiality</w:t>
            </w:r>
          </w:p>
        </w:tc>
        <w:tc>
          <w:tcPr/>
          <w:p>
            <w:pPr>
              <w:pStyle w:val="Compact"/>
              <w:jc w:val="left"/>
            </w:pPr>
            <w:r>
              <w:t xml:space="preserve">Yes (law-required carve-out)</w:t>
            </w:r>
          </w:p>
        </w:tc>
        <w:tc>
          <w:tcPr/>
          <w:p>
            <w:pPr>
              <w:pStyle w:val="Compact"/>
              <w:jc w:val="left"/>
            </w:pPr>
            <w:r>
              <w:t xml:space="preserve">Not addressed</w:t>
            </w:r>
          </w:p>
        </w:tc>
        <w:tc>
          <w:tcPr/>
          <w:p>
            <w:pPr>
              <w:pStyle w:val="Compact"/>
              <w:jc w:val="left"/>
            </w:pPr>
            <w:r>
              <w:t xml:space="preserve">Not addressed (LCIA Rules Art. 30)</w:t>
            </w:r>
          </w:p>
        </w:tc>
      </w:tr>
      <w:tr>
        <w:tc>
          <w:tcPr/>
          <w:p>
            <w:pPr>
              <w:pStyle w:val="Compact"/>
              <w:jc w:val="left"/>
            </w:pPr>
            <w:r>
              <w:t xml:space="preserve">Language</w:t>
            </w:r>
          </w:p>
        </w:tc>
        <w:tc>
          <w:tcPr/>
          <w:p>
            <w:pPr>
              <w:pStyle w:val="Compact"/>
              <w:jc w:val="left"/>
            </w:pPr>
            <w:r>
              <w:t xml:space="preserve">Not specified</w:t>
            </w:r>
          </w:p>
        </w:tc>
        <w:tc>
          <w:tcPr/>
          <w:p>
            <w:pPr>
              <w:pStyle w:val="Compact"/>
              <w:jc w:val="left"/>
            </w:pPr>
            <w:r>
              <w:t xml:space="preserve">English</w:t>
            </w:r>
          </w:p>
        </w:tc>
        <w:tc>
          <w:tcPr/>
          <w:p>
            <w:pPr>
              <w:pStyle w:val="Compact"/>
              <w:jc w:val="left"/>
            </w:pPr>
            <w:r>
              <w:t xml:space="preserve">English</w:t>
            </w:r>
          </w:p>
        </w:tc>
      </w:tr>
      <w:tr>
        <w:tc>
          <w:tcPr/>
          <w:p>
            <w:pPr>
              <w:pStyle w:val="Compact"/>
              <w:jc w:val="left"/>
            </w:pPr>
            <w:r>
              <w:t xml:space="preserve">Consolidation / joinder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§9.3 consolidates IPLA + SA claims into LCIA (conflicts with SA)</w:t>
            </w:r>
          </w:p>
        </w:tc>
      </w:tr>
      <w:tr>
        <w:tc>
          <w:tcPr/>
          <w:p>
            <w:pPr>
              <w:pStyle w:val="Compact"/>
              <w:jc w:val="left"/>
            </w:pPr>
            <w:r>
              <w:t xml:space="preserve">Damages limitation</w:t>
            </w:r>
          </w:p>
        </w:tc>
        <w:tc>
          <w:tcPr/>
          <w:p>
            <w:pPr>
              <w:pStyle w:val="Compact"/>
              <w:jc w:val="left"/>
            </w:pPr>
            <w:r>
              <w:t xml:space="preserve">No punitive / exemplary / consequential (§14.11)</w:t>
            </w:r>
          </w:p>
        </w:tc>
        <w:tc>
          <w:tcPr/>
          <w:p>
            <w:pPr>
              <w:pStyle w:val="Compact"/>
              <w:jc w:val="left"/>
            </w:pPr>
            <w:r>
              <w:t xml:space="preserve">Tribunal may award any remedy (§7.2)</w:t>
            </w:r>
          </w:p>
        </w:tc>
        <w:tc>
          <w:tcPr/>
          <w:p>
            <w:pPr>
              <w:pStyle w:val="Compact"/>
              <w:jc w:val="left"/>
            </w:pPr>
            <w:r>
              <w:t xml:space="preserve">None in DR clause</w:t>
            </w:r>
          </w:p>
        </w:tc>
      </w:tr>
      <w:tr>
        <w:tc>
          <w:tcPr/>
          <w:p>
            <w:pPr>
              <w:pStyle w:val="Compact"/>
              <w:jc w:val="left"/>
            </w:pPr>
            <w:r>
              <w:t xml:space="preserve">Precedence</w:t>
            </w:r>
          </w:p>
        </w:tc>
        <w:tc>
          <w:tcPr/>
          <w:p>
            <w:pPr>
              <w:pStyle w:val="Compact"/>
              <w:jc w:val="left"/>
            </w:pPr>
            <w:r>
              <w:t xml:space="preserve">SA controls over QA &amp; IPLA (§15.8)</w:t>
            </w:r>
          </w:p>
        </w:tc>
        <w:tc>
          <w:tcPr/>
          <w:p>
            <w:pPr>
              <w:pStyle w:val="Compact"/>
              <w:jc w:val="left"/>
            </w:pPr>
            <w:r>
              <w:t xml:space="preserve">QA controls for §7 subjects; else SA controls (§8.1)</w:t>
            </w:r>
          </w:p>
        </w:tc>
        <w:tc>
          <w:tcPr/>
          <w:p>
            <w:pPr>
              <w:pStyle w:val="Compact"/>
              <w:jc w:val="left"/>
            </w:pPr>
            <w:r>
              <w:t xml:space="preserve">SA controls except matters exclusively in IPLA (§10.3)</w:t>
            </w:r>
          </w:p>
        </w:tc>
      </w:tr>
    </w:tbl>
    <w:p>
      <w:r>
        <w:pict>
          <v:rect style="width:0;height:1.5pt" o:hralign="center" o:hrstd="t" o:hr="t"/>
        </w:pict>
      </w:r>
    </w:p>
    <w:bookmarkEnd w:id="23"/>
    <w:bookmarkStart w:id="24" w:name="iv.-severity-ratings-definitions"/>
    <w:p>
      <w:pPr>
        <w:pStyle w:val="Heading2"/>
      </w:pPr>
      <w:r>
        <w:t xml:space="preserve">IV. Severity Ratings — Definitions</w:t>
      </w:r>
    </w:p>
    <w:p>
      <w:pPr>
        <w:pStyle w:val="Compact"/>
        <w:numPr>
          <w:ilvl w:val="0"/>
          <w:numId w:val="1002"/>
        </w:numPr>
      </w:pPr>
      <w:r>
        <w:rPr>
          <w:b/>
          <w:bCs/>
        </w:rPr>
        <w:t xml:space="preserve">Critical</w:t>
      </w:r>
      <w:r>
        <w:t xml:space="preserve"> </w:t>
      </w:r>
      <w:r>
        <w:t xml:space="preserve">— A defect that, if uncorrected, is likely to (a) render a clause unenforceable or vulnerable to challenge, (b) cause materially inconsistent or duplicative proceedings, or (c) expose Greenleaf to loss of a magnitude that could threaten the economics of the transaction. Address before signing.</w:t>
      </w:r>
    </w:p>
    <w:p>
      <w:pPr>
        <w:pStyle w:val="Compact"/>
        <w:numPr>
          <w:ilvl w:val="0"/>
          <w:numId w:val="1002"/>
        </w:numPr>
      </w:pPr>
      <w:r>
        <w:rPr>
          <w:b/>
          <w:bCs/>
        </w:rPr>
        <w:t xml:space="preserve">High</w:t>
      </w:r>
      <w:r>
        <w:t xml:space="preserve"> </w:t>
      </w:r>
      <w:r>
        <w:t xml:space="preserve">— A defect that creates significant litigation/enforcement risk or materially disadvantages Greenleaf in a foreseeable dispute scenario. Negotiate before signing; do not defer.</w:t>
      </w:r>
    </w:p>
    <w:p>
      <w:pPr>
        <w:pStyle w:val="Compact"/>
        <w:numPr>
          <w:ilvl w:val="0"/>
          <w:numId w:val="1002"/>
        </w:numPr>
      </w:pPr>
      <w:r>
        <w:rPr>
          <w:b/>
          <w:bCs/>
        </w:rPr>
        <w:t xml:space="preserve">Medium</w:t>
      </w:r>
      <w:r>
        <w:t xml:space="preserve"> </w:t>
      </w:r>
      <w:r>
        <w:t xml:space="preserve">— A defect that increases cost, delay, or unpredictability, or that creates ambiguity likely to require interpretation. Negotiate if leverage permits; otherwise flag for resolution.</w:t>
      </w:r>
    </w:p>
    <w:p>
      <w:pPr>
        <w:pStyle w:val="Compact"/>
        <w:numPr>
          <w:ilvl w:val="0"/>
          <w:numId w:val="1002"/>
        </w:numPr>
      </w:pPr>
      <w:r>
        <w:rPr>
          <w:b/>
          <w:bCs/>
        </w:rPr>
        <w:t xml:space="preserve">Low</w:t>
      </w:r>
      <w:r>
        <w:t xml:space="preserve"> </w:t>
      </w:r>
      <w:r>
        <w:t xml:space="preserve">— A drafting inconsistency or gap with limited standalone impact but that should be cleaned up for consistency and to avoid future disputes.</w:t>
      </w:r>
    </w:p>
    <w:p>
      <w:r>
        <w:pict>
          <v:rect style="width:0;height:1.5pt" o:hralign="center" o:hrstd="t" o:hr="t"/>
        </w:pict>
      </w:r>
    </w:p>
    <w:bookmarkEnd w:id="24"/>
    <w:bookmarkStart w:id="42" w:name="v.-issues-and-recommendations"/>
    <w:p>
      <w:pPr>
        <w:pStyle w:val="Heading2"/>
      </w:pPr>
      <w:r>
        <w:t xml:space="preserve">V. Issues and Recommendations</w:t>
      </w:r>
    </w:p>
    <w:bookmarkStart w:id="25" w:name="Xc340ab22f2656622d65e80263c6695d8c6818ef"/>
    <w:p>
      <w:pPr>
        <w:pStyle w:val="Heading3"/>
      </w:pPr>
      <w:r>
        <w:t xml:space="preserve">C1 — CRITICAL: Fragmented dispute resolution architecture (three institutions, three seats, three governing laws)</w:t>
      </w:r>
    </w:p>
    <w:p>
      <w:pPr>
        <w:pStyle w:val="FirstParagraph"/>
      </w:pPr>
      <w:r>
        <w:rPr>
          <w:b/>
          <w:bCs/>
        </w:rPr>
        <w:t xml:space="preserve">Provision(s):</w:t>
      </w:r>
      <w:r>
        <w:t xml:space="preserve"> </w:t>
      </w:r>
      <w:r>
        <w:t xml:space="preserve">SA §§14.1–14.4, 15.11; QA Letter §§7.1–7.3; IPLA §§9.1–9.2.</w:t>
      </w:r>
    </w:p>
    <w:p>
      <w:pPr>
        <w:pStyle w:val="BodyText"/>
      </w:pPr>
      <w:r>
        <w:rPr>
          <w:b/>
          <w:bCs/>
        </w:rPr>
        <w:t xml:space="preserve">Analysis.</w:t>
      </w:r>
      <w:r>
        <w:t xml:space="preserve"> </w:t>
      </w:r>
      <w:r>
        <w:t xml:space="preserve">The three documents, which together form a single integrated transaction (the</w:t>
      </w:r>
      <w:r>
        <w:t xml:space="preserve"> </w:t>
      </w:r>
      <w:r>
        <w:t xml:space="preserve">“</w:t>
      </w:r>
      <w:r>
        <w:t xml:space="preserve">Transaction Documents,</w:t>
      </w:r>
      <w:r>
        <w:t xml:space="preserve">”</w:t>
      </w:r>
      <w:r>
        <w:t xml:space="preserve"> </w:t>
      </w:r>
      <w:r>
        <w:t xml:space="preserve">per SA §1.1 and IPLA §10.3), each select a different administering institution (ICC / SIAC / LCIA), a different juridical seat (Singapore / Singapore / London), and a different substantive governing law (New York / Singapore / England &amp; Wales). A single real-world dispute will frequently implicate all three. The most likely dispute scenario identified by Greenleaf — a contaminated or off-spec extract that is processed by a co-manufacturer into finished product and triggers an FDA recall — simultaneously raises: (i) supply, rejection, and warranty issues under the SA; (ii) testing, specification, and recall-cost-allocation issues under the QA Letter; and (iii) regulatory-data and IP-use issues under the IPLA. Under the current architecture, that one factual dispute could spawn proceedings before three different institutions, in two seats, under three bodies of substantive law.</w:t>
      </w:r>
    </w:p>
    <w:p>
      <w:pPr>
        <w:pStyle w:val="BodyText"/>
      </w:pPr>
      <w:r>
        <w:rPr>
          <w:b/>
          <w:bCs/>
        </w:rPr>
        <w:t xml:space="preserve">Why it matters.</w:t>
      </w:r>
      <w:r>
        <w:t xml:space="preserve"> </w:t>
      </w:r>
      <w:r>
        <w:t xml:space="preserve">Fragmentation produces the three harms Mr. Park identified: parallel proceedings, inconsistent findings of fact and law, and multiplied legal spend. It also creates jurisdictional/primacy disputes at the outset of any conflict — the parties may litigate</w:t>
      </w:r>
      <w:r>
        <w:t xml:space="preserve"> </w:t>
      </w:r>
      <w:r>
        <w:rPr>
          <w:i/>
          <w:iCs/>
        </w:rPr>
        <w:t xml:space="preserve">where</w:t>
      </w:r>
      <w:r>
        <w:t xml:space="preserve"> </w:t>
      </w:r>
      <w:r>
        <w:t xml:space="preserve">to litigate before litigating the merits. H&amp;G’s memorandum characterizes the three-tier structure as</w:t>
      </w:r>
      <w:r>
        <w:t xml:space="preserve"> </w:t>
      </w:r>
      <w:r>
        <w:t xml:space="preserve">“</w:t>
      </w:r>
      <w:r>
        <w:t xml:space="preserve">deliberate</w:t>
      </w:r>
      <w:r>
        <w:t xml:space="preserve">”</w:t>
      </w:r>
      <w:r>
        <w:t xml:space="preserve"> </w:t>
      </w:r>
      <w:r>
        <w:t xml:space="preserve">and</w:t>
      </w:r>
      <w:r>
        <w:t xml:space="preserve"> </w:t>
      </w:r>
      <w:r>
        <w:t xml:space="preserve">“</w:t>
      </w:r>
      <w:r>
        <w:t xml:space="preserve">workable,</w:t>
      </w:r>
      <w:r>
        <w:t xml:space="preserve">”</w:t>
      </w:r>
      <w:r>
        <w:t xml:space="preserve"> </w:t>
      </w:r>
      <w:r>
        <w:t xml:space="preserve">but the structure is workable only if the documents contain a coherent mechanism to channel overlapping disputes into a single forum. They do not (see C2).</w:t>
      </w:r>
    </w:p>
    <w:p>
      <w:pPr>
        <w:pStyle w:val="BodyText"/>
      </w:pPr>
      <w:r>
        <w:rPr>
          <w:b/>
          <w:bCs/>
        </w:rPr>
        <w:t xml:space="preserve">Recommendation.</w:t>
      </w:r>
      <w:r>
        <w:t xml:space="preserve"> </w:t>
      </w:r>
      <w:r>
        <w:t xml:space="preserve">Unify the dispute resolution framework. We recommend a single administering institution, a single seat, and a single set of procedural rules incorporated by reference into all three documents (ideally via a standalone</w:t>
      </w:r>
      <w:r>
        <w:t xml:space="preserve"> </w:t>
      </w:r>
      <w:r>
        <w:t xml:space="preserve">“</w:t>
      </w:r>
      <w:r>
        <w:t xml:space="preserve">Dispute Resolution Schedule</w:t>
      </w:r>
      <w:r>
        <w:t xml:space="preserve">”</w:t>
      </w:r>
      <w:r>
        <w:t xml:space="preserve"> </w:t>
      </w:r>
      <w:r>
        <w:t xml:space="preserve">attached to and incorporated into each). Given Pacifica’s stated preference for Singapore-connected dispute resolution and the fact that two of the three documents already use Singapore (SA seat; QA Letter institution and seat), the cleanest unification is</w:t>
      </w:r>
      <w:r>
        <w:t xml:space="preserve"> </w:t>
      </w:r>
      <w:r>
        <w:rPr>
          <w:b/>
          <w:bCs/>
        </w:rPr>
        <w:t xml:space="preserve">SIAC, seated in Singapore</w:t>
      </w:r>
      <w:r>
        <w:t xml:space="preserve">, with English as the language. If the parties prefer to retain the ICC for the SA’s commercial disputes, the alternative is to move the QA Letter and IPLA to ICC/Singapore. Either way, all three documents should point to the same institution and seat. Substantive governing law is a separate commercial question (see H1), but the law governing the arbitration agreement should be unified to the law of the seat.</w:t>
      </w:r>
    </w:p>
    <w:bookmarkEnd w:id="25"/>
    <w:bookmarkStart w:id="26" w:name="X9193d1db3944b57a850336d7acb45d764f515d1"/>
    <w:p>
      <w:pPr>
        <w:pStyle w:val="Heading3"/>
      </w:pPr>
      <w:r>
        <w:t xml:space="preserve">C2 — CRITICAL: Circular, conflicting precedence and consolidation clauses (pathological-clause risk)</w:t>
      </w:r>
    </w:p>
    <w:p>
      <w:pPr>
        <w:pStyle w:val="FirstParagraph"/>
      </w:pPr>
      <w:r>
        <w:rPr>
          <w:b/>
          <w:bCs/>
        </w:rPr>
        <w:t xml:space="preserve">Provision(s):</w:t>
      </w:r>
      <w:r>
        <w:t xml:space="preserve"> </w:t>
      </w:r>
      <w:r>
        <w:t xml:space="preserve">SA §15.8; QA Letter §8.1; IPLA §§9.3 and 10.3.</w:t>
      </w:r>
    </w:p>
    <w:p>
      <w:pPr>
        <w:pStyle w:val="BodyText"/>
      </w:pPr>
      <w:r>
        <w:rPr>
          <w:b/>
          <w:bCs/>
        </w:rPr>
        <w:t xml:space="preserve">Analysis.</w:t>
      </w:r>
      <w:r>
        <w:t xml:space="preserve"> </w:t>
      </w:r>
      <w:r>
        <w:t xml:space="preserve">Each document contains a precedence clause, and each purports to make its own dispute resolution provisions controlling for overlapping disputes:</w:t>
      </w:r>
    </w:p>
    <w:p>
      <w:pPr>
        <w:pStyle w:val="Compact"/>
        <w:numPr>
          <w:ilvl w:val="0"/>
          <w:numId w:val="1003"/>
        </w:numPr>
      </w:pPr>
      <w:r>
        <w:rPr>
          <w:b/>
          <w:bCs/>
        </w:rPr>
        <w:t xml:space="preserve">SA §15.8:</w:t>
      </w:r>
      <w:r>
        <w:t xml:space="preserve"> </w:t>
      </w:r>
      <w:r>
        <w:t xml:space="preserve">“</w:t>
      </w:r>
      <w:r>
        <w:t xml:space="preserve">In the event of a conflict between the terms of this Agreement and the terms of the QA Side Letter or the IPLA, this Agreement shall control.</w:t>
      </w:r>
      <w:r>
        <w:t xml:space="preserve">”</w:t>
      </w:r>
    </w:p>
    <w:p>
      <w:pPr>
        <w:pStyle w:val="Compact"/>
        <w:numPr>
          <w:ilvl w:val="0"/>
          <w:numId w:val="1003"/>
        </w:numPr>
      </w:pPr>
      <w:r>
        <w:rPr>
          <w:b/>
          <w:bCs/>
        </w:rPr>
        <w:t xml:space="preserve">QA Letter §8.1:</w:t>
      </w:r>
      <w:r>
        <w:t xml:space="preserve"> </w:t>
      </w:r>
      <w:r>
        <w:t xml:space="preserve">The SA controls,</w:t>
      </w:r>
      <w:r>
        <w:t xml:space="preserve"> </w:t>
      </w:r>
      <w:r>
        <w:t xml:space="preserve">“</w:t>
      </w:r>
      <w:r>
        <w:rPr>
          <w:i/>
          <w:iCs/>
        </w:rPr>
        <w:t xml:space="preserve">provided, however</w:t>
      </w:r>
      <w:r>
        <w:t xml:space="preserve">, that with respect to the subject matters specifically addressed in this Side Letter — including … the dispute resolution mechanism set forth in Section 7 — this Side Letter shall control.</w:t>
      </w:r>
      <w:r>
        <w:t xml:space="preserve">”</w:t>
      </w:r>
    </w:p>
    <w:p>
      <w:pPr>
        <w:pStyle w:val="Compact"/>
        <w:numPr>
          <w:ilvl w:val="0"/>
          <w:numId w:val="1003"/>
        </w:numPr>
      </w:pPr>
      <w:r>
        <w:rPr>
          <w:b/>
          <w:bCs/>
        </w:rPr>
        <w:t xml:space="preserve">IPLA §10.3:</w:t>
      </w:r>
      <w:r>
        <w:t xml:space="preserve"> </w:t>
      </w:r>
      <w:r>
        <w:t xml:space="preserve">The SA controls,</w:t>
      </w:r>
      <w:r>
        <w:t xml:space="preserve"> </w:t>
      </w:r>
      <w:r>
        <w:t xml:space="preserve">“</w:t>
      </w:r>
      <w:r>
        <w:t xml:space="preserve">except with respect to matters specifically and exclusively addressed by this Agreement.</w:t>
      </w:r>
      <w:r>
        <w:t xml:space="preserve">”</w:t>
      </w:r>
    </w:p>
    <w:p>
      <w:pPr>
        <w:pStyle w:val="Compact"/>
        <w:numPr>
          <w:ilvl w:val="0"/>
          <w:numId w:val="1003"/>
        </w:numPr>
      </w:pPr>
      <w:r>
        <w:rPr>
          <w:b/>
          <w:bCs/>
        </w:rPr>
        <w:t xml:space="preserve">IPLA §9.3:</w:t>
      </w:r>
      <w:r>
        <w:t xml:space="preserve"> </w:t>
      </w:r>
      <w:r>
        <w:t xml:space="preserve">“</w:t>
      </w:r>
      <w:r>
        <w:t xml:space="preserve">claims arising under this Agreement that also relate to obligations under the Supply Agreement shall be heard jointly in a single arbitration proceeding under this Section 9</w:t>
      </w:r>
      <w:r>
        <w:t xml:space="preserve">”</w:t>
      </w:r>
      <w:r>
        <w:t xml:space="preserve"> </w:t>
      </w:r>
      <w:r>
        <w:t xml:space="preserve">(i.e., under the LCIA in London).</w:t>
      </w:r>
    </w:p>
    <w:p>
      <w:pPr>
        <w:pStyle w:val="FirstParagraph"/>
      </w:pPr>
      <w:r>
        <w:t xml:space="preserve">These provisions are mutually irreconcilable. The IPLA says overlapping IPLA/SA claims go to the LCIA in London; the SA says SA disputes go to the ICC in Singapore and that the SA controls in any conflict; the QA Letter says quality disputes go to SIAC and that the QA Letter controls for dispute resolution. Because dispute resolution is addressed in all three documents, no document’s DR clause is</w:t>
      </w:r>
      <w:r>
        <w:t xml:space="preserve"> </w:t>
      </w:r>
      <w:r>
        <w:t xml:space="preserve">“</w:t>
      </w:r>
      <w:r>
        <w:t xml:space="preserve">specifically and exclusively</w:t>
      </w:r>
      <w:r>
        <w:t xml:space="preserve">”</w:t>
      </w:r>
      <w:r>
        <w:t xml:space="preserve"> </w:t>
      </w:r>
      <w:r>
        <w:t xml:space="preserve">addressed by that document within the meaning of IPLA §10.3, and the carve-outs in QA Letter §8.1 and the consolidation mandate in IPLA §9.3 directly contradict SA §15.8. There is no single, deterministic answer to which forum hears an overlapping dispute.</w:t>
      </w:r>
    </w:p>
    <w:p>
      <w:pPr>
        <w:pStyle w:val="BodyText"/>
      </w:pPr>
      <w:r>
        <w:rPr>
          <w:b/>
          <w:bCs/>
        </w:rPr>
        <w:t xml:space="preserve">Why it matters.</w:t>
      </w:r>
      <w:r>
        <w:t xml:space="preserve"> </w:t>
      </w:r>
      <w:r>
        <w:t xml:space="preserve">This is the textbook definition of a</w:t>
      </w:r>
      <w:r>
        <w:t xml:space="preserve"> </w:t>
      </w:r>
      <w:r>
        <w:t xml:space="preserve">“</w:t>
      </w:r>
      <w:r>
        <w:t xml:space="preserve">pathological</w:t>
      </w:r>
      <w:r>
        <w:t xml:space="preserve">”</w:t>
      </w:r>
      <w:r>
        <w:t xml:space="preserve"> </w:t>
      </w:r>
      <w:r>
        <w:t xml:space="preserve">arbitration clause — an internally inconsistent agreement that invites jurisdictional challenges. It is striking that the framework recreates this risk given that Pacifica’s 2023 ICC award (Hong Kong seat, ~$8.2M) was delayed approximately fourteen months by exactly such a challenge to an allegedly</w:t>
      </w:r>
      <w:r>
        <w:t xml:space="preserve"> </w:t>
      </w:r>
      <w:r>
        <w:t xml:space="preserve">“</w:t>
      </w:r>
      <w:r>
        <w:t xml:space="preserve">pathological</w:t>
      </w:r>
      <w:r>
        <w:t xml:space="preserve">”</w:t>
      </w:r>
      <w:r>
        <w:t xml:space="preserve"> </w:t>
      </w:r>
      <w:r>
        <w:t xml:space="preserve">clause, and H&amp;G’s memorandum states that the current provisions were drafted</w:t>
      </w:r>
      <w:r>
        <w:t xml:space="preserve"> </w:t>
      </w:r>
      <w:r>
        <w:t xml:space="preserve">“</w:t>
      </w:r>
      <w:r>
        <w:t xml:space="preserve">with the benefit of that experience</w:t>
      </w:r>
      <w:r>
        <w:t xml:space="preserve">”</w:t>
      </w:r>
      <w:r>
        <w:t xml:space="preserve"> </w:t>
      </w:r>
      <w:r>
        <w:t xml:space="preserve">to</w:t>
      </w:r>
      <w:r>
        <w:t xml:space="preserve"> </w:t>
      </w:r>
      <w:r>
        <w:t xml:space="preserve">“</w:t>
      </w:r>
      <w:r>
        <w:t xml:space="preserve">minimize the risk of post-award challenge.</w:t>
      </w:r>
      <w:r>
        <w:t xml:space="preserve">”</w:t>
      </w:r>
      <w:r>
        <w:t xml:space="preserve"> </w:t>
      </w:r>
      <w:r>
        <w:t xml:space="preserve">A party seeking to avoid arbitration, or to forum-shop, will have strong material here. Even if the challenge ultimately fails (as it did in 2023), the delay and cost are the harm.</w:t>
      </w:r>
    </w:p>
    <w:p>
      <w:pPr>
        <w:pStyle w:val="BodyText"/>
      </w:pPr>
      <w:r>
        <w:rPr>
          <w:b/>
          <w:bCs/>
        </w:rPr>
        <w:t xml:space="preserve">Recommendation.</w:t>
      </w:r>
      <w:r>
        <w:t xml:space="preserve"> </w:t>
      </w:r>
      <w:r>
        <w:t xml:space="preserve">Replace the three conflicting precedence/consolidation clauses with a single, clear rule. We recommend: (a) a standalone Dispute Resolution Schedule incorporated into all three documents; (b) an express provision that any dispute arising out of or relating to</w:t>
      </w:r>
      <w:r>
        <w:t xml:space="preserve"> </w:t>
      </w:r>
      <w:r>
        <w:rPr>
          <w:i/>
          <w:iCs/>
        </w:rPr>
        <w:t xml:space="preserve">any</w:t>
      </w:r>
      <w:r>
        <w:t xml:space="preserve"> </w:t>
      </w:r>
      <w:r>
        <w:t xml:space="preserve">Transaction Document — including disputes that implicate more than one Transaction Document — shall be resolved in a single arbitration under the unified framework (see C1); and (c) a single precedence clause stating that, in the event of conflict among the Transaction Documents as to dispute resolution, the Dispute Resolution Schedule controls. Delete IPLA §9.3 (the LCIA consolidation mandate) and the DR carve-out in QA Letter §8.1.</w:t>
      </w:r>
    </w:p>
    <w:bookmarkEnd w:id="26"/>
    <w:bookmarkStart w:id="27" w:name="X655b326ca8ad305c053179feef4510582f3ad33"/>
    <w:p>
      <w:pPr>
        <w:pStyle w:val="Heading3"/>
      </w:pPr>
      <w:r>
        <w:t xml:space="preserve">C3 — CRITICAL: Overbroad consequential damages waiver, compounded by indemnification conflict and the QA Letter cross-reference trap</w:t>
      </w:r>
    </w:p>
    <w:p>
      <w:pPr>
        <w:pStyle w:val="FirstParagraph"/>
      </w:pPr>
      <w:r>
        <w:rPr>
          <w:b/>
          <w:bCs/>
        </w:rPr>
        <w:t xml:space="preserve">Provision(s):</w:t>
      </w:r>
      <w:r>
        <w:t xml:space="preserve"> </w:t>
      </w:r>
      <w:r>
        <w:t xml:space="preserve">SA §14.11; SA §§10.1–10.3, 11.1–11.2; QA Letter §§6.1, 6.6.</w:t>
      </w:r>
    </w:p>
    <w:p>
      <w:pPr>
        <w:pStyle w:val="BodyText"/>
      </w:pPr>
      <w:r>
        <w:rPr>
          <w:b/>
          <w:bCs/>
        </w:rPr>
        <w:t xml:space="preserve">Analysis.</w:t>
      </w:r>
      <w:r>
        <w:t xml:space="preserve"> </w:t>
      </w:r>
      <w:r>
        <w:t xml:space="preserve">SA §14.11 provides that</w:t>
      </w:r>
      <w:r>
        <w:t xml:space="preserve"> </w:t>
      </w:r>
      <w:r>
        <w:t xml:space="preserve">“</w:t>
      </w:r>
      <w:r>
        <w:t xml:space="preserve">[t]he arbitral tribunal shall not have the authority to award punitive, exemplary, or consequential damages.</w:t>
      </w:r>
      <w:r>
        <w:t xml:space="preserve">”</w:t>
      </w:r>
      <w:r>
        <w:t xml:space="preserve"> </w:t>
      </w:r>
      <w:r>
        <w:t xml:space="preserve">Three features make this provision dangerous for Greenleaf:</w:t>
      </w:r>
    </w:p>
    <w:p>
      <w:pPr>
        <w:numPr>
          <w:ilvl w:val="0"/>
          <w:numId w:val="1004"/>
        </w:numPr>
      </w:pPr>
      <w:r>
        <w:rPr>
          <w:b/>
          <w:bCs/>
        </w:rPr>
        <w:t xml:space="preserve">It conflicts with the SA’s own indemnification regime.</w:t>
      </w:r>
      <w:r>
        <w:t xml:space="preserve"> </w:t>
      </w:r>
      <w:r>
        <w:t xml:space="preserve">SA §11.2 excludes consequential damages</w:t>
      </w:r>
      <w:r>
        <w:t xml:space="preserve"> </w:t>
      </w:r>
      <w:r>
        <w:t xml:space="preserve">“</w:t>
      </w:r>
      <w:r>
        <w:rPr>
          <w:i/>
          <w:iCs/>
        </w:rPr>
        <w:t xml:space="preserve">except for indemnification obligations under Article 10</w:t>
      </w:r>
      <w:r>
        <w:t xml:space="preserve">,</w:t>
      </w:r>
      <w:r>
        <w:t xml:space="preserve">”</w:t>
      </w:r>
      <w:r>
        <w:t xml:space="preserve"> </w:t>
      </w:r>
      <w:r>
        <w:t xml:space="preserve">and SA §11.1 carves indemnification out of the liability cap. The contract thus intends indemnification to reach losses (including third-party claims, recall costs, and certain downstream losses) that would otherwise be</w:t>
      </w:r>
      <w:r>
        <w:t xml:space="preserve"> </w:t>
      </w:r>
      <w:r>
        <w:t xml:space="preserve">“</w:t>
      </w:r>
      <w:r>
        <w:t xml:space="preserve">consequential.</w:t>
      </w:r>
      <w:r>
        <w:t xml:space="preserve">”</w:t>
      </w:r>
      <w:r>
        <w:t xml:space="preserve"> </w:t>
      </w:r>
      <w:r>
        <w:t xml:space="preserve">But §14.11 contains no corresponding carve-out: it strips the tribunal of authority to award consequential damages</w:t>
      </w:r>
      <w:r>
        <w:t xml:space="preserve"> </w:t>
      </w:r>
      <w:r>
        <w:rPr>
          <w:i/>
          <w:iCs/>
        </w:rPr>
        <w:t xml:space="preserve">tout court</w:t>
      </w:r>
      <w:r>
        <w:t xml:space="preserve">. A tribunal could read §14.11 as overriding the §11.2 indemnification carve-out, undermining Greenleaf’s primary remedy in arbitration.</w:t>
      </w:r>
    </w:p>
    <w:p>
      <w:pPr>
        <w:numPr>
          <w:ilvl w:val="0"/>
          <w:numId w:val="1004"/>
        </w:numPr>
      </w:pPr>
      <w:r>
        <w:rPr>
          <w:b/>
          <w:bCs/>
        </w:rPr>
        <w:t xml:space="preserve">The QA Letter subordinates Greenleaf’s recall-cost rights to §14.11.</w:t>
      </w:r>
      <w:r>
        <w:t xml:space="preserve"> </w:t>
      </w:r>
      <w:r>
        <w:t xml:space="preserve">QA Letter §6.6 states that nothing in the recall-cost-allocation section limits Greenleaf’s rights to consequential damages, indemnification, or other remedies</w:t>
      </w:r>
      <w:r>
        <w:t xml:space="preserve"> </w:t>
      </w:r>
      <w:r>
        <w:t xml:space="preserve">“</w:t>
      </w:r>
      <w:r>
        <w:t xml:space="preserve">except to the extent expressly limited by the dispute resolution provisions of Article 14 of the Supply Agreement.</w:t>
      </w:r>
      <w:r>
        <w:t xml:space="preserve">”</w:t>
      </w:r>
      <w:r>
        <w:t xml:space="preserve"> </w:t>
      </w:r>
      <w:r>
        <w:t xml:space="preserve">The QA Letter thus appears to preserve consequential-damages recovery but then expressly yields to SA §14.11 — a trap that neutralizes the recall-cost allocation Greenleaf would rely on. Mr. Park’s portfolio-company example (≈$1.8M direct vs. ≈$14M consequential in an FDA Class II recall; recovery of less than twelve cents on the dollar) illustrates the magnitude.</w:t>
      </w:r>
    </w:p>
    <w:p>
      <w:pPr>
        <w:numPr>
          <w:ilvl w:val="0"/>
          <w:numId w:val="1004"/>
        </w:numPr>
      </w:pPr>
      <w:r>
        <w:rPr>
          <w:b/>
          <w:bCs/>
        </w:rPr>
        <w:t xml:space="preserve">Exclusivity amplifies the exposure.</w:t>
      </w:r>
      <w:r>
        <w:t xml:space="preserve"> </w:t>
      </w:r>
      <w:r>
        <w:t xml:space="preserve">Because the SA is exclusive, Greenleaf has no alternative supplier; a supply disruption or defective-ingredient recall produces losses (lost profits, retailer penalties, reformulation costs, reputational harm) that are the core of the commercial risk and that New York law would likely classify as consequential. Mr. Heller’s observation that the relationship may run 13 years (through July 2038) and that Greenleaf’s product lines will be built around Pacifica’s extracts deepens this concern.</w:t>
      </w:r>
    </w:p>
    <w:p>
      <w:pPr>
        <w:pStyle w:val="FirstParagraph"/>
      </w:pPr>
      <w:r>
        <w:rPr>
          <w:b/>
          <w:bCs/>
        </w:rPr>
        <w:t xml:space="preserve">Why it matters.</w:t>
      </w:r>
      <w:r>
        <w:t xml:space="preserve"> </w:t>
      </w:r>
      <w:r>
        <w:t xml:space="preserve">This is Greenleaf’s stated top priority and, in Mr. Heller’s words, a potential walk-away issue. The waiver, as drafted, could leave Greenleaf arbitrating for the cost of the ingredient while forfeiting the recall, lost-profit, and third-party losses that constitute the real economic harm.</w:t>
      </w:r>
    </w:p>
    <w:p>
      <w:pPr>
        <w:pStyle w:val="BodyText"/>
      </w:pPr>
      <w:r>
        <w:rPr>
          <w:b/>
          <w:bCs/>
        </w:rPr>
        <w:t xml:space="preserve">Recommendation.</w:t>
      </w:r>
      <w:r>
        <w:t xml:space="preserve"> </w:t>
      </w:r>
      <w:r>
        <w:t xml:space="preserve">Negotiate one of the following, in descending order of preference:</w:t>
      </w:r>
    </w:p>
    <w:p>
      <w:pPr>
        <w:pStyle w:val="Compact"/>
        <w:numPr>
          <w:ilvl w:val="0"/>
          <w:numId w:val="1005"/>
        </w:numPr>
      </w:pPr>
      <w:r>
        <w:rPr>
          <w:b/>
          <w:bCs/>
        </w:rPr>
        <w:t xml:space="preserve">(Preferred) Carve-outs from the waiver:</w:t>
      </w:r>
      <w:r>
        <w:t xml:space="preserve"> </w:t>
      </w:r>
      <w:r>
        <w:t xml:space="preserve">preserve consequential damages for (i) recall-related costs and losses arising from defective Product; (ii) lost profits directly attributable to Pacifica’s supply failure or breach of the exclusivity obligation; and (iii) third-party claims against Greenleaf arising from defective ingredients. Retain the mutual waiver of punitive/exemplary damages.</w:t>
      </w:r>
    </w:p>
    <w:p>
      <w:pPr>
        <w:pStyle w:val="Compact"/>
        <w:numPr>
          <w:ilvl w:val="0"/>
          <w:numId w:val="1005"/>
        </w:numPr>
      </w:pPr>
      <w:r>
        <w:rPr>
          <w:b/>
          <w:bCs/>
        </w:rPr>
        <w:t xml:space="preserve">(Alternative) Restructure as a cap:</w:t>
      </w:r>
      <w:r>
        <w:t xml:space="preserve"> </w:t>
      </w:r>
      <w:r>
        <w:t xml:space="preserve">replace the blanket waiver with a super-cap on consequential damages (e.g., a multiple of the liability cap in §11.1, or a stated dollar amount), preserving recovery up to the cap.</w:t>
      </w:r>
    </w:p>
    <w:p>
      <w:pPr>
        <w:pStyle w:val="Compact"/>
        <w:numPr>
          <w:ilvl w:val="0"/>
          <w:numId w:val="1005"/>
        </w:numPr>
      </w:pPr>
      <w:r>
        <w:rPr>
          <w:b/>
          <w:bCs/>
        </w:rPr>
        <w:t xml:space="preserve">Conforming edits:</w:t>
      </w:r>
      <w:r>
        <w:t xml:space="preserve"> </w:t>
      </w:r>
      <w:r>
        <w:t xml:space="preserve">add a parallel carve-out to §14.11 mirroring the §11.2 indemnification exception, and amend QA Letter §6.6 to delete the subordination to</w:t>
      </w:r>
      <w:r>
        <w:t xml:space="preserve"> </w:t>
      </w:r>
      <w:r>
        <w:t xml:space="preserve">“</w:t>
      </w:r>
      <w:r>
        <w:t xml:space="preserve">Article 14 of the Supply Agreement</w:t>
      </w:r>
      <w:r>
        <w:t xml:space="preserve">”</w:t>
      </w:r>
      <w:r>
        <w:t xml:space="preserve"> </w:t>
      </w:r>
      <w:r>
        <w:t xml:space="preserve">(or to carve out the same categories). Ensure the recall-cost allocation in QA Letter §6 is enforceable as a direct-cost obligation, not contingent on consequential-damages recoverability.</w:t>
      </w:r>
    </w:p>
    <w:bookmarkEnd w:id="27"/>
    <w:bookmarkStart w:id="28" w:name="X25afeedbfb876b950ccb1e02380f1c1987e3b19"/>
    <w:p>
      <w:pPr>
        <w:pStyle w:val="Heading3"/>
      </w:pPr>
      <w:r>
        <w:t xml:space="preserve">H1 — HIGH: Governing law of the arbitration agreement is unspecified; New York substantive law paired with a Singapore seat</w:t>
      </w:r>
    </w:p>
    <w:p>
      <w:pPr>
        <w:pStyle w:val="FirstParagraph"/>
      </w:pPr>
      <w:r>
        <w:rPr>
          <w:b/>
          <w:bCs/>
        </w:rPr>
        <w:t xml:space="preserve">Provision(s):</w:t>
      </w:r>
      <w:r>
        <w:t xml:space="preserve"> </w:t>
      </w:r>
      <w:r>
        <w:t xml:space="preserve">SA §§14.2, 14.4, 15.11; cf. IPLA §§9.1–9.2 (internally consistent).</w:t>
      </w:r>
    </w:p>
    <w:p>
      <w:pPr>
        <w:pStyle w:val="BodyText"/>
      </w:pPr>
      <w:r>
        <w:rPr>
          <w:b/>
          <w:bCs/>
        </w:rPr>
        <w:t xml:space="preserve">Analysis.</w:t>
      </w:r>
      <w:r>
        <w:t xml:space="preserve"> </w:t>
      </w:r>
      <w:r>
        <w:t xml:space="preserve">The SA selects New York substantive law (§§14.4, 15.11) but seats the arbitration in Singapore (§14.2). The SA does not specify the law governing the</w:t>
      </w:r>
      <w:r>
        <w:t xml:space="preserve"> </w:t>
      </w:r>
      <w:r>
        <w:rPr>
          <w:i/>
          <w:iCs/>
        </w:rPr>
        <w:t xml:space="preserve">arbitration agreement itself</w:t>
      </w:r>
      <w:r>
        <w:t xml:space="preserve"> </w:t>
      </w:r>
      <w:r>
        <w:t xml:space="preserve">— a distinct question from the law governing the substantive contract. Where parties have not expressly chosen the law of the arbitration agreement, courts and tribunals generally apply the law of the seat as the proper law of the arbitration agreement (see, e.g.,</w:t>
      </w:r>
      <w:r>
        <w:t xml:space="preserve"> </w:t>
      </w:r>
      <w:r>
        <w:rPr>
          <w:i/>
          <w:iCs/>
        </w:rPr>
        <w:t xml:space="preserve">Enka Insaat ve Sanayi AS v OOO</w:t>
      </w:r>
      <w:r>
        <w:rPr>
          <w:i/>
          <w:iCs/>
        </w:rPr>
        <w:t xml:space="preserve"> </w:t>
      </w:r>
      <w:r>
        <w:rPr>
          <w:i/>
          <w:iCs/>
        </w:rPr>
        <w:t xml:space="preserve">“</w:t>
      </w:r>
      <w:r>
        <w:rPr>
          <w:i/>
          <w:iCs/>
        </w:rPr>
        <w:t xml:space="preserve">Insurance Company Chubb</w:t>
      </w:r>
      <w:r>
        <w:rPr>
          <w:i/>
          <w:iCs/>
        </w:rPr>
        <w:t xml:space="preserve">”</w:t>
      </w:r>
      <w:r>
        <w:t xml:space="preserve"> </w:t>
      </w:r>
      <w:r>
        <w:t xml:space="preserve">(UK Supreme Court, 2020);</w:t>
      </w:r>
      <w:r>
        <w:t xml:space="preserve"> </w:t>
      </w:r>
      <w:r>
        <w:rPr>
          <w:i/>
          <w:iCs/>
        </w:rPr>
        <w:t xml:space="preserve">BCY v BBQQ</w:t>
      </w:r>
      <w:r>
        <w:t xml:space="preserve"> </w:t>
      </w:r>
      <w:r>
        <w:t xml:space="preserve">(Singapore Court of Appeal, 2016)). The pairing of a New York governing law with a Singapore seat therefore creates ambiguity: a party could argue that New York law (the parties’ primary choice) governs the arbitration agreement, while another argues Singapore law (the seat) does. By contrast, the IPLA is internally consistent (English law, London seat).</w:t>
      </w:r>
    </w:p>
    <w:p>
      <w:pPr>
        <w:pStyle w:val="BodyText"/>
      </w:pPr>
      <w:r>
        <w:rPr>
          <w:b/>
          <w:bCs/>
        </w:rPr>
        <w:t xml:space="preserve">Why it matters.</w:t>
      </w:r>
      <w:r>
        <w:t xml:space="preserve"> </w:t>
      </w:r>
      <w:r>
        <w:t xml:space="preserve">The law of the arbitration agreement governs the clause’s validity, scope, formation, and severability — the very issues on which a</w:t>
      </w:r>
      <w:r>
        <w:t xml:space="preserve"> </w:t>
      </w:r>
      <w:r>
        <w:t xml:space="preserve">“</w:t>
      </w:r>
      <w:r>
        <w:t xml:space="preserve">pathological clause</w:t>
      </w:r>
      <w:r>
        <w:t xml:space="preserve">”</w:t>
      </w:r>
      <w:r>
        <w:t xml:space="preserve"> </w:t>
      </w:r>
      <w:r>
        <w:t xml:space="preserve">challenge is mounted. Ambiguity here is the kind of defect that delayed enforcement of Pacifica’s 2023 award. It also affects U.S. enforcement: under the New York Convention and Chapter 2 of the Federal Arbitration Act, a court may refuse enforcement where the arbitration agreement is</w:t>
      </w:r>
      <w:r>
        <w:t xml:space="preserve"> </w:t>
      </w:r>
      <w:r>
        <w:t xml:space="preserve">“</w:t>
      </w:r>
      <w:r>
        <w:t xml:space="preserve">null and void, inoperative or incapable of being performed</w:t>
      </w:r>
      <w:r>
        <w:t xml:space="preserve">”</w:t>
      </w:r>
      <w:r>
        <w:t xml:space="preserve"> </w:t>
      </w:r>
      <w:r>
        <w:t xml:space="preserve">under the law governing it (Article V(1)(a)); ambiguity as to that law invites argument.</w:t>
      </w:r>
    </w:p>
    <w:p>
      <w:pPr>
        <w:pStyle w:val="BodyText"/>
      </w:pPr>
      <w:r>
        <w:rPr>
          <w:b/>
          <w:bCs/>
        </w:rPr>
        <w:t xml:space="preserve">Recommendation.</w:t>
      </w:r>
      <w:r>
        <w:t xml:space="preserve"> </w:t>
      </w:r>
      <w:r>
        <w:t xml:space="preserve">Add an express choice of law for the arbitration agreement. The cleanest solution is to specify that the arbitration agreement is governed by the law of the seat (Singapore law), consistent with the unified framework in C1. If the parties retain separate seats, each arbitration clause should expressly state the law governing the arbitration agreement (matching its seat). This eliminates the ambiguity that grounds pathological-clause challenges.</w:t>
      </w:r>
    </w:p>
    <w:bookmarkEnd w:id="28"/>
    <w:bookmarkStart w:id="29" w:name="X3f62904a88f55c90c724fbbedc28878ef3573a3"/>
    <w:p>
      <w:pPr>
        <w:pStyle w:val="Heading3"/>
      </w:pPr>
      <w:r>
        <w:t xml:space="preserve">H2 — HIGH: No joinder or consolidation mechanism for non-signatory co-manufacturers</w:t>
      </w:r>
    </w:p>
    <w:p>
      <w:pPr>
        <w:pStyle w:val="FirstParagraph"/>
      </w:pPr>
      <w:r>
        <w:rPr>
          <w:b/>
          <w:bCs/>
        </w:rPr>
        <w:t xml:space="preserve">Provision(s):</w:t>
      </w:r>
      <w:r>
        <w:t xml:space="preserve"> </w:t>
      </w:r>
      <w:r>
        <w:t xml:space="preserve">SA Art. 14; QA Letter §7; IPLA §9 (none contain a joinder provision).</w:t>
      </w:r>
    </w:p>
    <w:p>
      <w:pPr>
        <w:pStyle w:val="BodyText"/>
      </w:pPr>
      <w:r>
        <w:rPr>
          <w:b/>
          <w:bCs/>
        </w:rPr>
        <w:t xml:space="preserve">Analysis.</w:t>
      </w:r>
      <w:r>
        <w:t xml:space="preserve"> </w:t>
      </w:r>
      <w:r>
        <w:t xml:space="preserve">None of the three arbitration clauses contains any mechanism for joinder of, or consolidation with, non-signatories. Greenleaf’s U.S.-based co-manufacturers (blending, encapsulation, packaging) are not parties to any Transaction Document, and their existing arrangements are governed by purchase orders with North Carolina choice-of-law/forum clauses (state court). A quality dispute will frequently require claims against both Pacifica (as supplier of the defective ingredient) and the co-manufacturer (for failure to detect or for contributing to the defect). Under the ICC, SIAC, and LCIA Rules, joinder of a non-signatory requires that party’s consent — which a co-manufacturer facing liability will have no incentive to give. The result, as Mr. Heller and Ms. Matsuda identified, is parallel proceedings: arbitration against Pacifica in Singapore/London while litigating against the co-man in Mecklenburg County (or federal court), with duplicative evidence-gathering and a real risk of inconsistent findings (e.g., the tribunal finding the extract defective while the court finds the co-man’s process at fault). A new co-manufacturer is expected online in Q1 2026, so the problem compounds within six months of the Effective Date.</w:t>
      </w:r>
    </w:p>
    <w:p>
      <w:pPr>
        <w:pStyle w:val="BodyText"/>
      </w:pPr>
      <w:r>
        <w:rPr>
          <w:b/>
          <w:bCs/>
        </w:rPr>
        <w:t xml:space="preserve">Why it matters.</w:t>
      </w:r>
      <w:r>
        <w:t xml:space="preserve"> </w:t>
      </w:r>
      <w:r>
        <w:t xml:space="preserve">This is Greenleaf’s stated second priority. Beyond cost and inconsistency, the absence of a joinder mechanism creates settlement-leverage asymmetry: Pacifica can point to the unresolved co-man dispute to resist full resolution, and Greenleaf cannot bind all necessary parties in one proceeding.</w:t>
      </w:r>
    </w:p>
    <w:p>
      <w:pPr>
        <w:pStyle w:val="BodyText"/>
      </w:pPr>
      <w:r>
        <w:rPr>
          <w:b/>
          <w:bCs/>
        </w:rPr>
        <w:t xml:space="preserve">Recommendation.</w:t>
      </w:r>
      <w:r>
        <w:t xml:space="preserve"> </w:t>
      </w:r>
      <w:r>
        <w:t xml:space="preserve">Negotiate one or both of:</w:t>
      </w:r>
    </w:p>
    <w:p>
      <w:pPr>
        <w:pStyle w:val="Compact"/>
        <w:numPr>
          <w:ilvl w:val="0"/>
          <w:numId w:val="1006"/>
        </w:numPr>
      </w:pPr>
      <w:r>
        <w:rPr>
          <w:b/>
          <w:bCs/>
        </w:rPr>
        <w:t xml:space="preserve">A contractual joinder/consent mechanism:</w:t>
      </w:r>
      <w:r>
        <w:t xml:space="preserve"> </w:t>
      </w:r>
      <w:r>
        <w:t xml:space="preserve">a provision by which each Party agrees that, in any arbitration arising out of a quality dispute, any co-manufacturer or other third party whose acts or omissions are alleged to have contributed to the loss may be joined with that third party’s consent, and by which Greenleaf covenants to include a compatible arbitration clause (same institution, seat, and rules) in its co-manufacturing agreements going forward.</w:t>
      </w:r>
    </w:p>
    <w:p>
      <w:pPr>
        <w:pStyle w:val="Compact"/>
        <w:numPr>
          <w:ilvl w:val="0"/>
          <w:numId w:val="1006"/>
        </w:numPr>
      </w:pPr>
      <w:r>
        <w:rPr>
          <w:b/>
          <w:bCs/>
        </w:rPr>
        <w:t xml:space="preserve">A court carve-out for multi-party quality disputes:</w:t>
      </w:r>
      <w:r>
        <w:t xml:space="preserve"> </w:t>
      </w:r>
      <w:r>
        <w:t xml:space="preserve">a carve-out permitting quality disputes that necessarily involve non-signatory third parties to be litigated in a specified court (e.g., U.S. federal court in North Carolina) rather than arbitrated, so all liable parties can be joined under one forum’s joinder rules.</w:t>
      </w:r>
    </w:p>
    <w:p>
      <w:pPr>
        <w:pStyle w:val="FirstParagraph"/>
      </w:pPr>
      <w:r>
        <w:t xml:space="preserve">We also recommend Greenleaf adopt a template arbitration clause for future co-manufacturing agreements that mirrors the unified framework (C1) to enable consolidation.</w:t>
      </w:r>
    </w:p>
    <w:bookmarkEnd w:id="29"/>
    <w:bookmarkStart w:id="30" w:name="X834e8c0c0f0ed9a033d45db5fcd494d646fe74d"/>
    <w:p>
      <w:pPr>
        <w:pStyle w:val="Heading3"/>
      </w:pPr>
      <w:r>
        <w:t xml:space="preserve">H3 — HIGH: Blanket discovery prohibition is overbroad and inconsistent with international norms</w:t>
      </w:r>
    </w:p>
    <w:p>
      <w:pPr>
        <w:pStyle w:val="FirstParagraph"/>
      </w:pPr>
      <w:r>
        <w:rPr>
          <w:b/>
          <w:bCs/>
        </w:rPr>
        <w:t xml:space="preserve">Provision(s):</w:t>
      </w:r>
      <w:r>
        <w:t xml:space="preserve"> </w:t>
      </w:r>
      <w:r>
        <w:t xml:space="preserve">SA §14.5; cf. QA Letter §§7.1–7.2 (no discovery bar); IPLA §9 (no discovery bar).</w:t>
      </w:r>
    </w:p>
    <w:p>
      <w:pPr>
        <w:pStyle w:val="BodyText"/>
      </w:pPr>
      <w:r>
        <w:rPr>
          <w:b/>
          <w:bCs/>
        </w:rPr>
        <w:t xml:space="preserve">Analysis.</w:t>
      </w:r>
      <w:r>
        <w:t xml:space="preserve"> </w:t>
      </w:r>
      <w:r>
        <w:t xml:space="preserve">SA §14.5 provides that</w:t>
      </w:r>
      <w:r>
        <w:t xml:space="preserve"> </w:t>
      </w:r>
      <w:r>
        <w:t xml:space="preserve">“</w:t>
      </w:r>
      <w:r>
        <w:t xml:space="preserve">[n]o discovery shall be permitted in the arbitration,</w:t>
      </w:r>
      <w:r>
        <w:t xml:space="preserve">”</w:t>
      </w:r>
      <w:r>
        <w:t xml:space="preserve"> </w:t>
      </w:r>
      <w:r>
        <w:t xml:space="preserve">with each party retaining only the right to</w:t>
      </w:r>
      <w:r>
        <w:t xml:space="preserve"> </w:t>
      </w:r>
      <w:r>
        <w:t xml:space="preserve">“</w:t>
      </w:r>
      <w:r>
        <w:t xml:space="preserve">present documentary evidence and witness testimony at the hearing.</w:t>
      </w:r>
      <w:r>
        <w:t xml:space="preserve">”</w:t>
      </w:r>
      <w:r>
        <w:t xml:space="preserve"> </w:t>
      </w:r>
      <w:r>
        <w:t xml:space="preserve">H&amp;G’s memorandum justifies this by reference to the IBA Rules on the Taking of Evidence and to protection of Pacifica’s trade secrets. The justification is internally inconsistent: the IBA Rules</w:t>
      </w:r>
      <w:r>
        <w:t xml:space="preserve"> </w:t>
      </w:r>
      <w:r>
        <w:rPr>
          <w:i/>
          <w:iCs/>
        </w:rPr>
        <w:t xml:space="preserve">permit</w:t>
      </w:r>
      <w:r>
        <w:t xml:space="preserve"> </w:t>
      </w:r>
      <w:r>
        <w:t xml:space="preserve">limited, targeted document production (a party may request specific, identified documents relevant and material to the outcome — IBA Rules Art. 3), not a blanket prohibition. A total bar is more restrictive than the international norm H&amp;G invokes. The provision is also inconsistent across the suite: the QA Letter’s SIAC arbitration (§7.2) and the IPLA’s LCIA arbitration impose no discovery bar, so document-production availability depends on which forum a dispute lands in — another fragmentation consequence.</w:t>
      </w:r>
    </w:p>
    <w:p>
      <w:pPr>
        <w:pStyle w:val="BodyText"/>
      </w:pPr>
      <w:r>
        <w:rPr>
          <w:b/>
          <w:bCs/>
        </w:rPr>
        <w:t xml:space="preserve">Why it matters.</w:t>
      </w:r>
      <w:r>
        <w:t xml:space="preserve"> </w:t>
      </w:r>
      <w:r>
        <w:t xml:space="preserve">In a contamination, adulteration, or specification-nonconformity dispute, Greenleaf’s ability to prove its case depends on access to Pacifica’s manufacturing records, batch testing data, out-of-specification investigations, and Certificates of Analysis. H&amp;G’s assurance that</w:t>
      </w:r>
      <w:r>
        <w:t xml:space="preserve"> </w:t>
      </w:r>
      <w:r>
        <w:t xml:space="preserve">“</w:t>
      </w:r>
      <w:r>
        <w:t xml:space="preserve">voluntary disclosure</w:t>
      </w:r>
      <w:r>
        <w:t xml:space="preserve">”</w:t>
      </w:r>
      <w:r>
        <w:t xml:space="preserve"> </w:t>
      </w:r>
      <w:r>
        <w:t xml:space="preserve">remains available is cold comfort: Pacifica controls what it voluntarily discloses. A blanket bar could cripple Greenleaf’s ability to prove a contamination or adulteration claim — the most likely dispute scenario. Confidentiality protections (tribunal confidentiality orders, confidentiality of the arbitration, and the existing confidentiality regime) can mitigate the trade-secret concern without a total bar.</w:t>
      </w:r>
    </w:p>
    <w:p>
      <w:pPr>
        <w:pStyle w:val="BodyText"/>
      </w:pPr>
      <w:r>
        <w:rPr>
          <w:b/>
          <w:bCs/>
        </w:rPr>
        <w:t xml:space="preserve">Recommendation.</w:t>
      </w:r>
      <w:r>
        <w:t xml:space="preserve"> </w:t>
      </w:r>
      <w:r>
        <w:t xml:space="preserve">Replace the blanket prohibition with</w:t>
      </w:r>
      <w:r>
        <w:t xml:space="preserve"> </w:t>
      </w:r>
      <w:r>
        <w:rPr>
          <w:b/>
          <w:bCs/>
        </w:rPr>
        <w:t xml:space="preserve">IBA-style limited, targeted document production</w:t>
      </w:r>
      <w:r>
        <w:t xml:space="preserve">: each party may request specific, identified documents (or narrow, specifically described categories) relevant and material to the case, subject to the tribunal’s case-management discretion, reasonableness, and confidentiality protections. At minimum, in any quality/recall dispute, expressly permit tribunal-ordered production of specified categories (batch records, COAs, testing data, OOS investigations, and reserve-sample results). Harmonize the production regime across all three documents. Add a robust confidentiality/protective-order regime to address Pacifica’s trade-secret concern.</w:t>
      </w:r>
    </w:p>
    <w:bookmarkEnd w:id="30"/>
    <w:bookmarkStart w:id="31" w:name="X40feb366ab84960a16c34b4a81cbe4080c3e5ff"/>
    <w:p>
      <w:pPr>
        <w:pStyle w:val="Heading3"/>
      </w:pPr>
      <w:r>
        <w:t xml:space="preserve">H4 — HIGH: One-year limitation period is aggressive and conflicts with the latent-defect notice windows</w:t>
      </w:r>
    </w:p>
    <w:p>
      <w:pPr>
        <w:pStyle w:val="FirstParagraph"/>
      </w:pPr>
      <w:r>
        <w:rPr>
          <w:b/>
          <w:bCs/>
        </w:rPr>
        <w:t xml:space="preserve">Provision(s):</w:t>
      </w:r>
      <w:r>
        <w:t xml:space="preserve"> </w:t>
      </w:r>
      <w:r>
        <w:t xml:space="preserve">SA §14.9; SA §7.3; QA Letter §§3.5, 5.1.</w:t>
      </w:r>
    </w:p>
    <w:p>
      <w:pPr>
        <w:pStyle w:val="BodyText"/>
      </w:pPr>
      <w:r>
        <w:rPr>
          <w:b/>
          <w:bCs/>
        </w:rPr>
        <w:t xml:space="preserve">Analysis.</w:t>
      </w:r>
      <w:r>
        <w:t xml:space="preserve"> </w:t>
      </w:r>
      <w:r>
        <w:t xml:space="preserve">SA §14.9 imposes a one-year limitation period for commencing arbitration, running from</w:t>
      </w:r>
      <w:r>
        <w:t xml:space="preserve"> </w:t>
      </w:r>
      <w:r>
        <w:t xml:space="preserve">“</w:t>
      </w:r>
      <w:r>
        <w:t xml:space="preserve">the date the claiming party knew or should have known of the facts giving rise to the claim.</w:t>
      </w:r>
      <w:r>
        <w:t xml:space="preserve">”</w:t>
      </w:r>
      <w:r>
        <w:t xml:space="preserve"> </w:t>
      </w:r>
      <w:r>
        <w:t xml:space="preserve">Three problems:</w:t>
      </w:r>
    </w:p>
    <w:p>
      <w:pPr>
        <w:numPr>
          <w:ilvl w:val="0"/>
          <w:numId w:val="1007"/>
        </w:numPr>
      </w:pPr>
      <w:r>
        <w:rPr>
          <w:b/>
          <w:bCs/>
        </w:rPr>
        <w:t xml:space="preserve">Aggressiveness.</w:t>
      </w:r>
      <w:r>
        <w:t xml:space="preserve"> </w:t>
      </w:r>
      <w:r>
        <w:t xml:space="preserve">Because the SA is governed by New York law and concerns a sale of goods, UCC Article 2 applies. UCC § 2-725 permits parties to reduce the limitations period to</w:t>
      </w:r>
      <w:r>
        <w:t xml:space="preserve"> </w:t>
      </w:r>
      <w:r>
        <w:t xml:space="preserve">“</w:t>
      </w:r>
      <w:r>
        <w:t xml:space="preserve">not less than one year,</w:t>
      </w:r>
      <w:r>
        <w:t xml:space="preserve">”</w:t>
      </w:r>
      <w:r>
        <w:t xml:space="preserve"> </w:t>
      </w:r>
      <w:r>
        <w:t xml:space="preserve">so §14.9 sits at the statutory floor — enforceable, but the most aggressive period the law allows. For a 7-to-13-year relationship involving botanical extracts whose defects (e.g., heavy-metal contamination, microbial contamination, stability failures) may not manifest for years, one year is commercially inadequate.</w:t>
      </w:r>
    </w:p>
    <w:p>
      <w:pPr>
        <w:numPr>
          <w:ilvl w:val="0"/>
          <w:numId w:val="1007"/>
        </w:numPr>
      </w:pPr>
      <w:r>
        <w:rPr>
          <w:b/>
          <w:bCs/>
        </w:rPr>
        <w:t xml:space="preserve">Internal conflict with the latent-defect windows.</w:t>
      </w:r>
      <w:r>
        <w:t xml:space="preserve"> </w:t>
      </w:r>
      <w:r>
        <w:t xml:space="preserve">SA §7.3 permits latent-defect claims to be</w:t>
      </w:r>
      <w:r>
        <w:t xml:space="preserve"> </w:t>
      </w:r>
      <w:r>
        <w:t xml:space="preserve">“</w:t>
      </w:r>
      <w:r>
        <w:t xml:space="preserve">raised … in writing … within twelve (12) months of the date of delivery.</w:t>
      </w:r>
      <w:r>
        <w:t xml:space="preserve">”</w:t>
      </w:r>
      <w:r>
        <w:t xml:space="preserve"> </w:t>
      </w:r>
      <w:r>
        <w:t xml:space="preserve">QA Letter §5.1 permits rejection of latent-defect Batches</w:t>
      </w:r>
      <w:r>
        <w:t xml:space="preserve"> </w:t>
      </w:r>
      <w:r>
        <w:t xml:space="preserve">“</w:t>
      </w:r>
      <w:r>
        <w:t xml:space="preserve">within thirty (30) calendar days of discovery</w:t>
      </w:r>
      <w:r>
        <w:t xml:space="preserve">”</w:t>
      </w:r>
      <w:r>
        <w:t xml:space="preserve"> </w:t>
      </w:r>
      <w:r>
        <w:t xml:space="preserve">(with no stated outer limit), and QA Letter §3.5 confirms that failure to test within the verification period does not waive latent-defect claims. These three provisions give inconsistent deadlines for the same latent-defect claim: 12 months from delivery (SA §7.3) vs. 30 days from discovery with no outer limit (QA §5.1) vs. one year from knowledge for arbitration (SA §14.9). A latent defect discovered at month 13 after delivery is barred under SA §7.3 but arguably live under QA §5.1 and SA §14.9 — and the precedence clauses (C2) do not cleanly resolve which controls.</w:t>
      </w:r>
    </w:p>
    <w:p>
      <w:pPr>
        <w:numPr>
          <w:ilvl w:val="0"/>
          <w:numId w:val="1007"/>
        </w:numPr>
      </w:pPr>
      <w:r>
        <w:rPr>
          <w:b/>
          <w:bCs/>
        </w:rPr>
        <w:t xml:space="preserve">Cross-document inconsistency.</w:t>
      </w:r>
      <w:r>
        <w:t xml:space="preserve"> </w:t>
      </w:r>
      <w:r>
        <w:t xml:space="preserve">The IPLA (English law, six-year default limitation under the Limitation Act 1980) and the QA Letter specify no limitation period, so limitation periods differ by document.</w:t>
      </w:r>
    </w:p>
    <w:p>
      <w:pPr>
        <w:pStyle w:val="FirstParagraph"/>
      </w:pPr>
      <w:r>
        <w:rPr>
          <w:b/>
          <w:bCs/>
        </w:rPr>
        <w:t xml:space="preserve">Why it matters.</w:t>
      </w:r>
      <w:r>
        <w:t xml:space="preserve"> </w:t>
      </w:r>
      <w:r>
        <w:t xml:space="preserve">A short limitation period combined with conflicting latent-defect windows creates a trap: Greenleaf could lose substantive claims (especially latent quality defects) on a technical deadline before the harm is fully known. Ms. Matsuda flagged this as a concern, and it is well placed.</w:t>
      </w:r>
    </w:p>
    <w:p>
      <w:pPr>
        <w:pStyle w:val="BodyText"/>
      </w:pPr>
      <w:r>
        <w:rPr>
          <w:b/>
          <w:bCs/>
        </w:rPr>
        <w:t xml:space="preserve">Recommendation.</w:t>
      </w:r>
      <w:r>
        <w:t xml:space="preserve"> </w:t>
      </w:r>
      <w:r>
        <w:t xml:space="preserve">(a) Extend the SA limitation period to at least two (2) years, and consider aligning with the UCC four-year default for sale-of-goods claims; (b) harmonize the latent-defect notice windows across the SA and QA Letter into a single, coherent regime (e.g., notice within 30 days of discovery, with an outer limit of [2–3] years from delivery for latent defects, and arbitration within the unified limitation period from discovery); (c) specify a consistent limitation period across all three documents; and (d) clarify that the limitation period runs from discovery for latent defects not reasonably discoverable on delivery.</w:t>
      </w:r>
    </w:p>
    <w:bookmarkEnd w:id="31"/>
    <w:bookmarkStart w:id="32" w:name="X153a53649df1f869355c855f1ba71fdce6d1fb5"/>
    <w:p>
      <w:pPr>
        <w:pStyle w:val="Heading3"/>
      </w:pPr>
      <w:r>
        <w:t xml:space="preserve">H5 — HIGH: Enforceability in U.S. courts — cumulative risk</w:t>
      </w:r>
    </w:p>
    <w:p>
      <w:pPr>
        <w:pStyle w:val="FirstParagraph"/>
      </w:pPr>
      <w:r>
        <w:rPr>
          <w:b/>
          <w:bCs/>
        </w:rPr>
        <w:t xml:space="preserve">Provision(s):</w:t>
      </w:r>
      <w:r>
        <w:t xml:space="preserve"> </w:t>
      </w:r>
      <w:r>
        <w:t xml:space="preserve">SA Art. 14 (esp. §§14.1–14.6); QA Letter §7; IPLA §9; NY Convention; FAA Ch. 2.</w:t>
      </w:r>
    </w:p>
    <w:p>
      <w:pPr>
        <w:pStyle w:val="BodyText"/>
      </w:pPr>
      <w:r>
        <w:rPr>
          <w:b/>
          <w:bCs/>
        </w:rPr>
        <w:t xml:space="preserve">Analysis.</w:t>
      </w:r>
      <w:r>
        <w:t xml:space="preserve"> </w:t>
      </w:r>
      <w:r>
        <w:t xml:space="preserve">Greenleaf will most likely need to enforce any award in the United States (North Carolina or Delaware). Awards seated in Singapore and London are enforceable in the U.S. under the New York Convention and Chapter 2 of the FAA, and Singapore and the UK are both Convention signatories — so the</w:t>
      </w:r>
      <w:r>
        <w:t xml:space="preserve"> </w:t>
      </w:r>
      <w:r>
        <w:rPr>
          <w:i/>
          <w:iCs/>
        </w:rPr>
        <w:t xml:space="preserve">framework</w:t>
      </w:r>
      <w:r>
        <w:t xml:space="preserve"> </w:t>
      </w:r>
      <w:r>
        <w:t xml:space="preserve">is enforceable in principle. The risks are in the details, and they are cumulative:</w:t>
      </w:r>
    </w:p>
    <w:p>
      <w:pPr>
        <w:pStyle w:val="Compact"/>
        <w:numPr>
          <w:ilvl w:val="0"/>
          <w:numId w:val="1008"/>
        </w:numPr>
      </w:pPr>
      <w:r>
        <w:rPr>
          <w:b/>
          <w:bCs/>
        </w:rPr>
        <w:t xml:space="preserve">Pathological-clause risk (C1, C2):</w:t>
      </w:r>
      <w:r>
        <w:t xml:space="preserve"> </w:t>
      </w:r>
      <w:r>
        <w:t xml:space="preserve">the conflicting institutions, seats, and precedence clauses give a resisting party material to argue the arbitration agreement is ambiguous or that the wrong forum was used — the kind of challenge that delayed Pacifica’s 2023 enforcement by ~14 months.</w:t>
      </w:r>
    </w:p>
    <w:p>
      <w:pPr>
        <w:pStyle w:val="Compact"/>
        <w:numPr>
          <w:ilvl w:val="0"/>
          <w:numId w:val="1008"/>
        </w:numPr>
      </w:pPr>
      <w:r>
        <w:rPr>
          <w:b/>
          <w:bCs/>
        </w:rPr>
        <w:t xml:space="preserve">Governing-law ambiguity (H1):</w:t>
      </w:r>
      <w:r>
        <w:t xml:space="preserve"> </w:t>
      </w:r>
      <w:r>
        <w:t xml:space="preserve">Article V(1)(a) of the Convention permits refusal of enforcement where the agreement is</w:t>
      </w:r>
      <w:r>
        <w:t xml:space="preserve"> </w:t>
      </w:r>
      <w:r>
        <w:t xml:space="preserve">“</w:t>
      </w:r>
      <w:r>
        <w:t xml:space="preserve">null and void, inoperative or incapable of being performed</w:t>
      </w:r>
      <w:r>
        <w:t xml:space="preserve">”</w:t>
      </w:r>
      <w:r>
        <w:t xml:space="preserve"> </w:t>
      </w:r>
      <w:r>
        <w:t xml:space="preserve">under the law governing it; ambiguity as to that law invites argument.</w:t>
      </w:r>
    </w:p>
    <w:p>
      <w:pPr>
        <w:pStyle w:val="Compact"/>
        <w:numPr>
          <w:ilvl w:val="0"/>
          <w:numId w:val="1008"/>
        </w:numPr>
      </w:pPr>
      <w:r>
        <w:rPr>
          <w:b/>
          <w:bCs/>
        </w:rPr>
        <w:t xml:space="preserve">Non-finality from the appeal mechanism (M1):</w:t>
      </w:r>
      <w:r>
        <w:t xml:space="preserve"> </w:t>
      </w:r>
      <w:r>
        <w:t xml:space="preserve">SA §14.6 permits appeal on questions of law to the High Court of Singapore. An award under appeal may not be</w:t>
      </w:r>
      <w:r>
        <w:t xml:space="preserve"> </w:t>
      </w:r>
      <w:r>
        <w:t xml:space="preserve">“</w:t>
      </w:r>
      <w:r>
        <w:t xml:space="preserve">final</w:t>
      </w:r>
      <w:r>
        <w:t xml:space="preserve">”</w:t>
      </w:r>
      <w:r>
        <w:t xml:space="preserve"> </w:t>
      </w:r>
      <w:r>
        <w:t xml:space="preserve">for enforcement purposes, potentially delaying recognition and collection — the precise harm Pacifica suffered in 2023.</w:t>
      </w:r>
    </w:p>
    <w:p>
      <w:pPr>
        <w:pStyle w:val="Compact"/>
        <w:numPr>
          <w:ilvl w:val="0"/>
          <w:numId w:val="1008"/>
        </w:numPr>
      </w:pPr>
      <w:r>
        <w:rPr>
          <w:b/>
          <w:bCs/>
        </w:rPr>
        <w:t xml:space="preserve">Remedies limitation (C3):</w:t>
      </w:r>
      <w:r>
        <w:t xml:space="preserve"> </w:t>
      </w:r>
      <w:r>
        <w:t xml:space="preserve">while §14.11 does not affect</w:t>
      </w:r>
      <w:r>
        <w:t xml:space="preserve"> </w:t>
      </w:r>
      <w:r>
        <w:rPr>
          <w:i/>
          <w:iCs/>
        </w:rPr>
        <w:t xml:space="preserve">enforceability</w:t>
      </w:r>
      <w:r>
        <w:t xml:space="preserve"> </w:t>
      </w:r>
      <w:r>
        <w:t xml:space="preserve">of an award, it affects</w:t>
      </w:r>
      <w:r>
        <w:t xml:space="preserve"> </w:t>
      </w:r>
      <w:r>
        <w:rPr>
          <w:i/>
          <w:iCs/>
        </w:rPr>
        <w:t xml:space="preserve">value</w:t>
      </w:r>
      <w:r>
        <w:t xml:space="preserve">; a U.S. court will enforce the award as rendered, so the damages limitation is baked into the recovery.</w:t>
      </w:r>
    </w:p>
    <w:p>
      <w:pPr>
        <w:pStyle w:val="FirstParagraph"/>
      </w:pPr>
      <w:r>
        <w:rPr>
          <w:b/>
          <w:bCs/>
        </w:rPr>
        <w:t xml:space="preserve">Why it matters.</w:t>
      </w:r>
      <w:r>
        <w:t xml:space="preserve"> </w:t>
      </w:r>
      <w:r>
        <w:t xml:space="preserve">This is Ms. Matsuda’s stated threshold (Priority 1) concern. The 2023 precedent shows that an enforceable-in-principle award can still cost over a year to collect if the clause is vulnerable.</w:t>
      </w:r>
    </w:p>
    <w:p>
      <w:pPr>
        <w:pStyle w:val="BodyText"/>
      </w:pPr>
      <w:r>
        <w:rPr>
          <w:b/>
          <w:bCs/>
        </w:rPr>
        <w:t xml:space="preserve">Recommendation.</w:t>
      </w:r>
      <w:r>
        <w:t xml:space="preserve"> </w:t>
      </w:r>
      <w:r>
        <w:t xml:space="preserve">The recommendations in C1, C2, H1, and M1 collectively address enforceability: a single, clear institution and seat; an express choice of law for the arbitration agreement; deletion of the conflicting precedence/consolidation clauses; and exclusion (or strict narrowing) of the appeal-on-law right. We also recommend an express waiver of any right to resist enforcement on grounds internal to the clause’s drafting (a</w:t>
      </w:r>
      <w:r>
        <w:t xml:space="preserve"> </w:t>
      </w:r>
      <w:r>
        <w:t xml:space="preserve">“</w:t>
      </w:r>
      <w:r>
        <w:t xml:space="preserve">no-challenge</w:t>
      </w:r>
      <w:r>
        <w:t xml:space="preserve">”</w:t>
      </w:r>
      <w:r>
        <w:t xml:space="preserve"> </w:t>
      </w:r>
      <w:r>
        <w:t xml:space="preserve">provision), and confirmation that the seat’s courts are the exclusive supervisory courts for challenge/set-aside, with enforcement available in any Convention state notwithstanding pending set-aside proceedings (subject to local law).</w:t>
      </w:r>
    </w:p>
    <w:bookmarkEnd w:id="32"/>
    <w:bookmarkStart w:id="33" w:name="X52501f25669a90093f280ae4235352f2b25e647"/>
    <w:p>
      <w:pPr>
        <w:pStyle w:val="Heading3"/>
      </w:pPr>
      <w:r>
        <w:t xml:space="preserve">M1 — MEDIUM: Appeal on questions of law to the High Court of Singapore undermines finality</w:t>
      </w:r>
    </w:p>
    <w:p>
      <w:pPr>
        <w:pStyle w:val="FirstParagraph"/>
      </w:pPr>
      <w:r>
        <w:rPr>
          <w:b/>
          <w:bCs/>
        </w:rPr>
        <w:t xml:space="preserve">Provision(s):</w:t>
      </w:r>
      <w:r>
        <w:t xml:space="preserve"> </w:t>
      </w:r>
      <w:r>
        <w:t xml:space="preserve">SA §14.6.</w:t>
      </w:r>
    </w:p>
    <w:p>
      <w:pPr>
        <w:pStyle w:val="BodyText"/>
      </w:pPr>
      <w:r>
        <w:rPr>
          <w:b/>
          <w:bCs/>
        </w:rPr>
        <w:t xml:space="preserve">Analysis.</w:t>
      </w:r>
      <w:r>
        <w:t xml:space="preserve"> </w:t>
      </w:r>
      <w:r>
        <w:t xml:space="preserve">SA §14.6 states the award is</w:t>
      </w:r>
      <w:r>
        <w:t xml:space="preserve"> </w:t>
      </w:r>
      <w:r>
        <w:t xml:space="preserve">“</w:t>
      </w:r>
      <w:r>
        <w:t xml:space="preserve">final and binding</w:t>
      </w:r>
      <w:r>
        <w:t xml:space="preserve">”</w:t>
      </w:r>
      <w:r>
        <w:t xml:space="preserve"> </w:t>
      </w:r>
      <w:r>
        <w:t xml:space="preserve">but then provides that</w:t>
      </w:r>
      <w:r>
        <w:t xml:space="preserve"> </w:t>
      </w:r>
      <w:r>
        <w:t xml:space="preserve">“</w:t>
      </w:r>
      <w:r>
        <w:t xml:space="preserve">either party may appeal the award on questions of law to the High Court of Singapore.</w:t>
      </w:r>
      <w:r>
        <w:t xml:space="preserve">”</w:t>
      </w:r>
      <w:r>
        <w:t xml:space="preserve"> </w:t>
      </w:r>
      <w:r>
        <w:t xml:space="preserve">H&amp;G’s memorandum states this was modeled on Section 69 of the English Arbitration Act 1996. Two problems: (i) the seat is Singapore, not England, so the English Act does not apply; Singapore’s arbitration legislation generally permits appeals on questions of law to the High Court unless the parties agree to exclude them, so §14.6</w:t>
      </w:r>
      <w:r>
        <w:t xml:space="preserve"> </w:t>
      </w:r>
      <w:r>
        <w:rPr>
          <w:i/>
          <w:iCs/>
        </w:rPr>
        <w:t xml:space="preserve">expressly preserves</w:t>
      </w:r>
      <w:r>
        <w:t xml:space="preserve"> </w:t>
      </w:r>
      <w:r>
        <w:t xml:space="preserve">(rather than excludes) a right that international practice typically waives; and (ii) the provision is internally inconsistent — an award cannot be both</w:t>
      </w:r>
      <w:r>
        <w:t xml:space="preserve"> </w:t>
      </w:r>
      <w:r>
        <w:t xml:space="preserve">“</w:t>
      </w:r>
      <w:r>
        <w:t xml:space="preserve">final and binding</w:t>
      </w:r>
      <w:r>
        <w:t xml:space="preserve">”</w:t>
      </w:r>
      <w:r>
        <w:t xml:space="preserve"> </w:t>
      </w:r>
      <w:r>
        <w:t xml:space="preserve">and freely appealable on law. The appeal route also prolongs resolution and adds cost, and — as noted in H5 — may delay enforcement by rendering the award non-final.</w:t>
      </w:r>
    </w:p>
    <w:p>
      <w:pPr>
        <w:pStyle w:val="BodyText"/>
      </w:pPr>
      <w:r>
        <w:rPr>
          <w:b/>
          <w:bCs/>
        </w:rPr>
        <w:t xml:space="preserve">Why it matters.</w:t>
      </w:r>
      <w:r>
        <w:t xml:space="preserve"> </w:t>
      </w:r>
      <w:r>
        <w:t xml:space="preserve">Finality is a principal reason parties arbitrate. An express appeal right reintroduces a layer of judicial review, increases time-to-enforcement, and is inconsistent with H&amp;G’s stated objective of avoiding enforcement delay.</w:t>
      </w:r>
    </w:p>
    <w:p>
      <w:pPr>
        <w:pStyle w:val="BodyText"/>
      </w:pPr>
      <w:r>
        <w:rPr>
          <w:b/>
          <w:bCs/>
        </w:rPr>
        <w:t xml:space="preserve">Recommendation.</w:t>
      </w:r>
      <w:r>
        <w:t xml:space="preserve"> </w:t>
      </w:r>
      <w:r>
        <w:t xml:space="preserve">Delete the appeal-on-law right (opt out of any default appeal mechanism under the seat’s law), so the award is final and binding subject only to the narrow set-aside grounds in the seat’s arbitration legislation (e.g., Model Law Article 34). If Pacifica insists on retaining a safety valve, limit it to manifest errors of law on issues of general legal importance, with leave of the court required and a short, defined time limit.</w:t>
      </w:r>
    </w:p>
    <w:bookmarkEnd w:id="33"/>
    <w:bookmarkStart w:id="34" w:name="X56979aa12465a201bbb567138b41221ab6a8141"/>
    <w:p>
      <w:pPr>
        <w:pStyle w:val="Heading3"/>
      </w:pPr>
      <w:r>
        <w:t xml:space="preserve">M2 — MEDIUM: Inconsistent cost allocation across the documents</w:t>
      </w:r>
    </w:p>
    <w:p>
      <w:pPr>
        <w:pStyle w:val="FirstParagraph"/>
      </w:pPr>
      <w:r>
        <w:rPr>
          <w:b/>
          <w:bCs/>
        </w:rPr>
        <w:t xml:space="preserve">Provision(s):</w:t>
      </w:r>
      <w:r>
        <w:t xml:space="preserve"> </w:t>
      </w:r>
      <w:r>
        <w:t xml:space="preserve">SA §14.8; IPLA §9.4; QA Letter §§7.1, 7.2.</w:t>
      </w:r>
    </w:p>
    <w:p>
      <w:pPr>
        <w:pStyle w:val="BodyText"/>
      </w:pPr>
      <w:r>
        <w:rPr>
          <w:b/>
          <w:bCs/>
        </w:rPr>
        <w:t xml:space="preserve">Analysis.</w:t>
      </w:r>
      <w:r>
        <w:t xml:space="preserve"> </w:t>
      </w:r>
      <w:r>
        <w:t xml:space="preserve">The cost regimes differ: SA §14.8 is loser-pays (the losing party bears all costs, including the prevailing party’s reasonable attorneys’ fees); IPLA §9.4 is each-party-bears-own (with arbitrator/LCIA costs shared equally unless the tribunal decides otherwise); QA Letter §7.1 (expert determination) is each-bears-own plus shared expert fees; and QA Letter §7.2 (arbitration) is silent (SIAC Rules default — tribunal allocation). For a dispute spanning documents, it is unclear which cost rule applies, and loser-pays vs. each-bears-own is a material difference in litigation risk and settlement dynamics.</w:t>
      </w:r>
    </w:p>
    <w:p>
      <w:pPr>
        <w:pStyle w:val="BodyText"/>
      </w:pPr>
      <w:r>
        <w:rPr>
          <w:b/>
          <w:bCs/>
        </w:rPr>
        <w:t xml:space="preserve">Why it matters.</w:t>
      </w:r>
      <w:r>
        <w:t xml:space="preserve"> </w:t>
      </w:r>
      <w:r>
        <w:t xml:space="preserve">Inconsistent cost rules create unpredictability and can be leveraged in settlement. They also interact with the damages limitation: a loser-pays rule combined with a consequential-damages waiver can leave a successful claimant recovering its fees but not its core losses.</w:t>
      </w:r>
    </w:p>
    <w:p>
      <w:pPr>
        <w:pStyle w:val="BodyText"/>
      </w:pPr>
      <w:r>
        <w:rPr>
          <w:b/>
          <w:bCs/>
        </w:rPr>
        <w:t xml:space="preserve">Recommendation.</w:t>
      </w:r>
      <w:r>
        <w:t xml:space="preserve"> </w:t>
      </w:r>
      <w:r>
        <w:t xml:space="preserve">Harmonize to a single cost-allocation rule across all three documents. We recommend tribunal discretion to allocate costs (including reasonable legal fees) based on outcome, with a reasonableness standard — a middle ground that deters frivolous claims without the full U.S.-style fee exposure of pure loser-pays. Specify the rule in the unified Dispute Resolution Schedule.</w:t>
      </w:r>
    </w:p>
    <w:bookmarkEnd w:id="34"/>
    <w:bookmarkStart w:id="35" w:name="X2e2fa4cb28b48449f0842f148be2b819c2f707d"/>
    <w:p>
      <w:pPr>
        <w:pStyle w:val="Heading3"/>
      </w:pPr>
      <w:r>
        <w:t xml:space="preserve">M3 — MEDIUM: Inconsistent number of arbitrators; unilateral three-arbitrator trigger</w:t>
      </w:r>
    </w:p>
    <w:p>
      <w:pPr>
        <w:pStyle w:val="FirstParagraph"/>
      </w:pPr>
      <w:r>
        <w:rPr>
          <w:b/>
          <w:bCs/>
        </w:rPr>
        <w:t xml:space="preserve">Provision(s):</w:t>
      </w:r>
      <w:r>
        <w:t xml:space="preserve"> </w:t>
      </w:r>
      <w:r>
        <w:t xml:space="preserve">SA §14.3; IPLA §9.1; QA Letter §7.2.</w:t>
      </w:r>
    </w:p>
    <w:p>
      <w:pPr>
        <w:pStyle w:val="BodyText"/>
      </w:pPr>
      <w:r>
        <w:rPr>
          <w:b/>
          <w:bCs/>
        </w:rPr>
        <w:t xml:space="preserve">Analysis.</w:t>
      </w:r>
      <w:r>
        <w:t xml:space="preserve"> </w:t>
      </w:r>
      <w:r>
        <w:t xml:space="preserve">The documents specify different tribunal sizes: SA — one arbitrator unless either party requests three within 15 days of the Request for Arbitration; IPLA — one (fixed); QA Letter — three (fixed, for arbitration). The SA’s unilateral trigger lets either party force a three-arbitrator panel (with the attendant cost and delay) by a simple timed request — a tactical lever that increases cost unpredictability. For a consolidated dispute, the tribunal size is unclear.</w:t>
      </w:r>
    </w:p>
    <w:p>
      <w:pPr>
        <w:pStyle w:val="BodyText"/>
      </w:pPr>
      <w:r>
        <w:rPr>
          <w:b/>
          <w:bCs/>
        </w:rPr>
        <w:t xml:space="preserve">Why it matters.</w:t>
      </w:r>
      <w:r>
        <w:t xml:space="preserve"> </w:t>
      </w:r>
      <w:r>
        <w:t xml:space="preserve">Tribunal size drives cost and speed. A unilateral right to triple the tribunal is a cost weapon, and inconsistency across documents compounds the consolidation problem.</w:t>
      </w:r>
    </w:p>
    <w:p>
      <w:pPr>
        <w:pStyle w:val="BodyText"/>
      </w:pPr>
      <w:r>
        <w:rPr>
          <w:b/>
          <w:bCs/>
        </w:rPr>
        <w:t xml:space="preserve">Recommendation.</w:t>
      </w:r>
      <w:r>
        <w:t xml:space="preserve"> </w:t>
      </w:r>
      <w:r>
        <w:t xml:space="preserve">Harmonize tribunal size, ideally on a value/complexity threshold: a sole arbitrator for claims below a stated amount (e.g., $5M) and a three-member panel above it, with the threshold and appointment mechanics specified in the unified schedule. Remove the unilateral trigger in favor of the threshold or mutual agreement.</w:t>
      </w:r>
    </w:p>
    <w:bookmarkEnd w:id="35"/>
    <w:bookmarkStart w:id="36" w:name="X0fe6532209a837ea31cab8fc4fc02231ac5cf4f"/>
    <w:p>
      <w:pPr>
        <w:pStyle w:val="Heading3"/>
      </w:pPr>
      <w:r>
        <w:t xml:space="preserve">M4 — MEDIUM: Overbroad interim-relief carve-out (</w:t>
      </w:r>
      <w:r>
        <w:t xml:space="preserve">“</w:t>
      </w:r>
      <w:r>
        <w:t xml:space="preserve">any court of competent jurisdiction worldwide</w:t>
      </w:r>
      <w:r>
        <w:t xml:space="preserve">”</w:t>
      </w:r>
      <w:r>
        <w:t xml:space="preserve">)</w:t>
      </w:r>
    </w:p>
    <w:p>
      <w:pPr>
        <w:pStyle w:val="FirstParagraph"/>
      </w:pPr>
      <w:r>
        <w:rPr>
          <w:b/>
          <w:bCs/>
        </w:rPr>
        <w:t xml:space="preserve">Provision(s):</w:t>
      </w:r>
      <w:r>
        <w:t xml:space="preserve"> </w:t>
      </w:r>
      <w:r>
        <w:t xml:space="preserve">SA §14.7; cf. IPLA §9 (silent); QA Letter §7.2 (tribunal may grant injunctive relief).</w:t>
      </w:r>
    </w:p>
    <w:p>
      <w:pPr>
        <w:pStyle w:val="BodyText"/>
      </w:pPr>
      <w:r>
        <w:rPr>
          <w:b/>
          <w:bCs/>
        </w:rPr>
        <w:t xml:space="preserve">Analysis.</w:t>
      </w:r>
      <w:r>
        <w:t xml:space="preserve"> </w:t>
      </w:r>
      <w:r>
        <w:t xml:space="preserve">SA §14.7 preserves each party’s right to seek injunctive or equitable relief from</w:t>
      </w:r>
      <w:r>
        <w:t xml:space="preserve"> </w:t>
      </w:r>
      <w:r>
        <w:t xml:space="preserve">“</w:t>
      </w:r>
      <w:r>
        <w:t xml:space="preserve">any court of competent jurisdiction worldwide.</w:t>
      </w:r>
      <w:r>
        <w:t xml:space="preserve">”</w:t>
      </w:r>
      <w:r>
        <w:t xml:space="preserve"> </w:t>
      </w:r>
      <w:r>
        <w:t xml:space="preserve">Interim relief is appropriate and necessary (e.g., to prevent IP misuse or protect public health), but</w:t>
      </w:r>
      <w:r>
        <w:t xml:space="preserve"> </w:t>
      </w:r>
      <w:r>
        <w:t xml:space="preserve">“</w:t>
      </w:r>
      <w:r>
        <w:t xml:space="preserve">any court worldwide</w:t>
      </w:r>
      <w:r>
        <w:t xml:space="preserve">”</w:t>
      </w:r>
      <w:r>
        <w:t xml:space="preserve"> </w:t>
      </w:r>
      <w:r>
        <w:t xml:space="preserve">is overbroad and invites forum shopping and potentially conflicting interim orders. Under the Model Law (Art. 17J/17K) and the seat’s legislation, courts at the seat have supervisory power over interim measures; courts elsewhere have only concurrent, secondary jurisdiction. The IPLA and QA Letter are silent on court interim relief (relying on institutional emergency-arbitrator rules and tribunal powers).</w:t>
      </w:r>
    </w:p>
    <w:p>
      <w:pPr>
        <w:pStyle w:val="BodyText"/>
      </w:pPr>
      <w:r>
        <w:rPr>
          <w:b/>
          <w:bCs/>
        </w:rPr>
        <w:t xml:space="preserve">Why it matters.</w:t>
      </w:r>
      <w:r>
        <w:t xml:space="preserve"> </w:t>
      </w:r>
      <w:r>
        <w:t xml:space="preserve">Conflicting interim orders from multiple courts increase cost and create enforcement friction — and a broad carve-out can be used offensively (e.g., to relitigate in court issues that belong in arbitration).</w:t>
      </w:r>
    </w:p>
    <w:p>
      <w:pPr>
        <w:pStyle w:val="BodyText"/>
      </w:pPr>
      <w:r>
        <w:rPr>
          <w:b/>
          <w:bCs/>
        </w:rPr>
        <w:t xml:space="preserve">Recommendation.</w:t>
      </w:r>
      <w:r>
        <w:t xml:space="preserve"> </w:t>
      </w:r>
      <w:r>
        <w:t xml:space="preserve">Preserve interim relief but channel it: (a) prioritize the tribunal’s and the institution’s emergency-arbitrator powers; (b) permit court interim relief from the courts of the seat (and, for urgent IP matters, a specified court with jurisdiction over the relevant assets/conduct), with a provision that once the tribunal is constituted it has priority; and (c) add an understanding that court interim relief does not extend to determination of the merits. Harmonize across all three documents.</w:t>
      </w:r>
    </w:p>
    <w:bookmarkEnd w:id="36"/>
    <w:bookmarkStart w:id="37" w:name="Xbcd161d6c9c1461d00f4a22c44457ede820984a"/>
    <w:p>
      <w:pPr>
        <w:pStyle w:val="Heading3"/>
      </w:pPr>
      <w:r>
        <w:t xml:space="preserve">M5 — MEDIUM: QA Letter expert determination</w:t>
      </w:r>
      <w:r>
        <w:t xml:space="preserve"> </w:t>
      </w:r>
      <w:r>
        <w:t xml:space="preserve">“</w:t>
      </w:r>
      <w:r>
        <w:t xml:space="preserve">final and binding</w:t>
      </w:r>
      <w:r>
        <w:t xml:space="preserve">”</w:t>
      </w:r>
      <w:r>
        <w:t xml:space="preserve"> </w:t>
      </w:r>
      <w:r>
        <w:t xml:space="preserve">is undermined by the unilateral challenge/escalation right</w:t>
      </w:r>
    </w:p>
    <w:p>
      <w:pPr>
        <w:pStyle w:val="FirstParagraph"/>
      </w:pPr>
      <w:r>
        <w:rPr>
          <w:b/>
          <w:bCs/>
        </w:rPr>
        <w:t xml:space="preserve">Provision(s):</w:t>
      </w:r>
      <w:r>
        <w:t xml:space="preserve"> </w:t>
      </w:r>
      <w:r>
        <w:t xml:space="preserve">QA Letter §§7.1, 7.2.</w:t>
      </w:r>
    </w:p>
    <w:p>
      <w:pPr>
        <w:pStyle w:val="BodyText"/>
      </w:pPr>
      <w:r>
        <w:rPr>
          <w:b/>
          <w:bCs/>
        </w:rPr>
        <w:t xml:space="preserve">Analysis.</w:t>
      </w:r>
      <w:r>
        <w:t xml:space="preserve"> </w:t>
      </w:r>
      <w:r>
        <w:t xml:space="preserve">QA Letter §7.1 states the Expert’s determination is</w:t>
      </w:r>
      <w:r>
        <w:t xml:space="preserve"> </w:t>
      </w:r>
      <w:r>
        <w:t xml:space="preserve">“</w:t>
      </w:r>
      <w:r>
        <w:t xml:space="preserve">final and binding on the Parties, subject to Section 7.2.</w:t>
      </w:r>
      <w:r>
        <w:t xml:space="preserve">”</w:t>
      </w:r>
      <w:r>
        <w:t xml:space="preserve"> </w:t>
      </w:r>
      <w:r>
        <w:t xml:space="preserve">Section 7.2 then escalates to full SIAC arbitration if the dispute exceeds $5M</w:t>
      </w:r>
      <w:r>
        <w:t xml:space="preserve"> </w:t>
      </w:r>
      <w:r>
        <w:rPr>
          <w:i/>
          <w:iCs/>
        </w:rPr>
        <w:t xml:space="preserve">or</w:t>
      </w:r>
      <w:r>
        <w:t xml:space="preserve"> </w:t>
      </w:r>
      <w:r>
        <w:t xml:space="preserve">“</w:t>
      </w:r>
      <w:r>
        <w:t xml:space="preserve">if the expert determination … is challenged by either Party.</w:t>
      </w:r>
      <w:r>
        <w:t xml:space="preserve">”</w:t>
      </w:r>
      <w:r>
        <w:t xml:space="preserve"> </w:t>
      </w:r>
      <w:r>
        <w:t xml:space="preserve">Because either party may challenge any determination, the</w:t>
      </w:r>
      <w:r>
        <w:t xml:space="preserve"> </w:t>
      </w:r>
      <w:r>
        <w:t xml:space="preserve">“</w:t>
      </w:r>
      <w:r>
        <w:t xml:space="preserve">final and binding</w:t>
      </w:r>
      <w:r>
        <w:t xml:space="preserve">”</w:t>
      </w:r>
      <w:r>
        <w:t xml:space="preserve"> </w:t>
      </w:r>
      <w:r>
        <w:t xml:space="preserve">language is largely illusory — the expert determination becomes a non-binding advisory step that either party can convert into full arbitration at will. This undercuts H&amp;G’s stated rationale (resolving routine quality disagreements</w:t>
      </w:r>
      <w:r>
        <w:t xml:space="preserve"> </w:t>
      </w:r>
      <w:r>
        <w:t xml:space="preserve">“</w:t>
      </w:r>
      <w:r>
        <w:t xml:space="preserve">quickly and inexpensively</w:t>
      </w:r>
      <w:r>
        <w:t xml:space="preserve">”</w:t>
      </w:r>
      <w:r>
        <w:t xml:space="preserve">). The $5M threshold also creates ambiguity for non-monetary disputes (e.g., a specification-compliance dispute with no clear dollar value): it is unclear how</w:t>
      </w:r>
      <w:r>
        <w:t xml:space="preserve"> </w:t>
      </w:r>
      <w:r>
        <w:t xml:space="preserve">“</w:t>
      </w:r>
      <w:r>
        <w:t xml:space="preserve">amount in excess of $5,000,000</w:t>
      </w:r>
      <w:r>
        <w:t xml:space="preserve">”</w:t>
      </w:r>
      <w:r>
        <w:t xml:space="preserve"> </w:t>
      </w:r>
      <w:r>
        <w:t xml:space="preserve">is measured.</w:t>
      </w:r>
    </w:p>
    <w:p>
      <w:pPr>
        <w:pStyle w:val="BodyText"/>
      </w:pPr>
      <w:r>
        <w:rPr>
          <w:b/>
          <w:bCs/>
        </w:rPr>
        <w:t xml:space="preserve">Why it matters.</w:t>
      </w:r>
      <w:r>
        <w:t xml:space="preserve"> </w:t>
      </w:r>
      <w:r>
        <w:t xml:space="preserve">If expert determination is never truly final, the two-step structure adds cost and delay without delivering its intended efficiency, and the parties lose predictability on when a quality dispute ends.</w:t>
      </w:r>
    </w:p>
    <w:p>
      <w:pPr>
        <w:pStyle w:val="BodyText"/>
      </w:pPr>
      <w:r>
        <w:rPr>
          <w:b/>
          <w:bCs/>
        </w:rPr>
        <w:t xml:space="preserve">Recommendation.</w:t>
      </w:r>
      <w:r>
        <w:t xml:space="preserve"> </w:t>
      </w:r>
      <w:r>
        <w:t xml:space="preserve">(a) Define narrow, specified grounds for challenging an expert determination (e.g., manifest error, fraud, lack of jurisdiction, or error of law), rather than an open-ended unilateral right; (b) make expert determination final and binding on technical/specification issues, with only legal issues (or the defined grounds) escalating to arbitration; (c) clarify how the $5M threshold is measured for non-monetary disputes (e.g., by the value of the affected Product or the economic stakes as stated by the claiming party); and (d) align the expert-determination mechanism with the unified arbitration framework (C1) so escalation lands in the same institution/seat.</w:t>
      </w:r>
    </w:p>
    <w:bookmarkEnd w:id="37"/>
    <w:bookmarkStart w:id="38" w:name="X60b1cbbdde3964694edc7f2fe9cb0f7e8a23e13"/>
    <w:p>
      <w:pPr>
        <w:pStyle w:val="Heading3"/>
      </w:pPr>
      <w:r>
        <w:t xml:space="preserve">L1 — LOW: Inconsistent / missing confidentiality-of-proceedings provisions</w:t>
      </w:r>
    </w:p>
    <w:p>
      <w:pPr>
        <w:pStyle w:val="FirstParagraph"/>
      </w:pPr>
      <w:r>
        <w:rPr>
          <w:b/>
          <w:bCs/>
        </w:rPr>
        <w:t xml:space="preserve">Provision(s):</w:t>
      </w:r>
      <w:r>
        <w:t xml:space="preserve"> </w:t>
      </w:r>
      <w:r>
        <w:t xml:space="preserve">SA §14.10; QA Letter §7 (silent); IPLA §9 (silent).</w:t>
      </w:r>
    </w:p>
    <w:p>
      <w:pPr>
        <w:pStyle w:val="BodyText"/>
      </w:pPr>
      <w:r>
        <w:rPr>
          <w:b/>
          <w:bCs/>
        </w:rPr>
        <w:t xml:space="preserve">Analysis.</w:t>
      </w:r>
      <w:r>
        <w:t xml:space="preserve"> </w:t>
      </w:r>
      <w:r>
        <w:t xml:space="preserve">Only the SA addresses confidentiality of the arbitration proceedings. The QA Letter and IPLA are silent (the LCIA Rules provide confidentiality by default; SIAC’s position is more limited). For a dispute spanning documents, confidentiality treatment may differ by forum.</w:t>
      </w:r>
    </w:p>
    <w:p>
      <w:pPr>
        <w:pStyle w:val="BodyText"/>
      </w:pPr>
      <w:r>
        <w:rPr>
          <w:b/>
          <w:bCs/>
        </w:rPr>
        <w:t xml:space="preserve">Recommendation.</w:t>
      </w:r>
      <w:r>
        <w:t xml:space="preserve"> </w:t>
      </w:r>
      <w:r>
        <w:t xml:space="preserve">Add a single, consistent confidentiality-of-proceedings provision (covering submissions, evidence, hearings, and awards, with carve-outs for legal compulsion, protection of rights, and enforcement) to the unified Dispute Resolution Schedule and incorporate it into all three documents.</w:t>
      </w:r>
    </w:p>
    <w:bookmarkEnd w:id="38"/>
    <w:bookmarkStart w:id="39" w:name="Xeb82c932d25e975489e7db883d85856ba84b585"/>
    <w:p>
      <w:pPr>
        <w:pStyle w:val="Heading3"/>
      </w:pPr>
      <w:r>
        <w:t xml:space="preserve">L2 — LOW: Language of arbitration unspecified in the SA</w:t>
      </w:r>
    </w:p>
    <w:p>
      <w:pPr>
        <w:pStyle w:val="FirstParagraph"/>
      </w:pPr>
      <w:r>
        <w:rPr>
          <w:b/>
          <w:bCs/>
        </w:rPr>
        <w:t xml:space="preserve">Provision(s):</w:t>
      </w:r>
      <w:r>
        <w:t xml:space="preserve"> </w:t>
      </w:r>
      <w:r>
        <w:t xml:space="preserve">SA Art. 14 (silent); IPLA §9.1 (English); QA Letter §7.2 (English).</w:t>
      </w:r>
    </w:p>
    <w:p>
      <w:pPr>
        <w:pStyle w:val="BodyText"/>
      </w:pPr>
      <w:r>
        <w:rPr>
          <w:b/>
          <w:bCs/>
        </w:rPr>
        <w:t xml:space="preserve">Analysis.</w:t>
      </w:r>
      <w:r>
        <w:t xml:space="preserve"> </w:t>
      </w:r>
      <w:r>
        <w:t xml:space="preserve">The SA does not specify the language of arbitration. The ICC Rules leave language to the tribunal’s determination (typically the language of the contract, here English). The IPLA and QA Letter specify English. The omission is minor but creates a small, avoidable point of procedure.</w:t>
      </w:r>
    </w:p>
    <w:p>
      <w:pPr>
        <w:pStyle w:val="BodyText"/>
      </w:pPr>
      <w:r>
        <w:rPr>
          <w:b/>
          <w:bCs/>
        </w:rPr>
        <w:t xml:space="preserve">Recommendation.</w:t>
      </w:r>
      <w:r>
        <w:t xml:space="preserve"> </w:t>
      </w:r>
      <w:r>
        <w:t xml:space="preserve">Specify English as the language of arbitration in the SA (and in the unified schedule).</w:t>
      </w:r>
    </w:p>
    <w:bookmarkEnd w:id="39"/>
    <w:bookmarkStart w:id="40" w:name="X8af1b4999087f656b9c61a9db924dd36d81495f"/>
    <w:p>
      <w:pPr>
        <w:pStyle w:val="Heading3"/>
      </w:pPr>
      <w:r>
        <w:t xml:space="preserve">L3 — LOW: Notice and contact-detail inconsistencies</w:t>
      </w:r>
    </w:p>
    <w:p>
      <w:pPr>
        <w:pStyle w:val="FirstParagraph"/>
      </w:pPr>
      <w:r>
        <w:rPr>
          <w:b/>
          <w:bCs/>
        </w:rPr>
        <w:t xml:space="preserve">Provision(s):</w:t>
      </w:r>
      <w:r>
        <w:t xml:space="preserve"> </w:t>
      </w:r>
      <w:r>
        <w:t xml:space="preserve">SA §15.1; IPLA §10.1; QA Letter §8.3.</w:t>
      </w:r>
    </w:p>
    <w:p>
      <w:pPr>
        <w:pStyle w:val="BodyText"/>
      </w:pPr>
      <w:r>
        <w:rPr>
          <w:b/>
          <w:bCs/>
        </w:rPr>
        <w:t xml:space="preserve">Analysis.</w:t>
      </w:r>
      <w:r>
        <w:t xml:space="preserve"> </w:t>
      </w:r>
      <w:r>
        <w:t xml:space="preserve">Notice details differ across documents. Notably, the copy-to email for Pacifica’s in-house counsel (Priya Venkatesh) is</w:t>
      </w:r>
      <w:r>
        <w:t xml:space="preserve"> </w:t>
      </w:r>
      <w:r>
        <w:t xml:space="preserve">“</w:t>
      </w:r>
      <w:r>
        <w:t xml:space="preserve">p.venkatesh@pacificabotanics.com.sg</w:t>
      </w:r>
      <w:r>
        <w:t xml:space="preserve">”</w:t>
      </w:r>
      <w:r>
        <w:t xml:space="preserve"> </w:t>
      </w:r>
      <w:r>
        <w:t xml:space="preserve">in the SA (§15.1) but</w:t>
      </w:r>
      <w:r>
        <w:t xml:space="preserve"> </w:t>
      </w:r>
      <w:r>
        <w:t xml:space="preserve">“</w:t>
      </w:r>
      <w:r>
        <w:t xml:space="preserve">pvenkatesh@pacificabotanics.com.sg</w:t>
      </w:r>
      <w:r>
        <w:t xml:space="preserve">”</w:t>
      </w:r>
      <w:r>
        <w:t xml:space="preserve"> </w:t>
      </w:r>
      <w:r>
        <w:t xml:space="preserve">in the IPLA (§10.1) — a discrepancy that could cause a notice to mis-deliver. The SA routes Greenleaf’s copy notice to the CEO (David Heller), while the IPLA routes Greenleaf’s copy to outside counsel (Whitfield &amp; Crane). The QA Letter incorporates the SA’s notice provisions by reference (§8.3).</w:t>
      </w:r>
    </w:p>
    <w:p>
      <w:pPr>
        <w:pStyle w:val="BodyText"/>
      </w:pPr>
      <w:r>
        <w:rPr>
          <w:b/>
          <w:bCs/>
        </w:rPr>
        <w:t xml:space="preserve">Recommendation.</w:t>
      </w:r>
      <w:r>
        <w:t xml:space="preserve"> </w:t>
      </w:r>
      <w:r>
        <w:t xml:space="preserve">Harmonize notice provisions across all three documents; verify and standardize all email addresses; and adopt a consistent copy-notice routing (we recommend copying both the General Counsel/CEO and outside counsel for arbitration-related notices).</w:t>
      </w:r>
    </w:p>
    <w:bookmarkEnd w:id="40"/>
    <w:bookmarkStart w:id="41" w:name="X0349c7790b1caf78d0ce6fa5eabb05d7857d89f"/>
    <w:p>
      <w:pPr>
        <w:pStyle w:val="Heading3"/>
      </w:pPr>
      <w:r>
        <w:t xml:space="preserve">L4 — LOW: Vague fallback-law clause; no uniform pre-arbitration escalation; QA §7 survival unclear</w:t>
      </w:r>
    </w:p>
    <w:p>
      <w:pPr>
        <w:pStyle w:val="FirstParagraph"/>
      </w:pPr>
      <w:r>
        <w:rPr>
          <w:b/>
          <w:bCs/>
        </w:rPr>
        <w:t xml:space="preserve">Provision(s):</w:t>
      </w:r>
      <w:r>
        <w:t xml:space="preserve"> </w:t>
      </w:r>
      <w:r>
        <w:t xml:space="preserve">SA §14.4; SA §13.5; IPLA §6.5(c); QA Letter (no survival clause for §7).</w:t>
      </w:r>
    </w:p>
    <w:p>
      <w:pPr>
        <w:pStyle w:val="BodyText"/>
      </w:pPr>
      <w:r>
        <w:rPr>
          <w:b/>
          <w:bCs/>
        </w:rPr>
        <w:t xml:space="preserve">Analysis.</w:t>
      </w:r>
      <w:r>
        <w:t xml:space="preserve"> </w:t>
      </w:r>
      <w:r>
        <w:t xml:space="preserve">Three minor points: (1) SA §14.4’s fallback to</w:t>
      </w:r>
      <w:r>
        <w:t xml:space="preserve"> </w:t>
      </w:r>
      <w:r>
        <w:t xml:space="preserve">“</w:t>
      </w:r>
      <w:r>
        <w:t xml:space="preserve">general principles of international commercial law</w:t>
      </w:r>
      <w:r>
        <w:t xml:space="preserve">”</w:t>
      </w:r>
      <w:r>
        <w:t xml:space="preserve"> </w:t>
      </w:r>
      <w:r>
        <w:t xml:space="preserve">where New York law</w:t>
      </w:r>
      <w:r>
        <w:t xml:space="preserve"> </w:t>
      </w:r>
      <w:r>
        <w:t xml:space="preserve">“</w:t>
      </w:r>
      <w:r>
        <w:t xml:space="preserve">does not address an issue</w:t>
      </w:r>
      <w:r>
        <w:t xml:space="preserve">”</w:t>
      </w:r>
      <w:r>
        <w:t xml:space="preserve"> </w:t>
      </w:r>
      <w:r>
        <w:t xml:space="preserve">is vague and invites tribunal discretion; New York law (including UCC Article 2) is comprehensive for a sale-of-goods relationship, so the fallback is largely unnecessary and potentially unpredictable. (2) None of the documents requires a pre-arbitration negotiation/mediation step (the QA Letter has expert determination, but the SA and IPLA go straight to arbitration); a uniform escalation step can resolve many disputes cheaply. (3) Survival of the dispute resolution mechanism post-termination is express in the SA (§13.5: Art. 14 survives) and IPLA (§6.5(c): §9 survives) but not in the QA Letter; it is unclear which forum governs a post-termination quality dispute under the QA Letter.</w:t>
      </w:r>
    </w:p>
    <w:p>
      <w:pPr>
        <w:pStyle w:val="BodyText"/>
      </w:pPr>
      <w:r>
        <w:rPr>
          <w:b/>
          <w:bCs/>
        </w:rPr>
        <w:t xml:space="preserve">Recommendation.</w:t>
      </w:r>
      <w:r>
        <w:t xml:space="preserve"> </w:t>
      </w:r>
      <w:r>
        <w:t xml:space="preserve">(1) Narrow or delete the fallback-law clause, or replace with a defined gap-filler (e.g., the UNIDROIT Principles) if a fallback is desired. (2) Add a short, uniform pre-arbitration escalation step (senior-executive negotiation within 30 days, optional mediation) to the unified schedule. (3) Add an express survival clause for the QA Letter’s §7 (and the unified DR schedule) post-termination.</w:t>
      </w:r>
    </w:p>
    <w:p>
      <w:r>
        <w:pict>
          <v:rect style="width:0;height:1.5pt" o:hralign="center" o:hrstd="t" o:hr="t"/>
        </w:pict>
      </w:r>
    </w:p>
    <w:bookmarkEnd w:id="41"/>
    <w:bookmarkEnd w:id="42"/>
    <w:bookmarkStart w:id="43" w:name="X67ea9d03ba147bbcd8f33a9a25d1c5b40808a41"/>
    <w:p>
      <w:pPr>
        <w:pStyle w:val="Heading2"/>
      </w:pPr>
      <w:r>
        <w:t xml:space="preserve">VI. Consolidated Recommendations — Proposed Unified Framework</w:t>
      </w:r>
    </w:p>
    <w:p>
      <w:pPr>
        <w:pStyle w:val="FirstParagraph"/>
      </w:pPr>
      <w:r>
        <w:t xml:space="preserve">We recommend replacing the three bespoke dispute resolution regimes with a single, unified framework, set out in a standalone</w:t>
      </w:r>
      <w:r>
        <w:t xml:space="preserve"> </w:t>
      </w:r>
      <w:r>
        <w:rPr>
          <w:b/>
          <w:bCs/>
        </w:rPr>
        <w:t xml:space="preserve">Dispute Resolution Schedule</w:t>
      </w:r>
      <w:r>
        <w:t xml:space="preserve"> </w:t>
      </w:r>
      <w:r>
        <w:t xml:space="preserve">incorporated by reference into the SA, QA Letter, and IPLA. The schedule should provide:</w:t>
      </w:r>
    </w:p>
    <w:p>
      <w:pPr>
        <w:pStyle w:val="Compact"/>
        <w:numPr>
          <w:ilvl w:val="0"/>
          <w:numId w:val="1009"/>
        </w:numPr>
      </w:pPr>
      <w:r>
        <w:rPr>
          <w:b/>
          <w:bCs/>
        </w:rPr>
        <w:t xml:space="preserve">Single institution and seat.</w:t>
      </w:r>
      <w:r>
        <w:t xml:space="preserve"> </w:t>
      </w:r>
      <w:r>
        <w:t xml:space="preserve">One administering institution and one juridical seat for all disputes arising out of or relating to any Transaction Document. Recommended:</w:t>
      </w:r>
      <w:r>
        <w:t xml:space="preserve"> </w:t>
      </w:r>
      <w:r>
        <w:rPr>
          <w:b/>
          <w:bCs/>
        </w:rPr>
        <w:t xml:space="preserve">SIAC, seated in Singapore</w:t>
      </w:r>
      <w:r>
        <w:t xml:space="preserve"> </w:t>
      </w:r>
      <w:r>
        <w:t xml:space="preserve">(aligns with Pacifica’s Singapore preference and the existing QA Letter structure); alternative: ICC/Singapore. English language.</w:t>
      </w:r>
    </w:p>
    <w:p>
      <w:pPr>
        <w:pStyle w:val="Compact"/>
        <w:numPr>
          <w:ilvl w:val="0"/>
          <w:numId w:val="1009"/>
        </w:numPr>
      </w:pPr>
      <w:r>
        <w:rPr>
          <w:b/>
          <w:bCs/>
        </w:rPr>
        <w:t xml:space="preserve">Single governing law for the arbitration agreement.</w:t>
      </w:r>
      <w:r>
        <w:t xml:space="preserve"> </w:t>
      </w:r>
      <w:r>
        <w:t xml:space="preserve">Expressly the law of the seat (Singapore law), eliminating the ambiguity in H1. Substantive governing law of each contract may remain as negotiated (New York for the SA is defensible and gives Greenleaf UCC protections), but the arbitration agreement’s law should be unified.</w:t>
      </w:r>
    </w:p>
    <w:p>
      <w:pPr>
        <w:pStyle w:val="Compact"/>
        <w:numPr>
          <w:ilvl w:val="0"/>
          <w:numId w:val="1009"/>
        </w:numPr>
      </w:pPr>
      <w:r>
        <w:rPr>
          <w:b/>
          <w:bCs/>
        </w:rPr>
        <w:t xml:space="preserve">Single precedence rule.</w:t>
      </w:r>
      <w:r>
        <w:t xml:space="preserve"> </w:t>
      </w:r>
      <w:r>
        <w:t xml:space="preserve">The Dispute Resolution Schedule controls over any conflicting DR provision in the Transaction Documents; delete IPLA §9.3, the DR carve-out in QA Letter §8.1, and the DR portion of SA §15.8’s conflict rule.</w:t>
      </w:r>
    </w:p>
    <w:p>
      <w:pPr>
        <w:pStyle w:val="Compact"/>
        <w:numPr>
          <w:ilvl w:val="0"/>
          <w:numId w:val="1009"/>
        </w:numPr>
      </w:pPr>
      <w:r>
        <w:rPr>
          <w:b/>
          <w:bCs/>
        </w:rPr>
        <w:t xml:space="preserve">Consolidation and joinder.</w:t>
      </w:r>
      <w:r>
        <w:t xml:space="preserve"> </w:t>
      </w:r>
      <w:r>
        <w:t xml:space="preserve">Any dispute implicating more than one Transaction Document is resolved in a single arbitration. A contractual joinder mechanism for non-signatory co-manufacturers (with consent) and/or a court carve-out for multi-party quality disputes (H2). Greenleaf to adopt a compatible arbitration clause in co-manufacturing agreements.</w:t>
      </w:r>
    </w:p>
    <w:p>
      <w:pPr>
        <w:pStyle w:val="Compact"/>
        <w:numPr>
          <w:ilvl w:val="0"/>
          <w:numId w:val="1009"/>
        </w:numPr>
      </w:pPr>
      <w:r>
        <w:rPr>
          <w:b/>
          <w:bCs/>
        </w:rPr>
        <w:t xml:space="preserve">Tribunal composition.</w:t>
      </w:r>
      <w:r>
        <w:t xml:space="preserve"> </w:t>
      </w:r>
      <w:r>
        <w:t xml:space="preserve">Sole arbitrator below a stated threshold (e.g., $5M); three-member panel above it; no unilateral trigger (M3).</w:t>
      </w:r>
    </w:p>
    <w:p>
      <w:pPr>
        <w:pStyle w:val="Compact"/>
        <w:numPr>
          <w:ilvl w:val="0"/>
          <w:numId w:val="1009"/>
        </w:numPr>
      </w:pPr>
      <w:r>
        <w:rPr>
          <w:b/>
          <w:bCs/>
        </w:rPr>
        <w:t xml:space="preserve">Document production.</w:t>
      </w:r>
      <w:r>
        <w:t xml:space="preserve"> </w:t>
      </w:r>
      <w:r>
        <w:t xml:space="preserve">IBA-style limited, targeted production with tribunal case-management and a robust confidentiality/protective-order regime; specified categories in quality disputes (H3).</w:t>
      </w:r>
    </w:p>
    <w:p>
      <w:pPr>
        <w:pStyle w:val="Compact"/>
        <w:numPr>
          <w:ilvl w:val="0"/>
          <w:numId w:val="1009"/>
        </w:numPr>
      </w:pPr>
      <w:r>
        <w:rPr>
          <w:b/>
          <w:bCs/>
        </w:rPr>
        <w:t xml:space="preserve">Limitation period.</w:t>
      </w:r>
      <w:r>
        <w:t xml:space="preserve"> </w:t>
      </w:r>
      <w:r>
        <w:t xml:space="preserve">A unified period of at least two (2) years (consider four for UCC sale-of-goods claims), running from discovery for latent defects, with harmonized latent-defect notice windows (H4).</w:t>
      </w:r>
    </w:p>
    <w:p>
      <w:pPr>
        <w:pStyle w:val="Compact"/>
        <w:numPr>
          <w:ilvl w:val="0"/>
          <w:numId w:val="1009"/>
        </w:numPr>
      </w:pPr>
      <w:r>
        <w:rPr>
          <w:b/>
          <w:bCs/>
        </w:rPr>
        <w:t xml:space="preserve">Damages.</w:t>
      </w:r>
      <w:r>
        <w:t xml:space="preserve"> </w:t>
      </w:r>
      <w:r>
        <w:t xml:space="preserve">Retain the mutual punitive/exemplary damages waiver; carve out consequential damages for (i) recall costs from defective Product, (ii) lost profits from supply failure/exclusivity breach, and (iii) third-party claims from defective ingredients; conform §14.11 to the §11.2 indemnification carve-out; amend QA Letter §6.6 (C3). Alternatively, a super-cap on consequential damages.</w:t>
      </w:r>
    </w:p>
    <w:p>
      <w:pPr>
        <w:pStyle w:val="Compact"/>
        <w:numPr>
          <w:ilvl w:val="0"/>
          <w:numId w:val="1009"/>
        </w:numPr>
      </w:pPr>
      <w:r>
        <w:rPr>
          <w:b/>
          <w:bCs/>
        </w:rPr>
        <w:t xml:space="preserve">Finality.</w:t>
      </w:r>
      <w:r>
        <w:t xml:space="preserve"> </w:t>
      </w:r>
      <w:r>
        <w:t xml:space="preserve">Exclude appeals on questions of law; award final and binding subject only to Model Law Art. 34 set-aside grounds at the seat (M1, H5).</w:t>
      </w:r>
    </w:p>
    <w:p>
      <w:pPr>
        <w:pStyle w:val="Compact"/>
        <w:numPr>
          <w:ilvl w:val="0"/>
          <w:numId w:val="1009"/>
        </w:numPr>
      </w:pPr>
      <w:r>
        <w:rPr>
          <w:b/>
          <w:bCs/>
        </w:rPr>
        <w:t xml:space="preserve">Costs.</w:t>
      </w:r>
      <w:r>
        <w:t xml:space="preserve"> </w:t>
      </w:r>
      <w:r>
        <w:t xml:space="preserve">Tribunal discretion to allocate costs (including reasonable legal fees) based on outcome, with a reasonableness standard (M2).</w:t>
      </w:r>
    </w:p>
    <w:p>
      <w:pPr>
        <w:pStyle w:val="Compact"/>
        <w:numPr>
          <w:ilvl w:val="0"/>
          <w:numId w:val="1009"/>
        </w:numPr>
      </w:pPr>
      <w:r>
        <w:rPr>
          <w:b/>
          <w:bCs/>
        </w:rPr>
        <w:t xml:space="preserve">Interim relief.</w:t>
      </w:r>
      <w:r>
        <w:t xml:space="preserve"> </w:t>
      </w:r>
      <w:r>
        <w:t xml:space="preserve">Tribunal/emergency-arbitrator priority; court interim relief from the courts of the seat (and a specified court for urgent IP matters); no merits determination by interim-relief courts (M4).</w:t>
      </w:r>
    </w:p>
    <w:p>
      <w:pPr>
        <w:pStyle w:val="Compact"/>
        <w:numPr>
          <w:ilvl w:val="0"/>
          <w:numId w:val="1009"/>
        </w:numPr>
      </w:pPr>
      <w:r>
        <w:rPr>
          <w:b/>
          <w:bCs/>
        </w:rPr>
        <w:t xml:space="preserve">Confidentiality, language, notices, survival, escalation.</w:t>
      </w:r>
      <w:r>
        <w:t xml:space="preserve"> </w:t>
      </w:r>
      <w:r>
        <w:t xml:space="preserve">Consistent confidentiality (English language); harmonized notices; express survival of the DR schedule post-termination; a short pre-arbitration escalation step (L1, L2, L3, L4).</w:t>
      </w:r>
    </w:p>
    <w:p>
      <w:r>
        <w:pict>
          <v:rect style="width:0;height:1.5pt" o:hralign="center" o:hrstd="t" o:hr="t"/>
        </w:pict>
      </w:r>
    </w:p>
    <w:bookmarkEnd w:id="43"/>
    <w:bookmarkStart w:id="44" w:name="vii.-negotiation-priority-and-sequencing"/>
    <w:p>
      <w:pPr>
        <w:pStyle w:val="Heading2"/>
      </w:pPr>
      <w:r>
        <w:t xml:space="preserve">VII. Negotiation Priority and Sequencing</w:t>
      </w:r>
    </w:p>
    <w:p>
      <w:pPr>
        <w:pStyle w:val="FirstParagraph"/>
      </w:pPr>
      <w:r>
        <w:t xml:space="preserve">Consistent with the priorities Ms. Matsuda articulated, we suggest the following sequencing for the W&amp;C/H&amp;G negotiation:</w:t>
      </w:r>
    </w:p>
    <w:p>
      <w:pPr>
        <w:pStyle w:val="Compact"/>
        <w:numPr>
          <w:ilvl w:val="0"/>
          <w:numId w:val="1010"/>
        </w:numPr>
      </w:pPr>
      <w:r>
        <w:rPr>
          <w:b/>
          <w:bCs/>
        </w:rPr>
        <w:t xml:space="preserve">Consequential damages waiver (C3)</w:t>
      </w:r>
      <w:r>
        <w:t xml:space="preserve"> </w:t>
      </w:r>
      <w:r>
        <w:t xml:space="preserve">— top commercial priority; potential walk-away issue per Mr. Heller. Lead with the carve-out proposal; fall back to a super-cap.</w:t>
      </w:r>
    </w:p>
    <w:p>
      <w:pPr>
        <w:pStyle w:val="Compact"/>
        <w:numPr>
          <w:ilvl w:val="0"/>
          <w:numId w:val="1010"/>
        </w:numPr>
      </w:pPr>
      <w:r>
        <w:rPr>
          <w:b/>
          <w:bCs/>
        </w:rPr>
        <w:t xml:space="preserve">Unification of the dispute resolution framework (C1, C2)</w:t>
      </w:r>
      <w:r>
        <w:t xml:space="preserve"> </w:t>
      </w:r>
      <w:r>
        <w:t xml:space="preserve">— addresses the client’s</w:t>
      </w:r>
      <w:r>
        <w:t xml:space="preserve"> </w:t>
      </w:r>
      <w:r>
        <w:t xml:space="preserve">“</w:t>
      </w:r>
      <w:r>
        <w:t xml:space="preserve">cross-document consistency</w:t>
      </w:r>
      <w:r>
        <w:t xml:space="preserve">”</w:t>
      </w:r>
      <w:r>
        <w:t xml:space="preserve"> </w:t>
      </w:r>
      <w:r>
        <w:t xml:space="preserve">priority and the pathological-clause/enforceability risks at once. Frame to H&amp;G as completing, not undoing, their architecture.</w:t>
      </w:r>
    </w:p>
    <w:p>
      <w:pPr>
        <w:pStyle w:val="Compact"/>
        <w:numPr>
          <w:ilvl w:val="0"/>
          <w:numId w:val="1010"/>
        </w:numPr>
      </w:pPr>
      <w:r>
        <w:rPr>
          <w:b/>
          <w:bCs/>
        </w:rPr>
        <w:t xml:space="preserve">Joinder / co-manufacturer mechanism (H2)</w:t>
      </w:r>
      <w:r>
        <w:t xml:space="preserve"> </w:t>
      </w:r>
      <w:r>
        <w:t xml:space="preserve">— second commercial priority; time-sensitive given the Q1 2026 co-man.</w:t>
      </w:r>
    </w:p>
    <w:p>
      <w:pPr>
        <w:pStyle w:val="Compact"/>
        <w:numPr>
          <w:ilvl w:val="0"/>
          <w:numId w:val="1010"/>
        </w:numPr>
      </w:pPr>
      <w:r>
        <w:rPr>
          <w:b/>
          <w:bCs/>
        </w:rPr>
        <w:t xml:space="preserve">Discovery (H3) and limitation period (H4)</w:t>
      </w:r>
      <w:r>
        <w:t xml:space="preserve"> </w:t>
      </w:r>
      <w:r>
        <w:t xml:space="preserve">— pair these with the quality-dispute scenario; both are essential to making the recall/contamination remedy real.</w:t>
      </w:r>
    </w:p>
    <w:p>
      <w:pPr>
        <w:pStyle w:val="Compact"/>
        <w:numPr>
          <w:ilvl w:val="0"/>
          <w:numId w:val="1010"/>
        </w:numPr>
      </w:pPr>
      <w:r>
        <w:rPr>
          <w:b/>
          <w:bCs/>
        </w:rPr>
        <w:t xml:space="preserve">Enforceability package (H1, H5, M1)</w:t>
      </w:r>
      <w:r>
        <w:t xml:space="preserve"> </w:t>
      </w:r>
      <w:r>
        <w:t xml:space="preserve">— express arbitration-agreement governing law; deletion of conflicting clauses; exclusion of appeal-on-law; no-challenge provision.</w:t>
      </w:r>
    </w:p>
    <w:p>
      <w:pPr>
        <w:pStyle w:val="Compact"/>
        <w:numPr>
          <w:ilvl w:val="0"/>
          <w:numId w:val="1010"/>
        </w:numPr>
      </w:pPr>
      <w:r>
        <w:rPr>
          <w:b/>
          <w:bCs/>
        </w:rPr>
        <w:t xml:space="preserve">Remaining harmonization (M2–M5, L1–L4)</w:t>
      </w:r>
      <w:r>
        <w:t xml:space="preserve"> </w:t>
      </w:r>
      <w:r>
        <w:t xml:space="preserve">— clean up in the unified schedule.</w:t>
      </w:r>
    </w:p>
    <w:p>
      <w:pPr>
        <w:pStyle w:val="FirstParagraph"/>
      </w:pPr>
      <w:r>
        <w:t xml:space="preserve">We are available to draft redlines of the unified Dispute Resolution Schedule and conforming amendments to each Transaction Document for circulation to H&amp;G ahead of the July 11, 2025 comment deadline.</w:t>
      </w:r>
    </w:p>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dispute resolution provisions, as currently drafted, reflect a thoughtful subject-matter rationale (matching each agreement to a specialized forum) but fail in execution: the three documents route overlapping disputes to three different institutions, seats, and governing laws, with conflicting precedence and consolidation clauses that do not resolve — and in places worsen — the resulting overlaps. The framework thus reintroduces the</w:t>
      </w:r>
      <w:r>
        <w:t xml:space="preserve"> </w:t>
      </w:r>
      <w:r>
        <w:t xml:space="preserve">“</w:t>
      </w:r>
      <w:r>
        <w:t xml:space="preserve">pathological clause</w:t>
      </w:r>
      <w:r>
        <w:t xml:space="preserve">”</w:t>
      </w:r>
      <w:r>
        <w:t xml:space="preserve"> </w:t>
      </w:r>
      <w:r>
        <w:t xml:space="preserve">risk that Pacifica’s 2023 enforcement experience was meant to foreclose, and it pairs that risk with an overbroad consequential damages waiver that, on the most likely dispute scenario (a defective-ingredient recall under an exclusive supply arrangement), could cap Greenleaf’s recovery at a fraction of its loss. The recommendations above — unification of the framework, carve-outs from the damages waiver, a co-manufacturer joinder mechanism, limited document production, and a harmonized limitation period — are intended to make the dispute resolution architecture enforceable, coherent, and commercially fair while preserving Pacifica’s legitimate interest in Singapore-connected, confidential, trade-secret-protective arbitration. We are happy to discuss any of the foregoing.</w:t>
      </w:r>
    </w:p>
    <w:p>
      <w:pPr>
        <w:pStyle w:val="BodyText"/>
      </w:pPr>
      <w:r>
        <w:rPr>
          <w:i/>
          <w:iCs/>
        </w:rPr>
        <w:t xml:space="preserve">This memorandum is privileged and confidential, prepared in anticipation of negotiation of the Pacifica transaction documents. It reflects our preliminary review as of the date hereof and should be read together with the underlying documents.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2026-06-28T10:07:12Z</dcterms:created>
  <dcterms:modified xsi:type="dcterms:W3CDTF">2026-06-28T10:07:12Z</dcterms:modified>
</cp:coreProperties>
</file>

<file path=docProps/custom.xml><?xml version="1.0" encoding="utf-8"?>
<Properties xmlns="http://schemas.openxmlformats.org/officeDocument/2006/custom-properties" xmlns:vt="http://schemas.openxmlformats.org/officeDocument/2006/docPropsVTypes"/>
</file>