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ba02327b9c7124df1f67c378994d942464afabd"/>
    <w:p>
      <w:pPr>
        <w:pStyle w:val="Heading1"/>
      </w:pPr>
      <w:r>
        <w:t xml:space="preserve">ARBITRATION &amp; DISPUTE RESOLUTION — ISSUES MEMORANDUM</w:t>
      </w:r>
    </w:p>
    <w:p>
      <w:pPr>
        <w:pStyle w:val="FirstParagraph"/>
      </w:pPr>
      <w:r>
        <w:rPr>
          <w:b/>
          <w:bCs/>
        </w:rPr>
        <w:t xml:space="preserve">PRIVILEGED &amp; CONFIDENTIAL — ATTORNEY WORK PRODUCT / PREPARED IN ANTICIPATION OF NEGOTIATION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Deal Team — Greenleaf Nutritionals, Inc.; Whitfield &amp; Crane LLP (M. Elliott / S. Bransfield)</w:t>
            </w:r>
          </w:p>
        </w:tc>
      </w:tr>
      <w:tr>
        <w:tc>
          <w:tcPr/>
          <w:p>
            <w:pPr>
              <w:pStyle w:val="Compact"/>
              <w:jc w:val="left"/>
            </w:pPr>
            <w:r>
              <w:rPr>
                <w:b/>
                <w:bCs/>
              </w:rPr>
              <w:t xml:space="preserve">CC:</w:t>
            </w:r>
          </w:p>
        </w:tc>
        <w:tc>
          <w:tcPr/>
          <w:p>
            <w:pPr>
              <w:pStyle w:val="Compact"/>
              <w:jc w:val="left"/>
            </w:pPr>
            <w:r>
              <w:t xml:space="preserve">Ridgeway Capital Partners (J. Park)</w:t>
            </w:r>
          </w:p>
        </w:tc>
      </w:tr>
      <w:tr>
        <w:tc>
          <w:tcPr/>
          <w:p>
            <w:pPr>
              <w:pStyle w:val="Compact"/>
              <w:jc w:val="left"/>
            </w:pPr>
            <w:r>
              <w:rPr>
                <w:b/>
                <w:bCs/>
              </w:rPr>
              <w:t xml:space="preserve">RE:</w:t>
            </w:r>
          </w:p>
        </w:tc>
        <w:tc>
          <w:tcPr/>
          <w:p>
            <w:pPr>
              <w:pStyle w:val="Compact"/>
              <w:jc w:val="left"/>
            </w:pPr>
            <w:r>
              <w:t xml:space="preserve">Severity-Rated Review of Arbitration &amp; Dispute Resolution Provisions — Pacifica/Greenleaf Transaction Documents</w:t>
            </w:r>
          </w:p>
        </w:tc>
      </w:tr>
      <w:tr>
        <w:tc>
          <w:tcPr/>
          <w:p>
            <w:pPr>
              <w:pStyle w:val="Compact"/>
              <w:jc w:val="left"/>
            </w:pPr>
            <w:r>
              <w:rPr>
                <w:b/>
                <w:bCs/>
              </w:rPr>
              <w:t xml:space="preserve">DATE:</w:t>
            </w:r>
          </w:p>
        </w:tc>
        <w:tc>
          <w:tcPr/>
          <w:p>
            <w:pPr>
              <w:pStyle w:val="Compact"/>
              <w:jc w:val="left"/>
            </w:pPr>
            <w:r>
              <w:t xml:space="preserve">July 8, 2025</w:t>
            </w:r>
          </w:p>
        </w:tc>
      </w:tr>
      <w:tr>
        <w:tc>
          <w:tcPr/>
          <w:p>
            <w:pPr>
              <w:pStyle w:val="Compact"/>
              <w:jc w:val="left"/>
            </w:pPr>
            <w:r>
              <w:rPr>
                <w:b/>
                <w:bCs/>
              </w:rPr>
              <w:t xml:space="preserve">STATUS:</w:t>
            </w:r>
          </w:p>
        </w:tc>
        <w:tc>
          <w:tcPr/>
          <w:p>
            <w:pPr>
              <w:pStyle w:val="Compact"/>
              <w:jc w:val="left"/>
            </w:pPr>
            <w:r>
              <w:t xml:space="preserve">Preliminary review for negotiation; signing target July 18, 2025; effective date August 1, 2025</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reviews the arbitration and dispute resolution provisions across the five documents that comprise, or that inform, the Pacifica Botanics Pte. Ltd. (</w:t>
      </w:r>
      <w:r>
        <w:t xml:space="preserve">“</w:t>
      </w:r>
      <w:r>
        <w:t xml:space="preserve">Pacifica</w:t>
      </w:r>
      <w:r>
        <w:t xml:space="preserve">”</w:t>
      </w:r>
      <w:r>
        <w:t xml:space="preserve">) / Greenleaf Nutritionals, Inc. (</w:t>
      </w:r>
      <w:r>
        <w:t xml:space="preserve">“</w:t>
      </w:r>
      <w:r>
        <w:t xml:space="preserve">Greenleaf</w:t>
      </w:r>
      <w:r>
        <w:t xml:space="preserve">”</w:t>
      </w:r>
      <w:r>
        <w:t xml:space="preserve">) transaction: (i) the Exclusive Supply Agreement (</w:t>
      </w:r>
      <w:r>
        <w:t xml:space="preserve">“</w:t>
      </w:r>
      <w:r>
        <w:t xml:space="preserve">SA</w:t>
      </w:r>
      <w:r>
        <w:t xml:space="preserve">”</w:t>
      </w:r>
      <w:r>
        <w:t xml:space="preserve">), (ii) the Quality Assurance Side Letter (</w:t>
      </w:r>
      <w:r>
        <w:t xml:space="preserve">“</w:t>
      </w:r>
      <w:r>
        <w:t xml:space="preserve">QA Letter</w:t>
      </w:r>
      <w:r>
        <w:t xml:space="preserve">”</w:t>
      </w:r>
      <w:r>
        <w:t xml:space="preserve">), (iii) the IP License Agreement (</w:t>
      </w:r>
      <w:r>
        <w:t xml:space="preserve">“</w:t>
      </w:r>
      <w:r>
        <w:t xml:space="preserve">IPLA</w:t>
      </w:r>
      <w:r>
        <w:t xml:space="preserve">”</w:t>
      </w:r>
      <w:r>
        <w:t xml:space="preserve">), (iv) the Harmon &amp; Grey LLP rationale memorandum (</w:t>
      </w:r>
      <w:r>
        <w:t xml:space="preserve">“</w:t>
      </w:r>
      <w:r>
        <w:t xml:space="preserve">HG Memo</w:t>
      </w:r>
      <w:r>
        <w:t xml:space="preserve">”</w:t>
      </w:r>
      <w:r>
        <w:t xml:space="preserve">), and (v) the internal Greenleaf email chain concerning dispute-resolution priorities.</w:t>
      </w:r>
    </w:p>
    <w:p>
      <w:pPr>
        <w:pStyle w:val="BodyText"/>
      </w:pPr>
      <w:r>
        <w:t xml:space="preserve">The transaction is a seven-year (extendable to thirteen-year) exclusive supply relationship with</w:t>
      </w:r>
      <w:r>
        <w:t xml:space="preserve"> </w:t>
      </w:r>
      <w:r>
        <w:rPr>
          <w:b/>
          <w:bCs/>
        </w:rPr>
        <w:t xml:space="preserve">USD 178 million in minimum purchase commitments over the initial term</w:t>
      </w:r>
      <w:r>
        <w:t xml:space="preserve"> </w:t>
      </w:r>
      <w:r>
        <w:t xml:space="preserve">and</w:t>
      </w:r>
      <w:r>
        <w:t xml:space="preserve"> </w:t>
      </w:r>
      <w:r>
        <w:rPr>
          <w:b/>
          <w:bCs/>
        </w:rPr>
        <w:t xml:space="preserve">USD 250 million-plus over the full renewal horizon</w:t>
      </w:r>
      <w:r>
        <w:t xml:space="preserve">. At that scale and duration, the dispute resolution architecture is not boilerplate — it is a material commercial risk allocation. Our review identifies</w:t>
      </w:r>
      <w:r>
        <w:t xml:space="preserve"> </w:t>
      </w:r>
      <w:r>
        <w:rPr>
          <w:b/>
          <w:bCs/>
        </w:rPr>
        <w:t xml:space="preserve">seventeen (17) issues</w:t>
      </w:r>
      <w:r>
        <w:t xml:space="preserve">, rated</w:t>
      </w:r>
      <w:r>
        <w:t xml:space="preserve"> </w:t>
      </w:r>
      <w:r>
        <w:rPr>
          <w:b/>
          <w:bCs/>
        </w:rPr>
        <w:t xml:space="preserve">Critical (3), High (6), Medium (4), and Low (4)</w:t>
      </w:r>
      <w:r>
        <w:t xml:space="preserve">.</w:t>
      </w:r>
    </w:p>
    <w:p>
      <w:pPr>
        <w:pStyle w:val="BodyText"/>
      </w:pPr>
      <w:r>
        <w:rPr>
          <w:b/>
          <w:bCs/>
        </w:rPr>
        <w:t xml:space="preserve">The three Critical issues are, in our view, deal-blockers that must be resolved before signing:</w:t>
      </w:r>
    </w:p>
    <w:p>
      <w:pPr>
        <w:pStyle w:val="Compact"/>
        <w:numPr>
          <w:ilvl w:val="0"/>
          <w:numId w:val="1001"/>
        </w:numPr>
      </w:pPr>
      <w:r>
        <w:rPr>
          <w:b/>
          <w:bCs/>
        </w:rPr>
        <w:t xml:space="preserve">Dueling hierarchy and consolidation clauses</w:t>
      </w:r>
      <w:r>
        <w:t xml:space="preserve"> </w:t>
      </w:r>
      <w:r>
        <w:t xml:space="preserve">(SA §15.8 vs. QA §8.1 vs. IPLA §9.3 &amp; §10.3) directly contradict one another on which forum governs overlapping disputes. This is the textbook definition of a</w:t>
      </w:r>
      <w:r>
        <w:t xml:space="preserve"> </w:t>
      </w:r>
      <w:r>
        <w:t xml:space="preserve">“</w:t>
      </w:r>
      <w:r>
        <w:t xml:space="preserve">pathological</w:t>
      </w:r>
      <w:r>
        <w:t xml:space="preserve">”</w:t>
      </w:r>
      <w:r>
        <w:t xml:space="preserve"> </w:t>
      </w:r>
      <w:r>
        <w:t xml:space="preserve">arbitration clause — the very defect that caused Pacifica’s 14-month enforcement delay in its 2023 Hong Kong arbitration.</w:t>
      </w:r>
    </w:p>
    <w:p>
      <w:pPr>
        <w:pStyle w:val="Compact"/>
        <w:numPr>
          <w:ilvl w:val="0"/>
          <w:numId w:val="1001"/>
        </w:numPr>
      </w:pPr>
      <w:r>
        <w:rPr>
          <w:b/>
          <w:bCs/>
        </w:rPr>
        <w:t xml:space="preserve">The contractual appeal on questions of law to the High Court of Singapore</w:t>
      </w:r>
      <w:r>
        <w:t xml:space="preserve"> </w:t>
      </w:r>
      <w:r>
        <w:t xml:space="preserve">(SA §14.6) is modeled on the English Arbitration Act 1996, s.69, but</w:t>
      </w:r>
      <w:r>
        <w:t xml:space="preserve"> </w:t>
      </w:r>
      <w:r>
        <w:rPr>
          <w:b/>
          <w:bCs/>
        </w:rPr>
        <w:t xml:space="preserve">Singapore’s International Arbitration Act contains no equivalent appeal-on-law mechanism</w:t>
      </w:r>
      <w:r>
        <w:t xml:space="preserve">. The clause is likely void or inoperable and, perversely, recreates the post-award challenge risk Harmon &amp; Grey states it was designed to eliminate.</w:t>
      </w:r>
    </w:p>
    <w:p>
      <w:pPr>
        <w:pStyle w:val="Compact"/>
        <w:numPr>
          <w:ilvl w:val="0"/>
          <w:numId w:val="1001"/>
        </w:numPr>
      </w:pPr>
      <w:r>
        <w:rPr>
          <w:b/>
          <w:bCs/>
        </w:rPr>
        <w:t xml:space="preserve">The consequential-damages waiver</w:t>
      </w:r>
      <w:r>
        <w:t xml:space="preserve"> </w:t>
      </w:r>
      <w:r>
        <w:t xml:space="preserve">(SA §14.11), combined with exclusivity (no backup supplier) and the QA Letter’s illusory preservation of recall-related consequential damages (QA §6.6), strips Greenleaf of recovery for the losses that dominate a real-world supply-chain failure. Greenleaf’s CEO has stated this is a</w:t>
      </w:r>
      <w:r>
        <w:t xml:space="preserve"> </w:t>
      </w:r>
      <w:r>
        <w:t xml:space="preserve">“</w:t>
      </w:r>
      <w:r>
        <w:t xml:space="preserve">hill we’re willing to die on.</w:t>
      </w:r>
      <w:r>
        <w:t xml:space="preserve">”</w:t>
      </w:r>
    </w:p>
    <w:p>
      <w:pPr>
        <w:pStyle w:val="FirstParagraph"/>
      </w:pPr>
      <w:r>
        <w:t xml:space="preserve">The High-severity issues — fragmented institutions/seats/governing laws, the absence of any third-party joinder mechanism, the blanket discovery bar, the one-year limitation period, the non-final expert-determination step, and the indemnification/damages tension — each independently warrant renegotiation. The Medium and Low issues are housekeeping and consistency items that should be cleaned up in the same pass.</w:t>
      </w:r>
    </w:p>
    <w:p>
      <w:pPr>
        <w:pStyle w:val="BodyText"/>
      </w:pPr>
      <w:r>
        <w:t xml:space="preserve">A consolidated issues table appears at Section VIII, and a recommended action plan at Section IX.</w:t>
      </w:r>
    </w:p>
    <w:p>
      <w:r>
        <w:pict>
          <v:rect style="width:0;height:1.5pt" o:hralign="center" o:hrstd="t" o:hr="t"/>
        </w:pict>
      </w:r>
    </w:p>
    <w:bookmarkEnd w:id="20"/>
    <w:bookmarkStart w:id="24" w:name="X0bb9ad5296c8084136b777977047ec1f42ef690"/>
    <w:p>
      <w:pPr>
        <w:pStyle w:val="Heading2"/>
      </w:pPr>
      <w:r>
        <w:t xml:space="preserve">II. Documents Reviewed and Architecture Overview</w:t>
      </w:r>
    </w:p>
    <w:bookmarkStart w:id="21" w:name="a.-documents-reviewed"/>
    <w:p>
      <w:pPr>
        <w:pStyle w:val="Heading3"/>
      </w:pPr>
      <w:r>
        <w:t xml:space="preserve">A.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Drafter</w:t>
            </w:r>
          </w:p>
        </w:tc>
        <w:tc>
          <w:tcPr/>
          <w:p>
            <w:pPr>
              <w:pStyle w:val="Compact"/>
              <w:jc w:val="left"/>
            </w:pPr>
            <w:r>
              <w:t xml:space="preserve">Dispute resolution locus</w:t>
            </w:r>
          </w:p>
        </w:tc>
      </w:tr>
      <w:tr>
        <w:tc>
          <w:tcPr/>
          <w:p>
            <w:pPr>
              <w:pStyle w:val="Compact"/>
              <w:jc w:val="left"/>
            </w:pPr>
            <w:r>
              <w:t xml:space="preserve">1</w:t>
            </w:r>
          </w:p>
        </w:tc>
        <w:tc>
          <w:tcPr/>
          <w:p>
            <w:pPr>
              <w:pStyle w:val="Compact"/>
              <w:jc w:val="left"/>
            </w:pPr>
            <w:r>
              <w:t xml:space="preserve">Exclusive Supply Agreement (SA), dated Aug. 1, 2025</w:t>
            </w:r>
          </w:p>
        </w:tc>
        <w:tc>
          <w:tcPr/>
          <w:p>
            <w:pPr>
              <w:pStyle w:val="Compact"/>
              <w:jc w:val="left"/>
            </w:pPr>
            <w:r>
              <w:t xml:space="preserve">Harmon &amp; Grey (for Pacifica)</w:t>
            </w:r>
          </w:p>
        </w:tc>
        <w:tc>
          <w:tcPr/>
          <w:p>
            <w:pPr>
              <w:pStyle w:val="Compact"/>
              <w:jc w:val="left"/>
            </w:pPr>
            <w:r>
              <w:t xml:space="preserve">Article 14</w:t>
            </w:r>
          </w:p>
        </w:tc>
      </w:tr>
      <w:tr>
        <w:tc>
          <w:tcPr/>
          <w:p>
            <w:pPr>
              <w:pStyle w:val="Compact"/>
              <w:jc w:val="left"/>
            </w:pPr>
            <w:r>
              <w:t xml:space="preserve">2</w:t>
            </w:r>
          </w:p>
        </w:tc>
        <w:tc>
          <w:tcPr/>
          <w:p>
            <w:pPr>
              <w:pStyle w:val="Compact"/>
              <w:jc w:val="left"/>
            </w:pPr>
            <w:r>
              <w:t xml:space="preserve">Quality Assurance Side Letter (QA Letter), dated Aug. 1, 2025</w:t>
            </w:r>
          </w:p>
        </w:tc>
        <w:tc>
          <w:tcPr/>
          <w:p>
            <w:pPr>
              <w:pStyle w:val="Compact"/>
              <w:jc w:val="left"/>
            </w:pPr>
            <w:r>
              <w:t xml:space="preserve">Harmon &amp; Grey (for Pacifica)</w:t>
            </w:r>
          </w:p>
        </w:tc>
        <w:tc>
          <w:tcPr/>
          <w:p>
            <w:pPr>
              <w:pStyle w:val="Compact"/>
              <w:jc w:val="left"/>
            </w:pPr>
            <w:r>
              <w:t xml:space="preserve">Section 7</w:t>
            </w:r>
          </w:p>
        </w:tc>
      </w:tr>
      <w:tr>
        <w:tc>
          <w:tcPr/>
          <w:p>
            <w:pPr>
              <w:pStyle w:val="Compact"/>
              <w:jc w:val="left"/>
            </w:pPr>
            <w:r>
              <w:t xml:space="preserve">3</w:t>
            </w:r>
          </w:p>
        </w:tc>
        <w:tc>
          <w:tcPr/>
          <w:p>
            <w:pPr>
              <w:pStyle w:val="Compact"/>
              <w:jc w:val="left"/>
            </w:pPr>
            <w:r>
              <w:t xml:space="preserve">IP License Agreement (IPLA), dated July 18, 2025</w:t>
            </w:r>
          </w:p>
        </w:tc>
        <w:tc>
          <w:tcPr/>
          <w:p>
            <w:pPr>
              <w:pStyle w:val="Compact"/>
              <w:jc w:val="left"/>
            </w:pPr>
            <w:r>
              <w:t xml:space="preserve">Harmon &amp; Grey (for Pacifica)</w:t>
            </w:r>
          </w:p>
        </w:tc>
        <w:tc>
          <w:tcPr/>
          <w:p>
            <w:pPr>
              <w:pStyle w:val="Compact"/>
              <w:jc w:val="left"/>
            </w:pPr>
            <w:r>
              <w:t xml:space="preserve">Section 9</w:t>
            </w:r>
          </w:p>
        </w:tc>
      </w:tr>
      <w:tr>
        <w:tc>
          <w:tcPr/>
          <w:p>
            <w:pPr>
              <w:pStyle w:val="Compact"/>
              <w:jc w:val="left"/>
            </w:pPr>
            <w:r>
              <w:t xml:space="preserve">4</w:t>
            </w:r>
          </w:p>
        </w:tc>
        <w:tc>
          <w:tcPr/>
          <w:p>
            <w:pPr>
              <w:pStyle w:val="Compact"/>
              <w:jc w:val="left"/>
            </w:pPr>
            <w:r>
              <w:t xml:space="preserve">Harmon &amp; Grey rationale memorandum (HG Memo), July 3, 2025</w:t>
            </w:r>
          </w:p>
        </w:tc>
        <w:tc>
          <w:tcPr/>
          <w:p>
            <w:pPr>
              <w:pStyle w:val="Compact"/>
              <w:jc w:val="left"/>
            </w:pPr>
            <w:r>
              <w:t xml:space="preserve">Harmon &amp; Grey</w:t>
            </w:r>
          </w:p>
        </w:tc>
        <w:tc>
          <w:tcPr/>
          <w:p>
            <w:pPr>
              <w:pStyle w:val="Compact"/>
              <w:jc w:val="left"/>
            </w:pPr>
            <w:r>
              <w:t xml:space="preserve">Explanatory</w:t>
            </w:r>
          </w:p>
        </w:tc>
      </w:tr>
      <w:tr>
        <w:tc>
          <w:tcPr/>
          <w:p>
            <w:pPr>
              <w:pStyle w:val="Compact"/>
              <w:jc w:val="left"/>
            </w:pPr>
            <w:r>
              <w:t xml:space="preserve">5</w:t>
            </w:r>
          </w:p>
        </w:tc>
        <w:tc>
          <w:tcPr/>
          <w:p>
            <w:pPr>
              <w:pStyle w:val="Compact"/>
              <w:jc w:val="left"/>
            </w:pPr>
            <w:r>
              <w:t xml:space="preserve">Internal Greenleaf email chain, June 30–July 1, 2025</w:t>
            </w:r>
          </w:p>
        </w:tc>
        <w:tc>
          <w:tcPr/>
          <w:p>
            <w:pPr>
              <w:pStyle w:val="Compact"/>
              <w:jc w:val="left"/>
            </w:pPr>
            <w:r>
              <w:t xml:space="preserve">Greenleaf / Ridgeway</w:t>
            </w:r>
          </w:p>
        </w:tc>
        <w:tc>
          <w:tcPr/>
          <w:p>
            <w:pPr>
              <w:pStyle w:val="Compact"/>
              <w:jc w:val="left"/>
            </w:pPr>
            <w:r>
              <w:t xml:space="preserve">Negotiating priorities</w:t>
            </w:r>
          </w:p>
        </w:tc>
      </w:tr>
    </w:tbl>
    <w:bookmarkEnd w:id="21"/>
    <w:bookmarkStart w:id="22" w:name="Xb5da8502b167ded892ee0987e601771586aa28c"/>
    <w:p>
      <w:pPr>
        <w:pStyle w:val="Heading3"/>
      </w:pPr>
      <w:r>
        <w:t xml:space="preserve">B. The three-tier architecture as drafted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SA (Art. 14)</w:t>
            </w:r>
          </w:p>
        </w:tc>
        <w:tc>
          <w:tcPr/>
          <w:p>
            <w:pPr>
              <w:pStyle w:val="Compact"/>
              <w:jc w:val="left"/>
            </w:pPr>
            <w:r>
              <w:t xml:space="preserve">QA Letter (§7)</w:t>
            </w:r>
          </w:p>
        </w:tc>
        <w:tc>
          <w:tcPr/>
          <w:p>
            <w:pPr>
              <w:pStyle w:val="Compact"/>
              <w:jc w:val="left"/>
            </w:pPr>
            <w:r>
              <w:t xml:space="preserve">IPLA (§9)</w:t>
            </w:r>
          </w:p>
        </w:tc>
      </w:tr>
      <w:tr>
        <w:tc>
          <w:tcPr/>
          <w:p>
            <w:pPr>
              <w:pStyle w:val="Compact"/>
              <w:jc w:val="left"/>
            </w:pPr>
            <w:r>
              <w:t xml:space="preserve">Institution</w:t>
            </w:r>
          </w:p>
        </w:tc>
        <w:tc>
          <w:tcPr/>
          <w:p>
            <w:pPr>
              <w:pStyle w:val="Compact"/>
              <w:jc w:val="left"/>
            </w:pPr>
            <w:r>
              <w:t xml:space="preserve">ICC</w:t>
            </w:r>
          </w:p>
        </w:tc>
        <w:tc>
          <w:tcPr/>
          <w:p>
            <w:pPr>
              <w:pStyle w:val="Compact"/>
              <w:jc w:val="left"/>
            </w:pPr>
            <w:r>
              <w:t xml:space="preserve">SIAC (expert determination; then SIAC arbitration)</w:t>
            </w:r>
          </w:p>
        </w:tc>
        <w:tc>
          <w:tcPr/>
          <w:p>
            <w:pPr>
              <w:pStyle w:val="Compact"/>
              <w:jc w:val="left"/>
            </w:pPr>
            <w:r>
              <w:t xml:space="preserve">LCIA</w:t>
            </w:r>
          </w:p>
        </w:tc>
      </w:tr>
      <w:tr>
        <w:tc>
          <w:tcPr/>
          <w:p>
            <w:pPr>
              <w:pStyle w:val="Compact"/>
              <w:jc w:val="left"/>
            </w:pPr>
            <w:r>
              <w:t xml:space="preserve">Seat</w:t>
            </w:r>
          </w:p>
        </w:tc>
        <w:tc>
          <w:tcPr/>
          <w:p>
            <w:pPr>
              <w:pStyle w:val="Compact"/>
              <w:jc w:val="left"/>
            </w:pPr>
            <w:r>
              <w:t xml:space="preserve">Singapore</w:t>
            </w:r>
          </w:p>
        </w:tc>
        <w:tc>
          <w:tcPr/>
          <w:p>
            <w:pPr>
              <w:pStyle w:val="Compact"/>
              <w:jc w:val="left"/>
            </w:pPr>
            <w:r>
              <w:t xml:space="preserve">Singapore</w:t>
            </w:r>
          </w:p>
        </w:tc>
        <w:tc>
          <w:tcPr/>
          <w:p>
            <w:pPr>
              <w:pStyle w:val="Compact"/>
              <w:jc w:val="left"/>
            </w:pPr>
            <w:r>
              <w:t xml:space="preserve">London</w:t>
            </w:r>
          </w:p>
        </w:tc>
      </w:tr>
      <w:tr>
        <w:tc>
          <w:tcPr/>
          <w:p>
            <w:pPr>
              <w:pStyle w:val="Compact"/>
              <w:jc w:val="left"/>
            </w:pPr>
            <w:r>
              <w:t xml:space="preserve">Hearing venue</w:t>
            </w:r>
          </w:p>
        </w:tc>
        <w:tc>
          <w:tcPr/>
          <w:p>
            <w:pPr>
              <w:pStyle w:val="Compact"/>
              <w:jc w:val="left"/>
            </w:pPr>
            <w:r>
              <w:t xml:space="preserve">London, England</w:t>
            </w:r>
          </w:p>
        </w:tc>
        <w:tc>
          <w:tcPr/>
          <w:p>
            <w:pPr>
              <w:pStyle w:val="Compact"/>
              <w:jc w:val="left"/>
            </w:pPr>
            <w:r>
              <w:t xml:space="preserve">(not specified)</w:t>
            </w:r>
          </w:p>
        </w:tc>
        <w:tc>
          <w:tcPr/>
          <w:p>
            <w:pPr>
              <w:pStyle w:val="Compact"/>
              <w:jc w:val="left"/>
            </w:pPr>
            <w:r>
              <w:t xml:space="preserve">(London, by seat)</w:t>
            </w:r>
          </w:p>
        </w:tc>
      </w:tr>
      <w:tr>
        <w:tc>
          <w:tcPr/>
          <w:p>
            <w:pPr>
              <w:pStyle w:val="Compact"/>
              <w:jc w:val="left"/>
            </w:pPr>
            <w:r>
              <w:t xml:space="preserve">Governing law</w:t>
            </w:r>
          </w:p>
        </w:tc>
        <w:tc>
          <w:tcPr/>
          <w:p>
            <w:pPr>
              <w:pStyle w:val="Compact"/>
              <w:jc w:val="left"/>
            </w:pPr>
            <w:r>
              <w:t xml:space="preserve">New York (+ fallback to</w:t>
            </w:r>
            <w:r>
              <w:t xml:space="preserve"> </w:t>
            </w:r>
            <w:r>
              <w:t xml:space="preserve">“</w:t>
            </w:r>
            <w:r>
              <w:t xml:space="preserve">general principles of international commercial law</w:t>
            </w:r>
            <w:r>
              <w:t xml:space="preserve">”</w:t>
            </w:r>
            <w:r>
              <w:t xml:space="preserve">)</w:t>
            </w:r>
          </w:p>
        </w:tc>
        <w:tc>
          <w:tcPr/>
          <w:p>
            <w:pPr>
              <w:pStyle w:val="Compact"/>
              <w:jc w:val="left"/>
            </w:pPr>
            <w:r>
              <w:t xml:space="preserve">Republic of Singapore</w:t>
            </w:r>
          </w:p>
        </w:tc>
        <w:tc>
          <w:tcPr/>
          <w:p>
            <w:pPr>
              <w:pStyle w:val="Compact"/>
              <w:jc w:val="left"/>
            </w:pPr>
            <w:r>
              <w:t xml:space="preserve">England and Wales</w:t>
            </w:r>
          </w:p>
        </w:tc>
      </w:tr>
      <w:tr>
        <w:tc>
          <w:tcPr/>
          <w:p>
            <w:pPr>
              <w:pStyle w:val="Compact"/>
              <w:jc w:val="left"/>
            </w:pPr>
            <w:r>
              <w:t xml:space="preserve">Number of arbitrators</w:t>
            </w:r>
          </w:p>
        </w:tc>
        <w:tc>
          <w:tcPr/>
          <w:p>
            <w:pPr>
              <w:pStyle w:val="Compact"/>
              <w:jc w:val="left"/>
            </w:pPr>
            <w:r>
              <w:t xml:space="preserve">1, unless either party requests 3 within 15 days of the Request for Arbitration</w:t>
            </w:r>
          </w:p>
        </w:tc>
        <w:tc>
          <w:tcPr/>
          <w:p>
            <w:pPr>
              <w:pStyle w:val="Compact"/>
              <w:jc w:val="left"/>
            </w:pPr>
            <w:r>
              <w:t xml:space="preserve">Expert (1); arbitration: 3</w:t>
            </w:r>
          </w:p>
        </w:tc>
        <w:tc>
          <w:tcPr/>
          <w:p>
            <w:pPr>
              <w:pStyle w:val="Compact"/>
              <w:jc w:val="left"/>
            </w:pPr>
            <w:r>
              <w:t xml:space="preserve">1</w:t>
            </w:r>
          </w:p>
        </w:tc>
      </w:tr>
      <w:tr>
        <w:tc>
          <w:tcPr/>
          <w:p>
            <w:pPr>
              <w:pStyle w:val="Compact"/>
              <w:jc w:val="left"/>
            </w:pPr>
            <w:r>
              <w:t xml:space="preserve">Discovery</w:t>
            </w:r>
          </w:p>
        </w:tc>
        <w:tc>
          <w:tcPr/>
          <w:p>
            <w:pPr>
              <w:pStyle w:val="Compact"/>
              <w:jc w:val="left"/>
            </w:pPr>
            <w:r>
              <w:t xml:space="preserve">None (SA §14.5)</w:t>
            </w:r>
          </w:p>
        </w:tc>
        <w:tc>
          <w:tcPr/>
          <w:p>
            <w:pPr>
              <w:pStyle w:val="Compact"/>
              <w:jc w:val="left"/>
            </w:pPr>
            <w:r>
              <w:t xml:space="preserve">(SIAC Rules)</w:t>
            </w:r>
          </w:p>
        </w:tc>
        <w:tc>
          <w:tcPr/>
          <w:p>
            <w:pPr>
              <w:pStyle w:val="Compact"/>
              <w:jc w:val="left"/>
            </w:pPr>
            <w:r>
              <w:t xml:space="preserve">(LCIA Rules)</w:t>
            </w:r>
          </w:p>
        </w:tc>
      </w:tr>
      <w:tr>
        <w:tc>
          <w:tcPr/>
          <w:p>
            <w:pPr>
              <w:pStyle w:val="Compact"/>
              <w:jc w:val="left"/>
            </w:pPr>
            <w:r>
              <w:t xml:space="preserve">Appeal</w:t>
            </w:r>
          </w:p>
        </w:tc>
        <w:tc>
          <w:tcPr/>
          <w:p>
            <w:pPr>
              <w:pStyle w:val="Compact"/>
              <w:jc w:val="left"/>
            </w:pPr>
            <w:r>
              <w:t xml:space="preserve">On questions of law, to the High Court of Singapore (SA §14.6)</w:t>
            </w:r>
          </w:p>
        </w:tc>
        <w:tc>
          <w:tcPr/>
          <w:p>
            <w:pPr>
              <w:pStyle w:val="Compact"/>
              <w:jc w:val="left"/>
            </w:pPr>
            <w:r>
              <w:t xml:space="preserve">None (expert determination final subject to §7.2)</w:t>
            </w:r>
          </w:p>
        </w:tc>
        <w:tc>
          <w:tcPr/>
          <w:p>
            <w:pPr>
              <w:pStyle w:val="Compact"/>
              <w:jc w:val="left"/>
            </w:pPr>
            <w:r>
              <w:t xml:space="preserve">None</w:t>
            </w:r>
          </w:p>
        </w:tc>
      </w:tr>
      <w:tr>
        <w:tc>
          <w:tcPr/>
          <w:p>
            <w:pPr>
              <w:pStyle w:val="Compact"/>
              <w:jc w:val="left"/>
            </w:pPr>
            <w:r>
              <w:t xml:space="preserve">Costs</w:t>
            </w:r>
          </w:p>
        </w:tc>
        <w:tc>
          <w:tcPr/>
          <w:p>
            <w:pPr>
              <w:pStyle w:val="Compact"/>
              <w:jc w:val="left"/>
            </w:pPr>
            <w:r>
              <w:t xml:space="preserve">Loser-pays, incl. prevailing party’s reasonable attorneys’ fees</w:t>
            </w:r>
          </w:p>
        </w:tc>
        <w:tc>
          <w:tcPr/>
          <w:p>
            <w:pPr>
              <w:pStyle w:val="Compact"/>
              <w:jc w:val="left"/>
            </w:pPr>
            <w:r>
              <w:t xml:space="preserve">Each bears own; Expert’s fees shared equally</w:t>
            </w:r>
          </w:p>
        </w:tc>
        <w:tc>
          <w:tcPr/>
          <w:p>
            <w:pPr>
              <w:pStyle w:val="Compact"/>
              <w:jc w:val="left"/>
            </w:pPr>
            <w:r>
              <w:t xml:space="preserve">Each bears own; tribunal/LCIA fees shared equally unless tribunal decides</w:t>
            </w:r>
          </w:p>
        </w:tc>
      </w:tr>
      <w:tr>
        <w:tc>
          <w:tcPr/>
          <w:p>
            <w:pPr>
              <w:pStyle w:val="Compact"/>
              <w:jc w:val="left"/>
            </w:pPr>
            <w:r>
              <w:t xml:space="preserve">Limitation period</w:t>
            </w:r>
          </w:p>
        </w:tc>
        <w:tc>
          <w:tcPr/>
          <w:p>
            <w:pPr>
              <w:pStyle w:val="Compact"/>
              <w:jc w:val="left"/>
            </w:pPr>
            <w:r>
              <w:t xml:space="preserve">1 year from knowledge (SA §14.9)</w:t>
            </w:r>
          </w:p>
        </w:tc>
        <w:tc>
          <w:tcPr/>
          <w:p>
            <w:pPr>
              <w:pStyle w:val="Compact"/>
              <w:jc w:val="left"/>
            </w:pPr>
            <w:r>
              <w:t xml:space="preserve">(not specified)</w:t>
            </w:r>
          </w:p>
        </w:tc>
        <w:tc>
          <w:tcPr/>
          <w:p>
            <w:pPr>
              <w:pStyle w:val="Compact"/>
              <w:jc w:val="left"/>
            </w:pPr>
            <w:r>
              <w:t xml:space="preserve">(not specified)</w:t>
            </w:r>
          </w:p>
        </w:tc>
      </w:tr>
      <w:tr>
        <w:tc>
          <w:tcPr/>
          <w:p>
            <w:pPr>
              <w:pStyle w:val="Compact"/>
              <w:jc w:val="left"/>
            </w:pPr>
            <w:r>
              <w:t xml:space="preserve">Damages limit</w:t>
            </w:r>
          </w:p>
        </w:tc>
        <w:tc>
          <w:tcPr/>
          <w:p>
            <w:pPr>
              <w:pStyle w:val="Compact"/>
              <w:jc w:val="left"/>
            </w:pPr>
            <w:r>
              <w:t xml:space="preserve">No punitive/exemplary/consequential (SA §14.11)</w:t>
            </w:r>
          </w:p>
        </w:tc>
        <w:tc>
          <w:tcPr/>
          <w:p>
            <w:pPr>
              <w:pStyle w:val="Compact"/>
              <w:jc w:val="left"/>
            </w:pPr>
            <w:r>
              <w:t xml:space="preserve">Tribunal may award</w:t>
            </w:r>
            <w:r>
              <w:t xml:space="preserve"> </w:t>
            </w:r>
            <w:r>
              <w:t xml:space="preserve">“</w:t>
            </w:r>
            <w:r>
              <w:t xml:space="preserve">any remedy available under applicable law</w:t>
            </w:r>
            <w:r>
              <w:t xml:space="preserve">”</w:t>
            </w:r>
            <w:r>
              <w:t xml:space="preserve"> </w:t>
            </w:r>
            <w:r>
              <w:t xml:space="preserve">(§7.2)</w:t>
            </w:r>
          </w:p>
        </w:tc>
        <w:tc>
          <w:tcPr/>
          <w:p>
            <w:pPr>
              <w:pStyle w:val="Compact"/>
              <w:jc w:val="left"/>
            </w:pPr>
            <w:r>
              <w:t xml:space="preserve">(none in §9; IPLA §8.3 excludes consequential except confidentiality/indemnity)</w:t>
            </w:r>
          </w:p>
        </w:tc>
      </w:tr>
      <w:tr>
        <w:tc>
          <w:tcPr/>
          <w:p>
            <w:pPr>
              <w:pStyle w:val="Compact"/>
              <w:jc w:val="left"/>
            </w:pPr>
            <w:r>
              <w:t xml:space="preserve">Interim relief</w:t>
            </w:r>
          </w:p>
        </w:tc>
        <w:tc>
          <w:tcPr/>
          <w:p>
            <w:pPr>
              <w:pStyle w:val="Compact"/>
              <w:jc w:val="left"/>
            </w:pPr>
            <w:r>
              <w:t xml:space="preserve">Preserved, any court worldwide (SA §14.7)</w:t>
            </w:r>
          </w:p>
        </w:tc>
        <w:tc>
          <w:tcPr/>
          <w:p>
            <w:pPr>
              <w:pStyle w:val="Compact"/>
              <w:jc w:val="left"/>
            </w:pPr>
            <w:r>
              <w:t xml:space="preserve">(silent)</w:t>
            </w:r>
          </w:p>
        </w:tc>
        <w:tc>
          <w:tcPr/>
          <w:p>
            <w:pPr>
              <w:pStyle w:val="Compact"/>
              <w:jc w:val="left"/>
            </w:pPr>
            <w:r>
              <w:t xml:space="preserve">(silent)</w:t>
            </w:r>
          </w:p>
        </w:tc>
      </w:tr>
      <w:tr>
        <w:tc>
          <w:tcPr/>
          <w:p>
            <w:pPr>
              <w:pStyle w:val="Compact"/>
              <w:jc w:val="left"/>
            </w:pPr>
            <w:r>
              <w:t xml:space="preserve">Confidentiality</w:t>
            </w:r>
          </w:p>
        </w:tc>
        <w:tc>
          <w:tcPr/>
          <w:p>
            <w:pPr>
              <w:pStyle w:val="Compact"/>
              <w:jc w:val="left"/>
            </w:pPr>
            <w:r>
              <w:t xml:space="preserve">Yes, with law-required carve-out (SA §14.10)</w:t>
            </w:r>
          </w:p>
        </w:tc>
        <w:tc>
          <w:tcPr/>
          <w:p>
            <w:pPr>
              <w:pStyle w:val="Compact"/>
              <w:jc w:val="left"/>
            </w:pPr>
            <w:r>
              <w:t xml:space="preserve">(silent)</w:t>
            </w:r>
          </w:p>
        </w:tc>
        <w:tc>
          <w:tcPr/>
          <w:p>
            <w:pPr>
              <w:pStyle w:val="Compact"/>
              <w:jc w:val="left"/>
            </w:pPr>
            <w:r>
              <w:t xml:space="preserve">(silent)</w:t>
            </w:r>
          </w:p>
        </w:tc>
      </w:tr>
      <w:tr>
        <w:tc>
          <w:tcPr/>
          <w:p>
            <w:pPr>
              <w:pStyle w:val="Compact"/>
              <w:jc w:val="left"/>
            </w:pPr>
            <w:r>
              <w:t xml:space="preserve">Hierarchy clause</w:t>
            </w:r>
          </w:p>
        </w:tc>
        <w:tc>
          <w:tcPr/>
          <w:p>
            <w:pPr>
              <w:pStyle w:val="Compact"/>
              <w:jc w:val="left"/>
            </w:pPr>
            <w:r>
              <w:t xml:space="preserve">SA controls over QA/IPLA (SA §15.8)</w:t>
            </w:r>
          </w:p>
        </w:tc>
        <w:tc>
          <w:tcPr/>
          <w:p>
            <w:pPr>
              <w:pStyle w:val="Compact"/>
              <w:jc w:val="left"/>
            </w:pPr>
            <w:r>
              <w:t xml:space="preserve">SA controls,</w:t>
            </w:r>
            <w:r>
              <w:t xml:space="preserve"> </w:t>
            </w:r>
            <w:r>
              <w:rPr>
                <w:b/>
                <w:bCs/>
              </w:rPr>
              <w:t xml:space="preserve">except</w:t>
            </w:r>
            <w:r>
              <w:t xml:space="preserve"> </w:t>
            </w:r>
            <w:r>
              <w:t xml:space="preserve">QA controls for QA-specific subjects incl. </w:t>
            </w:r>
            <w:r>
              <w:t xml:space="preserve">“</w:t>
            </w:r>
            <w:r>
              <w:t xml:space="preserve">the dispute resolution mechanism set forth in Section 7</w:t>
            </w:r>
            <w:r>
              <w:t xml:space="preserve">”</w:t>
            </w:r>
            <w:r>
              <w:t xml:space="preserve"> </w:t>
            </w:r>
            <w:r>
              <w:t xml:space="preserve">(QA §8.1)</w:t>
            </w:r>
          </w:p>
        </w:tc>
        <w:tc>
          <w:tcPr/>
          <w:p>
            <w:pPr>
              <w:pStyle w:val="Compact"/>
              <w:jc w:val="left"/>
            </w:pPr>
            <w:r>
              <w:t xml:space="preserve">SA controls,</w:t>
            </w:r>
            <w:r>
              <w:t xml:space="preserve"> </w:t>
            </w:r>
            <w:r>
              <w:rPr>
                <w:b/>
                <w:bCs/>
              </w:rPr>
              <w:t xml:space="preserve">except</w:t>
            </w:r>
            <w:r>
              <w:t xml:space="preserve"> </w:t>
            </w:r>
            <w:r>
              <w:t xml:space="preserve">for matters</w:t>
            </w:r>
            <w:r>
              <w:t xml:space="preserve"> </w:t>
            </w:r>
            <w:r>
              <w:t xml:space="preserve">“</w:t>
            </w:r>
            <w:r>
              <w:t xml:space="preserve">specifically and exclusively addressed by</w:t>
            </w:r>
            <w:r>
              <w:t xml:space="preserve">”</w:t>
            </w:r>
            <w:r>
              <w:t xml:space="preserve"> </w:t>
            </w:r>
            <w:r>
              <w:t xml:space="preserve">the IPLA (IPLA §10.3); IPLA §9.3 consolidates SA-related claims into the LCIA arbitration</w:t>
            </w:r>
          </w:p>
        </w:tc>
      </w:tr>
    </w:tbl>
    <w:p>
      <w:pPr>
        <w:pStyle w:val="BodyText"/>
      </w:pPr>
      <w:r>
        <w:t xml:space="preserve">The HG Memo characterizes this three-institution / three-seat / three-law structure as a deliberate</w:t>
      </w:r>
      <w:r>
        <w:t xml:space="preserve"> </w:t>
      </w:r>
      <w:r>
        <w:t xml:space="preserve">“</w:t>
      </w:r>
      <w:r>
        <w:t xml:space="preserve">matching</w:t>
      </w:r>
      <w:r>
        <w:t xml:space="preserve">”</w:t>
      </w:r>
      <w:r>
        <w:t xml:space="preserve"> </w:t>
      </w:r>
      <w:r>
        <w:t xml:space="preserve">of forum to subject matter and asserts it is</w:t>
      </w:r>
      <w:r>
        <w:t xml:space="preserve"> </w:t>
      </w:r>
      <w:r>
        <w:t xml:space="preserve">“</w:t>
      </w:r>
      <w:r>
        <w:t xml:space="preserve">workable and does not require fundamental restructuring.</w:t>
      </w:r>
      <w:r>
        <w:t xml:space="preserve">”</w:t>
      </w:r>
      <w:r>
        <w:t xml:space="preserve"> </w:t>
      </w:r>
      <w:r>
        <w:t xml:space="preserve">For the reasons set out below, we disagree: the structure is internally contradictory at the points where the agreements overlap, and the contradictions are concentrated precisely where disputes are most likely to arise (quality failures that implicate supply, indemnity, IP, and recall obligations simultaneously).</w:t>
      </w:r>
    </w:p>
    <w:bookmarkEnd w:id="22"/>
    <w:bookmarkStart w:id="23" w:name="c.-material-commercial-context"/>
    <w:p>
      <w:pPr>
        <w:pStyle w:val="Heading3"/>
      </w:pPr>
      <w:r>
        <w:t xml:space="preserve">C. Material commercial context</w:t>
      </w:r>
    </w:p>
    <w:p>
      <w:pPr>
        <w:pStyle w:val="Compact"/>
        <w:numPr>
          <w:ilvl w:val="0"/>
          <w:numId w:val="1002"/>
        </w:numPr>
      </w:pPr>
      <w:r>
        <w:rPr>
          <w:b/>
          <w:bCs/>
        </w:rPr>
        <w:t xml:space="preserve">Scale and duration:</w:t>
      </w:r>
      <w:r>
        <w:t xml:space="preserve"> </w:t>
      </w:r>
      <w:r>
        <w:t xml:space="preserve">USD 22M/yr (Years 1–3) and USD 28M/yr (Years 4–7); USD 178M minimum over the initial 7-year term; two automatic 3-year renewals extend the relationship to</w:t>
      </w:r>
      <w:r>
        <w:t xml:space="preserve"> </w:t>
      </w:r>
      <w:r>
        <w:rPr>
          <w:b/>
          <w:bCs/>
        </w:rPr>
        <w:t xml:space="preserve">July 31, 2038 (13 years)</w:t>
      </w:r>
      <w:r>
        <w:t xml:space="preserve">, with total commitments</w:t>
      </w:r>
      <w:r>
        <w:t xml:space="preserve"> </w:t>
      </w:r>
      <w:r>
        <w:t xml:space="preserve">“</w:t>
      </w:r>
      <w:r>
        <w:t xml:space="preserve">well north of $178M</w:t>
      </w:r>
      <w:r>
        <w:t xml:space="preserve">”</w:t>
      </w:r>
      <w:r>
        <w:t xml:space="preserve"> </w:t>
      </w:r>
      <w:r>
        <w:t xml:space="preserve">(per the email chain).</w:t>
      </w:r>
    </w:p>
    <w:p>
      <w:pPr>
        <w:pStyle w:val="Compact"/>
        <w:numPr>
          <w:ilvl w:val="0"/>
          <w:numId w:val="1002"/>
        </w:numPr>
      </w:pPr>
      <w:r>
        <w:rPr>
          <w:b/>
          <w:bCs/>
        </w:rPr>
        <w:t xml:space="preserve">Exclusivity:</w:t>
      </w:r>
      <w:r>
        <w:t xml:space="preserve"> </w:t>
      </w:r>
      <w:r>
        <w:t xml:space="preserve">Greenleaf has</w:t>
      </w:r>
      <w:r>
        <w:t xml:space="preserve"> </w:t>
      </w:r>
      <w:r>
        <w:rPr>
          <w:b/>
          <w:bCs/>
        </w:rPr>
        <w:t xml:space="preserve">no backup supplier</w:t>
      </w:r>
      <w:r>
        <w:t xml:space="preserve"> </w:t>
      </w:r>
      <w:r>
        <w:t xml:space="preserve">within the Exclusivity Territory (North America). A supply failure cannot be cured by switching sources.</w:t>
      </w:r>
    </w:p>
    <w:p>
      <w:pPr>
        <w:pStyle w:val="Compact"/>
        <w:numPr>
          <w:ilvl w:val="0"/>
          <w:numId w:val="1002"/>
        </w:numPr>
      </w:pPr>
      <w:r>
        <w:rPr>
          <w:b/>
          <w:bCs/>
        </w:rPr>
        <w:t xml:space="preserve">Co-manufacturing model:</w:t>
      </w:r>
      <w:r>
        <w:t xml:space="preserve"> </w:t>
      </w:r>
      <w:r>
        <w:t xml:space="preserve">Greenleaf uses U.S. co-manufacturers for blending, encapsulation, and packaging; a new co-manufacturer is expected online in Q1 2026. Co-man agreements are governed by</w:t>
      </w:r>
      <w:r>
        <w:t xml:space="preserve"> </w:t>
      </w:r>
      <w:r>
        <w:rPr>
          <w:b/>
          <w:bCs/>
        </w:rPr>
        <w:t xml:space="preserve">North Carolina choice of law and NC state-court forum selection</w:t>
      </w:r>
      <w:r>
        <w:t xml:space="preserve"> </w:t>
      </w:r>
      <w:r>
        <w:t xml:space="preserve">— i.e., court litigation, not arbitration.</w:t>
      </w:r>
    </w:p>
    <w:p>
      <w:pPr>
        <w:pStyle w:val="Compact"/>
        <w:numPr>
          <w:ilvl w:val="0"/>
          <w:numId w:val="1002"/>
        </w:numPr>
      </w:pPr>
      <w:r>
        <w:rPr>
          <w:b/>
          <w:bCs/>
        </w:rPr>
        <w:t xml:space="preserve">Pacifica’s 2023 arbitration:</w:t>
      </w:r>
      <w:r>
        <w:t xml:space="preserve"> </w:t>
      </w:r>
      <w:r>
        <w:t xml:space="preserve">ICC arbitration seated in Hong Kong against a Korean buyer (~USD 8.2M in rejected shipments). Pacifica prevailed, but the losing party challenged enforcement in Korea citing a</w:t>
      </w:r>
      <w:r>
        <w:t xml:space="preserve"> </w:t>
      </w:r>
      <w:r>
        <w:t xml:space="preserve">“</w:t>
      </w:r>
      <w:r>
        <w:t xml:space="preserve">pathological</w:t>
      </w:r>
      <w:r>
        <w:t xml:space="preserve">”</w:t>
      </w:r>
      <w:r>
        <w:t xml:space="preserve"> </w:t>
      </w:r>
      <w:r>
        <w:t xml:space="preserve">arbitration clause. The challenge failed but</w:t>
      </w:r>
      <w:r>
        <w:t xml:space="preserve"> </w:t>
      </w:r>
      <w:r>
        <w:rPr>
          <w:b/>
          <w:bCs/>
        </w:rPr>
        <w:t xml:space="preserve">delayed enforcement by approximately 14 months</w:t>
      </w:r>
      <w:r>
        <w:t xml:space="preserve">. Harmon &amp; Grey states the current clauses were drafted</w:t>
      </w:r>
      <w:r>
        <w:t xml:space="preserve"> </w:t>
      </w:r>
      <w:r>
        <w:t xml:space="preserve">“</w:t>
      </w:r>
      <w:r>
        <w:t xml:space="preserve">with the benefit of that experience.</w:t>
      </w:r>
      <w:r>
        <w:t xml:space="preserve">”</w:t>
      </w:r>
      <w:r>
        <w:t xml:space="preserve"> </w:t>
      </w:r>
      <w:r>
        <w:t xml:space="preserve">As shown below, two of the current clauses reintroduce the very pathology that experience was meant to avoid.</w:t>
      </w:r>
    </w:p>
    <w:p>
      <w:pPr>
        <w:pStyle w:val="Compact"/>
        <w:numPr>
          <w:ilvl w:val="0"/>
          <w:numId w:val="1002"/>
        </w:numPr>
      </w:pPr>
      <w:r>
        <w:rPr>
          <w:b/>
          <w:bCs/>
        </w:rPr>
        <w:t xml:space="preserve">Ridgeway recall precedent:</w:t>
      </w:r>
      <w:r>
        <w:t xml:space="preserve"> </w:t>
      </w:r>
      <w:r>
        <w:t xml:space="preserve">At another portfolio company, a defective ingredient triggered an FDA Class II recall: direct damages ~USD 1.8M; consequential damages (lost revenue, retailer penalties, crisis PR, consumer refunds, business interruption) exceeded</w:t>
      </w:r>
      <w:r>
        <w:t xml:space="preserve"> </w:t>
      </w:r>
      <w:r>
        <w:rPr>
          <w:b/>
          <w:bCs/>
        </w:rPr>
        <w:t xml:space="preserve">USD 14M</w:t>
      </w:r>
      <w:r>
        <w:t xml:space="preserve"> </w:t>
      </w:r>
      <w:r>
        <w:t xml:space="preserve">— i.e., a consequential-damages waiver would have capped recovery at</w:t>
      </w:r>
      <w:r>
        <w:t xml:space="preserve"> </w:t>
      </w:r>
      <w:r>
        <w:rPr>
          <w:b/>
          <w:bCs/>
        </w:rPr>
        <w:t xml:space="preserve">under 12 cents on the dollar</w:t>
      </w:r>
      <w:r>
        <w:t xml:space="preserve">.</w:t>
      </w:r>
    </w:p>
    <w:p>
      <w:r>
        <w:pict>
          <v:rect style="width:0;height:1.5pt" o:hralign="center" o:hrstd="t" o:hr="t"/>
        </w:pict>
      </w:r>
    </w:p>
    <w:bookmarkEnd w:id="23"/>
    <w:bookmarkEnd w:id="24"/>
    <w:bookmarkStart w:id="25" w:name="iii.-severity-rating-methodology"/>
    <w:p>
      <w:pPr>
        <w:pStyle w:val="Heading2"/>
      </w:pPr>
      <w:r>
        <w:t xml:space="preserve">III. Severity Rating Methodology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A defect that is likely unenforceable, that creates a high probability of jurisdictional challenge or parallel proceedings, or that constitutes a deal-blocking commercial exposure. Must be resolved before signing.</w:t>
            </w:r>
          </w:p>
        </w:tc>
      </w:tr>
      <w:tr>
        <w:tc>
          <w:tcPr/>
          <w:p>
            <w:pPr>
              <w:pStyle w:val="Compact"/>
              <w:jc w:val="left"/>
            </w:pPr>
            <w:r>
              <w:rPr>
                <w:b/>
                <w:bCs/>
              </w:rPr>
              <w:t xml:space="preserve">High</w:t>
            </w:r>
          </w:p>
        </w:tc>
        <w:tc>
          <w:tcPr/>
          <w:p>
            <w:pPr>
              <w:pStyle w:val="Compact"/>
              <w:jc w:val="left"/>
            </w:pPr>
            <w:r>
              <w:t xml:space="preserve">A significant risk that materially shifts leverage, increases cost, or undermines a party’s ability to prove or recover on a claim. Requires renegotiation.</w:t>
            </w:r>
          </w:p>
        </w:tc>
      </w:tr>
      <w:tr>
        <w:tc>
          <w:tcPr/>
          <w:p>
            <w:pPr>
              <w:pStyle w:val="Compact"/>
              <w:jc w:val="left"/>
            </w:pPr>
            <w:r>
              <w:rPr>
                <w:b/>
                <w:bCs/>
              </w:rPr>
              <w:t xml:space="preserve">Medium</w:t>
            </w:r>
          </w:p>
        </w:tc>
        <w:tc>
          <w:tcPr/>
          <w:p>
            <w:pPr>
              <w:pStyle w:val="Compact"/>
              <w:jc w:val="left"/>
            </w:pPr>
            <w:r>
              <w:t xml:space="preserve">A real inconsistency or gap that should be corrected but is not, standing alone, deal-blocking.</w:t>
            </w:r>
          </w:p>
        </w:tc>
      </w:tr>
      <w:tr>
        <w:tc>
          <w:tcPr/>
          <w:p>
            <w:pPr>
              <w:pStyle w:val="Compact"/>
              <w:jc w:val="left"/>
            </w:pPr>
            <w:r>
              <w:rPr>
                <w:b/>
                <w:bCs/>
              </w:rPr>
              <w:t xml:space="preserve">Low</w:t>
            </w:r>
          </w:p>
        </w:tc>
        <w:tc>
          <w:tcPr/>
          <w:p>
            <w:pPr>
              <w:pStyle w:val="Compact"/>
              <w:jc w:val="left"/>
            </w:pPr>
            <w:r>
              <w:t xml:space="preserve">A housekeeping or minor consistency item; address in the same drafting pass.</w:t>
            </w:r>
          </w:p>
        </w:tc>
      </w:tr>
    </w:tbl>
    <w:p>
      <w:r>
        <w:pict>
          <v:rect style="width:0;height:1.5pt" o:hralign="center" o:hrstd="t" o:hr="t"/>
        </w:pict>
      </w:r>
    </w:p>
    <w:bookmarkEnd w:id="25"/>
    <w:bookmarkStart w:id="29" w:name="iv.-critical-issues"/>
    <w:p>
      <w:pPr>
        <w:pStyle w:val="Heading2"/>
      </w:pPr>
      <w:r>
        <w:t xml:space="preserve">IV. Critical Issues</w:t>
      </w:r>
    </w:p>
    <w:bookmarkStart w:id="26" w:name="X7f41fecb3f876ce2f5569ed53d4d555ef4f740d"/>
    <w:p>
      <w:pPr>
        <w:pStyle w:val="Heading3"/>
      </w:pPr>
      <w:r>
        <w:t xml:space="preserve">C1 — Dueling hierarchy and consolidation clauses create a</w:t>
      </w:r>
      <w:r>
        <w:t xml:space="preserve"> </w:t>
      </w:r>
      <w:r>
        <w:t xml:space="preserve">“</w:t>
      </w:r>
      <w:r>
        <w:t xml:space="preserve">pathological</w:t>
      </w:r>
      <w:r>
        <w:t xml:space="preserve">”</w:t>
      </w:r>
      <w:r>
        <w:t xml:space="preserve"> </w:t>
      </w:r>
      <w:r>
        <w:t xml:space="preserve">jurisdictional conflict</w:t>
      </w:r>
    </w:p>
    <w:p>
      <w:pPr>
        <w:pStyle w:val="FirstParagraph"/>
      </w:pPr>
      <w:r>
        <w:rPr>
          <w:b/>
          <w:bCs/>
        </w:rPr>
        <w:t xml:space="preserve">Severity: CRITICAL</w:t>
      </w:r>
    </w:p>
    <w:p>
      <w:pPr>
        <w:pStyle w:val="BodyText"/>
      </w:pPr>
      <w:r>
        <w:rPr>
          <w:b/>
          <w:bCs/>
        </w:rPr>
        <w:t xml:space="preserve">Provisions at issue:</w:t>
      </w:r>
      <w:r>
        <w:t xml:space="preserve"> </w:t>
      </w:r>
      <w:r>
        <w:t xml:space="preserve">SA §15.8; QA §8.1; IPLA §9.3; IPLA §10.3; SA §14.1; QA §7.1–7.2.</w:t>
      </w:r>
    </w:p>
    <w:p>
      <w:pPr>
        <w:pStyle w:val="BodyText"/>
      </w:pPr>
      <w:r>
        <w:rPr>
          <w:b/>
          <w:bCs/>
        </w:rPr>
        <w:t xml:space="preserve">Analysis.</w:t>
      </w:r>
      <w:r>
        <w:t xml:space="preserve"> </w:t>
      </w:r>
      <w:r>
        <w:t xml:space="preserve">The three documents contain three different — and mutually contradictory — rules for deciding which forum governs a dispute that touches more than one agreement:</w:t>
      </w:r>
    </w:p>
    <w:p>
      <w:pPr>
        <w:pStyle w:val="Compact"/>
        <w:numPr>
          <w:ilvl w:val="0"/>
          <w:numId w:val="1003"/>
        </w:numPr>
      </w:pPr>
      <w:r>
        <w:rPr>
          <w:b/>
          <w:bCs/>
        </w:rPr>
        <w:t xml:space="preserve">SA §15.8</w:t>
      </w:r>
      <w:r>
        <w:t xml:space="preserve"> </w:t>
      </w:r>
      <w:r>
        <w:t xml:space="preserve">provides that</w:t>
      </w:r>
      <w:r>
        <w:t xml:space="preserve"> </w:t>
      </w:r>
      <w:r>
        <w:t xml:space="preserve">“</w:t>
      </w:r>
      <w:r>
        <w:t xml:space="preserve">[i]n the event of a conflict between the terms of this Agreement and the terms of the QA Side Letter or the IPLA, this Agreement shall control</w:t>
      </w:r>
      <w:r>
        <w:t xml:space="preserve">”</w:t>
      </w:r>
      <w:r>
        <w:t xml:space="preserve"> </w:t>
      </w:r>
      <w:r>
        <w:t xml:space="preserve">— with</w:t>
      </w:r>
      <w:r>
        <w:t xml:space="preserve"> </w:t>
      </w:r>
      <w:r>
        <w:rPr>
          <w:b/>
          <w:bCs/>
        </w:rPr>
        <w:t xml:space="preserve">no carve-out</w:t>
      </w:r>
      <w:r>
        <w:t xml:space="preserve"> </w:t>
      </w:r>
      <w:r>
        <w:t xml:space="preserve">for the QA Letter’s or IPLA’s own dispute-resolution mechanisms. Read literally, every dispute funnels to the SA’s ICC/Singapore arbitration.</w:t>
      </w:r>
    </w:p>
    <w:p>
      <w:pPr>
        <w:pStyle w:val="Compact"/>
        <w:numPr>
          <w:ilvl w:val="0"/>
          <w:numId w:val="1003"/>
        </w:numPr>
      </w:pPr>
      <w:r>
        <w:rPr>
          <w:b/>
          <w:bCs/>
        </w:rPr>
        <w:t xml:space="preserve">QA §8.1</w:t>
      </w:r>
      <w:r>
        <w:t xml:space="preserve"> </w:t>
      </w:r>
      <w:r>
        <w:t xml:space="preserve">provides that the SA controls,</w:t>
      </w:r>
      <w:r>
        <w:t xml:space="preserve"> </w:t>
      </w:r>
      <w:r>
        <w:rPr>
          <w:b/>
          <w:bCs/>
        </w:rPr>
        <w:t xml:space="preserve">“</w:t>
      </w:r>
      <w:r>
        <w:rPr>
          <w:b/>
          <w:bCs/>
        </w:rPr>
        <w:t xml:space="preserve">provided, however, that with respect to the subject matters specifically addressed in this Side Letter — including … the dispute resolution mechanism set forth in Section 7 — this Side Letter shall control.</w:t>
      </w:r>
      <w:r>
        <w:rPr>
          <w:b/>
          <w:bCs/>
        </w:rPr>
        <w:t xml:space="preserve">”</w:t>
      </w:r>
      <w:r>
        <w:t xml:space="preserve"> </w:t>
      </w:r>
      <w:r>
        <w:t xml:space="preserve">This expressly carves the QA’s SIAC expert-determination/arbitration mechanism out of the SA’s hierarchy and makes the QA control.</w:t>
      </w:r>
    </w:p>
    <w:p>
      <w:pPr>
        <w:pStyle w:val="Compact"/>
        <w:numPr>
          <w:ilvl w:val="0"/>
          <w:numId w:val="1003"/>
        </w:numPr>
      </w:pPr>
      <w:r>
        <w:rPr>
          <w:b/>
          <w:bCs/>
        </w:rPr>
        <w:t xml:space="preserve">IPLA §9.3</w:t>
      </w:r>
      <w:r>
        <w:t xml:space="preserve"> </w:t>
      </w:r>
      <w:r>
        <w:t xml:space="preserve">provides that</w:t>
      </w:r>
      <w:r>
        <w:t xml:space="preserve"> </w:t>
      </w:r>
      <w:r>
        <w:t xml:space="preserve">“</w:t>
      </w:r>
      <w:r>
        <w:t xml:space="preserve">claims arising under this Agreement that also relate to obligations under the Supply Agreement shall be heard jointly in a single arbitration proceeding under this Section 9</w:t>
      </w:r>
      <w:r>
        <w:t xml:space="preserve">”</w:t>
      </w:r>
      <w:r>
        <w:t xml:space="preserve"> </w:t>
      </w:r>
      <w:r>
        <w:t xml:space="preserve">— i.e., in the</w:t>
      </w:r>
      <w:r>
        <w:t xml:space="preserve"> </w:t>
      </w:r>
      <w:r>
        <w:rPr>
          <w:b/>
          <w:bCs/>
        </w:rPr>
        <w:t xml:space="preserve">LCIA</w:t>
      </w:r>
      <w:r>
        <w:t xml:space="preserve"> </w:t>
      </w:r>
      <w:r>
        <w:t xml:space="preserve">arbitration in London — thereby purporting to pull SA-related claims out of the SA’s ICC/Singapore forum and into the LCIA.</w:t>
      </w:r>
    </w:p>
    <w:p>
      <w:pPr>
        <w:pStyle w:val="Compact"/>
        <w:numPr>
          <w:ilvl w:val="0"/>
          <w:numId w:val="1003"/>
        </w:numPr>
      </w:pPr>
      <w:r>
        <w:rPr>
          <w:b/>
          <w:bCs/>
        </w:rPr>
        <w:t xml:space="preserve">IPLA §10.3</w:t>
      </w:r>
      <w:r>
        <w:t xml:space="preserve"> </w:t>
      </w:r>
      <w:r>
        <w:t xml:space="preserve">provides that the SA controls</w:t>
      </w:r>
      <w:r>
        <w:t xml:space="preserve"> </w:t>
      </w:r>
      <w:r>
        <w:t xml:space="preserve">“</w:t>
      </w:r>
      <w:r>
        <w:t xml:space="preserve">except with respect to matters specifically and exclusively addressed by this Agreement</w:t>
      </w:r>
      <w:r>
        <w:t xml:space="preserve">”</w:t>
      </w:r>
      <w:r>
        <w:t xml:space="preserve"> </w:t>
      </w:r>
      <w:r>
        <w:t xml:space="preserve">— which, on its face, would protect the IPLA’s LCIA mechanism, supporting the IPLA §9.3 consolidation.</w:t>
      </w:r>
    </w:p>
    <w:p>
      <w:pPr>
        <w:pStyle w:val="FirstParagraph"/>
      </w:pPr>
      <w:r>
        <w:t xml:space="preserve">The result is a direct, unresolvable-on-its-face conflict. Consider the most likely real-world dispute: a defective batch of curcumin that is rejected, triggers a recall, and gives rise to (a) a quality/Nonconformity claim under the QA Letter, (b) a breach-of-warranty and indemnification claim under the SA, and (c) potentially an IP/regulatory-data claim under the IPLA. Under the four hierarchy clauses, that single factual dispute could be steered to</w:t>
      </w:r>
      <w:r>
        <w:t xml:space="preserve"> </w:t>
      </w:r>
      <w:r>
        <w:rPr>
          <w:b/>
          <w:bCs/>
        </w:rPr>
        <w:t xml:space="preserve">SIAC expert determination</w:t>
      </w:r>
      <w:r>
        <w:t xml:space="preserve"> </w:t>
      </w:r>
      <w:r>
        <w:t xml:space="preserve">(QA §8.1),</w:t>
      </w:r>
      <w:r>
        <w:t xml:space="preserve"> </w:t>
      </w:r>
      <w:r>
        <w:rPr>
          <w:b/>
          <w:bCs/>
        </w:rPr>
        <w:t xml:space="preserve">ICC arbitration in Singapore</w:t>
      </w:r>
      <w:r>
        <w:t xml:space="preserve"> </w:t>
      </w:r>
      <w:r>
        <w:t xml:space="preserve">(SA §15.8), or</w:t>
      </w:r>
      <w:r>
        <w:t xml:space="preserve"> </w:t>
      </w:r>
      <w:r>
        <w:rPr>
          <w:b/>
          <w:bCs/>
        </w:rPr>
        <w:t xml:space="preserve">LCIA arbitration in London</w:t>
      </w:r>
      <w:r>
        <w:t xml:space="preserve"> </w:t>
      </w:r>
      <w:r>
        <w:t xml:space="preserve">(IPLA §9.3/§10.3) — and a tribunal or court asked to decide would have to untangle the hierarchy clauses first. That threshold jurisdictional fight is precisely the</w:t>
      </w:r>
      <w:r>
        <w:t xml:space="preserve"> </w:t>
      </w:r>
      <w:r>
        <w:t xml:space="preserve">“</w:t>
      </w:r>
      <w:r>
        <w:t xml:space="preserve">pathological clause</w:t>
      </w:r>
      <w:r>
        <w:t xml:space="preserve">”</w:t>
      </w:r>
      <w:r>
        <w:t xml:space="preserve"> </w:t>
      </w:r>
      <w:r>
        <w:t xml:space="preserve">scenario that cost Pacifica 14 months in 2023.</w:t>
      </w:r>
    </w:p>
    <w:p>
      <w:pPr>
        <w:pStyle w:val="BodyText"/>
      </w:pPr>
      <w:r>
        <w:t xml:space="preserve">The IPLA §9.3 consolidation is independently problematic: it unilaterally attempts to consolidate claims</w:t>
      </w:r>
      <w:r>
        <w:t xml:space="preserve"> </w:t>
      </w:r>
      <w:r>
        <w:t xml:space="preserve">“</w:t>
      </w:r>
      <w:r>
        <w:t xml:space="preserve">relat[ing] to obligations under the Supply Agreement</w:t>
      </w:r>
      <w:r>
        <w:t xml:space="preserve">”</w:t>
      </w:r>
      <w:r>
        <w:t xml:space="preserve"> </w:t>
      </w:r>
      <w:r>
        <w:t xml:space="preserve">into the LCIA, but the SA’s arbitration agreement designates the ICC. Consolidation of a dispute into a forum that one of the underlying arbitration agreements did not select is generally impermissible without the consent of all parties to the consolidated proceedings (and is constrained by the ICC’s own consolidation/joinder rules, which require consent or specific conditions). The clause is, at best, ambiguous and, at worst, unenforceable as against the SA’s ICC agreement.</w:t>
      </w:r>
    </w:p>
    <w:p>
      <w:pPr>
        <w:pStyle w:val="BodyText"/>
      </w:pPr>
      <w:r>
        <w:rPr>
          <w:b/>
          <w:bCs/>
        </w:rPr>
        <w:t xml:space="preserve">Recommendation.</w:t>
      </w:r>
    </w:p>
    <w:p>
      <w:pPr>
        <w:pStyle w:val="Compact"/>
        <w:numPr>
          <w:ilvl w:val="0"/>
          <w:numId w:val="1004"/>
        </w:numPr>
      </w:pPr>
      <w:r>
        <w:rPr>
          <w:b/>
          <w:bCs/>
        </w:rPr>
        <w:t xml:space="preserve">Adopt a single, unified dispute-resolution clause</w:t>
      </w:r>
      <w:r>
        <w:t xml:space="preserve"> </w:t>
      </w:r>
      <w:r>
        <w:t xml:space="preserve">across all three documents (preferred), or, at minimum,</w:t>
      </w:r>
      <w:r>
        <w:t xml:space="preserve"> </w:t>
      </w:r>
      <w:r>
        <w:rPr>
          <w:b/>
          <w:bCs/>
        </w:rPr>
        <w:t xml:space="preserve">a single hierarchy clause that is identical in all three documents</w:t>
      </w:r>
      <w:r>
        <w:t xml:space="preserve"> </w:t>
      </w:r>
      <w:r>
        <w:t xml:space="preserve">and that unambiguously designates the controlling forum for multi-agreement disputes. The hierarchy clauses must be reconciled so that they do not contradict each other.</w:t>
      </w:r>
    </w:p>
    <w:p>
      <w:pPr>
        <w:pStyle w:val="Compact"/>
        <w:numPr>
          <w:ilvl w:val="0"/>
          <w:numId w:val="1004"/>
        </w:numPr>
      </w:pPr>
      <w:r>
        <w:rPr>
          <w:b/>
          <w:bCs/>
        </w:rPr>
        <w:t xml:space="preserve">Replace the IPLA §9.3 unilateral consolidation</w:t>
      </w:r>
      <w:r>
        <w:t xml:space="preserve"> </w:t>
      </w:r>
      <w:r>
        <w:t xml:space="preserve">with either (a) a true multi-contract consolidation/joinder mechanism that is mirrored in all three documents and that complies with the chosen institution’s consolidation rules, or (b) a</w:t>
      </w:r>
      <w:r>
        <w:t xml:space="preserve"> </w:t>
      </w:r>
      <w:r>
        <w:t xml:space="preserve">“</w:t>
      </w:r>
      <w:r>
        <w:t xml:space="preserve">disputes arising under any Transaction Document shall be resolved in a single arbitration under [institution]</w:t>
      </w:r>
      <w:r>
        <w:t xml:space="preserve">”</w:t>
      </w:r>
      <w:r>
        <w:t xml:space="preserve"> </w:t>
      </w:r>
      <w:r>
        <w:t xml:space="preserve">provision. Do not leave one agreement purporting to override another’s forum.</w:t>
      </w:r>
    </w:p>
    <w:p>
      <w:pPr>
        <w:pStyle w:val="Compact"/>
        <w:numPr>
          <w:ilvl w:val="0"/>
          <w:numId w:val="1004"/>
        </w:numPr>
      </w:pPr>
      <w:r>
        <w:rPr>
          <w:b/>
          <w:bCs/>
        </w:rPr>
        <w:t xml:space="preserve">Define a clear subject-matter routing rule</w:t>
      </w:r>
      <w:r>
        <w:t xml:space="preserve"> </w:t>
      </w:r>
      <w:r>
        <w:t xml:space="preserve">(e.g.,</w:t>
      </w:r>
      <w:r>
        <w:t xml:space="preserve"> </w:t>
      </w:r>
      <w:r>
        <w:t xml:space="preserve">“</w:t>
      </w:r>
      <w:r>
        <w:t xml:space="preserve">quality/technical disputes first to expert determination, then to the same arbitration as all other Transaction Document disputes</w:t>
      </w:r>
      <w:r>
        <w:t xml:space="preserve">”</w:t>
      </w:r>
      <w:r>
        <w:t xml:space="preserve">) so that the tier (expert vs. arbitration) is separated from the forum (which institution/seat), eliminating the overlap that generates the conflict.</w:t>
      </w:r>
    </w:p>
    <w:p>
      <w:r>
        <w:pict>
          <v:rect style="width:0;height:1.5pt" o:hralign="center" o:hrstd="t" o:hr="t"/>
        </w:pict>
      </w:r>
    </w:p>
    <w:bookmarkEnd w:id="26"/>
    <w:bookmarkStart w:id="27" w:name="Xfee5f0cbe87959aabeb2eae3ff98edb0f1c46d4"/>
    <w:p>
      <w:pPr>
        <w:pStyle w:val="Heading3"/>
      </w:pPr>
      <w:r>
        <w:t xml:space="preserve">C2 — Contractual appeal on questions of law to the High Court of Singapore is likely unenforceable</w:t>
      </w:r>
    </w:p>
    <w:p>
      <w:pPr>
        <w:pStyle w:val="FirstParagraph"/>
      </w:pPr>
      <w:r>
        <w:rPr>
          <w:b/>
          <w:bCs/>
        </w:rPr>
        <w:t xml:space="preserve">Severity: CRITICAL</w:t>
      </w:r>
    </w:p>
    <w:p>
      <w:pPr>
        <w:pStyle w:val="BodyText"/>
      </w:pPr>
      <w:r>
        <w:rPr>
          <w:b/>
          <w:bCs/>
        </w:rPr>
        <w:t xml:space="preserve">Provisions at issue:</w:t>
      </w:r>
      <w:r>
        <w:t xml:space="preserve"> </w:t>
      </w:r>
      <w:r>
        <w:t xml:space="preserve">SA §14.6; HG Memo §III.B.</w:t>
      </w:r>
    </w:p>
    <w:p>
      <w:pPr>
        <w:pStyle w:val="BodyText"/>
      </w:pPr>
      <w:r>
        <w:rPr>
          <w:b/>
          <w:bCs/>
        </w:rPr>
        <w:t xml:space="preserve">Analysis.</w:t>
      </w:r>
      <w:r>
        <w:t xml:space="preserve"> </w:t>
      </w:r>
      <w:r>
        <w:t xml:space="preserve">SA §14.6 provides that the award</w:t>
      </w:r>
      <w:r>
        <w:t xml:space="preserve"> </w:t>
      </w:r>
      <w:r>
        <w:t xml:space="preserve">“</w:t>
      </w:r>
      <w:r>
        <w:t xml:space="preserve">shall be final and binding</w:t>
      </w:r>
      <w:r>
        <w:t xml:space="preserve">”</w:t>
      </w:r>
      <w:r>
        <w:t xml:space="preserve"> </w:t>
      </w:r>
      <w:r>
        <w:t xml:space="preserve">but that</w:t>
      </w:r>
      <w:r>
        <w:t xml:space="preserve"> </w:t>
      </w:r>
      <w:r>
        <w:t xml:space="preserve">“</w:t>
      </w:r>
      <w:r>
        <w:t xml:space="preserve">either party may appeal the award on questions of law to the High Court of Singapore.</w:t>
      </w:r>
      <w:r>
        <w:t xml:space="preserve">”</w:t>
      </w:r>
      <w:r>
        <w:t xml:space="preserve"> </w:t>
      </w:r>
      <w:r>
        <w:t xml:space="preserve">The HG Memo explains this was</w:t>
      </w:r>
      <w:r>
        <w:t xml:space="preserve"> </w:t>
      </w:r>
      <w:r>
        <w:t xml:space="preserve">“</w:t>
      </w:r>
      <w:r>
        <w:t xml:space="preserve">modeled on the approach under the English Arbitration Act 1996, specifically Section 69,</w:t>
      </w:r>
      <w:r>
        <w:t xml:space="preserve">”</w:t>
      </w:r>
      <w:r>
        <w:t xml:space="preserve"> </w:t>
      </w:r>
      <w:r>
        <w:t xml:space="preserve">and was intended to channel post-award review to</w:t>
      </w:r>
      <w:r>
        <w:t xml:space="preserve"> </w:t>
      </w:r>
      <w:r>
        <w:t xml:space="preserve">“</w:t>
      </w:r>
      <w:r>
        <w:t xml:space="preserve">a single, predictable forum.</w:t>
      </w:r>
      <w:r>
        <w:t xml:space="preserve">”</w:t>
      </w:r>
    </w:p>
    <w:p>
      <w:pPr>
        <w:pStyle w:val="BodyText"/>
      </w:pPr>
      <w:r>
        <w:t xml:space="preserve">The problem is that</w:t>
      </w:r>
      <w:r>
        <w:t xml:space="preserve"> </w:t>
      </w:r>
      <w:r>
        <w:rPr>
          <w:b/>
          <w:bCs/>
        </w:rPr>
        <w:t xml:space="preserve">Singapore is not England.</w:t>
      </w:r>
      <w:r>
        <w:t xml:space="preserve"> </w:t>
      </w:r>
      <w:r>
        <w:t xml:space="preserve">Singapore’s</w:t>
      </w:r>
      <w:r>
        <w:t xml:space="preserve"> </w:t>
      </w:r>
      <w:r>
        <w:rPr>
          <w:i/>
          <w:iCs/>
        </w:rPr>
        <w:t xml:space="preserve">International Arbitration Act</w:t>
      </w:r>
      <w:r>
        <w:t xml:space="preserve"> </w:t>
      </w:r>
      <w:r>
        <w:t xml:space="preserve">(Cap. 143A) — which governs international arbitrations seated in Singapore and incorporates the UNCITRAL Model Law —</w:t>
      </w:r>
      <w:r>
        <w:t xml:space="preserve"> </w:t>
      </w:r>
      <w:r>
        <w:rPr>
          <w:b/>
          <w:bCs/>
        </w:rPr>
        <w:t xml:space="preserve">does not contain any equivalent to s.69 of the English Arbitration Act 1996.</w:t>
      </w:r>
      <w:r>
        <w:t xml:space="preserve"> </w:t>
      </w:r>
      <w:r>
        <w:t xml:space="preserve">Singapore deliberately does not provide for appeals on questions of law from international arbitral awards. The IAA’s court-interference provisions are limited to the Model Law grounds (setting aside under Art. 34; recognition/enforcement under Art. 35–36) and a narrow preliminary-question-of-law procedure (IAA s.11) that requires both parties’ agreement</w:t>
      </w:r>
      <w:r>
        <w:t xml:space="preserve"> </w:t>
      </w:r>
      <w:r>
        <w:rPr>
          <w:b/>
          <w:bCs/>
        </w:rPr>
        <w:t xml:space="preserve">and</w:t>
      </w:r>
      <w:r>
        <w:t xml:space="preserve"> </w:t>
      </w:r>
      <w:r>
        <w:t xml:space="preserve">the court’s consent, and that addresses preliminary questions — not appeals of final awards. There is no statutory jurisdiction for the High Court to hear an</w:t>
      </w:r>
      <w:r>
        <w:t xml:space="preserve"> </w:t>
      </w:r>
      <w:r>
        <w:t xml:space="preserve">“</w:t>
      </w:r>
      <w:r>
        <w:t xml:space="preserve">appeal on questions of law</w:t>
      </w:r>
      <w:r>
        <w:t xml:space="preserve">”</w:t>
      </w:r>
      <w:r>
        <w:t xml:space="preserve"> </w:t>
      </w:r>
      <w:r>
        <w:t xml:space="preserve">from a final international arbitral award.</w:t>
      </w:r>
    </w:p>
    <w:p>
      <w:pPr>
        <w:pStyle w:val="BodyText"/>
      </w:pPr>
      <w:r>
        <w:t xml:space="preserve">Consequences:</w:t>
      </w:r>
    </w:p>
    <w:p>
      <w:pPr>
        <w:pStyle w:val="Compact"/>
        <w:numPr>
          <w:ilvl w:val="0"/>
          <w:numId w:val="1005"/>
        </w:numPr>
      </w:pPr>
      <w:r>
        <w:rPr>
          <w:b/>
          <w:bCs/>
        </w:rPr>
        <w:t xml:space="preserve">Likely void/inoperable.</w:t>
      </w:r>
      <w:r>
        <w:t xml:space="preserve"> </w:t>
      </w:r>
      <w:r>
        <w:t xml:space="preserve">Parties cannot by contract confer jurisdiction on a court that the governing statute does not grant. The clause is therefore likely unenforceable as a court appeal. At best it is a nullity; at worst it is a</w:t>
      </w:r>
      <w:r>
        <w:t xml:space="preserve"> </w:t>
      </w:r>
      <w:r>
        <w:t xml:space="preserve">“</w:t>
      </w:r>
      <w:r>
        <w:t xml:space="preserve">pathological</w:t>
      </w:r>
      <w:r>
        <w:t xml:space="preserve">”</w:t>
      </w:r>
      <w:r>
        <w:t xml:space="preserve"> </w:t>
      </w:r>
      <w:r>
        <w:t xml:space="preserve">provision that a losing party will invoke to argue the award is</w:t>
      </w:r>
      <w:r>
        <w:t xml:space="preserve"> </w:t>
      </w:r>
      <w:r>
        <w:t xml:space="preserve">“</w:t>
      </w:r>
      <w:r>
        <w:t xml:space="preserve">not yet binding,</w:t>
      </w:r>
      <w:r>
        <w:t xml:space="preserve">”</w:t>
      </w:r>
      <w:r>
        <w:t xml:space="preserve"> </w:t>
      </w:r>
      <w:r>
        <w:t xml:space="preserve">complicating recognition and enforcement under Article V(1)(e) of the New York Convention.</w:t>
      </w:r>
    </w:p>
    <w:p>
      <w:pPr>
        <w:pStyle w:val="Compact"/>
        <w:numPr>
          <w:ilvl w:val="0"/>
          <w:numId w:val="1005"/>
        </w:numPr>
      </w:pPr>
      <w:r>
        <w:rPr>
          <w:b/>
          <w:bCs/>
        </w:rPr>
        <w:t xml:space="preserve">Self-defeating.</w:t>
      </w:r>
      <w:r>
        <w:t xml:space="preserve"> </w:t>
      </w:r>
      <w:r>
        <w:t xml:space="preserve">Harmon &amp; Grey states the clause was drafted to avoid the post-award challenge pathology Pacifica suffered in 2023. It does the opposite: it injects an appeal right that (i) probably does not exist, (ii) invites a threshold challenge to finality, and (iii) gives a losing party a built-in argument for delay.</w:t>
      </w:r>
    </w:p>
    <w:p>
      <w:pPr>
        <w:pStyle w:val="Compact"/>
        <w:numPr>
          <w:ilvl w:val="0"/>
          <w:numId w:val="1005"/>
        </w:numPr>
      </w:pPr>
      <w:r>
        <w:rPr>
          <w:b/>
          <w:bCs/>
        </w:rPr>
        <w:t xml:space="preserve">Asymmetric uncertainty.</w:t>
      </w:r>
      <w:r>
        <w:t xml:space="preserve"> </w:t>
      </w:r>
      <w:r>
        <w:t xml:space="preserve">If the clause is void, the parties lose the</w:t>
      </w:r>
      <w:r>
        <w:t xml:space="preserve"> </w:t>
      </w:r>
      <w:r>
        <w:t xml:space="preserve">“</w:t>
      </w:r>
      <w:r>
        <w:t xml:space="preserve">safety valve</w:t>
      </w:r>
      <w:r>
        <w:t xml:space="preserve">”</w:t>
      </w:r>
      <w:r>
        <w:t xml:space="preserve"> </w:t>
      </w:r>
      <w:r>
        <w:t xml:space="preserve">they bargained for; if it is somehow given effect, it undermines finality. Either way the parties do not get what the HG Memo promises.</w:t>
      </w:r>
    </w:p>
    <w:p>
      <w:pPr>
        <w:pStyle w:val="FirstParagraph"/>
      </w:pPr>
      <w:r>
        <w:rPr>
          <w:b/>
          <w:bCs/>
        </w:rPr>
        <w:t xml:space="preserve">Recommendation.</w:t>
      </w:r>
    </w:p>
    <w:p>
      <w:pPr>
        <w:pStyle w:val="Compact"/>
        <w:numPr>
          <w:ilvl w:val="0"/>
          <w:numId w:val="1006"/>
        </w:numPr>
      </w:pPr>
      <w:r>
        <w:rPr>
          <w:b/>
          <w:bCs/>
        </w:rPr>
        <w:t xml:space="preserve">Delete the appeal-on-law provision</w:t>
      </w:r>
      <w:r>
        <w:t xml:space="preserve"> </w:t>
      </w:r>
      <w:r>
        <w:t xml:space="preserve">in SA §14.6 and replace it with a standard finality clause:</w:t>
      </w:r>
      <w:r>
        <w:t xml:space="preserve"> </w:t>
      </w:r>
      <w:r>
        <w:t xml:space="preserve">“</w:t>
      </w:r>
      <w:r>
        <w:t xml:space="preserve">The award shall be final and binding on the Parties. Judgment may be entered on the award by any court of competent jurisdiction. The Parties waive any right to appeal the award to the extent permitted by applicable law.</w:t>
      </w:r>
      <w:r>
        <w:t xml:space="preserve">”</w:t>
      </w:r>
      <w:r>
        <w:t xml:space="preserve"> </w:t>
      </w:r>
      <w:r>
        <w:t xml:space="preserve">This aligns with Singapore’s actual legal framework and with the New York Convention’s finality expectations.</w:t>
      </w:r>
    </w:p>
    <w:p>
      <w:pPr>
        <w:pStyle w:val="Compact"/>
        <w:numPr>
          <w:ilvl w:val="0"/>
          <w:numId w:val="1006"/>
        </w:numPr>
      </w:pPr>
      <w:r>
        <w:t xml:space="preserve">If the parties genuinely want appellate review on questions of law,</w:t>
      </w:r>
      <w:r>
        <w:t xml:space="preserve"> </w:t>
      </w:r>
      <w:r>
        <w:rPr>
          <w:b/>
          <w:bCs/>
        </w:rPr>
        <w:t xml:space="preserve">re-seat that arbitration in London</w:t>
      </w:r>
      <w:r>
        <w:t xml:space="preserve"> </w:t>
      </w:r>
      <w:r>
        <w:t xml:space="preserve">(where s.69 is available) or select an institution/rules that expressly permit it — but do not purport to invoke a Singapore court appeal that Singapore law does not provide.</w:t>
      </w:r>
    </w:p>
    <w:p>
      <w:pPr>
        <w:pStyle w:val="Compact"/>
        <w:numPr>
          <w:ilvl w:val="0"/>
          <w:numId w:val="1006"/>
        </w:numPr>
      </w:pPr>
      <w:r>
        <w:t xml:space="preserve">Confirm with Singapore counsel that no residual appeal mechanism applies, and reflect that confirmation in the negotiation record.</w:t>
      </w:r>
    </w:p>
    <w:p>
      <w:r>
        <w:pict>
          <v:rect style="width:0;height:1.5pt" o:hralign="center" o:hrstd="t" o:hr="t"/>
        </w:pict>
      </w:r>
    </w:p>
    <w:bookmarkEnd w:id="27"/>
    <w:bookmarkStart w:id="28" w:name="Xc0e026ca97552086c6af4692794a3fa37864025"/>
    <w:p>
      <w:pPr>
        <w:pStyle w:val="Heading3"/>
      </w:pPr>
      <w:r>
        <w:t xml:space="preserve">C3 — Consequential-damages waiver, exclusivity, and the illusory recall-cost preservation</w:t>
      </w:r>
    </w:p>
    <w:p>
      <w:pPr>
        <w:pStyle w:val="FirstParagraph"/>
      </w:pPr>
      <w:r>
        <w:rPr>
          <w:b/>
          <w:bCs/>
        </w:rPr>
        <w:t xml:space="preserve">Severity: CRITICAL</w:t>
      </w:r>
    </w:p>
    <w:p>
      <w:pPr>
        <w:pStyle w:val="BodyText"/>
      </w:pPr>
      <w:r>
        <w:rPr>
          <w:b/>
          <w:bCs/>
        </w:rPr>
        <w:t xml:space="preserve">Provisions at issue:</w:t>
      </w:r>
      <w:r>
        <w:t xml:space="preserve"> </w:t>
      </w:r>
      <w:r>
        <w:t xml:space="preserve">SA §14.11; SA §11.2; QA §6.6; IPLA §8.3 (contrast).</w:t>
      </w:r>
    </w:p>
    <w:p>
      <w:pPr>
        <w:pStyle w:val="BodyText"/>
      </w:pPr>
      <w:r>
        <w:rPr>
          <w:b/>
          <w:bCs/>
        </w:rPr>
        <w:t xml:space="preserve">Analysis.</w:t>
      </w:r>
      <w:r>
        <w:t xml:space="preserve"> </w:t>
      </w:r>
      <w:r>
        <w:t xml:space="preserve">SA §14.11 provides that</w:t>
      </w:r>
      <w:r>
        <w:t xml:space="preserve"> </w:t>
      </w:r>
      <w:r>
        <w:t xml:space="preserve">“</w:t>
      </w:r>
      <w:r>
        <w:t xml:space="preserve">[t]he arbitral tribunal shall not have the authority to award punitive, exemplary, or consequential damages.</w:t>
      </w:r>
      <w:r>
        <w:t xml:space="preserve">”</w:t>
      </w:r>
      <w:r>
        <w:t xml:space="preserve"> </w:t>
      </w:r>
      <w:r>
        <w:t xml:space="preserve">This is reinforced by SA §11.2, which excludes consequential, incidental, special, and punitive damages at the contract level (subject to indemnification and confidentiality carve-outs). The combined effect is a</w:t>
      </w:r>
      <w:r>
        <w:t xml:space="preserve"> </w:t>
      </w:r>
      <w:r>
        <w:rPr>
          <w:b/>
          <w:bCs/>
        </w:rPr>
        <w:t xml:space="preserve">double-barreled exclusion</w:t>
      </w:r>
      <w:r>
        <w:t xml:space="preserve"> </w:t>
      </w:r>
      <w:r>
        <w:t xml:space="preserve">of consequential damages — once at the remedial level and once at the arbitral-authority level.</w:t>
      </w:r>
    </w:p>
    <w:p>
      <w:pPr>
        <w:pStyle w:val="BodyText"/>
      </w:pPr>
      <w:r>
        <w:t xml:space="preserve">Three features make this a Critical, deal-blocking issue rather than a routine waiver:</w:t>
      </w:r>
    </w:p>
    <w:p>
      <w:pPr>
        <w:numPr>
          <w:ilvl w:val="0"/>
          <w:numId w:val="1007"/>
        </w:numPr>
      </w:pPr>
      <w:r>
        <w:rPr>
          <w:b/>
          <w:bCs/>
        </w:rPr>
        <w:t xml:space="preserve">Exclusivity amplifies the exposure.</w:t>
      </w:r>
      <w:r>
        <w:t xml:space="preserve"> </w:t>
      </w:r>
      <w:r>
        <w:t xml:space="preserve">Because the SA is an exclusive supply agreement, Greenleaf has</w:t>
      </w:r>
      <w:r>
        <w:t xml:space="preserve"> </w:t>
      </w:r>
      <w:r>
        <w:rPr>
          <w:b/>
          <w:bCs/>
        </w:rPr>
        <w:t xml:space="preserve">no alternative source</w:t>
      </w:r>
      <w:r>
        <w:t xml:space="preserve"> </w:t>
      </w:r>
      <w:r>
        <w:t xml:space="preserve">of the botanical extracts. A supply disruption or defective-ingredient event cannot be mitigated by switching suppliers; the consequential losses (lost revenue, retailer penalties, reformulation, business interruption) are therefore both larger and more directly attributable to Pacifica’s performance than in a non-exclusive arrangement. The Ridgeway precedent (USD 1.8M direct vs. &gt;USD 14M consequential; recovery under a waiver of</w:t>
      </w:r>
      <w:r>
        <w:t xml:space="preserve"> </w:t>
      </w:r>
      <w:r>
        <w:t xml:space="preserve">“</w:t>
      </w:r>
      <w:r>
        <w:t xml:space="preserve">under 12 cents on the dollar</w:t>
      </w:r>
      <w:r>
        <w:t xml:space="preserve">”</w:t>
      </w:r>
      <w:r>
        <w:t xml:space="preserve">) is directly on point, and the exclusivity here makes Greenleaf’s position worse, not better.</w:t>
      </w:r>
    </w:p>
    <w:p>
      <w:pPr>
        <w:numPr>
          <w:ilvl w:val="0"/>
          <w:numId w:val="1007"/>
        </w:numPr>
      </w:pPr>
      <w:r>
        <w:rPr>
          <w:b/>
          <w:bCs/>
        </w:rPr>
        <w:t xml:space="preserve">The QA Letter’s preservation of recall-related consequential damages is illusory.</w:t>
      </w:r>
      <w:r>
        <w:t xml:space="preserve"> </w:t>
      </w:r>
      <w:r>
        <w:t xml:space="preserve">QA §6.6 states that</w:t>
      </w:r>
      <w:r>
        <w:t xml:space="preserve"> </w:t>
      </w:r>
      <w:r>
        <w:t xml:space="preserve">“</w:t>
      </w:r>
      <w:r>
        <w:t xml:space="preserve">[n]othing in this Section 6 shall limit or modify Greenleaf’s rights to consequential damages, indemnification, or other remedies …</w:t>
      </w:r>
      <w:r>
        <w:t xml:space="preserve"> </w:t>
      </w:r>
      <w:r>
        <w:rPr>
          <w:b/>
          <w:bCs/>
        </w:rPr>
        <w:t xml:space="preserve">except to the extent expressly limited by the dispute resolution provisions of Article 14 of the Supply Agreement.</w:t>
      </w:r>
      <w:r>
        <w:t xml:space="preserve">”</w:t>
      </w:r>
      <w:r>
        <w:t xml:space="preserve"> </w:t>
      </w:r>
      <w:r>
        <w:t xml:space="preserve">SA §14.11 expressly limits consequential damages. The QA Letter therefore purports to preserve recall-related consequential damages and then immediately subordinates that preservation to the very clause that eliminates them. The</w:t>
      </w:r>
      <w:r>
        <w:t xml:space="preserve"> </w:t>
      </w:r>
      <w:r>
        <w:t xml:space="preserve">“</w:t>
      </w:r>
      <w:r>
        <w:t xml:space="preserve">preservation</w:t>
      </w:r>
      <w:r>
        <w:t xml:space="preserve">”</w:t>
      </w:r>
      <w:r>
        <w:t xml:space="preserve"> </w:t>
      </w:r>
      <w:r>
        <w:t xml:space="preserve">is circular and provides Greenleaf no protection. This is internally contradictory and undermines the entire recall-cost-allocation regime in QA §6.</w:t>
      </w:r>
    </w:p>
    <w:p>
      <w:pPr>
        <w:numPr>
          <w:ilvl w:val="0"/>
          <w:numId w:val="1007"/>
        </w:numPr>
      </w:pPr>
      <w:r>
        <w:rPr>
          <w:b/>
          <w:bCs/>
        </w:rPr>
        <w:t xml:space="preserve">The IPLA treats indemnification differently, exposing the inconsistency.</w:t>
      </w:r>
      <w:r>
        <w:t xml:space="preserve"> </w:t>
      </w:r>
      <w:r>
        <w:t xml:space="preserve">IPLA §8.3 excludes consequential damages</w:t>
      </w:r>
      <w:r>
        <w:t xml:space="preserve"> </w:t>
      </w:r>
      <w:r>
        <w:rPr>
          <w:b/>
          <w:bCs/>
        </w:rPr>
        <w:t xml:space="preserve">except</w:t>
      </w:r>
      <w:r>
        <w:t xml:space="preserve"> </w:t>
      </w:r>
      <w:r>
        <w:t xml:space="preserve">for breaches of confidentiality and</w:t>
      </w:r>
      <w:r>
        <w:t xml:space="preserve"> </w:t>
      </w:r>
      <w:r>
        <w:rPr>
          <w:b/>
          <w:bCs/>
        </w:rPr>
        <w:t xml:space="preserve">indemnification obligations.</w:t>
      </w:r>
      <w:r>
        <w:t xml:space="preserve"> </w:t>
      </w:r>
      <w:r>
        <w:t xml:space="preserve">The SA’s damages exclusion (§11.2) carves out indemnification at the contract level, but</w:t>
      </w:r>
      <w:r>
        <w:t xml:space="preserve"> </w:t>
      </w:r>
      <w:r>
        <w:rPr>
          <w:b/>
          <w:bCs/>
        </w:rPr>
        <w:t xml:space="preserve">SA §14.11 does not carve out indemnification at the arbitral-authority level.</w:t>
      </w:r>
      <w:r>
        <w:t xml:space="preserve"> </w:t>
      </w:r>
      <w:r>
        <w:t xml:space="preserve">Thus a third-party claim that flows through the SA indemnity (e.g., a consumer claim arising from a defective ingredient) may be barred from consequential recovery even though the indemnity itself was preserved from the liability cap. The IPLA got this right; the SA did not.</w:t>
      </w:r>
    </w:p>
    <w:p>
      <w:pPr>
        <w:pStyle w:val="FirstParagraph"/>
      </w:pPr>
      <w:r>
        <w:t xml:space="preserve">Greenleaf’s CEO has stated that a blanket consequential-damages waiver on a USD 178M+ exclusive supply agreement is a</w:t>
      </w:r>
      <w:r>
        <w:t xml:space="preserve"> </w:t>
      </w:r>
      <w:r>
        <w:t xml:space="preserve">“</w:t>
      </w:r>
      <w:r>
        <w:t xml:space="preserve">hill we’re willing to die on.</w:t>
      </w:r>
      <w:r>
        <w:t xml:space="preserve">”</w:t>
      </w:r>
      <w:r>
        <w:t xml:space="preserve"> </w:t>
      </w:r>
      <w:r>
        <w:t xml:space="preserve">We agree that this issue must be resolved before signing.</w:t>
      </w:r>
    </w:p>
    <w:p>
      <w:pPr>
        <w:pStyle w:val="BodyText"/>
      </w:pPr>
      <w:r>
        <w:rPr>
          <w:b/>
          <w:bCs/>
        </w:rPr>
        <w:t xml:space="preserve">Recommendation.</w:t>
      </w:r>
    </w:p>
    <w:p>
      <w:pPr>
        <w:pStyle w:val="Compact"/>
        <w:numPr>
          <w:ilvl w:val="0"/>
          <w:numId w:val="1008"/>
        </w:numPr>
      </w:pPr>
      <w:r>
        <w:rPr>
          <w:b/>
          <w:bCs/>
        </w:rPr>
        <w:t xml:space="preserve">Carve out of the SA §14.11 waiver, at minimum:</w:t>
      </w:r>
      <w:r>
        <w:t xml:space="preserve"> </w:t>
      </w:r>
      <w:r>
        <w:t xml:space="preserve">(i) recall-related costs and losses arising from a Defective Product supplied by Pacifica; (ii) lost profits directly attributable to a supply failure or breach of the exclusivity obligations; and (iii) third-party claims against Greenleaf (and its indemnitees) arising from defective ingredients. Punitive and exemplary damages may remain waived.</w:t>
      </w:r>
    </w:p>
    <w:p>
      <w:pPr>
        <w:pStyle w:val="Compact"/>
        <w:numPr>
          <w:ilvl w:val="0"/>
          <w:numId w:val="1008"/>
        </w:numPr>
      </w:pPr>
      <w:r>
        <w:rPr>
          <w:b/>
          <w:bCs/>
        </w:rPr>
        <w:t xml:space="preserve">Alternatively, restructure as a cap</w:t>
      </w:r>
      <w:r>
        <w:t xml:space="preserve"> </w:t>
      </w:r>
      <w:r>
        <w:t xml:space="preserve">(e.g., consequential damages capped at a multiple of annual purchase commitments or a stated dollar amount) rather than a blanket waiver, so that Pacifica retains certainty of maximum exposure while Greenleaf retains meaningful recovery.</w:t>
      </w:r>
    </w:p>
    <w:p>
      <w:pPr>
        <w:pStyle w:val="Compact"/>
        <w:numPr>
          <w:ilvl w:val="0"/>
          <w:numId w:val="1008"/>
        </w:numPr>
      </w:pPr>
      <w:r>
        <w:rPr>
          <w:b/>
          <w:bCs/>
        </w:rPr>
        <w:t xml:space="preserve">Fix QA §6.6</w:t>
      </w:r>
      <w:r>
        <w:t xml:space="preserve"> </w:t>
      </w:r>
      <w:r>
        <w:t xml:space="preserve">by deleting the</w:t>
      </w:r>
      <w:r>
        <w:t xml:space="preserve"> </w:t>
      </w:r>
      <w:r>
        <w:t xml:space="preserve">“</w:t>
      </w:r>
      <w:r>
        <w:t xml:space="preserve">except to the extent expressly limited by … Article 14 of the Supply Agreement</w:t>
      </w:r>
      <w:r>
        <w:t xml:space="preserve">”</w:t>
      </w:r>
      <w:r>
        <w:t xml:space="preserve"> </w:t>
      </w:r>
      <w:r>
        <w:t xml:space="preserve">subordination, so that the recall-cost-allocation regime in QA §6 is not hollowed out by SA §14.11. The recall carve-out should be expressly preserved notwithstanding any damages waiver.</w:t>
      </w:r>
    </w:p>
    <w:p>
      <w:pPr>
        <w:pStyle w:val="Compact"/>
        <w:numPr>
          <w:ilvl w:val="0"/>
          <w:numId w:val="1008"/>
        </w:numPr>
      </w:pPr>
      <w:r>
        <w:rPr>
          <w:b/>
          <w:bCs/>
        </w:rPr>
        <w:t xml:space="preserve">Add an indemnification carve-out to SA §14.11</w:t>
      </w:r>
      <w:r>
        <w:t xml:space="preserve"> </w:t>
      </w:r>
      <w:r>
        <w:t xml:space="preserve">mirroring IPLA §8.3, so that indemnification obligations are not stripped of consequential recovery at the arbitral-authority level.</w:t>
      </w:r>
    </w:p>
    <w:p>
      <w:r>
        <w:pict>
          <v:rect style="width:0;height:1.5pt" o:hralign="center" o:hrstd="t" o:hr="t"/>
        </w:pict>
      </w:r>
    </w:p>
    <w:bookmarkEnd w:id="28"/>
    <w:bookmarkEnd w:id="29"/>
    <w:bookmarkStart w:id="36" w:name="v.-high-severity-issues"/>
    <w:p>
      <w:pPr>
        <w:pStyle w:val="Heading2"/>
      </w:pPr>
      <w:r>
        <w:t xml:space="preserve">V. High-Severity Issues</w:t>
      </w:r>
    </w:p>
    <w:bookmarkStart w:id="30" w:name="X79c31a5321c30d534725658ed1cf6be69f5f716"/>
    <w:p>
      <w:pPr>
        <w:pStyle w:val="Heading3"/>
      </w:pPr>
      <w:r>
        <w:t xml:space="preserve">H1 — Fragmented three-institution / three-seat / three-governing-law architecture</w:t>
      </w:r>
    </w:p>
    <w:p>
      <w:pPr>
        <w:pStyle w:val="FirstParagraph"/>
      </w:pPr>
      <w:r>
        <w:rPr>
          <w:b/>
          <w:bCs/>
        </w:rPr>
        <w:t xml:space="preserve">Severity: HIGH</w:t>
      </w:r>
    </w:p>
    <w:p>
      <w:pPr>
        <w:pStyle w:val="BodyText"/>
      </w:pPr>
      <w:r>
        <w:rPr>
          <w:b/>
          <w:bCs/>
        </w:rPr>
        <w:t xml:space="preserve">Provisions at issue:</w:t>
      </w:r>
      <w:r>
        <w:t xml:space="preserve"> </w:t>
      </w:r>
      <w:r>
        <w:t xml:space="preserve">SA Art. 14; QA §7; IPLA §9.</w:t>
      </w:r>
    </w:p>
    <w:p>
      <w:pPr>
        <w:pStyle w:val="BodyText"/>
      </w:pPr>
      <w:r>
        <w:rPr>
          <w:b/>
          <w:bCs/>
        </w:rPr>
        <w:t xml:space="preserve">Analysis.</w:t>
      </w:r>
      <w:r>
        <w:t xml:space="preserve"> </w:t>
      </w:r>
      <w:r>
        <w:t xml:space="preserve">Even setting aside the direct contradictions addressed in C1, the underlying architecture routes disputes to</w:t>
      </w:r>
      <w:r>
        <w:t xml:space="preserve"> </w:t>
      </w:r>
      <w:r>
        <w:rPr>
          <w:b/>
          <w:bCs/>
        </w:rPr>
        <w:t xml:space="preserve">three different institutions (ICC, SIAC, LCIA), two different seats (Singapore, London), and three different governing laws (New York, Singapore, England &amp; Wales).</w:t>
      </w:r>
      <w:r>
        <w:t xml:space="preserve"> </w:t>
      </w:r>
      <w:r>
        <w:t xml:space="preserve">The HG Memo defends this as</w:t>
      </w:r>
      <w:r>
        <w:t xml:space="preserve"> </w:t>
      </w:r>
      <w:r>
        <w:t xml:space="preserve">“</w:t>
      </w:r>
      <w:r>
        <w:t xml:space="preserve">matching</w:t>
      </w:r>
      <w:r>
        <w:t xml:space="preserve">”</w:t>
      </w:r>
      <w:r>
        <w:t xml:space="preserve"> </w:t>
      </w:r>
      <w:r>
        <w:t xml:space="preserve">forum to subject matter. The practical costs are well recognized and were flagged independently by both Ridgeway and Greenleaf’s General Counsel in the email chain:</w:t>
      </w:r>
    </w:p>
    <w:p>
      <w:pPr>
        <w:pStyle w:val="Compact"/>
        <w:numPr>
          <w:ilvl w:val="0"/>
          <w:numId w:val="1009"/>
        </w:numPr>
      </w:pPr>
      <w:r>
        <w:rPr>
          <w:b/>
          <w:bCs/>
        </w:rPr>
        <w:t xml:space="preserve">Parallel proceedings and inconsistent findings.</w:t>
      </w:r>
      <w:r>
        <w:t xml:space="preserve"> </w:t>
      </w:r>
      <w:r>
        <w:t xml:space="preserve">A single quality failure can generate a SIAC expert determination (QA), an ICC arbitration (SA), and an LCIA arbitration (IPLA). Three tribunals applying three different substantive laws could reach inconsistent findings on the same facts (e.g., whether a batch was defective).</w:t>
      </w:r>
    </w:p>
    <w:p>
      <w:pPr>
        <w:pStyle w:val="Compact"/>
        <w:numPr>
          <w:ilvl w:val="0"/>
          <w:numId w:val="1009"/>
        </w:numPr>
      </w:pPr>
      <w:r>
        <w:rPr>
          <w:b/>
          <w:bCs/>
        </w:rPr>
        <w:t xml:space="preserve">Duplicative cost and management burden.</w:t>
      </w:r>
      <w:r>
        <w:t xml:space="preserve"> </w:t>
      </w:r>
      <w:r>
        <w:t xml:space="preserve">Three sets of institutional fees, three sets of arbitrator appointments, three procedural tracks, and three sets of counsel coordination — for facts that are usually inseparable.</w:t>
      </w:r>
    </w:p>
    <w:p>
      <w:pPr>
        <w:pStyle w:val="Compact"/>
        <w:numPr>
          <w:ilvl w:val="0"/>
          <w:numId w:val="1009"/>
        </w:numPr>
      </w:pPr>
      <w:r>
        <w:rPr>
          <w:b/>
          <w:bCs/>
        </w:rPr>
        <w:t xml:space="preserve">No common supervisory court.</w:t>
      </w:r>
      <w:r>
        <w:t xml:space="preserve"> </w:t>
      </w:r>
      <w:r>
        <w:t xml:space="preserve">Singapore courts supervise the SA and QA arbitrations; English courts supervise the IPLA arbitration. A procedural dispute (e.g., interim measures, challenge of an arbitrator) may land in two supervisory jurisdictions at once.</w:t>
      </w:r>
    </w:p>
    <w:p>
      <w:pPr>
        <w:pStyle w:val="FirstParagraph"/>
      </w:pPr>
      <w:r>
        <w:t xml:space="preserve">The SA §15.8 integration clause does not cure this: an integration clause resolves</w:t>
      </w:r>
      <w:r>
        <w:t xml:space="preserve"> </w:t>
      </w:r>
      <w:r>
        <w:rPr>
          <w:i/>
          <w:iCs/>
        </w:rPr>
        <w:t xml:space="preserve">substantive</w:t>
      </w:r>
      <w:r>
        <w:t xml:space="preserve"> </w:t>
      </w:r>
      <w:r>
        <w:t xml:space="preserve">conflicts of terms, but it cannot collapse three separately-seated arbitrations into one, nor can it retroactively change the institution administering a dispute.</w:t>
      </w:r>
    </w:p>
    <w:p>
      <w:pPr>
        <w:pStyle w:val="BodyText"/>
      </w:pPr>
      <w:r>
        <w:rPr>
          <w:b/>
          <w:bCs/>
        </w:rPr>
        <w:t xml:space="preserve">Recommendation.</w:t>
      </w:r>
      <w:r>
        <w:t xml:space="preserve"> </w:t>
      </w:r>
      <w:r>
        <w:t xml:space="preserve">Consolidate to a</w:t>
      </w:r>
      <w:r>
        <w:t xml:space="preserve"> </w:t>
      </w:r>
      <w:r>
        <w:rPr>
          <w:b/>
          <w:bCs/>
        </w:rPr>
        <w:t xml:space="preserve">single institution and seat</w:t>
      </w:r>
      <w:r>
        <w:t xml:space="preserve"> </w:t>
      </w:r>
      <w:r>
        <w:t xml:space="preserve">for all Transaction Document disputes (ICC in Singapore is the most defensible compromise: Singapore is a New York Convention signatory, is Pacifica’s home jurisdiction, and the ICC is already the SA’s institution). If a tiered structure is retained, keep the</w:t>
      </w:r>
      <w:r>
        <w:t xml:space="preserve"> </w:t>
      </w:r>
      <w:r>
        <w:rPr>
          <w:i/>
          <w:iCs/>
        </w:rPr>
        <w:t xml:space="preserve">tier</w:t>
      </w:r>
      <w:r>
        <w:t xml:space="preserve"> </w:t>
      </w:r>
      <w:r>
        <w:t xml:space="preserve">(expert determination first) but unify the</w:t>
      </w:r>
      <w:r>
        <w:t xml:space="preserve"> </w:t>
      </w:r>
      <w:r>
        <w:rPr>
          <w:i/>
          <w:iCs/>
        </w:rPr>
        <w:t xml:space="preserve">forum</w:t>
      </w:r>
      <w:r>
        <w:t xml:space="preserve"> </w:t>
      </w:r>
      <w:r>
        <w:t xml:space="preserve">(one institution, one seat, one governing law for the arbitration framework). At minimum, harmonize the procedural calendar, notice timelines, and cost rules across all three documents.</w:t>
      </w:r>
    </w:p>
    <w:p>
      <w:r>
        <w:pict>
          <v:rect style="width:0;height:1.5pt" o:hralign="center" o:hrstd="t" o:hr="t"/>
        </w:pict>
      </w:r>
    </w:p>
    <w:bookmarkEnd w:id="30"/>
    <w:bookmarkStart w:id="31" w:name="Xe52fd9034bfef4a8b8bf3ac2d40417885edbbfa"/>
    <w:p>
      <w:pPr>
        <w:pStyle w:val="Heading3"/>
      </w:pPr>
      <w:r>
        <w:t xml:space="preserve">H2 — No third-party joinder mechanism; co-manufacturer parallel proceedings</w:t>
      </w:r>
    </w:p>
    <w:p>
      <w:pPr>
        <w:pStyle w:val="FirstParagraph"/>
      </w:pPr>
      <w:r>
        <w:rPr>
          <w:b/>
          <w:bCs/>
        </w:rPr>
        <w:t xml:space="preserve">Severity: HIGH</w:t>
      </w:r>
    </w:p>
    <w:p>
      <w:pPr>
        <w:pStyle w:val="BodyText"/>
      </w:pPr>
      <w:r>
        <w:rPr>
          <w:b/>
          <w:bCs/>
        </w:rPr>
        <w:t xml:space="preserve">Provisions at issue:</w:t>
      </w:r>
      <w:r>
        <w:t xml:space="preserve"> </w:t>
      </w:r>
      <w:r>
        <w:t xml:space="preserve">SA §14.1; QA §7.1–7.2; IPLA §9 (none contain a joinder provision).</w:t>
      </w:r>
    </w:p>
    <w:p>
      <w:pPr>
        <w:pStyle w:val="BodyText"/>
      </w:pPr>
      <w:r>
        <w:rPr>
          <w:b/>
          <w:bCs/>
        </w:rPr>
        <w:t xml:space="preserve">Analysis.</w:t>
      </w:r>
      <w:r>
        <w:t xml:space="preserve"> </w:t>
      </w:r>
      <w:r>
        <w:t xml:space="preserve">None of the three arbitration clauses contains any mechanism for joinder of non-signatories or third parties. Greenleaf’s co-manufacturers — who blend, encapsulate, and package finished supplements using Pacifica’s extracts — are not parties to any of the three documents. A defective-ingredient event will routinely require Greenleaf to pursue claims against</w:t>
      </w:r>
      <w:r>
        <w:t xml:space="preserve"> </w:t>
      </w:r>
      <w:r>
        <w:rPr>
          <w:b/>
          <w:bCs/>
        </w:rPr>
        <w:t xml:space="preserve">both</w:t>
      </w:r>
      <w:r>
        <w:t xml:space="preserve"> </w:t>
      </w:r>
      <w:r>
        <w:t xml:space="preserve">Pacifica (defective extract)</w:t>
      </w:r>
      <w:r>
        <w:t xml:space="preserve"> </w:t>
      </w:r>
      <w:r>
        <w:rPr>
          <w:b/>
          <w:bCs/>
        </w:rPr>
        <w:t xml:space="preserve">and</w:t>
      </w:r>
      <w:r>
        <w:t xml:space="preserve"> </w:t>
      </w:r>
      <w:r>
        <w:t xml:space="preserve">the co-manufacturer (failure to detect, or contribution to the defect). The practical consequences, as developed in the email chain, are severe:</w:t>
      </w:r>
    </w:p>
    <w:p>
      <w:pPr>
        <w:pStyle w:val="Compact"/>
        <w:numPr>
          <w:ilvl w:val="0"/>
          <w:numId w:val="1010"/>
        </w:numPr>
      </w:pPr>
      <w:r>
        <w:rPr>
          <w:b/>
          <w:bCs/>
        </w:rPr>
        <w:t xml:space="preserve">Two forums, simultaneously.</w:t>
      </w:r>
      <w:r>
        <w:t xml:space="preserve"> </w:t>
      </w:r>
      <w:r>
        <w:t xml:space="preserve">Greenleaf would arbitrate against Pacifica (ICC/Singapore or SIAC/Singapore or LCIA/London, depending on the agreement implicated)</w:t>
      </w:r>
      <w:r>
        <w:t xml:space="preserve"> </w:t>
      </w:r>
      <w:r>
        <w:rPr>
          <w:b/>
          <w:bCs/>
        </w:rPr>
        <w:t xml:space="preserve">while litigating</w:t>
      </w:r>
      <w:r>
        <w:t xml:space="preserve"> </w:t>
      </w:r>
      <w:r>
        <w:t xml:space="preserve">against its co-manufacturer in North Carolina state or federal court (the co-man agreements use NC choice of law and NC state-court forum selection).</w:t>
      </w:r>
    </w:p>
    <w:p>
      <w:pPr>
        <w:pStyle w:val="Compact"/>
        <w:numPr>
          <w:ilvl w:val="0"/>
          <w:numId w:val="1010"/>
        </w:numPr>
      </w:pPr>
      <w:r>
        <w:rPr>
          <w:b/>
          <w:bCs/>
        </w:rPr>
        <w:t xml:space="preserve">Inconsistent findings of fact.</w:t>
      </w:r>
      <w:r>
        <w:t xml:space="preserve"> </w:t>
      </w:r>
      <w:r>
        <w:t xml:space="preserve">One tribunal could find the extract was defective while the NC court finds the co-manufacturer’s process was the cause — leaving Greenleaf to recover from neither, or to litigate the inconsistency in a third forum.</w:t>
      </w:r>
    </w:p>
    <w:p>
      <w:pPr>
        <w:pStyle w:val="Compact"/>
        <w:numPr>
          <w:ilvl w:val="0"/>
          <w:numId w:val="1010"/>
        </w:numPr>
      </w:pPr>
      <w:r>
        <w:rPr>
          <w:b/>
          <w:bCs/>
        </w:rPr>
        <w:t xml:space="preserve">Duplicative discovery and evidence.</w:t>
      </w:r>
      <w:r>
        <w:t xml:space="preserve"> </w:t>
      </w:r>
      <w:r>
        <w:t xml:space="preserve">The same batch records, COAs, and testing data would be developed twice, in incompatible procedural regimes.</w:t>
      </w:r>
    </w:p>
    <w:p>
      <w:pPr>
        <w:pStyle w:val="Compact"/>
        <w:numPr>
          <w:ilvl w:val="0"/>
          <w:numId w:val="1010"/>
        </w:numPr>
      </w:pPr>
      <w:r>
        <w:rPr>
          <w:b/>
          <w:bCs/>
        </w:rPr>
        <w:t xml:space="preserve">No consent, no joinder.</w:t>
      </w:r>
      <w:r>
        <w:t xml:space="preserve"> </w:t>
      </w:r>
      <w:r>
        <w:t xml:space="preserve">Under the ICC Rules, joinder of a non-signatory requires the non-signatory’s consent, which a co-manufacturer has no incentive to give. A new co-manufacturer is expected online in Q1 2026, so the problem compounds within six months of the effective date.</w:t>
      </w:r>
    </w:p>
    <w:p>
      <w:pPr>
        <w:pStyle w:val="FirstParagraph"/>
      </w:pPr>
      <w:r>
        <w:rPr>
          <w:b/>
          <w:bCs/>
        </w:rPr>
        <w:t xml:space="preserve">Recommendation.</w:t>
      </w:r>
    </w:p>
    <w:p>
      <w:pPr>
        <w:pStyle w:val="Compact"/>
        <w:numPr>
          <w:ilvl w:val="0"/>
          <w:numId w:val="1011"/>
        </w:numPr>
      </w:pPr>
      <w:r>
        <w:rPr>
          <w:b/>
          <w:bCs/>
        </w:rPr>
        <w:t xml:space="preserve">Negotiate a contractual joinder/consent-to-joinder provision</w:t>
      </w:r>
      <w:r>
        <w:t xml:space="preserve"> </w:t>
      </w:r>
      <w:r>
        <w:t xml:space="preserve">in the SA (and mirrored in the QA Letter) permitting the tribunal to join any third party whose rights or obligations are the subject of the dispute, upon that third party’s consent, and requiring Greenleaf’s co-manufacturing agreements going forward to include a compatible arbitration clause (same institution, same seat).</w:t>
      </w:r>
    </w:p>
    <w:p>
      <w:pPr>
        <w:pStyle w:val="Compact"/>
        <w:numPr>
          <w:ilvl w:val="0"/>
          <w:numId w:val="1011"/>
        </w:numPr>
      </w:pPr>
      <w:r>
        <w:rPr>
          <w:b/>
          <w:bCs/>
        </w:rPr>
        <w:t xml:space="preserve">Alternatively (or in addition), negotiate a litigation carve-out</w:t>
      </w:r>
      <w:r>
        <w:t xml:space="preserve"> </w:t>
      </w:r>
      <w:r>
        <w:t xml:space="preserve">allowing quality disputes that necessarily involve non-signatory third parties to be litigated in a specified court (e.g., U.S. federal court in North Carolina or Delaware), so that all related claims can be resolved in a single forum.</w:t>
      </w:r>
    </w:p>
    <w:p>
      <w:pPr>
        <w:pStyle w:val="Compact"/>
        <w:numPr>
          <w:ilvl w:val="0"/>
          <w:numId w:val="1011"/>
        </w:numPr>
      </w:pPr>
      <w:r>
        <w:rPr>
          <w:b/>
          <w:bCs/>
        </w:rPr>
        <w:t xml:space="preserve">Add a</w:t>
      </w:r>
      <w:r>
        <w:rPr>
          <w:b/>
          <w:bCs/>
        </w:rPr>
        <w:t xml:space="preserve"> </w:t>
      </w:r>
      <w:r>
        <w:rPr>
          <w:b/>
          <w:bCs/>
        </w:rPr>
        <w:t xml:space="preserve">“</w:t>
      </w:r>
      <w:r>
        <w:rPr>
          <w:b/>
          <w:bCs/>
        </w:rPr>
        <w:t xml:space="preserve">single proceeding</w:t>
      </w:r>
      <w:r>
        <w:rPr>
          <w:b/>
          <w:bCs/>
        </w:rPr>
        <w:t xml:space="preserve">”</w:t>
      </w:r>
      <w:r>
        <w:rPr>
          <w:b/>
          <w:bCs/>
        </w:rPr>
        <w:t xml:space="preserve"> </w:t>
      </w:r>
      <w:r>
        <w:rPr>
          <w:b/>
          <w:bCs/>
        </w:rPr>
        <w:t xml:space="preserve">/ anti-fragmentation clause</w:t>
      </w:r>
      <w:r>
        <w:t xml:space="preserve"> </w:t>
      </w:r>
      <w:r>
        <w:t xml:space="preserve">providing that all disputes arising out of or relating to the Transaction Documents and any related co-manufacturing arrangement shall, to the maximum extent possible, be resolved in a single proceeding.</w:t>
      </w:r>
    </w:p>
    <w:p>
      <w:r>
        <w:pict>
          <v:rect style="width:0;height:1.5pt" o:hralign="center" o:hrstd="t" o:hr="t"/>
        </w:pict>
      </w:r>
    </w:p>
    <w:bookmarkEnd w:id="31"/>
    <w:bookmarkStart w:id="32" w:name="X1ecdfe7e2c3636d8511fbfea0ae8c25ca0bf713"/>
    <w:p>
      <w:pPr>
        <w:pStyle w:val="Heading3"/>
      </w:pPr>
      <w:r>
        <w:t xml:space="preserve">H3 — Blanket discovery prohibition creates asymmetric evidence access</w:t>
      </w:r>
    </w:p>
    <w:p>
      <w:pPr>
        <w:pStyle w:val="FirstParagraph"/>
      </w:pPr>
      <w:r>
        <w:rPr>
          <w:b/>
          <w:bCs/>
        </w:rPr>
        <w:t xml:space="preserve">Severity: HIGH</w:t>
      </w:r>
    </w:p>
    <w:p>
      <w:pPr>
        <w:pStyle w:val="BodyText"/>
      </w:pPr>
      <w:r>
        <w:rPr>
          <w:b/>
          <w:bCs/>
        </w:rPr>
        <w:t xml:space="preserve">Provisions at issue:</w:t>
      </w:r>
      <w:r>
        <w:t xml:space="preserve"> </w:t>
      </w:r>
      <w:r>
        <w:t xml:space="preserve">SA §14.5; HG Memo §III.C.</w:t>
      </w:r>
    </w:p>
    <w:p>
      <w:pPr>
        <w:pStyle w:val="BodyText"/>
      </w:pPr>
      <w:r>
        <w:rPr>
          <w:b/>
          <w:bCs/>
        </w:rPr>
        <w:t xml:space="preserve">Analysis.</w:t>
      </w:r>
      <w:r>
        <w:t xml:space="preserve"> </w:t>
      </w:r>
      <w:r>
        <w:t xml:space="preserve">SA §14.5 provides that</w:t>
      </w:r>
      <w:r>
        <w:t xml:space="preserve"> </w:t>
      </w:r>
      <w:r>
        <w:t xml:space="preserve">“</w:t>
      </w:r>
      <w:r>
        <w:t xml:space="preserve">[n]o discovery shall be permitted in the arbitration,</w:t>
      </w:r>
      <w:r>
        <w:t xml:space="preserve">”</w:t>
      </w:r>
      <w:r>
        <w:t xml:space="preserve"> </w:t>
      </w:r>
      <w:r>
        <w:t xml:space="preserve">with each party retaining the right to</w:t>
      </w:r>
      <w:r>
        <w:t xml:space="preserve"> </w:t>
      </w:r>
      <w:r>
        <w:t xml:space="preserve">“</w:t>
      </w:r>
      <w:r>
        <w:t xml:space="preserve">present documentary evidence and witness testimony at the hearing.</w:t>
      </w:r>
      <w:r>
        <w:t xml:space="preserve">”</w:t>
      </w:r>
      <w:r>
        <w:t xml:space="preserve"> </w:t>
      </w:r>
      <w:r>
        <w:t xml:space="preserve">The HG Memo defends this as consistent with international practice and as protecting Pacifica’s trade secrets from</w:t>
      </w:r>
      <w:r>
        <w:t xml:space="preserve"> </w:t>
      </w:r>
      <w:r>
        <w:t xml:space="preserve">“</w:t>
      </w:r>
      <w:r>
        <w:t xml:space="preserve">fishing expeditions.</w:t>
      </w:r>
      <w:r>
        <w:t xml:space="preserve">”</w:t>
      </w:r>
    </w:p>
    <w:p>
      <w:pPr>
        <w:pStyle w:val="BodyText"/>
      </w:pPr>
      <w:r>
        <w:t xml:space="preserve">The clause is problematic for two reasons:</w:t>
      </w:r>
    </w:p>
    <w:p>
      <w:pPr>
        <w:pStyle w:val="Compact"/>
        <w:numPr>
          <w:ilvl w:val="0"/>
          <w:numId w:val="1012"/>
        </w:numPr>
      </w:pPr>
      <w:r>
        <w:rPr>
          <w:b/>
          <w:bCs/>
        </w:rPr>
        <w:t xml:space="preserve">Asymmetry of evidence.</w:t>
      </w:r>
      <w:r>
        <w:t xml:space="preserve"> </w:t>
      </w:r>
      <w:r>
        <w:t xml:space="preserve">In a quality, contamination, or adulteration dispute, the decisive evidence — Pacifica’s manufacturing records, batch testing data, out-of-specification investigations, reserve-sample results, and Certificates of Analysis — is</w:t>
      </w:r>
      <w:r>
        <w:t xml:space="preserve"> </w:t>
      </w:r>
      <w:r>
        <w:rPr>
          <w:b/>
          <w:bCs/>
        </w:rPr>
        <w:t xml:space="preserve">almost entirely in Pacifica’s possession and control.</w:t>
      </w:r>
      <w:r>
        <w:t xml:space="preserve"> </w:t>
      </w:r>
      <w:r>
        <w:t xml:space="preserve">Greenleaf cannot</w:t>
      </w:r>
      <w:r>
        <w:t xml:space="preserve"> </w:t>
      </w:r>
      <w:r>
        <w:t xml:space="preserve">“</w:t>
      </w:r>
      <w:r>
        <w:t xml:space="preserve">present</w:t>
      </w:r>
      <w:r>
        <w:t xml:space="preserve">”</w:t>
      </w:r>
      <w:r>
        <w:t xml:space="preserve"> </w:t>
      </w:r>
      <w:r>
        <w:t xml:space="preserve">documentary evidence it does not have and cannot compel. A blanket</w:t>
      </w:r>
      <w:r>
        <w:t xml:space="preserve"> </w:t>
      </w:r>
      <w:r>
        <w:t xml:space="preserve">“</w:t>
      </w:r>
      <w:r>
        <w:t xml:space="preserve">no discovery</w:t>
      </w:r>
      <w:r>
        <w:t xml:space="preserve">”</w:t>
      </w:r>
      <w:r>
        <w:t xml:space="preserve"> </w:t>
      </w:r>
      <w:r>
        <w:t xml:space="preserve">bar therefore does not produce a level playing field; it insulates the party that holds the evidence from having to produce it. The HG Memo’s reassurance that</w:t>
      </w:r>
      <w:r>
        <w:t xml:space="preserve"> </w:t>
      </w:r>
      <w:r>
        <w:t xml:space="preserve">“</w:t>
      </w:r>
      <w:r>
        <w:t xml:space="preserve">voluntary disclosure … is unaffected</w:t>
      </w:r>
      <w:r>
        <w:t xml:space="preserve">”</w:t>
      </w:r>
      <w:r>
        <w:t xml:space="preserve"> </w:t>
      </w:r>
      <w:r>
        <w:t xml:space="preserve">is cold comfort: voluntary disclosure by a party defending a defect claim is precisely what will not happen.</w:t>
      </w:r>
    </w:p>
    <w:p>
      <w:pPr>
        <w:pStyle w:val="Compact"/>
        <w:numPr>
          <w:ilvl w:val="0"/>
          <w:numId w:val="1012"/>
        </w:numPr>
      </w:pPr>
      <w:r>
        <w:rPr>
          <w:b/>
          <w:bCs/>
        </w:rPr>
        <w:t xml:space="preserve">Conflict with the QA Letter’s evidence needs.</w:t>
      </w:r>
      <w:r>
        <w:t xml:space="preserve"> </w:t>
      </w:r>
      <w:r>
        <w:t xml:space="preserve">The QA Letter itself contemplates the exchange of retained samples and testing data (QA §3.4) and audit access to records (QA §4.4). A blanket discovery bar in the SA sits uneasily alongside those QA mechanisms, and it is unclear whether the SA §14.5 bar applies to (or constrains) the SIAC arbitration under QA §7.2. The interaction is undefined.</w:t>
      </w:r>
    </w:p>
    <w:p>
      <w:pPr>
        <w:pStyle w:val="FirstParagraph"/>
      </w:pPr>
      <w:r>
        <w:t xml:space="preserve">The IBA Rules on the Taking of Evidence — which the HG Memo invokes — do</w:t>
      </w:r>
      <w:r>
        <w:t xml:space="preserve"> </w:t>
      </w:r>
      <w:r>
        <w:rPr>
          <w:b/>
          <w:bCs/>
        </w:rPr>
        <w:t xml:space="preserve">not</w:t>
      </w:r>
      <w:r>
        <w:t xml:space="preserve"> </w:t>
      </w:r>
      <w:r>
        <w:t xml:space="preserve">prohibit document production; they provide a structured, limited,</w:t>
      </w:r>
      <w:r>
        <w:t xml:space="preserve"> </w:t>
      </w:r>
      <w:r>
        <w:t xml:space="preserve">“</w:t>
      </w:r>
      <w:r>
        <w:t xml:space="preserve">Redfern Schedule</w:t>
      </w:r>
      <w:r>
        <w:t xml:space="preserve">”</w:t>
      </w:r>
      <w:r>
        <w:t xml:space="preserve"> </w:t>
      </w:r>
      <w:r>
        <w:t xml:space="preserve">mechanism for targeted document requests. SA §14.5 goes well beyond the IBA norm by prohibiting production entirely.</w:t>
      </w:r>
    </w:p>
    <w:p>
      <w:pPr>
        <w:pStyle w:val="BodyText"/>
      </w:pPr>
      <w:r>
        <w:rPr>
          <w:b/>
          <w:bCs/>
        </w:rPr>
        <w:t xml:space="preserve">Recommendation.</w:t>
      </w:r>
    </w:p>
    <w:p>
      <w:pPr>
        <w:pStyle w:val="Compact"/>
        <w:numPr>
          <w:ilvl w:val="0"/>
          <w:numId w:val="1013"/>
        </w:numPr>
      </w:pPr>
      <w:r>
        <w:rPr>
          <w:b/>
          <w:bCs/>
        </w:rPr>
        <w:t xml:space="preserve">Replace the blanket bar with a limited, IBA-style document-production regime:</w:t>
      </w:r>
      <w:r>
        <w:t xml:space="preserve"> </w:t>
      </w:r>
      <w:r>
        <w:t xml:space="preserve">permit each party to request specific, narrowly identified documents relevant to the issues in dispute, subject to the tribunal’s case-management discretion, reasonableness, and a confidentiality/protective-order regime (including a club of persons with access to Pacifica’s trade secrets).</w:t>
      </w:r>
    </w:p>
    <w:p>
      <w:pPr>
        <w:pStyle w:val="Compact"/>
        <w:numPr>
          <w:ilvl w:val="0"/>
          <w:numId w:val="1013"/>
        </w:numPr>
      </w:pPr>
      <w:r>
        <w:rPr>
          <w:b/>
          <w:bCs/>
        </w:rPr>
        <w:t xml:space="preserve">Expressly preserve the QA Letter’s audit and sample-exchange rights</w:t>
      </w:r>
      <w:r>
        <w:t xml:space="preserve"> </w:t>
      </w:r>
      <w:r>
        <w:t xml:space="preserve">and confirm that the SIAC arbitration under QA §7.2 is not constrained by the SA §14.5 bar.</w:t>
      </w:r>
    </w:p>
    <w:p>
      <w:pPr>
        <w:pStyle w:val="Compact"/>
        <w:numPr>
          <w:ilvl w:val="0"/>
          <w:numId w:val="1013"/>
        </w:numPr>
      </w:pPr>
      <w:r>
        <w:rPr>
          <w:b/>
          <w:bCs/>
        </w:rPr>
        <w:t xml:space="preserve">Add a presumption or adverse-inference option</w:t>
      </w:r>
      <w:r>
        <w:t xml:space="preserve"> </w:t>
      </w:r>
      <w:r>
        <w:t xml:space="preserve">where a party fails to produce documents it controls and that are relevant to a claim or defense, to offset the information asymmetry.</w:t>
      </w:r>
    </w:p>
    <w:p>
      <w:r>
        <w:pict>
          <v:rect style="width:0;height:1.5pt" o:hralign="center" o:hrstd="t" o:hr="t"/>
        </w:pict>
      </w:r>
    </w:p>
    <w:bookmarkEnd w:id="32"/>
    <w:bookmarkStart w:id="33" w:name="Xb714996815dd7d5a86d1c52913c1962e0dbb9d1"/>
    <w:p>
      <w:pPr>
        <w:pStyle w:val="Heading3"/>
      </w:pPr>
      <w:r>
        <w:t xml:space="preserve">H4 — One-year limitation period is aggressive and interacts poorly with latent defects</w:t>
      </w:r>
    </w:p>
    <w:p>
      <w:pPr>
        <w:pStyle w:val="FirstParagraph"/>
      </w:pPr>
      <w:r>
        <w:rPr>
          <w:b/>
          <w:bCs/>
        </w:rPr>
        <w:t xml:space="preserve">Severity: HIGH</w:t>
      </w:r>
    </w:p>
    <w:p>
      <w:pPr>
        <w:pStyle w:val="BodyText"/>
      </w:pPr>
      <w:r>
        <w:rPr>
          <w:b/>
          <w:bCs/>
        </w:rPr>
        <w:t xml:space="preserve">Provisions at issue:</w:t>
      </w:r>
      <w:r>
        <w:t xml:space="preserve"> </w:t>
      </w:r>
      <w:r>
        <w:t xml:space="preserve">SA §14.9; SA §7.3; QA §5.1.</w:t>
      </w:r>
    </w:p>
    <w:p>
      <w:pPr>
        <w:pStyle w:val="BodyText"/>
      </w:pPr>
      <w:r>
        <w:rPr>
          <w:b/>
          <w:bCs/>
        </w:rPr>
        <w:t xml:space="preserve">Analysis.</w:t>
      </w:r>
      <w:r>
        <w:t xml:space="preserve"> </w:t>
      </w:r>
      <w:r>
        <w:t xml:space="preserve">SA §14.9 imposes a</w:t>
      </w:r>
      <w:r>
        <w:t xml:space="preserve"> </w:t>
      </w:r>
      <w:r>
        <w:rPr>
          <w:b/>
          <w:bCs/>
        </w:rPr>
        <w:t xml:space="preserve">one-year limitation period</w:t>
      </w:r>
      <w:r>
        <w:t xml:space="preserve"> </w:t>
      </w:r>
      <w:r>
        <w:t xml:space="preserve">for commencing arbitration, running</w:t>
      </w:r>
      <w:r>
        <w:t xml:space="preserve"> </w:t>
      </w:r>
      <w:r>
        <w:t xml:space="preserve">“</w:t>
      </w:r>
      <w:r>
        <w:t xml:space="preserve">from the date the claiming party knew or should have known of the facts giving rise to the claim.</w:t>
      </w:r>
      <w:r>
        <w:t xml:space="preserve">”</w:t>
      </w:r>
      <w:r>
        <w:t xml:space="preserve"> </w:t>
      </w:r>
      <w:r>
        <w:t xml:space="preserve">For a relationship that may run 13 years and involve botanical extracts whose latent defects (e.g., stability, contamination, sub-potency) may not manifest for years after delivery, this is aggressive. Several concerns:</w:t>
      </w:r>
    </w:p>
    <w:p>
      <w:pPr>
        <w:pStyle w:val="Compact"/>
        <w:numPr>
          <w:ilvl w:val="0"/>
          <w:numId w:val="1014"/>
        </w:numPr>
      </w:pPr>
      <w:r>
        <w:rPr>
          <w:b/>
          <w:bCs/>
        </w:rPr>
        <w:t xml:space="preserve">UCC floor, but at the absolute minimum.</w:t>
      </w:r>
      <w:r>
        <w:t xml:space="preserve"> </w:t>
      </w:r>
      <w:r>
        <w:t xml:space="preserve">To the extent the UCC governs the sale-of-goods aspects, UCC §2-725(1) permits parties to reduce the four-year default</w:t>
      </w:r>
      <w:r>
        <w:t xml:space="preserve"> </w:t>
      </w:r>
      <w:r>
        <w:t xml:space="preserve">“</w:t>
      </w:r>
      <w:r>
        <w:t xml:space="preserve">to not less than one year.</w:t>
      </w:r>
      <w:r>
        <w:t xml:space="preserve">”</w:t>
      </w:r>
      <w:r>
        <w:t xml:space="preserve"> </w:t>
      </w:r>
      <w:r>
        <w:t xml:space="preserve">One year is therefore the statutory floor — enforceable, but only barely, and only for sale-of-goods claims. The clause’s breadth (it purports to govern</w:t>
      </w:r>
      <w:r>
        <w:t xml:space="preserve"> </w:t>
      </w:r>
      <w:r>
        <w:t xml:space="preserve">“</w:t>
      </w:r>
      <w:r>
        <w:t xml:space="preserve">all claims,</w:t>
      </w:r>
      <w:r>
        <w:t xml:space="preserve">”</w:t>
      </w:r>
      <w:r>
        <w:t xml:space="preserve"> </w:t>
      </w:r>
      <w:r>
        <w:t xml:space="preserve">not just sale-of-goods claims) sweeps in indemnification, IP, and other non-UCC claims for which a one-year period may be unenforceable as against public policy or inconsistent with the survival periods elsewhere in the documents.</w:t>
      </w:r>
    </w:p>
    <w:p>
      <w:pPr>
        <w:pStyle w:val="Compact"/>
        <w:numPr>
          <w:ilvl w:val="0"/>
          <w:numId w:val="1014"/>
        </w:numPr>
      </w:pPr>
      <w:r>
        <w:rPr>
          <w:b/>
          <w:bCs/>
        </w:rPr>
        <w:t xml:space="preserve">Accrual-trigger conflict.</w:t>
      </w:r>
      <w:r>
        <w:t xml:space="preserve"> </w:t>
      </w:r>
      <w:r>
        <w:t xml:space="preserve">The clause uses a</w:t>
      </w:r>
      <w:r>
        <w:t xml:space="preserve"> </w:t>
      </w:r>
      <w:r>
        <w:t xml:space="preserve">“</w:t>
      </w:r>
      <w:r>
        <w:t xml:space="preserve">knew or should have known</w:t>
      </w:r>
      <w:r>
        <w:t xml:space="preserve">”</w:t>
      </w:r>
      <w:r>
        <w:t xml:space="preserve"> </w:t>
      </w:r>
      <w:r>
        <w:t xml:space="preserve">accrual trigger, but UCC §2-725(2) provides that a breach-of-warranty claim accrues on tender of delivery (regardless of the buyer’s knowledge), except for warranties explicitly extending to future performance. The contractual trigger may therefore conflict with the UCC’s accrual rule, creating uncertainty over when the clock starts.</w:t>
      </w:r>
    </w:p>
    <w:p>
      <w:pPr>
        <w:pStyle w:val="Compact"/>
        <w:numPr>
          <w:ilvl w:val="0"/>
          <w:numId w:val="1014"/>
        </w:numPr>
      </w:pPr>
      <w:r>
        <w:rPr>
          <w:b/>
          <w:bCs/>
        </w:rPr>
        <w:t xml:space="preserve">Latent-defect interaction.</w:t>
      </w:r>
      <w:r>
        <w:t xml:space="preserve"> </w:t>
      </w:r>
      <w:r>
        <w:t xml:space="preserve">SA §7.3 allows latent-defect claims to be raised</w:t>
      </w:r>
      <w:r>
        <w:t xml:space="preserve"> </w:t>
      </w:r>
      <w:r>
        <w:t xml:space="preserve">“</w:t>
      </w:r>
      <w:r>
        <w:t xml:space="preserve">within twelve (12) months of the date of delivery,</w:t>
      </w:r>
      <w:r>
        <w:t xml:space="preserve">”</w:t>
      </w:r>
      <w:r>
        <w:t xml:space="preserve"> </w:t>
      </w:r>
      <w:r>
        <w:t xml:space="preserve">and QA §5.1 allows latent-defect rejection</w:t>
      </w:r>
      <w:r>
        <w:t xml:space="preserve"> </w:t>
      </w:r>
      <w:r>
        <w:t xml:space="preserve">“</w:t>
      </w:r>
      <w:r>
        <w:t xml:space="preserve">within thirty (30) calendar days of discovery.</w:t>
      </w:r>
      <w:r>
        <w:t xml:space="preserve">”</w:t>
      </w:r>
      <w:r>
        <w:t xml:space="preserve"> </w:t>
      </w:r>
      <w:r>
        <w:t xml:space="preserve">A latent defect discovered at, say, month 11 after delivery could leave Greenleaf only weeks to commence arbitration before the SA §14.9 clock expires — and a defect discovered after 12 months from delivery is barred by SA §7.3 even if the limitation period has not run. The windows do not align and can collapse to a near-zero effective period.</w:t>
      </w:r>
    </w:p>
    <w:p>
      <w:pPr>
        <w:pStyle w:val="FirstParagraph"/>
      </w:pPr>
      <w:r>
        <w:rPr>
          <w:b/>
          <w:bCs/>
        </w:rPr>
        <w:t xml:space="preserve">Recommendation.</w:t>
      </w:r>
    </w:p>
    <w:p>
      <w:pPr>
        <w:pStyle w:val="Compact"/>
        <w:numPr>
          <w:ilvl w:val="0"/>
          <w:numId w:val="1015"/>
        </w:numPr>
      </w:pPr>
      <w:r>
        <w:rPr>
          <w:b/>
          <w:bCs/>
        </w:rPr>
        <w:t xml:space="preserve">Extend the limitation period to at least three (3) years</w:t>
      </w:r>
      <w:r>
        <w:t xml:space="preserve"> </w:t>
      </w:r>
      <w:r>
        <w:t xml:space="preserve">(and consider four, the UCC default) for sale-of-goods and warranty claims, and</w:t>
      </w:r>
      <w:r>
        <w:t xml:space="preserve"> </w:t>
      </w:r>
      <w:r>
        <w:rPr>
          <w:b/>
          <w:bCs/>
        </w:rPr>
        <w:t xml:space="preserve">exclude indemnification, IP, and confidentiality claims</w:t>
      </w:r>
      <w:r>
        <w:t xml:space="preserve"> </w:t>
      </w:r>
      <w:r>
        <w:t xml:space="preserve">from the shortened period (those should run on their own survival periods).</w:t>
      </w:r>
    </w:p>
    <w:p>
      <w:pPr>
        <w:pStyle w:val="Compact"/>
        <w:numPr>
          <w:ilvl w:val="0"/>
          <w:numId w:val="1015"/>
        </w:numPr>
      </w:pPr>
      <w:r>
        <w:rPr>
          <w:b/>
          <w:bCs/>
        </w:rPr>
        <w:t xml:space="preserve">Align the accrual trigger with the latent-defect windows</w:t>
      </w:r>
      <w:r>
        <w:t xml:space="preserve"> </w:t>
      </w:r>
      <w:r>
        <w:t xml:space="preserve">in SA §7.3 and QA §5.1 so that the limitation clock for a latent defect starts on discovery, not delivery, and so the limitation period is no shorter than the latent-defect claim window.</w:t>
      </w:r>
    </w:p>
    <w:p>
      <w:pPr>
        <w:pStyle w:val="Compact"/>
        <w:numPr>
          <w:ilvl w:val="0"/>
          <w:numId w:val="1015"/>
        </w:numPr>
      </w:pPr>
      <w:r>
        <w:rPr>
          <w:b/>
          <w:bCs/>
        </w:rPr>
        <w:t xml:space="preserve">Add a tolling provision</w:t>
      </w:r>
      <w:r>
        <w:t xml:space="preserve"> </w:t>
      </w:r>
      <w:r>
        <w:t xml:space="preserve">for any period during which the parties are engaged in good-faith negotiations, expert determination, or mediation, so that the pre-arbitration steps do not consume the limitation period.</w:t>
      </w:r>
    </w:p>
    <w:p>
      <w:r>
        <w:pict>
          <v:rect style="width:0;height:1.5pt" o:hralign="center" o:hrstd="t" o:hr="t"/>
        </w:pict>
      </w:r>
    </w:p>
    <w:bookmarkEnd w:id="33"/>
    <w:bookmarkStart w:id="34" w:name="X12681e9fef2691be4565d81ce0fce890312b83e"/>
    <w:p>
      <w:pPr>
        <w:pStyle w:val="Heading3"/>
      </w:pPr>
      <w:r>
        <w:t xml:space="preserve">H5 — Expert determination</w:t>
      </w:r>
      <w:r>
        <w:t xml:space="preserve"> </w:t>
      </w:r>
      <w:r>
        <w:t xml:space="preserve">“</w:t>
      </w:r>
      <w:r>
        <w:t xml:space="preserve">finality</w:t>
      </w:r>
      <w:r>
        <w:t xml:space="preserve">”</w:t>
      </w:r>
      <w:r>
        <w:t xml:space="preserve"> </w:t>
      </w:r>
      <w:r>
        <w:t xml:space="preserve">is undermined by the challenge-escalation mechanism</w:t>
      </w:r>
    </w:p>
    <w:p>
      <w:pPr>
        <w:pStyle w:val="FirstParagraph"/>
      </w:pPr>
      <w:r>
        <w:rPr>
          <w:b/>
          <w:bCs/>
        </w:rPr>
        <w:t xml:space="preserve">Severity: HIGH</w:t>
      </w:r>
    </w:p>
    <w:p>
      <w:pPr>
        <w:pStyle w:val="BodyText"/>
      </w:pPr>
      <w:r>
        <w:rPr>
          <w:b/>
          <w:bCs/>
        </w:rPr>
        <w:t xml:space="preserve">Provisions at issue:</w:t>
      </w:r>
      <w:r>
        <w:t xml:space="preserve"> </w:t>
      </w:r>
      <w:r>
        <w:t xml:space="preserve">QA §7.1; QA §7.2.</w:t>
      </w:r>
    </w:p>
    <w:p>
      <w:pPr>
        <w:pStyle w:val="BodyText"/>
      </w:pPr>
      <w:r>
        <w:rPr>
          <w:b/>
          <w:bCs/>
        </w:rPr>
        <w:t xml:space="preserve">Analysis.</w:t>
      </w:r>
      <w:r>
        <w:t xml:space="preserve"> </w:t>
      </w:r>
      <w:r>
        <w:t xml:space="preserve">QA §7.1 routes technical quality disputes to expert determination under the SIAC Rules for the Appointment of Experts, and states that the Expert’s determination</w:t>
      </w:r>
      <w:r>
        <w:t xml:space="preserve"> </w:t>
      </w:r>
      <w:r>
        <w:t xml:space="preserve">“</w:t>
      </w:r>
      <w:r>
        <w:t xml:space="preserve">shall be final and binding on the Parties,</w:t>
      </w:r>
      <w:r>
        <w:t xml:space="preserve"> </w:t>
      </w:r>
      <w:r>
        <w:rPr>
          <w:b/>
          <w:bCs/>
        </w:rPr>
        <w:t xml:space="preserve">subject to Section 7.2.</w:t>
      </w:r>
      <w:r>
        <w:t xml:space="preserve">”</w:t>
      </w:r>
      <w:r>
        <w:t xml:space="preserve"> </w:t>
      </w:r>
      <w:r>
        <w:t xml:space="preserve">QA §7.2 then provides that</w:t>
      </w:r>
      <w:r>
        <w:t xml:space="preserve"> </w:t>
      </w:r>
      <w:r>
        <w:t xml:space="preserve">“</w:t>
      </w:r>
      <w:r>
        <w:t xml:space="preserve">if the expert determination … is challenged by either Party, the dispute shall be escalated to binding arbitration.</w:t>
      </w:r>
      <w:r>
        <w:t xml:space="preserve">”</w:t>
      </w:r>
      <w:r>
        <w:t xml:space="preserve"> </w:t>
      </w:r>
      <w:r>
        <w:t xml:space="preserve">Two problems:</w:t>
      </w:r>
    </w:p>
    <w:p>
      <w:pPr>
        <w:pStyle w:val="Compact"/>
        <w:numPr>
          <w:ilvl w:val="0"/>
          <w:numId w:val="1016"/>
        </w:numPr>
      </w:pPr>
      <w:r>
        <w:rPr>
          <w:b/>
          <w:bCs/>
        </w:rPr>
        <w:t xml:space="preserve">The</w:t>
      </w:r>
      <w:r>
        <w:rPr>
          <w:b/>
          <w:bCs/>
        </w:rPr>
        <w:t xml:space="preserve"> </w:t>
      </w:r>
      <w:r>
        <w:rPr>
          <w:b/>
          <w:bCs/>
        </w:rPr>
        <w:t xml:space="preserve">“</w:t>
      </w:r>
      <w:r>
        <w:rPr>
          <w:b/>
          <w:bCs/>
        </w:rPr>
        <w:t xml:space="preserve">finality</w:t>
      </w:r>
      <w:r>
        <w:rPr>
          <w:b/>
          <w:bCs/>
        </w:rPr>
        <w:t xml:space="preserve">”</w:t>
      </w:r>
      <w:r>
        <w:rPr>
          <w:b/>
          <w:bCs/>
        </w:rPr>
        <w:t xml:space="preserve"> </w:t>
      </w:r>
      <w:r>
        <w:rPr>
          <w:b/>
          <w:bCs/>
        </w:rPr>
        <w:t xml:space="preserve">is illusory.</w:t>
      </w:r>
      <w:r>
        <w:t xml:space="preserve"> </w:t>
      </w:r>
      <w:r>
        <w:t xml:space="preserve">Because either party may</w:t>
      </w:r>
      <w:r>
        <w:t xml:space="preserve"> </w:t>
      </w:r>
      <w:r>
        <w:t xml:space="preserve">“</w:t>
      </w:r>
      <w:r>
        <w:t xml:space="preserve">challenge</w:t>
      </w:r>
      <w:r>
        <w:t xml:space="preserve">”</w:t>
      </w:r>
      <w:r>
        <w:t xml:space="preserve"> </w:t>
      </w:r>
      <w:r>
        <w:t xml:space="preserve">the expert determination and force escalation to full SIAC arbitration, the expert determination is, in practical effect,</w:t>
      </w:r>
      <w:r>
        <w:t xml:space="preserve"> </w:t>
      </w:r>
      <w:r>
        <w:rPr>
          <w:b/>
          <w:bCs/>
        </w:rPr>
        <w:t xml:space="preserve">non-binding</w:t>
      </w:r>
      <w:r>
        <w:t xml:space="preserve"> </w:t>
      </w:r>
      <w:r>
        <w:t xml:space="preserve">— it is merely a first instance that either party can reopen at will. This defeats the efficiency rationale the HG Memo advances (resolving routine quality disagreements</w:t>
      </w:r>
      <w:r>
        <w:t xml:space="preserve"> </w:t>
      </w:r>
      <w:r>
        <w:t xml:space="preserve">“</w:t>
      </w:r>
      <w:r>
        <w:t xml:space="preserve">quickly and inexpensively</w:t>
      </w:r>
      <w:r>
        <w:t xml:space="preserve">”</w:t>
      </w:r>
      <w:r>
        <w:t xml:space="preserve">). A dissatisfied party has a unilateral right to a do-over, so the expert step adds cost and delay without finality. The HG Memo’s description of expert determination as</w:t>
      </w:r>
      <w:r>
        <w:t xml:space="preserve"> </w:t>
      </w:r>
      <w:r>
        <w:t xml:space="preserve">“</w:t>
      </w:r>
      <w:r>
        <w:t xml:space="preserve">final and binding</w:t>
      </w:r>
      <w:r>
        <w:t xml:space="preserve">”</w:t>
      </w:r>
      <w:r>
        <w:t xml:space="preserve"> </w:t>
      </w:r>
      <w:r>
        <w:t xml:space="preserve">is not accurate as drafted.</w:t>
      </w:r>
    </w:p>
    <w:p>
      <w:pPr>
        <w:pStyle w:val="Compact"/>
        <w:numPr>
          <w:ilvl w:val="0"/>
          <w:numId w:val="1016"/>
        </w:numPr>
      </w:pPr>
      <w:r>
        <w:rPr>
          <w:b/>
          <w:bCs/>
        </w:rPr>
        <w:t xml:space="preserve">The USD 5M threshold is ambiguous for recall disputes.</w:t>
      </w:r>
      <w:r>
        <w:t xml:space="preserve"> </w:t>
      </w:r>
      <w:r>
        <w:t xml:space="preserve">QA §7.2 escalates disputes</w:t>
      </w:r>
      <w:r>
        <w:t xml:space="preserve"> </w:t>
      </w:r>
      <w:r>
        <w:t xml:space="preserve">“</w:t>
      </w:r>
      <w:r>
        <w:t xml:space="preserve">in excess of Five Million United States Dollars</w:t>
      </w:r>
      <w:r>
        <w:t xml:space="preserve">”</w:t>
      </w:r>
      <w:r>
        <w:t xml:space="preserve"> </w:t>
      </w:r>
      <w:r>
        <w:t xml:space="preserve">straight to arbitration, bypassing expert determination. But recall obligations (QA §6) are expressly within the expert-determination subject matter (QA §7.1), and recall costs routinely exceed USD 5M (the Ridgeway precedent exceeded USD 14M). It is unclear how a recall dispute is valued for threshold purposes (direct recall costs only? total loss including consequential?), and unclear whether a recall dispute above USD 5M goes straight to SIAC arbitration or first to expert determination. The routing is internally inconsistent.</w:t>
      </w:r>
    </w:p>
    <w:p>
      <w:pPr>
        <w:pStyle w:val="FirstParagraph"/>
      </w:pPr>
      <w:r>
        <w:rPr>
          <w:b/>
          <w:bCs/>
        </w:rPr>
        <w:t xml:space="preserve">Recommendation.</w:t>
      </w:r>
    </w:p>
    <w:p>
      <w:pPr>
        <w:pStyle w:val="Compact"/>
        <w:numPr>
          <w:ilvl w:val="0"/>
          <w:numId w:val="1017"/>
        </w:numPr>
      </w:pPr>
      <w:r>
        <w:rPr>
          <w:b/>
          <w:bCs/>
        </w:rPr>
        <w:t xml:space="preserve">Make expert determination genuinely final and binding</w:t>
      </w:r>
      <w:r>
        <w:t xml:space="preserve"> </w:t>
      </w:r>
      <w:r>
        <w:t xml:space="preserve">for disputes at or below a stated threshold (e.g., USD 5M), with</w:t>
      </w:r>
      <w:r>
        <w:t xml:space="preserve"> </w:t>
      </w:r>
      <w:r>
        <w:rPr>
          <w:b/>
          <w:bCs/>
        </w:rPr>
        <w:t xml:space="preserve">no unilateral right to challenge/reopen</w:t>
      </w:r>
      <w:r>
        <w:t xml:space="preserve"> </w:t>
      </w:r>
      <w:r>
        <w:t xml:space="preserve">— subject only to narrow grounds (e.g., manifest error, fraud, lack of jurisdiction). For disputes above the threshold, route directly to arbitration without the expert step.</w:t>
      </w:r>
    </w:p>
    <w:p>
      <w:pPr>
        <w:pStyle w:val="Compact"/>
        <w:numPr>
          <w:ilvl w:val="0"/>
          <w:numId w:val="1017"/>
        </w:numPr>
      </w:pPr>
      <w:r>
        <w:rPr>
          <w:b/>
          <w:bCs/>
        </w:rPr>
        <w:t xml:space="preserve">Clarify the valuation rule</w:t>
      </w:r>
      <w:r>
        <w:t xml:space="preserve"> </w:t>
      </w:r>
      <w:r>
        <w:t xml:space="preserve">for the threshold (e.g.,</w:t>
      </w:r>
      <w:r>
        <w:t xml:space="preserve"> </w:t>
      </w:r>
      <w:r>
        <w:t xml:space="preserve">“</w:t>
      </w:r>
      <w:r>
        <w:t xml:space="preserve">the amount in dispute shall be the aggregate of the direct damages, recall costs, and replacement-product costs claimed by the claiming party, exclusive of consequential damages and interest</w:t>
      </w:r>
      <w:r>
        <w:t xml:space="preserve">”</w:t>
      </w:r>
      <w:r>
        <w:t xml:space="preserve">).</w:t>
      </w:r>
    </w:p>
    <w:p>
      <w:pPr>
        <w:pStyle w:val="Compact"/>
        <w:numPr>
          <w:ilvl w:val="0"/>
          <w:numId w:val="1017"/>
        </w:numPr>
      </w:pPr>
      <w:r>
        <w:rPr>
          <w:b/>
          <w:bCs/>
        </w:rPr>
        <w:t xml:space="preserve">Specify whether recall-cost-allocation disputes</w:t>
      </w:r>
      <w:r>
        <w:t xml:space="preserve"> </w:t>
      </w:r>
      <w:r>
        <w:t xml:space="preserve">(QA §6.3, where the parties cannot agree on proportional allocation) go to expert determination or arbitration, and make the routing unambiguous.</w:t>
      </w:r>
    </w:p>
    <w:p>
      <w:r>
        <w:pict>
          <v:rect style="width:0;height:1.5pt" o:hralign="center" o:hrstd="t" o:hr="t"/>
        </w:pict>
      </w:r>
    </w:p>
    <w:bookmarkEnd w:id="34"/>
    <w:bookmarkStart w:id="35" w:name="X33e8ffacd974afc4be5328e3a4cead82251e46c"/>
    <w:p>
      <w:pPr>
        <w:pStyle w:val="Heading3"/>
      </w:pPr>
      <w:r>
        <w:t xml:space="preserve">H6 — Indemnification / consequential-damages tension in the SA</w:t>
      </w:r>
    </w:p>
    <w:p>
      <w:pPr>
        <w:pStyle w:val="FirstParagraph"/>
      </w:pPr>
      <w:r>
        <w:rPr>
          <w:b/>
          <w:bCs/>
        </w:rPr>
        <w:t xml:space="preserve">Severity: HIGH</w:t>
      </w:r>
    </w:p>
    <w:p>
      <w:pPr>
        <w:pStyle w:val="BodyText"/>
      </w:pPr>
      <w:r>
        <w:rPr>
          <w:b/>
          <w:bCs/>
        </w:rPr>
        <w:t xml:space="preserve">Provisions at issue:</w:t>
      </w:r>
      <w:r>
        <w:t xml:space="preserve"> </w:t>
      </w:r>
      <w:r>
        <w:t xml:space="preserve">SA §11.1; SA §11.2; SA §14.11; IPLA §8.3 (contrast).</w:t>
      </w:r>
    </w:p>
    <w:p>
      <w:pPr>
        <w:pStyle w:val="BodyText"/>
      </w:pPr>
      <w:r>
        <w:rPr>
          <w:b/>
          <w:bCs/>
        </w:rPr>
        <w:t xml:space="preserve">Analysis.</w:t>
      </w:r>
      <w:r>
        <w:t xml:space="preserve"> </w:t>
      </w:r>
      <w:r>
        <w:t xml:space="preserve">The SA’s liability architecture is internally inconsistent in its treatment of indemnification:</w:t>
      </w:r>
    </w:p>
    <w:p>
      <w:pPr>
        <w:pStyle w:val="Compact"/>
        <w:numPr>
          <w:ilvl w:val="0"/>
          <w:numId w:val="1018"/>
        </w:numPr>
      </w:pPr>
      <w:r>
        <w:t xml:space="preserve">SA §11.1 (the liability cap)</w:t>
      </w:r>
      <w:r>
        <w:t xml:space="preserve"> </w:t>
      </w:r>
      <w:r>
        <w:rPr>
          <w:b/>
          <w:bCs/>
        </w:rPr>
        <w:t xml:space="preserve">carves out</w:t>
      </w:r>
      <w:r>
        <w:t xml:space="preserve"> </w:t>
      </w:r>
      <w:r>
        <w:t xml:space="preserve">indemnification obligations (Art. 10) from the cap — so indemnification exposure is uncapped.</w:t>
      </w:r>
    </w:p>
    <w:p>
      <w:pPr>
        <w:pStyle w:val="Compact"/>
        <w:numPr>
          <w:ilvl w:val="0"/>
          <w:numId w:val="1018"/>
        </w:numPr>
      </w:pPr>
      <w:r>
        <w:t xml:space="preserve">SA §11.2 (the damages exclusion)</w:t>
      </w:r>
      <w:r>
        <w:t xml:space="preserve"> </w:t>
      </w:r>
      <w:r>
        <w:rPr>
          <w:b/>
          <w:bCs/>
        </w:rPr>
        <w:t xml:space="preserve">carves out</w:t>
      </w:r>
      <w:r>
        <w:t xml:space="preserve"> </w:t>
      </w:r>
      <w:r>
        <w:t xml:space="preserve">indemnification from the consequential-damages exclusion at the contract level.</w:t>
      </w:r>
    </w:p>
    <w:p>
      <w:pPr>
        <w:pStyle w:val="Compact"/>
        <w:numPr>
          <w:ilvl w:val="0"/>
          <w:numId w:val="1018"/>
        </w:numPr>
      </w:pPr>
      <w:r>
        <w:rPr>
          <w:b/>
          <w:bCs/>
        </w:rPr>
        <w:t xml:space="preserve">SA §14.11 (the arbitral-authority damages limit) does NOT carve out indemnification</w:t>
      </w:r>
      <w:r>
        <w:t xml:space="preserve"> </w:t>
      </w:r>
      <w:r>
        <w:t xml:space="preserve">— it flatly bars the tribunal from awarding consequential damages.</w:t>
      </w:r>
    </w:p>
    <w:p>
      <w:pPr>
        <w:pStyle w:val="FirstParagraph"/>
      </w:pPr>
      <w:r>
        <w:t xml:space="preserve">The result: a third-party claim that flows through the SA indemnity (e.g., a consumer or retailer claim arising from a defective Pacifica ingredient) is preserved from the liability cap and from the contract-level damages exclusion, but is</w:t>
      </w:r>
      <w:r>
        <w:t xml:space="preserve"> </w:t>
      </w:r>
      <w:r>
        <w:rPr>
          <w:b/>
          <w:bCs/>
        </w:rPr>
        <w:t xml:space="preserve">stripped of consequential recovery at the arbitral-authority level</w:t>
      </w:r>
      <w:r>
        <w:t xml:space="preserve"> </w:t>
      </w:r>
      <w:r>
        <w:t xml:space="preserve">by §14.11. The indemnity is, in practical effect, limited to direct damages — which, as the Ridgeway precedent shows, are a small fraction of the real loss in a recall scenario. The IPLA handles this correctly (IPLA §8.3 expressly carves indemnification out of the consequential-damages exclusion); the SA does not. The inconsistency means the same kind of claim is treated differently depending on which agreement’s indemnity is invoked.</w:t>
      </w:r>
    </w:p>
    <w:p>
      <w:pPr>
        <w:pStyle w:val="BodyText"/>
      </w:pPr>
      <w:r>
        <w:rPr>
          <w:b/>
          <w:bCs/>
        </w:rPr>
        <w:t xml:space="preserve">Recommendation.</w:t>
      </w:r>
    </w:p>
    <w:p>
      <w:pPr>
        <w:pStyle w:val="Compact"/>
        <w:numPr>
          <w:ilvl w:val="0"/>
          <w:numId w:val="1019"/>
        </w:numPr>
      </w:pPr>
      <w:r>
        <w:rPr>
          <w:b/>
          <w:bCs/>
        </w:rPr>
        <w:t xml:space="preserve">Add an indemnification carve-out to SA §14.11</w:t>
      </w:r>
      <w:r>
        <w:t xml:space="preserve"> </w:t>
      </w:r>
      <w:r>
        <w:t xml:space="preserve">so that the tribunal may award the full range of damages necessary to make the indemnified party whole for third-party claims, including consequential damages recoverable from the indemnifying party.</w:t>
      </w:r>
    </w:p>
    <w:p>
      <w:pPr>
        <w:pStyle w:val="Compact"/>
        <w:numPr>
          <w:ilvl w:val="0"/>
          <w:numId w:val="1019"/>
        </w:numPr>
      </w:pPr>
      <w:r>
        <w:rPr>
          <w:b/>
          <w:bCs/>
        </w:rPr>
        <w:t xml:space="preserve">Reconcile SA §14.11 with SA §11.2</w:t>
      </w:r>
      <w:r>
        <w:t xml:space="preserve"> </w:t>
      </w:r>
      <w:r>
        <w:t xml:space="preserve">so that the arbitral-authority limit and the contract-level limit have identical carve-outs (indemnification, confidentiality, and any others the parties agree).</w:t>
      </w:r>
    </w:p>
    <w:p>
      <w:pPr>
        <w:pStyle w:val="Compact"/>
        <w:numPr>
          <w:ilvl w:val="0"/>
          <w:numId w:val="1019"/>
        </w:numPr>
      </w:pPr>
      <w:r>
        <w:rPr>
          <w:b/>
          <w:bCs/>
        </w:rPr>
        <w:t xml:space="preserve">Mirror the IPLA §8.3 approach</w:t>
      </w:r>
      <w:r>
        <w:t xml:space="preserve"> </w:t>
      </w:r>
      <w:r>
        <w:t xml:space="preserve">across all three documents for consistency.</w:t>
      </w:r>
    </w:p>
    <w:p>
      <w:r>
        <w:pict>
          <v:rect style="width:0;height:1.5pt" o:hralign="center" o:hrstd="t" o:hr="t"/>
        </w:pict>
      </w:r>
    </w:p>
    <w:bookmarkEnd w:id="35"/>
    <w:bookmarkEnd w:id="36"/>
    <w:bookmarkStart w:id="41" w:name="vi.-medium-severity-issues"/>
    <w:p>
      <w:pPr>
        <w:pStyle w:val="Heading2"/>
      </w:pPr>
      <w:r>
        <w:t xml:space="preserve">VI. Medium-Severity Issues</w:t>
      </w:r>
    </w:p>
    <w:bookmarkStart w:id="37" w:name="m1-inconsistent-cost-allocation-regimes"/>
    <w:p>
      <w:pPr>
        <w:pStyle w:val="Heading3"/>
      </w:pPr>
      <w:r>
        <w:t xml:space="preserve">M1 — Inconsistent cost-allocation regimes</w:t>
      </w:r>
    </w:p>
    <w:p>
      <w:pPr>
        <w:pStyle w:val="FirstParagraph"/>
      </w:pPr>
      <w:r>
        <w:rPr>
          <w:b/>
          <w:bCs/>
        </w:rPr>
        <w:t xml:space="preserve">Severity: MEDIUM</w:t>
      </w:r>
    </w:p>
    <w:p>
      <w:pPr>
        <w:pStyle w:val="BodyText"/>
      </w:pPr>
      <w:r>
        <w:rPr>
          <w:b/>
          <w:bCs/>
        </w:rPr>
        <w:t xml:space="preserve">Provisions at issue:</w:t>
      </w:r>
      <w:r>
        <w:t xml:space="preserve"> </w:t>
      </w:r>
      <w:r>
        <w:t xml:space="preserve">SA §14.8; IPLA §9.4; QA §7.1.</w:t>
      </w:r>
    </w:p>
    <w:p>
      <w:pPr>
        <w:pStyle w:val="BodyText"/>
      </w:pPr>
      <w:r>
        <w:rPr>
          <w:b/>
          <w:bCs/>
        </w:rPr>
        <w:t xml:space="preserve">Analysis.</w:t>
      </w:r>
      <w:r>
        <w:t xml:space="preserve"> </w:t>
      </w:r>
      <w:r>
        <w:t xml:space="preserve">The three documents adopt three different cost rules: SA §14.8 is</w:t>
      </w:r>
      <w:r>
        <w:t xml:space="preserve"> </w:t>
      </w:r>
      <w:r>
        <w:rPr>
          <w:b/>
          <w:bCs/>
        </w:rPr>
        <w:t xml:space="preserve">loser-pays</w:t>
      </w:r>
      <w:r>
        <w:t xml:space="preserve"> </w:t>
      </w:r>
      <w:r>
        <w:t xml:space="preserve">(the losing party bears all costs, including the prevailing party’s reasonable attorneys’ fees); IPLA §9.4 is</w:t>
      </w:r>
      <w:r>
        <w:t xml:space="preserve"> </w:t>
      </w:r>
      <w:r>
        <w:rPr>
          <w:b/>
          <w:bCs/>
        </w:rPr>
        <w:t xml:space="preserve">each-party-bears-its-own</w:t>
      </w:r>
      <w:r>
        <w:t xml:space="preserve"> </w:t>
      </w:r>
      <w:r>
        <w:t xml:space="preserve">(with tribunal/LCIA fees shared equally unless the tribunal decides otherwise); QA §7.1 (expert determination) is</w:t>
      </w:r>
      <w:r>
        <w:t xml:space="preserve"> </w:t>
      </w:r>
      <w:r>
        <w:rPr>
          <w:b/>
          <w:bCs/>
        </w:rPr>
        <w:t xml:space="preserve">each-party-bears-its-own</w:t>
      </w:r>
      <w:r>
        <w:t xml:space="preserve"> </w:t>
      </w:r>
      <w:r>
        <w:t xml:space="preserve">(with the Expert’s and SIAC’s fees shared equally), and QA §7.2 (arbitration) is</w:t>
      </w:r>
      <w:r>
        <w:t xml:space="preserve"> </w:t>
      </w:r>
      <w:r>
        <w:rPr>
          <w:b/>
          <w:bCs/>
        </w:rPr>
        <w:t xml:space="preserve">silent</w:t>
      </w:r>
      <w:r>
        <w:t xml:space="preserve"> </w:t>
      </w:r>
      <w:r>
        <w:t xml:space="preserve">(defaulting to the SIAC Rules). For a consolidated or multi-agreement dispute, it is unclear which cost regime applies, and the difference is material (loser-pays vs. each-bears-own can swing seven-figure cost outcomes).</w:t>
      </w:r>
    </w:p>
    <w:p>
      <w:pPr>
        <w:pStyle w:val="BodyText"/>
      </w:pPr>
      <w:r>
        <w:rPr>
          <w:b/>
          <w:bCs/>
        </w:rPr>
        <w:t xml:space="preserve">Recommendation.</w:t>
      </w:r>
      <w:r>
        <w:t xml:space="preserve"> </w:t>
      </w:r>
      <w:r>
        <w:t xml:space="preserve">Adopt a single, consistent cost-allocation rule across all three documents. If loser-pays is retained (consistent with the SA and with discouraging frivolous claims), state expressly that it applies to all Transaction Document disputes; if each-bears-own is preferred, conform the SA. At minimum, specify which rule governs a consolidated proceeding.</w:t>
      </w:r>
    </w:p>
    <w:p>
      <w:r>
        <w:pict>
          <v:rect style="width:0;height:1.5pt" o:hralign="center" o:hrstd="t" o:hr="t"/>
        </w:pict>
      </w:r>
    </w:p>
    <w:bookmarkEnd w:id="37"/>
    <w:bookmarkStart w:id="38" w:name="X941e87f1d403bb561215a0d8b125004090cb27b"/>
    <w:p>
      <w:pPr>
        <w:pStyle w:val="Heading3"/>
      </w:pPr>
      <w:r>
        <w:t xml:space="preserve">M2 — Governing-law fragmentation and the</w:t>
      </w:r>
      <w:r>
        <w:t xml:space="preserve"> </w:t>
      </w:r>
      <w:r>
        <w:t xml:space="preserve">“</w:t>
      </w:r>
      <w:r>
        <w:t xml:space="preserve">general principles</w:t>
      </w:r>
      <w:r>
        <w:t xml:space="preserve">”</w:t>
      </w:r>
      <w:r>
        <w:t xml:space="preserve"> </w:t>
      </w:r>
      <w:r>
        <w:t xml:space="preserve">fallback</w:t>
      </w:r>
    </w:p>
    <w:p>
      <w:pPr>
        <w:pStyle w:val="FirstParagraph"/>
      </w:pPr>
      <w:r>
        <w:rPr>
          <w:b/>
          <w:bCs/>
        </w:rPr>
        <w:t xml:space="preserve">Severity: MEDIUM</w:t>
      </w:r>
    </w:p>
    <w:p>
      <w:pPr>
        <w:pStyle w:val="BodyText"/>
      </w:pPr>
      <w:r>
        <w:rPr>
          <w:b/>
          <w:bCs/>
        </w:rPr>
        <w:t xml:space="preserve">Provisions at issue:</w:t>
      </w:r>
      <w:r>
        <w:t xml:space="preserve"> </w:t>
      </w:r>
      <w:r>
        <w:t xml:space="preserve">SA §14.4; SA §15.11; QA §7.3; IPLA §9.2.</w:t>
      </w:r>
    </w:p>
    <w:p>
      <w:pPr>
        <w:pStyle w:val="BodyText"/>
      </w:pPr>
      <w:r>
        <w:rPr>
          <w:b/>
          <w:bCs/>
        </w:rPr>
        <w:t xml:space="preserve">Analysis.</w:t>
      </w:r>
      <w:r>
        <w:t xml:space="preserve"> </w:t>
      </w:r>
      <w:r>
        <w:t xml:space="preserve">Three different substantive laws govern the three agreements (New York, Singapore, England &amp; Wales). In addition, SA §14.4 directs the arbitrator to apply New York law</w:t>
      </w:r>
      <w:r>
        <w:t xml:space="preserve"> </w:t>
      </w:r>
      <w:r>
        <w:t xml:space="preserve">“</w:t>
      </w:r>
      <w:r>
        <w:t xml:space="preserve">without regard to its conflict of laws principles</w:t>
      </w:r>
      <w:r>
        <w:t xml:space="preserve">”</w:t>
      </w:r>
      <w:r>
        <w:t xml:space="preserve"> </w:t>
      </w:r>
      <w:r>
        <w:t xml:space="preserve">and then provides that</w:t>
      </w:r>
      <w:r>
        <w:t xml:space="preserve"> </w:t>
      </w:r>
      <w:r>
        <w:t xml:space="preserve">“</w:t>
      </w:r>
      <w:r>
        <w:t xml:space="preserve">[t]o the extent New York law does not address an issue, the arbitrator(s) shall apply general principles of international commercial law.</w:t>
      </w:r>
      <w:r>
        <w:t xml:space="preserve">”</w:t>
      </w:r>
      <w:r>
        <w:t xml:space="preserve"> </w:t>
      </w:r>
      <w:r>
        <w:t xml:space="preserve">Two concerns:</w:t>
      </w:r>
    </w:p>
    <w:p>
      <w:pPr>
        <w:pStyle w:val="Compact"/>
        <w:numPr>
          <w:ilvl w:val="0"/>
          <w:numId w:val="1020"/>
        </w:numPr>
      </w:pPr>
      <w:r>
        <w:rPr>
          <w:b/>
          <w:bCs/>
        </w:rPr>
        <w:t xml:space="preserve">The fallback is unusual and unpredictable.</w:t>
      </w:r>
      <w:r>
        <w:t xml:space="preserve"> </w:t>
      </w:r>
      <w:r>
        <w:t xml:space="preserve">“</w:t>
      </w:r>
      <w:r>
        <w:t xml:space="preserve">General principles of international commercial law</w:t>
      </w:r>
      <w:r>
        <w:t xml:space="preserve">”</w:t>
      </w:r>
      <w:r>
        <w:t xml:space="preserve"> </w:t>
      </w:r>
      <w:r>
        <w:t xml:space="preserve">is an amorphous, non-codified source that gives the tribunal discretion to fill gaps with unbounded, non-binding authority. This introduces outcome unpredictability and is rarely necessary for a commercial supply agreement governed by the well-developed law of a major U.S. state. It is also inconsistent with the SA §15.11 governing-law clause, which applies New York law</w:t>
      </w:r>
      <w:r>
        <w:t xml:space="preserve"> </w:t>
      </w:r>
      <w:r>
        <w:rPr>
          <w:b/>
          <w:bCs/>
        </w:rPr>
        <w:t xml:space="preserve">without</w:t>
      </w:r>
      <w:r>
        <w:t xml:space="preserve"> </w:t>
      </w:r>
      <w:r>
        <w:t xml:space="preserve">any fallback.</w:t>
      </w:r>
    </w:p>
    <w:p>
      <w:pPr>
        <w:pStyle w:val="Compact"/>
        <w:numPr>
          <w:ilvl w:val="0"/>
          <w:numId w:val="1020"/>
        </w:numPr>
      </w:pPr>
      <w:r>
        <w:rPr>
          <w:b/>
          <w:bCs/>
        </w:rPr>
        <w:t xml:space="preserve">Internal inconsistency.</w:t>
      </w:r>
      <w:r>
        <w:t xml:space="preserve"> </w:t>
      </w:r>
      <w:r>
        <w:t xml:space="preserve">SA §14.4 (governing law for arbitrators, with fallback) and SA §15.11 (governing law of the agreement, without fallback) say slightly different things. A tribunal could invoke the §14.4 fallback where a court applying §15.11 would not.</w:t>
      </w:r>
    </w:p>
    <w:p>
      <w:pPr>
        <w:pStyle w:val="Compact"/>
        <w:numPr>
          <w:ilvl w:val="0"/>
          <w:numId w:val="1020"/>
        </w:numPr>
      </w:pPr>
      <w:r>
        <w:rPr>
          <w:b/>
          <w:bCs/>
        </w:rPr>
        <w:t xml:space="preserve">Cross-document inconsistency.</w:t>
      </w:r>
      <w:r>
        <w:t xml:space="preserve"> </w:t>
      </w:r>
      <w:r>
        <w:t xml:space="preserve">A quality dispute could require applying Singapore law (QA) to recall obligations while applying New York law (SA) to the underlying supply obligations — producing potentially inconsistent interpretations of the same commercial relationship.</w:t>
      </w:r>
    </w:p>
    <w:p>
      <w:pPr>
        <w:pStyle w:val="FirstParagraph"/>
      </w:pPr>
      <w:r>
        <w:rPr>
          <w:b/>
          <w:bCs/>
        </w:rPr>
        <w:t xml:space="preserve">Recommendation.</w:t>
      </w:r>
      <w:r>
        <w:t xml:space="preserve"> </w:t>
      </w:r>
      <w:r>
        <w:t xml:space="preserve">Delete the</w:t>
      </w:r>
      <w:r>
        <w:t xml:space="preserve"> </w:t>
      </w:r>
      <w:r>
        <w:t xml:space="preserve">“</w:t>
      </w:r>
      <w:r>
        <w:t xml:space="preserve">general principles</w:t>
      </w:r>
      <w:r>
        <w:t xml:space="preserve">”</w:t>
      </w:r>
      <w:r>
        <w:t xml:space="preserve"> </w:t>
      </w:r>
      <w:r>
        <w:t xml:space="preserve">fallback from SA §14.4 and conform §14.4 to §15.11 (New York law, without regard to conflict of laws, full stop). If a unified governing law is achievable in negotiation, adopt a single law for all three documents; if not, at least ensure the governing-law clauses are internally consistent within each document and that the hierarchy clause (per C1) specifies which law governs overlapping obligations.</w:t>
      </w:r>
    </w:p>
    <w:p>
      <w:r>
        <w:pict>
          <v:rect style="width:0;height:1.5pt" o:hralign="center" o:hrstd="t" o:hr="t"/>
        </w:pict>
      </w:r>
    </w:p>
    <w:bookmarkEnd w:id="38"/>
    <w:bookmarkStart w:id="39" w:name="X7df69a8f4d7461691b294252b3455088f5d50cf"/>
    <w:p>
      <w:pPr>
        <w:pStyle w:val="Heading3"/>
      </w:pPr>
      <w:r>
        <w:t xml:space="preserve">M3 — Number-of-arbitrators inconsistency and unilateral cost-escalation trigger</w:t>
      </w:r>
    </w:p>
    <w:p>
      <w:pPr>
        <w:pStyle w:val="FirstParagraph"/>
      </w:pPr>
      <w:r>
        <w:rPr>
          <w:b/>
          <w:bCs/>
        </w:rPr>
        <w:t xml:space="preserve">Severity: MEDIUM</w:t>
      </w:r>
    </w:p>
    <w:p>
      <w:pPr>
        <w:pStyle w:val="BodyText"/>
      </w:pPr>
      <w:r>
        <w:rPr>
          <w:b/>
          <w:bCs/>
        </w:rPr>
        <w:t xml:space="preserve">Provisions at issue:</w:t>
      </w:r>
      <w:r>
        <w:t xml:space="preserve"> </w:t>
      </w:r>
      <w:r>
        <w:t xml:space="preserve">SA §14.3; IPLA §9.1; QA §7.2.</w:t>
      </w:r>
    </w:p>
    <w:p>
      <w:pPr>
        <w:pStyle w:val="BodyText"/>
      </w:pPr>
      <w:r>
        <w:rPr>
          <w:b/>
          <w:bCs/>
        </w:rPr>
        <w:t xml:space="preserve">Analysis.</w:t>
      </w:r>
      <w:r>
        <w:t xml:space="preserve"> </w:t>
      </w:r>
      <w:r>
        <w:t xml:space="preserve">The documents specify different tribunal sizes: SA §14.3 provides for</w:t>
      </w:r>
      <w:r>
        <w:t xml:space="preserve"> </w:t>
      </w:r>
      <w:r>
        <w:rPr>
          <w:b/>
          <w:bCs/>
        </w:rPr>
        <w:t xml:space="preserve">one arbitrator, unless either party requests three within 15 days</w:t>
      </w:r>
      <w:r>
        <w:t xml:space="preserve"> </w:t>
      </w:r>
      <w:r>
        <w:t xml:space="preserve">of the Request for Arbitration; IPLA §9.1 fixes</w:t>
      </w:r>
      <w:r>
        <w:t xml:space="preserve"> </w:t>
      </w:r>
      <w:r>
        <w:rPr>
          <w:b/>
          <w:bCs/>
        </w:rPr>
        <w:t xml:space="preserve">one arbitrator</w:t>
      </w:r>
      <w:r>
        <w:t xml:space="preserve">; QA §7.2 fixes</w:t>
      </w:r>
      <w:r>
        <w:t xml:space="preserve"> </w:t>
      </w:r>
      <w:r>
        <w:rPr>
          <w:b/>
          <w:bCs/>
        </w:rPr>
        <w:t xml:space="preserve">three arbitrators</w:t>
      </w:r>
      <w:r>
        <w:t xml:space="preserve">. Two concerns:</w:t>
      </w:r>
    </w:p>
    <w:p>
      <w:pPr>
        <w:pStyle w:val="Compact"/>
        <w:numPr>
          <w:ilvl w:val="0"/>
          <w:numId w:val="1021"/>
        </w:numPr>
      </w:pPr>
      <w:r>
        <w:rPr>
          <w:b/>
          <w:bCs/>
        </w:rPr>
        <w:t xml:space="preserve">Inconsistency across documents</w:t>
      </w:r>
      <w:r>
        <w:t xml:space="preserve"> </w:t>
      </w:r>
      <w:r>
        <w:t xml:space="preserve">for what may be a single consolidated dispute (per C1/H1).</w:t>
      </w:r>
    </w:p>
    <w:p>
      <w:pPr>
        <w:pStyle w:val="Compact"/>
        <w:numPr>
          <w:ilvl w:val="0"/>
          <w:numId w:val="1021"/>
        </w:numPr>
      </w:pPr>
      <w:r>
        <w:rPr>
          <w:b/>
          <w:bCs/>
        </w:rPr>
        <w:t xml:space="preserve">Unilateral cost-escalation.</w:t>
      </w:r>
      <w:r>
        <w:t xml:space="preserve"> </w:t>
      </w:r>
      <w:r>
        <w:t xml:space="preserve">The SA’s</w:t>
      </w:r>
      <w:r>
        <w:t xml:space="preserve"> </w:t>
      </w:r>
      <w:r>
        <w:t xml:space="preserve">“</w:t>
      </w:r>
      <w:r>
        <w:t xml:space="preserve">either party may demand three</w:t>
      </w:r>
      <w:r>
        <w:t xml:space="preserve">”</w:t>
      </w:r>
      <w:r>
        <w:t xml:space="preserve"> </w:t>
      </w:r>
      <w:r>
        <w:t xml:space="preserve">mechanism lets one party unilaterally triple the arbitrator-fee burden (three arbitrators instead of one) and expand the procedural complexity, with no showing that the dispute warrants it. In a USD 178M+ relationship, this could be used tactically to increase the other party’s cost of pursuing or defending a claim.</w:t>
      </w:r>
    </w:p>
    <w:p>
      <w:pPr>
        <w:pStyle w:val="FirstParagraph"/>
      </w:pPr>
      <w:r>
        <w:rPr>
          <w:b/>
          <w:bCs/>
        </w:rPr>
        <w:t xml:space="preserve">Recommendation.</w:t>
      </w:r>
      <w:r>
        <w:t xml:space="preserve"> </w:t>
      </w:r>
      <w:r>
        <w:t xml:space="preserve">Harmonize the tribunal size across documents. If a sole arbitrator is the default, tie any escalation to three to an objective threshold (e.g., amount in dispute above a stated figure) or to mutual agreement, rather than unilateral demand. If three is the default for the QA arbitration, align the SA and IPLA defaults or explain the rationale.</w:t>
      </w:r>
    </w:p>
    <w:p>
      <w:r>
        <w:pict>
          <v:rect style="width:0;height:1.5pt" o:hralign="center" o:hrstd="t" o:hr="t"/>
        </w:pict>
      </w:r>
    </w:p>
    <w:bookmarkEnd w:id="39"/>
    <w:bookmarkStart w:id="40" w:name="X1941b7cfeb9d86f694c088b72794c9c1931ca12"/>
    <w:p>
      <w:pPr>
        <w:pStyle w:val="Heading3"/>
      </w:pPr>
      <w:r>
        <w:t xml:space="preserve">M4 — Expert qualification/neutrality strictness and 60-day determination window</w:t>
      </w:r>
    </w:p>
    <w:p>
      <w:pPr>
        <w:pStyle w:val="FirstParagraph"/>
      </w:pPr>
      <w:r>
        <w:rPr>
          <w:b/>
          <w:bCs/>
        </w:rPr>
        <w:t xml:space="preserve">Severity: MEDIUM</w:t>
      </w:r>
    </w:p>
    <w:p>
      <w:pPr>
        <w:pStyle w:val="BodyText"/>
      </w:pPr>
      <w:r>
        <w:rPr>
          <w:b/>
          <w:bCs/>
        </w:rPr>
        <w:t xml:space="preserve">Provisions at issue:</w:t>
      </w:r>
      <w:r>
        <w:t xml:space="preserve"> </w:t>
      </w:r>
      <w:r>
        <w:t xml:space="preserve">QA §7.1.</w:t>
      </w:r>
    </w:p>
    <w:p>
      <w:pPr>
        <w:pStyle w:val="BodyText"/>
      </w:pPr>
      <w:r>
        <w:rPr>
          <w:b/>
          <w:bCs/>
        </w:rPr>
        <w:t xml:space="preserve">Analysis.</w:t>
      </w:r>
      <w:r>
        <w:t xml:space="preserve"> </w:t>
      </w:r>
      <w:r>
        <w:t xml:space="preserve">QA §7.1 requires the Expert to</w:t>
      </w:r>
      <w:r>
        <w:t xml:space="preserve"> </w:t>
      </w:r>
      <w:r>
        <w:t xml:space="preserve">“</w:t>
      </w:r>
      <w:r>
        <w:t xml:space="preserve">not have any current or prior relationship with either Party or their respective affiliates, counsel, or testing laboratories,</w:t>
      </w:r>
      <w:r>
        <w:t xml:space="preserve">”</w:t>
      </w:r>
      <w:r>
        <w:t xml:space="preserve"> </w:t>
      </w:r>
      <w:r>
        <w:t xml:space="preserve">and to render a determination</w:t>
      </w:r>
      <w:r>
        <w:t xml:space="preserve"> </w:t>
      </w:r>
      <w:r>
        <w:t xml:space="preserve">“</w:t>
      </w:r>
      <w:r>
        <w:t xml:space="preserve">within sixty (60) calendar days of appointment.</w:t>
      </w:r>
      <w:r>
        <w:t xml:space="preserve">”</w:t>
      </w:r>
      <w:r>
        <w:t xml:space="preserve"> </w:t>
      </w:r>
      <w:r>
        <w:t xml:space="preserve">In the niche field of botanical-extract manufacturing and analytical chemistry, the combination of (a) a stringent no-prior-relationship rule (which excludes most experts who have ever consulted for either side, their affiliates, or their testing labs) and (b) a 60-day deadline may make it difficult to appoint a qualified expert quickly, leading to appointment delays or rushed determinations. The 60-day window is also short for a complex multi-batch quality dispute and will likely require mutual extensions, adding friction.</w:t>
      </w:r>
    </w:p>
    <w:p>
      <w:pPr>
        <w:pStyle w:val="BodyText"/>
      </w:pPr>
      <w:r>
        <w:rPr>
          <w:b/>
          <w:bCs/>
        </w:rPr>
        <w:t xml:space="preserve">Recommendation.</w:t>
      </w:r>
      <w:r>
        <w:t xml:space="preserve"> </w:t>
      </w:r>
      <w:r>
        <w:t xml:space="preserve">Soften the neutrality standard to</w:t>
      </w:r>
      <w:r>
        <w:t xml:space="preserve"> </w:t>
      </w:r>
      <w:r>
        <w:t xml:space="preserve">“</w:t>
      </w:r>
      <w:r>
        <w:t xml:space="preserve">no material current conflict of interest</w:t>
      </w:r>
      <w:r>
        <w:t xml:space="preserve">”</w:t>
      </w:r>
      <w:r>
        <w:t xml:space="preserve"> </w:t>
      </w:r>
      <w:r>
        <w:t xml:space="preserve">(consistent with institutional rules) rather than an absolute no-prior-relationship bar, and extend the default determination window to 90 days with a right to extend by mutual agreement or by the institution. Require the Expert to disclose any prior relationships and permit challenge on disclosed conflicts.</w:t>
      </w:r>
    </w:p>
    <w:p>
      <w:r>
        <w:pict>
          <v:rect style="width:0;height:1.5pt" o:hralign="center" o:hrstd="t" o:hr="t"/>
        </w:pict>
      </w:r>
    </w:p>
    <w:bookmarkEnd w:id="40"/>
    <w:bookmarkEnd w:id="41"/>
    <w:bookmarkStart w:id="46" w:name="vii.-low-severity-issues"/>
    <w:p>
      <w:pPr>
        <w:pStyle w:val="Heading2"/>
      </w:pPr>
      <w:r>
        <w:t xml:space="preserve">VII. Low-Severity Issues</w:t>
      </w:r>
    </w:p>
    <w:bookmarkStart w:id="42" w:name="Xfd3e51a105fdc0dd8273e2be0b8e0036bb68636"/>
    <w:p>
      <w:pPr>
        <w:pStyle w:val="Heading3"/>
      </w:pPr>
      <w:r>
        <w:t xml:space="preserve">L1 — Interim-relief carve-out inconsistency</w:t>
      </w:r>
    </w:p>
    <w:p>
      <w:pPr>
        <w:pStyle w:val="FirstParagraph"/>
      </w:pPr>
      <w:r>
        <w:rPr>
          <w:b/>
          <w:bCs/>
        </w:rPr>
        <w:t xml:space="preserve">Severity: LOW</w:t>
      </w:r>
    </w:p>
    <w:p>
      <w:pPr>
        <w:pStyle w:val="BodyText"/>
      </w:pPr>
      <w:r>
        <w:rPr>
          <w:b/>
          <w:bCs/>
        </w:rPr>
        <w:t xml:space="preserve">Provisions at issue:</w:t>
      </w:r>
      <w:r>
        <w:t xml:space="preserve"> </w:t>
      </w:r>
      <w:r>
        <w:t xml:space="preserve">SA §14.7; IPLA §9 (silent); QA §7 (silent).</w:t>
      </w:r>
    </w:p>
    <w:p>
      <w:pPr>
        <w:pStyle w:val="BodyText"/>
      </w:pPr>
      <w:r>
        <w:rPr>
          <w:b/>
          <w:bCs/>
        </w:rPr>
        <w:t xml:space="preserve">Analysis.</w:t>
      </w:r>
      <w:r>
        <w:t xml:space="preserve"> </w:t>
      </w:r>
      <w:r>
        <w:t xml:space="preserve">SA §14.7 preserves each party’s right to seek injunctive or equitable relief from</w:t>
      </w:r>
      <w:r>
        <w:t xml:space="preserve"> </w:t>
      </w:r>
      <w:r>
        <w:t xml:space="preserve">“</w:t>
      </w:r>
      <w:r>
        <w:t xml:space="preserve">any court of competent jurisdiction worldwide.</w:t>
      </w:r>
      <w:r>
        <w:t xml:space="preserve">”</w:t>
      </w:r>
      <w:r>
        <w:t xml:space="preserve"> </w:t>
      </w:r>
      <w:r>
        <w:t xml:space="preserve">The IPLA and QA Letter are silent on interim relief (though such relief is generally available under the LCIA/SIAC Rules and the respective arbitration acts). The inconsistency is minor but should be harmonized, and the SA’s broad</w:t>
      </w:r>
      <w:r>
        <w:t xml:space="preserve"> </w:t>
      </w:r>
      <w:r>
        <w:t xml:space="preserve">“</w:t>
      </w:r>
      <w:r>
        <w:t xml:space="preserve">any court worldwide</w:t>
      </w:r>
      <w:r>
        <w:t xml:space="preserve">”</w:t>
      </w:r>
      <w:r>
        <w:t xml:space="preserve"> </w:t>
      </w:r>
      <w:r>
        <w:t xml:space="preserve">formulation should be confirmed not to undermine the arbitration agreement (it is generally acceptable as a carve-out).</w:t>
      </w:r>
    </w:p>
    <w:p>
      <w:pPr>
        <w:pStyle w:val="BodyText"/>
      </w:pPr>
      <w:r>
        <w:rPr>
          <w:b/>
          <w:bCs/>
        </w:rPr>
        <w:t xml:space="preserve">Recommendation.</w:t>
      </w:r>
      <w:r>
        <w:t xml:space="preserve"> </w:t>
      </w:r>
      <w:r>
        <w:t xml:space="preserve">Add an equivalent interim-relief carve-out to the IPLA and QA Letter, or add a single interim-relief provision to a unified dispute-resolution clause. Confirm the carve-out is expressly without prejudice to the arbitration.</w:t>
      </w:r>
    </w:p>
    <w:p>
      <w:r>
        <w:pict>
          <v:rect style="width:0;height:1.5pt" o:hralign="center" o:hrstd="t" o:hr="t"/>
        </w:pict>
      </w:r>
    </w:p>
    <w:bookmarkEnd w:id="42"/>
    <w:bookmarkStart w:id="43" w:name="X9c77a6cb120f7b22cad5249e7a9a3cf7091a886"/>
    <w:p>
      <w:pPr>
        <w:pStyle w:val="Heading3"/>
      </w:pPr>
      <w:r>
        <w:t xml:space="preserve">L2 — Confidentiality-of-proceedings inconsistency</w:t>
      </w:r>
    </w:p>
    <w:p>
      <w:pPr>
        <w:pStyle w:val="FirstParagraph"/>
      </w:pPr>
      <w:r>
        <w:rPr>
          <w:b/>
          <w:bCs/>
        </w:rPr>
        <w:t xml:space="preserve">Severity: LOW</w:t>
      </w:r>
    </w:p>
    <w:p>
      <w:pPr>
        <w:pStyle w:val="BodyText"/>
      </w:pPr>
      <w:r>
        <w:rPr>
          <w:b/>
          <w:bCs/>
        </w:rPr>
        <w:t xml:space="preserve">Provisions at issue:</w:t>
      </w:r>
      <w:r>
        <w:t xml:space="preserve"> </w:t>
      </w:r>
      <w:r>
        <w:t xml:space="preserve">SA §14.10; IPLA §9 (silent); QA §7 (silent).</w:t>
      </w:r>
    </w:p>
    <w:p>
      <w:pPr>
        <w:pStyle w:val="BodyText"/>
      </w:pPr>
      <w:r>
        <w:rPr>
          <w:b/>
          <w:bCs/>
        </w:rPr>
        <w:t xml:space="preserve">Analysis.</w:t>
      </w:r>
      <w:r>
        <w:t xml:space="preserve"> </w:t>
      </w:r>
      <w:r>
        <w:t xml:space="preserve">SA §14.10 imposes confidentiality on the arbitration (with a law-required carve-out). The IPLA and QA Letter rely on the LCIA/SIAC Rules for confidentiality. The inconsistency is minor, but the SA’s confidentiality could conflict with Greenleaf’s need to disclose arbitration materials in parallel co-manufacturer litigation in North Carolina (per H2). The carve-out for</w:t>
      </w:r>
      <w:r>
        <w:t xml:space="preserve"> </w:t>
      </w:r>
      <w:r>
        <w:t xml:space="preserve">“</w:t>
      </w:r>
      <w:r>
        <w:t xml:space="preserve">required by applicable law or regulation</w:t>
      </w:r>
      <w:r>
        <w:t xml:space="preserve">”</w:t>
      </w:r>
      <w:r>
        <w:t xml:space="preserve"> </w:t>
      </w:r>
      <w:r>
        <w:t xml:space="preserve">may not clearly cover disclosure in related U.S. court litigation.</w:t>
      </w:r>
    </w:p>
    <w:p>
      <w:pPr>
        <w:pStyle w:val="BodyText"/>
      </w:pPr>
      <w:r>
        <w:rPr>
          <w:b/>
          <w:bCs/>
        </w:rPr>
        <w:t xml:space="preserve">Recommendation.</w:t>
      </w:r>
      <w:r>
        <w:t xml:space="preserve"> </w:t>
      </w:r>
      <w:r>
        <w:t xml:space="preserve">Harmonize the confidentiality provisions across all three documents, and add an express carve-out permitting disclosure to the extent necessary in related court proceedings (e.g., the co-manufacturer litigation) or to enforce the award, subject to appropriate protective measures.</w:t>
      </w:r>
    </w:p>
    <w:p>
      <w:r>
        <w:pict>
          <v:rect style="width:0;height:1.5pt" o:hralign="center" o:hrstd="t" o:hr="t"/>
        </w:pict>
      </w:r>
    </w:p>
    <w:bookmarkEnd w:id="43"/>
    <w:bookmarkStart w:id="44" w:name="X19fb145662f23cd696ef192c86f63cdc5902aae"/>
    <w:p>
      <w:pPr>
        <w:pStyle w:val="Heading3"/>
      </w:pPr>
      <w:r>
        <w:t xml:space="preserve">L3 — Seat/venue split contributes to fragmentation</w:t>
      </w:r>
    </w:p>
    <w:p>
      <w:pPr>
        <w:pStyle w:val="FirstParagraph"/>
      </w:pPr>
      <w:r>
        <w:rPr>
          <w:b/>
          <w:bCs/>
        </w:rPr>
        <w:t xml:space="preserve">Severity: LOW</w:t>
      </w:r>
    </w:p>
    <w:p>
      <w:pPr>
        <w:pStyle w:val="BodyText"/>
      </w:pPr>
      <w:r>
        <w:rPr>
          <w:b/>
          <w:bCs/>
        </w:rPr>
        <w:t xml:space="preserve">Provisions at issue:</w:t>
      </w:r>
      <w:r>
        <w:t xml:space="preserve"> </w:t>
      </w:r>
      <w:r>
        <w:t xml:space="preserve">SA §14.2.</w:t>
      </w:r>
    </w:p>
    <w:p>
      <w:pPr>
        <w:pStyle w:val="BodyText"/>
      </w:pPr>
      <w:r>
        <w:rPr>
          <w:b/>
          <w:bCs/>
        </w:rPr>
        <w:t xml:space="preserve">Analysis.</w:t>
      </w:r>
      <w:r>
        <w:t xml:space="preserve"> </w:t>
      </w:r>
      <w:r>
        <w:t xml:space="preserve">SA §14.2 seats the arbitration in Singapore but fixes the hearing venue in London. This is, as the HG Memo notes, a routine and generally unobjectionable feature of international practice (the seat determines curial law; the venue is a logistical convenience). It is flagged here only because it contributes to the broader fragmentation (the IPLA is also London-connected, but under the LCIA and English law), and because the appeal mechanism in C2 (to the Singapore courts) interacts with the Singapore seat. Standing alone, the seat/venue split is acceptable.</w:t>
      </w:r>
    </w:p>
    <w:p>
      <w:pPr>
        <w:pStyle w:val="BodyText"/>
      </w:pPr>
      <w:r>
        <w:rPr>
          <w:b/>
          <w:bCs/>
        </w:rPr>
        <w:t xml:space="preserve">Recommendation.</w:t>
      </w:r>
      <w:r>
        <w:t xml:space="preserve"> </w:t>
      </w:r>
      <w:r>
        <w:t xml:space="preserve">No change required if C1 and C2 are resolved. If the architecture is unified (per H1), the seat/venue question resolves itself.</w:t>
      </w:r>
    </w:p>
    <w:p>
      <w:r>
        <w:pict>
          <v:rect style="width:0;height:1.5pt" o:hralign="center" o:hrstd="t" o:hr="t"/>
        </w:pict>
      </w:r>
    </w:p>
    <w:bookmarkEnd w:id="44"/>
    <w:bookmarkStart w:id="45" w:name="Xd55b96bec0b057c7573e9844f5e79120b7d6559"/>
    <w:p>
      <w:pPr>
        <w:pStyle w:val="Heading3"/>
      </w:pPr>
      <w:r>
        <w:t xml:space="preserve">L4 — Survival/termination interaction with the limitation period</w:t>
      </w:r>
    </w:p>
    <w:p>
      <w:pPr>
        <w:pStyle w:val="FirstParagraph"/>
      </w:pPr>
      <w:r>
        <w:rPr>
          <w:b/>
          <w:bCs/>
        </w:rPr>
        <w:t xml:space="preserve">Severity: LOW</w:t>
      </w:r>
    </w:p>
    <w:p>
      <w:pPr>
        <w:pStyle w:val="BodyText"/>
      </w:pPr>
      <w:r>
        <w:rPr>
          <w:b/>
          <w:bCs/>
        </w:rPr>
        <w:t xml:space="preserve">Provisions at issue:</w:t>
      </w:r>
      <w:r>
        <w:t xml:space="preserve"> </w:t>
      </w:r>
      <w:r>
        <w:t xml:space="preserve">IPLA §6.3; IPLA §6.5(c); SA §13.5; SA §14.9.</w:t>
      </w:r>
    </w:p>
    <w:p>
      <w:pPr>
        <w:pStyle w:val="BodyText"/>
      </w:pPr>
      <w:r>
        <w:rPr>
          <w:b/>
          <w:bCs/>
        </w:rPr>
        <w:t xml:space="preserve">Analysis.</w:t>
      </w:r>
      <w:r>
        <w:t xml:space="preserve"> </w:t>
      </w:r>
      <w:r>
        <w:t xml:space="preserve">The IPLA auto-terminates upon termination of the SA (IPLA §6.3), while preserving the dispute-resolution clause (IPLA §6.5(c)). The SA likewise preserves Article 14 (SA §13.5). Combined with the one-year limitation period (SA §14.9, per H4), a party whose claims accrue around the time of termination could face a narrow window in which to commence arbitration, particularly if the termination itself is disputed. This is a secondary effect of H4 rather than an independent defect.</w:t>
      </w:r>
    </w:p>
    <w:p>
      <w:pPr>
        <w:pStyle w:val="BodyText"/>
      </w:pPr>
      <w:r>
        <w:rPr>
          <w:b/>
          <w:bCs/>
        </w:rPr>
        <w:t xml:space="preserve">Recommendation.</w:t>
      </w:r>
      <w:r>
        <w:t xml:space="preserve"> </w:t>
      </w:r>
      <w:r>
        <w:t xml:space="preserve">Addressed by the H4 recommendation to extend and align the limitation period and to add tolling during pre-arbitration steps. Confirm that the survival of the dispute-resolution clauses is expressly stated in all three documents.</w:t>
      </w:r>
    </w:p>
    <w:p>
      <w:r>
        <w:pict>
          <v:rect style="width:0;height:1.5pt" o:hralign="center" o:hrstd="t" o:hr="t"/>
        </w:pict>
      </w:r>
    </w:p>
    <w:bookmarkEnd w:id="45"/>
    <w:bookmarkEnd w:id="46"/>
    <w:bookmarkStart w:id="47" w:name="viii.-consolidated-issues-table"/>
    <w:p>
      <w:pPr>
        <w:pStyle w:val="Heading2"/>
      </w:pPr>
      <w:r>
        <w:t xml:space="preserve">VIII. Consolidated Issues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Issue</w:t>
            </w:r>
          </w:p>
        </w:tc>
        <w:tc>
          <w:tcPr/>
          <w:p>
            <w:pPr>
              <w:pStyle w:val="Compact"/>
              <w:jc w:val="left"/>
            </w:pPr>
            <w:r>
              <w:t xml:space="preserve">Key provision(s)</w:t>
            </w:r>
          </w:p>
        </w:tc>
        <w:tc>
          <w:tcPr/>
          <w:p>
            <w:pPr>
              <w:pStyle w:val="Compact"/>
              <w:jc w:val="left"/>
            </w:pPr>
            <w:r>
              <w:t xml:space="preserve">Severity</w:t>
            </w:r>
          </w:p>
        </w:tc>
        <w:tc>
          <w:tcPr/>
          <w:p>
            <w:pPr>
              <w:pStyle w:val="Compact"/>
              <w:jc w:val="left"/>
            </w:pPr>
            <w:r>
              <w:t xml:space="preserve">Primary recommendation</w:t>
            </w:r>
          </w:p>
        </w:tc>
      </w:tr>
      <w:tr>
        <w:tc>
          <w:tcPr/>
          <w:p>
            <w:pPr>
              <w:pStyle w:val="Compact"/>
              <w:jc w:val="left"/>
            </w:pPr>
            <w:r>
              <w:t xml:space="preserve">C1</w:t>
            </w:r>
          </w:p>
        </w:tc>
        <w:tc>
          <w:tcPr/>
          <w:p>
            <w:pPr>
              <w:pStyle w:val="Compact"/>
              <w:jc w:val="left"/>
            </w:pPr>
            <w:r>
              <w:t xml:space="preserve">Dueling hierarchy &amp; consolidation clauses create pathological jurisdictional conflict</w:t>
            </w:r>
          </w:p>
        </w:tc>
        <w:tc>
          <w:tcPr/>
          <w:p>
            <w:pPr>
              <w:pStyle w:val="Compact"/>
              <w:jc w:val="left"/>
            </w:pPr>
            <w:r>
              <w:t xml:space="preserve">SA §15.8; QA §8.1; IPLA §9.3, §10.3</w:t>
            </w:r>
          </w:p>
        </w:tc>
        <w:tc>
          <w:tcPr/>
          <w:p>
            <w:pPr>
              <w:pStyle w:val="Compact"/>
              <w:jc w:val="left"/>
            </w:pPr>
            <w:r>
              <w:rPr>
                <w:b/>
                <w:bCs/>
              </w:rPr>
              <w:t xml:space="preserve">Critical</w:t>
            </w:r>
          </w:p>
        </w:tc>
        <w:tc>
          <w:tcPr/>
          <w:p>
            <w:pPr>
              <w:pStyle w:val="Compact"/>
              <w:jc w:val="left"/>
            </w:pPr>
            <w:r>
              <w:t xml:space="preserve">Unify hierarchy clause across all three documents; replace IPLA §9.3 unilateral consolidation with a mirrored multi-contract consolidation mechanism</w:t>
            </w:r>
          </w:p>
        </w:tc>
      </w:tr>
      <w:tr>
        <w:tc>
          <w:tcPr/>
          <w:p>
            <w:pPr>
              <w:pStyle w:val="Compact"/>
              <w:jc w:val="left"/>
            </w:pPr>
            <w:r>
              <w:t xml:space="preserve">C2</w:t>
            </w:r>
          </w:p>
        </w:tc>
        <w:tc>
          <w:tcPr/>
          <w:p>
            <w:pPr>
              <w:pStyle w:val="Compact"/>
              <w:jc w:val="left"/>
            </w:pPr>
            <w:r>
              <w:t xml:space="preserve">Appeal on questions of law to the High Court of Singapore likely unenforceable</w:t>
            </w:r>
          </w:p>
        </w:tc>
        <w:tc>
          <w:tcPr/>
          <w:p>
            <w:pPr>
              <w:pStyle w:val="Compact"/>
              <w:jc w:val="left"/>
            </w:pPr>
            <w:r>
              <w:t xml:space="preserve">SA §14.6</w:t>
            </w:r>
          </w:p>
        </w:tc>
        <w:tc>
          <w:tcPr/>
          <w:p>
            <w:pPr>
              <w:pStyle w:val="Compact"/>
              <w:jc w:val="left"/>
            </w:pPr>
            <w:r>
              <w:rPr>
                <w:b/>
                <w:bCs/>
              </w:rPr>
              <w:t xml:space="preserve">Critical</w:t>
            </w:r>
          </w:p>
        </w:tc>
        <w:tc>
          <w:tcPr/>
          <w:p>
            <w:pPr>
              <w:pStyle w:val="Compact"/>
              <w:jc w:val="left"/>
            </w:pPr>
            <w:r>
              <w:t xml:space="preserve">Delete the appeal-on-law provision; adopt a standard finality clause consistent with Singapore’s IAA</w:t>
            </w:r>
          </w:p>
        </w:tc>
      </w:tr>
      <w:tr>
        <w:tc>
          <w:tcPr/>
          <w:p>
            <w:pPr>
              <w:pStyle w:val="Compact"/>
              <w:jc w:val="left"/>
            </w:pPr>
            <w:r>
              <w:t xml:space="preserve">C3</w:t>
            </w:r>
          </w:p>
        </w:tc>
        <w:tc>
          <w:tcPr/>
          <w:p>
            <w:pPr>
              <w:pStyle w:val="Compact"/>
              <w:jc w:val="left"/>
            </w:pPr>
            <w:r>
              <w:t xml:space="preserve">Consequential-damages waiver + exclusivity + illusory recall preservation</w:t>
            </w:r>
          </w:p>
        </w:tc>
        <w:tc>
          <w:tcPr/>
          <w:p>
            <w:pPr>
              <w:pStyle w:val="Compact"/>
              <w:jc w:val="left"/>
            </w:pPr>
            <w:r>
              <w:t xml:space="preserve">SA §14.11; SA §11.2; QA §6.6</w:t>
            </w:r>
          </w:p>
        </w:tc>
        <w:tc>
          <w:tcPr/>
          <w:p>
            <w:pPr>
              <w:pStyle w:val="Compact"/>
              <w:jc w:val="left"/>
            </w:pPr>
            <w:r>
              <w:rPr>
                <w:b/>
                <w:bCs/>
              </w:rPr>
              <w:t xml:space="preserve">Critical</w:t>
            </w:r>
          </w:p>
        </w:tc>
        <w:tc>
          <w:tcPr/>
          <w:p>
            <w:pPr>
              <w:pStyle w:val="Compact"/>
              <w:jc w:val="left"/>
            </w:pPr>
            <w:r>
              <w:t xml:space="preserve">Carve out recall costs, lost profits from supply failure, and third-party claims; or restructure as a cap; fix QA §6.6; add indemnification carve-out</w:t>
            </w:r>
          </w:p>
        </w:tc>
      </w:tr>
      <w:tr>
        <w:tc>
          <w:tcPr/>
          <w:p>
            <w:pPr>
              <w:pStyle w:val="Compact"/>
              <w:jc w:val="left"/>
            </w:pPr>
            <w:r>
              <w:t xml:space="preserve">H1</w:t>
            </w:r>
          </w:p>
        </w:tc>
        <w:tc>
          <w:tcPr/>
          <w:p>
            <w:pPr>
              <w:pStyle w:val="Compact"/>
              <w:jc w:val="left"/>
            </w:pPr>
            <w:r>
              <w:t xml:space="preserve">Fragmented three-institution / three-seat / three-law architecture</w:t>
            </w:r>
          </w:p>
        </w:tc>
        <w:tc>
          <w:tcPr/>
          <w:p>
            <w:pPr>
              <w:pStyle w:val="Compact"/>
              <w:jc w:val="left"/>
            </w:pPr>
            <w:r>
              <w:t xml:space="preserve">SA Art. 14; QA §7; IPLA §9</w:t>
            </w:r>
          </w:p>
        </w:tc>
        <w:tc>
          <w:tcPr/>
          <w:p>
            <w:pPr>
              <w:pStyle w:val="Compact"/>
              <w:jc w:val="left"/>
            </w:pPr>
            <w:r>
              <w:rPr>
                <w:b/>
                <w:bCs/>
              </w:rPr>
              <w:t xml:space="preserve">High</w:t>
            </w:r>
          </w:p>
        </w:tc>
        <w:tc>
          <w:tcPr/>
          <w:p>
            <w:pPr>
              <w:pStyle w:val="Compact"/>
              <w:jc w:val="left"/>
            </w:pPr>
            <w:r>
              <w:t xml:space="preserve">Consolidate to a single institution/seat; unify governing law or harmonize procedural calendar</w:t>
            </w:r>
          </w:p>
        </w:tc>
      </w:tr>
      <w:tr>
        <w:tc>
          <w:tcPr/>
          <w:p>
            <w:pPr>
              <w:pStyle w:val="Compact"/>
              <w:jc w:val="left"/>
            </w:pPr>
            <w:r>
              <w:t xml:space="preserve">H2</w:t>
            </w:r>
          </w:p>
        </w:tc>
        <w:tc>
          <w:tcPr/>
          <w:p>
            <w:pPr>
              <w:pStyle w:val="Compact"/>
              <w:jc w:val="left"/>
            </w:pPr>
            <w:r>
              <w:t xml:space="preserve">No third-party joinder; co-manufacturer parallel proceedings</w:t>
            </w:r>
          </w:p>
        </w:tc>
        <w:tc>
          <w:tcPr/>
          <w:p>
            <w:pPr>
              <w:pStyle w:val="Compact"/>
              <w:jc w:val="left"/>
            </w:pPr>
            <w:r>
              <w:t xml:space="preserve">SA §14.1; QA §7; IPLA §9</w:t>
            </w:r>
          </w:p>
        </w:tc>
        <w:tc>
          <w:tcPr/>
          <w:p>
            <w:pPr>
              <w:pStyle w:val="Compact"/>
              <w:jc w:val="left"/>
            </w:pPr>
            <w:r>
              <w:rPr>
                <w:b/>
                <w:bCs/>
              </w:rPr>
              <w:t xml:space="preserve">High</w:t>
            </w:r>
          </w:p>
        </w:tc>
        <w:tc>
          <w:tcPr/>
          <w:p>
            <w:pPr>
              <w:pStyle w:val="Compact"/>
              <w:jc w:val="left"/>
            </w:pPr>
            <w:r>
              <w:t xml:space="preserve">Add contractual joinder/consent mechanism or a litigation carve-out for multi-party quality disputes; require compatible co-man arbitration clauses</w:t>
            </w:r>
          </w:p>
        </w:tc>
      </w:tr>
      <w:tr>
        <w:tc>
          <w:tcPr/>
          <w:p>
            <w:pPr>
              <w:pStyle w:val="Compact"/>
              <w:jc w:val="left"/>
            </w:pPr>
            <w:r>
              <w:t xml:space="preserve">H3</w:t>
            </w:r>
          </w:p>
        </w:tc>
        <w:tc>
          <w:tcPr/>
          <w:p>
            <w:pPr>
              <w:pStyle w:val="Compact"/>
              <w:jc w:val="left"/>
            </w:pPr>
            <w:r>
              <w:t xml:space="preserve">Blanket discovery prohibition; asymmetric evidence access</w:t>
            </w:r>
          </w:p>
        </w:tc>
        <w:tc>
          <w:tcPr/>
          <w:p>
            <w:pPr>
              <w:pStyle w:val="Compact"/>
              <w:jc w:val="left"/>
            </w:pPr>
            <w:r>
              <w:t xml:space="preserve">SA §14.5</w:t>
            </w:r>
          </w:p>
        </w:tc>
        <w:tc>
          <w:tcPr/>
          <w:p>
            <w:pPr>
              <w:pStyle w:val="Compact"/>
              <w:jc w:val="left"/>
            </w:pPr>
            <w:r>
              <w:rPr>
                <w:b/>
                <w:bCs/>
              </w:rPr>
              <w:t xml:space="preserve">High</w:t>
            </w:r>
          </w:p>
        </w:tc>
        <w:tc>
          <w:tcPr/>
          <w:p>
            <w:pPr>
              <w:pStyle w:val="Compact"/>
              <w:jc w:val="left"/>
            </w:pPr>
            <w:r>
              <w:t xml:space="preserve">Replace with limited IBA-style document production under tribunal case management and protective orders</w:t>
            </w:r>
          </w:p>
        </w:tc>
      </w:tr>
      <w:tr>
        <w:tc>
          <w:tcPr/>
          <w:p>
            <w:pPr>
              <w:pStyle w:val="Compact"/>
              <w:jc w:val="left"/>
            </w:pPr>
            <w:r>
              <w:t xml:space="preserve">H4</w:t>
            </w:r>
          </w:p>
        </w:tc>
        <w:tc>
          <w:tcPr/>
          <w:p>
            <w:pPr>
              <w:pStyle w:val="Compact"/>
              <w:jc w:val="left"/>
            </w:pPr>
            <w:r>
              <w:t xml:space="preserve">One-year limitation period; latent-defect and UCC-accrual problems</w:t>
            </w:r>
          </w:p>
        </w:tc>
        <w:tc>
          <w:tcPr/>
          <w:p>
            <w:pPr>
              <w:pStyle w:val="Compact"/>
              <w:jc w:val="left"/>
            </w:pPr>
            <w:r>
              <w:t xml:space="preserve">SA §14.9; SA §7.3; QA §5.1</w:t>
            </w:r>
          </w:p>
        </w:tc>
        <w:tc>
          <w:tcPr/>
          <w:p>
            <w:pPr>
              <w:pStyle w:val="Compact"/>
              <w:jc w:val="left"/>
            </w:pPr>
            <w:r>
              <w:rPr>
                <w:b/>
                <w:bCs/>
              </w:rPr>
              <w:t xml:space="preserve">High</w:t>
            </w:r>
          </w:p>
        </w:tc>
        <w:tc>
          <w:tcPr/>
          <w:p>
            <w:pPr>
              <w:pStyle w:val="Compact"/>
              <w:jc w:val="left"/>
            </w:pPr>
            <w:r>
              <w:t xml:space="preserve">Extend to ≥3 years for goods/warranty claims; exclude indemnity/IP/confidentiality; align accrual with latent-defect windows; add tolling</w:t>
            </w:r>
          </w:p>
        </w:tc>
      </w:tr>
      <w:tr>
        <w:tc>
          <w:tcPr/>
          <w:p>
            <w:pPr>
              <w:pStyle w:val="Compact"/>
              <w:jc w:val="left"/>
            </w:pPr>
            <w:r>
              <w:t xml:space="preserve">H5</w:t>
            </w:r>
          </w:p>
        </w:tc>
        <w:tc>
          <w:tcPr/>
          <w:p>
            <w:pPr>
              <w:pStyle w:val="Compact"/>
              <w:jc w:val="left"/>
            </w:pPr>
            <w:r>
              <w:t xml:space="preserve">Expert determination</w:t>
            </w:r>
            <w:r>
              <w:t xml:space="preserve"> </w:t>
            </w:r>
            <w:r>
              <w:t xml:space="preserve">“</w:t>
            </w:r>
            <w:r>
              <w:t xml:space="preserve">finality</w:t>
            </w:r>
            <w:r>
              <w:t xml:space="preserve">”</w:t>
            </w:r>
            <w:r>
              <w:t xml:space="preserve"> </w:t>
            </w:r>
            <w:r>
              <w:t xml:space="preserve">undermined by challenge-escalation; $5M threshold ambiguity</w:t>
            </w:r>
          </w:p>
        </w:tc>
        <w:tc>
          <w:tcPr/>
          <w:p>
            <w:pPr>
              <w:pStyle w:val="Compact"/>
              <w:jc w:val="left"/>
            </w:pPr>
            <w:r>
              <w:t xml:space="preserve">QA §7.1, §7.2</w:t>
            </w:r>
          </w:p>
        </w:tc>
        <w:tc>
          <w:tcPr/>
          <w:p>
            <w:pPr>
              <w:pStyle w:val="Compact"/>
              <w:jc w:val="left"/>
            </w:pPr>
            <w:r>
              <w:rPr>
                <w:b/>
                <w:bCs/>
              </w:rPr>
              <w:t xml:space="preserve">High</w:t>
            </w:r>
          </w:p>
        </w:tc>
        <w:tc>
          <w:tcPr/>
          <w:p>
            <w:pPr>
              <w:pStyle w:val="Compact"/>
              <w:jc w:val="left"/>
            </w:pPr>
            <w:r>
              <w:t xml:space="preserve">Make expert determination final below threshold (narrow challenge grounds only); clarify valuation and recall-dispute routing</w:t>
            </w:r>
          </w:p>
        </w:tc>
      </w:tr>
      <w:tr>
        <w:tc>
          <w:tcPr/>
          <w:p>
            <w:pPr>
              <w:pStyle w:val="Compact"/>
              <w:jc w:val="left"/>
            </w:pPr>
            <w:r>
              <w:t xml:space="preserve">H6</w:t>
            </w:r>
          </w:p>
        </w:tc>
        <w:tc>
          <w:tcPr/>
          <w:p>
            <w:pPr>
              <w:pStyle w:val="Compact"/>
              <w:jc w:val="left"/>
            </w:pPr>
            <w:r>
              <w:t xml:space="preserve">Indemnification / consequential-damages tension in the SA</w:t>
            </w:r>
          </w:p>
        </w:tc>
        <w:tc>
          <w:tcPr/>
          <w:p>
            <w:pPr>
              <w:pStyle w:val="Compact"/>
              <w:jc w:val="left"/>
            </w:pPr>
            <w:r>
              <w:t xml:space="preserve">SA §11.1, §11.2, §14.11; IPLA §8.3</w:t>
            </w:r>
          </w:p>
        </w:tc>
        <w:tc>
          <w:tcPr/>
          <w:p>
            <w:pPr>
              <w:pStyle w:val="Compact"/>
              <w:jc w:val="left"/>
            </w:pPr>
            <w:r>
              <w:rPr>
                <w:b/>
                <w:bCs/>
              </w:rPr>
              <w:t xml:space="preserve">High</w:t>
            </w:r>
          </w:p>
        </w:tc>
        <w:tc>
          <w:tcPr/>
          <w:p>
            <w:pPr>
              <w:pStyle w:val="Compact"/>
              <w:jc w:val="left"/>
            </w:pPr>
            <w:r>
              <w:t xml:space="preserve">Add indemnification carve-out to SA §14.11; reconcile with §11.2; mirror IPLA §8.3</w:t>
            </w:r>
          </w:p>
        </w:tc>
      </w:tr>
      <w:tr>
        <w:tc>
          <w:tcPr/>
          <w:p>
            <w:pPr>
              <w:pStyle w:val="Compact"/>
              <w:jc w:val="left"/>
            </w:pPr>
            <w:r>
              <w:t xml:space="preserve">M1</w:t>
            </w:r>
          </w:p>
        </w:tc>
        <w:tc>
          <w:tcPr/>
          <w:p>
            <w:pPr>
              <w:pStyle w:val="Compact"/>
              <w:jc w:val="left"/>
            </w:pPr>
            <w:r>
              <w:t xml:space="preserve">Inconsistent cost-allocation regimes</w:t>
            </w:r>
          </w:p>
        </w:tc>
        <w:tc>
          <w:tcPr/>
          <w:p>
            <w:pPr>
              <w:pStyle w:val="Compact"/>
              <w:jc w:val="left"/>
            </w:pPr>
            <w:r>
              <w:t xml:space="preserve">SA §14.8; IPLA §9.4; QA §7.1</w:t>
            </w:r>
          </w:p>
        </w:tc>
        <w:tc>
          <w:tcPr/>
          <w:p>
            <w:pPr>
              <w:pStyle w:val="Compact"/>
              <w:jc w:val="left"/>
            </w:pPr>
            <w:r>
              <w:rPr>
                <w:b/>
                <w:bCs/>
              </w:rPr>
              <w:t xml:space="preserve">Medium</w:t>
            </w:r>
          </w:p>
        </w:tc>
        <w:tc>
          <w:tcPr/>
          <w:p>
            <w:pPr>
              <w:pStyle w:val="Compact"/>
              <w:jc w:val="left"/>
            </w:pPr>
            <w:r>
              <w:t xml:space="preserve">Adopt a single cost rule across all three documents</w:t>
            </w:r>
          </w:p>
        </w:tc>
      </w:tr>
      <w:tr>
        <w:tc>
          <w:tcPr/>
          <w:p>
            <w:pPr>
              <w:pStyle w:val="Compact"/>
              <w:jc w:val="left"/>
            </w:pPr>
            <w:r>
              <w:t xml:space="preserve">M2</w:t>
            </w:r>
          </w:p>
        </w:tc>
        <w:tc>
          <w:tcPr/>
          <w:p>
            <w:pPr>
              <w:pStyle w:val="Compact"/>
              <w:jc w:val="left"/>
            </w:pPr>
            <w:r>
              <w:t xml:space="preserve">Governing-law fragmentation +</w:t>
            </w:r>
            <w:r>
              <w:t xml:space="preserve"> </w:t>
            </w:r>
            <w:r>
              <w:t xml:space="preserve">“</w:t>
            </w:r>
            <w:r>
              <w:t xml:space="preserve">general principles</w:t>
            </w:r>
            <w:r>
              <w:t xml:space="preserve">”</w:t>
            </w:r>
            <w:r>
              <w:t xml:space="preserve"> </w:t>
            </w:r>
            <w:r>
              <w:t xml:space="preserve">fallback</w:t>
            </w:r>
          </w:p>
        </w:tc>
        <w:tc>
          <w:tcPr/>
          <w:p>
            <w:pPr>
              <w:pStyle w:val="Compact"/>
              <w:jc w:val="left"/>
            </w:pPr>
            <w:r>
              <w:t xml:space="preserve">SA §14.4, §15.11; QA §7.3; IPLA §9.2</w:t>
            </w:r>
          </w:p>
        </w:tc>
        <w:tc>
          <w:tcPr/>
          <w:p>
            <w:pPr>
              <w:pStyle w:val="Compact"/>
              <w:jc w:val="left"/>
            </w:pPr>
            <w:r>
              <w:rPr>
                <w:b/>
                <w:bCs/>
              </w:rPr>
              <w:t xml:space="preserve">Medium</w:t>
            </w:r>
          </w:p>
        </w:tc>
        <w:tc>
          <w:tcPr/>
          <w:p>
            <w:pPr>
              <w:pStyle w:val="Compact"/>
              <w:jc w:val="left"/>
            </w:pPr>
            <w:r>
              <w:t xml:space="preserve">Delete the fallback; conform §14.4 to §15.11; harmonize governing-law clauses</w:t>
            </w:r>
          </w:p>
        </w:tc>
      </w:tr>
      <w:tr>
        <w:tc>
          <w:tcPr/>
          <w:p>
            <w:pPr>
              <w:pStyle w:val="Compact"/>
              <w:jc w:val="left"/>
            </w:pPr>
            <w:r>
              <w:t xml:space="preserve">M3</w:t>
            </w:r>
          </w:p>
        </w:tc>
        <w:tc>
          <w:tcPr/>
          <w:p>
            <w:pPr>
              <w:pStyle w:val="Compact"/>
              <w:jc w:val="left"/>
            </w:pPr>
            <w:r>
              <w:t xml:space="preserve">Number-of-arbitrators inconsistency; unilateral cost-escalation trigger</w:t>
            </w:r>
          </w:p>
        </w:tc>
        <w:tc>
          <w:tcPr/>
          <w:p>
            <w:pPr>
              <w:pStyle w:val="Compact"/>
              <w:jc w:val="left"/>
            </w:pPr>
            <w:r>
              <w:t xml:space="preserve">SA §14.3; IPLA §9.1; QA §7.2</w:t>
            </w:r>
          </w:p>
        </w:tc>
        <w:tc>
          <w:tcPr/>
          <w:p>
            <w:pPr>
              <w:pStyle w:val="Compact"/>
              <w:jc w:val="left"/>
            </w:pPr>
            <w:r>
              <w:rPr>
                <w:b/>
                <w:bCs/>
              </w:rPr>
              <w:t xml:space="preserve">Medium</w:t>
            </w:r>
          </w:p>
        </w:tc>
        <w:tc>
          <w:tcPr/>
          <w:p>
            <w:pPr>
              <w:pStyle w:val="Compact"/>
              <w:jc w:val="left"/>
            </w:pPr>
            <w:r>
              <w:t xml:space="preserve">Harmonize tribunal size; tie escalation to an objective threshold or mutual agreement</w:t>
            </w:r>
          </w:p>
        </w:tc>
      </w:tr>
      <w:tr>
        <w:tc>
          <w:tcPr/>
          <w:p>
            <w:pPr>
              <w:pStyle w:val="Compact"/>
              <w:jc w:val="left"/>
            </w:pPr>
            <w:r>
              <w:t xml:space="preserve">M4</w:t>
            </w:r>
          </w:p>
        </w:tc>
        <w:tc>
          <w:tcPr/>
          <w:p>
            <w:pPr>
              <w:pStyle w:val="Compact"/>
              <w:jc w:val="left"/>
            </w:pPr>
            <w:r>
              <w:t xml:space="preserve">Expert neutrality strictness + 60-day determination window</w:t>
            </w:r>
          </w:p>
        </w:tc>
        <w:tc>
          <w:tcPr/>
          <w:p>
            <w:pPr>
              <w:pStyle w:val="Compact"/>
              <w:jc w:val="left"/>
            </w:pPr>
            <w:r>
              <w:t xml:space="preserve">QA §7.1</w:t>
            </w:r>
          </w:p>
        </w:tc>
        <w:tc>
          <w:tcPr/>
          <w:p>
            <w:pPr>
              <w:pStyle w:val="Compact"/>
              <w:jc w:val="left"/>
            </w:pPr>
            <w:r>
              <w:rPr>
                <w:b/>
                <w:bCs/>
              </w:rPr>
              <w:t xml:space="preserve">Medium</w:t>
            </w:r>
          </w:p>
        </w:tc>
        <w:tc>
          <w:tcPr/>
          <w:p>
            <w:pPr>
              <w:pStyle w:val="Compact"/>
              <w:jc w:val="left"/>
            </w:pPr>
            <w:r>
              <w:t xml:space="preserve">Soften to</w:t>
            </w:r>
            <w:r>
              <w:t xml:space="preserve"> </w:t>
            </w:r>
            <w:r>
              <w:t xml:space="preserve">“</w:t>
            </w:r>
            <w:r>
              <w:t xml:space="preserve">no material current conflict</w:t>
            </w:r>
            <w:r>
              <w:t xml:space="preserve">”</w:t>
            </w:r>
            <w:r>
              <w:t xml:space="preserve">; extend default window to 90 days with extension right</w:t>
            </w:r>
          </w:p>
        </w:tc>
      </w:tr>
      <w:tr>
        <w:tc>
          <w:tcPr/>
          <w:p>
            <w:pPr>
              <w:pStyle w:val="Compact"/>
              <w:jc w:val="left"/>
            </w:pPr>
            <w:r>
              <w:t xml:space="preserve">L1</w:t>
            </w:r>
          </w:p>
        </w:tc>
        <w:tc>
          <w:tcPr/>
          <w:p>
            <w:pPr>
              <w:pStyle w:val="Compact"/>
              <w:jc w:val="left"/>
            </w:pPr>
            <w:r>
              <w:t xml:space="preserve">Interim-relief carve-out inconsistency</w:t>
            </w:r>
          </w:p>
        </w:tc>
        <w:tc>
          <w:tcPr/>
          <w:p>
            <w:pPr>
              <w:pStyle w:val="Compact"/>
              <w:jc w:val="left"/>
            </w:pPr>
            <w:r>
              <w:t xml:space="preserve">SA §14.7; IPLA §9; QA §7</w:t>
            </w:r>
          </w:p>
        </w:tc>
        <w:tc>
          <w:tcPr/>
          <w:p>
            <w:pPr>
              <w:pStyle w:val="Compact"/>
              <w:jc w:val="left"/>
            </w:pPr>
            <w:r>
              <w:rPr>
                <w:b/>
                <w:bCs/>
              </w:rPr>
              <w:t xml:space="preserve">Low</w:t>
            </w:r>
          </w:p>
        </w:tc>
        <w:tc>
          <w:tcPr/>
          <w:p>
            <w:pPr>
              <w:pStyle w:val="Compact"/>
              <w:jc w:val="left"/>
            </w:pPr>
            <w:r>
              <w:t xml:space="preserve">Add equivalent carve-out to IPLA/QA or unify</w:t>
            </w:r>
          </w:p>
        </w:tc>
      </w:tr>
      <w:tr>
        <w:tc>
          <w:tcPr/>
          <w:p>
            <w:pPr>
              <w:pStyle w:val="Compact"/>
              <w:jc w:val="left"/>
            </w:pPr>
            <w:r>
              <w:t xml:space="preserve">L2</w:t>
            </w:r>
          </w:p>
        </w:tc>
        <w:tc>
          <w:tcPr/>
          <w:p>
            <w:pPr>
              <w:pStyle w:val="Compact"/>
              <w:jc w:val="left"/>
            </w:pPr>
            <w:r>
              <w:t xml:space="preserve">Confidentiality-of-proceedings inconsistency</w:t>
            </w:r>
          </w:p>
        </w:tc>
        <w:tc>
          <w:tcPr/>
          <w:p>
            <w:pPr>
              <w:pStyle w:val="Compact"/>
              <w:jc w:val="left"/>
            </w:pPr>
            <w:r>
              <w:t xml:space="preserve">SA §14.10; IPLA §9; QA §7</w:t>
            </w:r>
          </w:p>
        </w:tc>
        <w:tc>
          <w:tcPr/>
          <w:p>
            <w:pPr>
              <w:pStyle w:val="Compact"/>
              <w:jc w:val="left"/>
            </w:pPr>
            <w:r>
              <w:rPr>
                <w:b/>
                <w:bCs/>
              </w:rPr>
              <w:t xml:space="preserve">Low</w:t>
            </w:r>
          </w:p>
        </w:tc>
        <w:tc>
          <w:tcPr/>
          <w:p>
            <w:pPr>
              <w:pStyle w:val="Compact"/>
              <w:jc w:val="left"/>
            </w:pPr>
            <w:r>
              <w:t xml:space="preserve">Harmonize; add carve-out for related court proceedings and award enforcement</w:t>
            </w:r>
          </w:p>
        </w:tc>
      </w:tr>
      <w:tr>
        <w:tc>
          <w:tcPr/>
          <w:p>
            <w:pPr>
              <w:pStyle w:val="Compact"/>
              <w:jc w:val="left"/>
            </w:pPr>
            <w:r>
              <w:t xml:space="preserve">L3</w:t>
            </w:r>
          </w:p>
        </w:tc>
        <w:tc>
          <w:tcPr/>
          <w:p>
            <w:pPr>
              <w:pStyle w:val="Compact"/>
              <w:jc w:val="left"/>
            </w:pPr>
            <w:r>
              <w:t xml:space="preserve">Seat/venue split contributes to fragmentation</w:t>
            </w:r>
          </w:p>
        </w:tc>
        <w:tc>
          <w:tcPr/>
          <w:p>
            <w:pPr>
              <w:pStyle w:val="Compact"/>
              <w:jc w:val="left"/>
            </w:pPr>
            <w:r>
              <w:t xml:space="preserve">SA §14.2</w:t>
            </w:r>
          </w:p>
        </w:tc>
        <w:tc>
          <w:tcPr/>
          <w:p>
            <w:pPr>
              <w:pStyle w:val="Compact"/>
              <w:jc w:val="left"/>
            </w:pPr>
            <w:r>
              <w:rPr>
                <w:b/>
                <w:bCs/>
              </w:rPr>
              <w:t xml:space="preserve">Low</w:t>
            </w:r>
          </w:p>
        </w:tc>
        <w:tc>
          <w:tcPr/>
          <w:p>
            <w:pPr>
              <w:pStyle w:val="Compact"/>
              <w:jc w:val="left"/>
            </w:pPr>
            <w:r>
              <w:t xml:space="preserve">No change if C1/C2 resolved; resolves itself if architecture unified</w:t>
            </w:r>
          </w:p>
        </w:tc>
      </w:tr>
      <w:tr>
        <w:tc>
          <w:tcPr/>
          <w:p>
            <w:pPr>
              <w:pStyle w:val="Compact"/>
              <w:jc w:val="left"/>
            </w:pPr>
            <w:r>
              <w:t xml:space="preserve">L4</w:t>
            </w:r>
          </w:p>
        </w:tc>
        <w:tc>
          <w:tcPr/>
          <w:p>
            <w:pPr>
              <w:pStyle w:val="Compact"/>
              <w:jc w:val="left"/>
            </w:pPr>
            <w:r>
              <w:t xml:space="preserve">Survival/termination × limitation-period interaction</w:t>
            </w:r>
          </w:p>
        </w:tc>
        <w:tc>
          <w:tcPr/>
          <w:p>
            <w:pPr>
              <w:pStyle w:val="Compact"/>
              <w:jc w:val="left"/>
            </w:pPr>
            <w:r>
              <w:t xml:space="preserve">IPLA §6.3, §6.5(c); SA §13.5, §14.9</w:t>
            </w:r>
          </w:p>
        </w:tc>
        <w:tc>
          <w:tcPr/>
          <w:p>
            <w:pPr>
              <w:pStyle w:val="Compact"/>
              <w:jc w:val="left"/>
            </w:pPr>
            <w:r>
              <w:rPr>
                <w:b/>
                <w:bCs/>
              </w:rPr>
              <w:t xml:space="preserve">Low</w:t>
            </w:r>
          </w:p>
        </w:tc>
        <w:tc>
          <w:tcPr/>
          <w:p>
            <w:pPr>
              <w:pStyle w:val="Compact"/>
              <w:jc w:val="left"/>
            </w:pPr>
            <w:r>
              <w:t xml:space="preserve">Addressed via H4; confirm survival of DR clauses in all three documents</w:t>
            </w:r>
          </w:p>
        </w:tc>
      </w:tr>
    </w:tbl>
    <w:p>
      <w:r>
        <w:pict>
          <v:rect style="width:0;height:1.5pt" o:hralign="center" o:hrstd="t" o:hr="t"/>
        </w:pict>
      </w:r>
    </w:p>
    <w:bookmarkEnd w:id="47"/>
    <w:bookmarkStart w:id="48" w:name="ix.-recommended-action-plan"/>
    <w:p>
      <w:pPr>
        <w:pStyle w:val="Heading2"/>
      </w:pPr>
      <w:r>
        <w:t xml:space="preserve">IX. Recommended Action Plan</w:t>
      </w:r>
    </w:p>
    <w:p>
      <w:pPr>
        <w:pStyle w:val="FirstParagraph"/>
      </w:pPr>
      <w:r>
        <w:t xml:space="preserve">We recommend the following sequence, calibrated to the July 11, 2025 review deadline and the July 18, 2025 signing target:</w:t>
      </w:r>
    </w:p>
    <w:p>
      <w:pPr>
        <w:numPr>
          <w:ilvl w:val="0"/>
          <w:numId w:val="1022"/>
        </w:numPr>
      </w:pPr>
      <w:r>
        <w:rPr>
          <w:b/>
          <w:bCs/>
        </w:rPr>
        <w:t xml:space="preserve">Resolve the three Critical issues first (C1–C3).</w:t>
      </w:r>
      <w:r>
        <w:t xml:space="preserve"> </w:t>
      </w:r>
      <w:r>
        <w:t xml:space="preserve">These are the only items that, in our view, warrant holding signing. Present C1 and C2 to Harmon &amp; Grey as technical defects (the hierarchy contradiction and the Singapore-appeal error are drafting problems on any view, including Pacifica’s). Present C3 as a commercial negotiation with the carve-out/cap options above. The HG Memo’s express openness to</w:t>
      </w:r>
      <w:r>
        <w:t xml:space="preserve"> </w:t>
      </w:r>
      <w:r>
        <w:t xml:space="preserve">“</w:t>
      </w:r>
      <w:r>
        <w:t xml:space="preserve">reasonable adjustments</w:t>
      </w:r>
      <w:r>
        <w:t xml:space="preserve">”</w:t>
      </w:r>
      <w:r>
        <w:t xml:space="preserve"> </w:t>
      </w:r>
      <w:r>
        <w:t xml:space="preserve">and to</w:t>
      </w:r>
      <w:r>
        <w:t xml:space="preserve"> </w:t>
      </w:r>
      <w:r>
        <w:t xml:space="preserve">“</w:t>
      </w:r>
      <w:r>
        <w:t xml:space="preserve">harmoniz[ing] certain procedural aspects</w:t>
      </w:r>
      <w:r>
        <w:t xml:space="preserve">”</w:t>
      </w:r>
      <w:r>
        <w:t xml:space="preserve"> </w:t>
      </w:r>
      <w:r>
        <w:t xml:space="preserve">provides a constructive entry point for all three.</w:t>
      </w:r>
    </w:p>
    <w:p>
      <w:pPr>
        <w:numPr>
          <w:ilvl w:val="0"/>
          <w:numId w:val="1022"/>
        </w:numPr>
      </w:pPr>
      <w:r>
        <w:rPr>
          <w:b/>
          <w:bCs/>
        </w:rPr>
        <w:t xml:space="preserve">Negotiate the High-severity issues as a package (H1–H6).</w:t>
      </w:r>
      <w:r>
        <w:t xml:space="preserve"> </w:t>
      </w:r>
      <w:r>
        <w:t xml:space="preserve">These are interrelated: a unified forum (H1) enables a unified joinder mechanism (H2), a unified discovery regime (H3), a unified cost rule (M1), and a unified tribunal-size rule (M3). Negotiating them together avoids re-litigating the architecture piecemeal. The consequential-damages and indemnification items (C3, H6) should be handled in the same pass as the liability-cap and damages-exclusion provisions (SA Art. 11).</w:t>
      </w:r>
    </w:p>
    <w:p>
      <w:pPr>
        <w:numPr>
          <w:ilvl w:val="0"/>
          <w:numId w:val="1022"/>
        </w:numPr>
      </w:pPr>
      <w:r>
        <w:rPr>
          <w:b/>
          <w:bCs/>
        </w:rPr>
        <w:t xml:space="preserve">Clean up the Medium and Low issues in the same drafting pass (M1–M4, L1–L4).</w:t>
      </w:r>
      <w:r>
        <w:t xml:space="preserve"> </w:t>
      </w:r>
      <w:r>
        <w:t xml:space="preserve">These are low-controversy consistency items that can be resolved by conforming edits once the architecture is settled.</w:t>
      </w:r>
    </w:p>
    <w:p>
      <w:pPr>
        <w:numPr>
          <w:ilvl w:val="0"/>
          <w:numId w:val="1022"/>
        </w:numPr>
      </w:pPr>
      <w:r>
        <w:rPr>
          <w:b/>
          <w:bCs/>
        </w:rPr>
        <w:t xml:space="preserve">Obtain a confirmatory opinion from Singapore counsel</w:t>
      </w:r>
      <w:r>
        <w:t xml:space="preserve"> </w:t>
      </w:r>
      <w:r>
        <w:t xml:space="preserve">on (a) the unavailability of an appeal on questions of law under the IAA (C2), and (b) the enforceability of the one-year limitation period as applied to non-UCC claims (H4). Both points are central and should not rest on this memo alone.</w:t>
      </w:r>
    </w:p>
    <w:p>
      <w:pPr>
        <w:numPr>
          <w:ilvl w:val="0"/>
          <w:numId w:val="1022"/>
        </w:numPr>
      </w:pPr>
      <w:r>
        <w:rPr>
          <w:b/>
          <w:bCs/>
        </w:rPr>
        <w:t xml:space="preserve">Address the co-manufacturer dimension proactively (H2).</w:t>
      </w:r>
      <w:r>
        <w:t xml:space="preserve"> </w:t>
      </w:r>
      <w:r>
        <w:t xml:space="preserve">Begin aligning Greenleaf’s co-manufacturing agreements (including the new Q1 2026 co-man) toward a compatible arbitration clause or a coordinated litigation carve-out, so that the joinder gap does not persist by default.</w:t>
      </w:r>
    </w:p>
    <w:p>
      <w:pPr>
        <w:numPr>
          <w:ilvl w:val="0"/>
          <w:numId w:val="1022"/>
        </w:numPr>
      </w:pPr>
      <w:r>
        <w:rPr>
          <w:b/>
          <w:bCs/>
        </w:rPr>
        <w:t xml:space="preserve">Document the negotiation record.</w:t>
      </w:r>
      <w:r>
        <w:t xml:space="preserve"> </w:t>
      </w:r>
      <w:r>
        <w:t xml:space="preserve">Given Pacifica’s 2023 experience with a</w:t>
      </w:r>
      <w:r>
        <w:t xml:space="preserve"> </w:t>
      </w:r>
      <w:r>
        <w:t xml:space="preserve">“</w:t>
      </w:r>
      <w:r>
        <w:t xml:space="preserve">pathological</w:t>
      </w:r>
      <w:r>
        <w:t xml:space="preserve">”</w:t>
      </w:r>
      <w:r>
        <w:t xml:space="preserve"> </w:t>
      </w:r>
      <w:r>
        <w:t xml:space="preserve">clause, ensure that the final clauses are unambiguous as to institution, seat, governing law, tribunal size, consolidation/joinder, and finality, and that the hierarchy/consolidation provisions are identical across all three documents.</w:t>
      </w:r>
    </w:p>
    <w:p>
      <w:r>
        <w:pict>
          <v:rect style="width:0;height:1.5pt" o:hralign="center" o:hrstd="t" o:hr="t"/>
        </w:pict>
      </w:r>
    </w:p>
    <w:bookmarkEnd w:id="48"/>
    <w:bookmarkStart w:id="49" w:name="x.-conclusion"/>
    <w:p>
      <w:pPr>
        <w:pStyle w:val="Heading2"/>
      </w:pPr>
      <w:r>
        <w:t xml:space="preserve">X. Conclusion</w:t>
      </w:r>
    </w:p>
    <w:p>
      <w:pPr>
        <w:pStyle w:val="FirstParagraph"/>
      </w:pPr>
      <w:r>
        <w:t xml:space="preserve">The dispute resolution architecture as drafted reflects a thoughtful</w:t>
      </w:r>
      <w:r>
        <w:t xml:space="preserve"> </w:t>
      </w:r>
      <w:r>
        <w:rPr>
          <w:i/>
          <w:iCs/>
        </w:rPr>
        <w:t xml:space="preserve">conceptual</w:t>
      </w:r>
      <w:r>
        <w:t xml:space="preserve"> </w:t>
      </w:r>
      <w:r>
        <w:t xml:space="preserve">ambition — matching forum to subject matter — but it fails at the points of overlap between the three agreements, which are precisely the points where disputes will arise. Two of the provisions (the dueling hierarchy/consolidation clauses in C1 and the Singapore appeal-on-law in C2) reintroduce the</w:t>
      </w:r>
      <w:r>
        <w:t xml:space="preserve"> </w:t>
      </w:r>
      <w:r>
        <w:t xml:space="preserve">“</w:t>
      </w:r>
      <w:r>
        <w:t xml:space="preserve">pathological clause</w:t>
      </w:r>
      <w:r>
        <w:t xml:space="preserve">”</w:t>
      </w:r>
      <w:r>
        <w:t xml:space="preserve"> </w:t>
      </w:r>
      <w:r>
        <w:t xml:space="preserve">pathology that Harmon &amp; Grey states it was trying to eliminate, and one (the consequential-damages waiver in C3) is a deal-blocking commercial exposure. The High-severity issues compound these defects with fragmented forums, no joinder mechanism, an asymmetric discovery bar, an aggressive limitation period, a non-final expert step, and an indemnification/damages tension.</w:t>
      </w:r>
    </w:p>
    <w:p>
      <w:pPr>
        <w:pStyle w:val="BodyText"/>
      </w:pPr>
      <w:r>
        <w:t xml:space="preserve">All of these issues are fixable before the July 18, 2025 signing target, and most can be resolved by</w:t>
      </w:r>
      <w:r>
        <w:t xml:space="preserve"> </w:t>
      </w:r>
      <w:r>
        <w:rPr>
          <w:b/>
          <w:bCs/>
        </w:rPr>
        <w:t xml:space="preserve">unifying the dispute-resolution architecture</w:t>
      </w:r>
      <w:r>
        <w:t xml:space="preserve"> </w:t>
      </w:r>
      <w:r>
        <w:t xml:space="preserve">(single institution, single seat, single governing law, single hierarchy clause, single cost rule) while preserving a tiered expert-determination step for routine technical disputes. We recommend prioritizing the three Critical issues for immediate negotiation and packaging the High-severity issues for a single architectural renegotiation.</w:t>
      </w:r>
    </w:p>
    <w:p>
      <w:r>
        <w:pict>
          <v:rect style="width:0;height:1.5pt" o:hralign="center" o:hrstd="t" o:hr="t"/>
        </w:pict>
      </w:r>
    </w:p>
    <w:p>
      <w:pPr>
        <w:pStyle w:val="FirstParagraph"/>
      </w:pPr>
      <w:r>
        <w:rPr>
          <w:i/>
          <w:iCs/>
        </w:rPr>
        <w:t xml:space="preserve">This memorandum is a preliminary review prepared to facilitate negotiation of the dispute resolution provisions. It is not a final legal opinion, and the enforceability conclusions (particularly as to Singapore and New York law) should be confirmed by counsel licensed in the relevant jurisdictions. Severity ratings reflect this firm’s assessment of risk as of the date hereof and are subject to revision as negotiations develop.</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2026-06-28T18:08:51Z</dcterms:created>
  <dcterms:modified xsi:type="dcterms:W3CDTF">2026-06-28T18:08:51Z</dcterms:modified>
</cp:coreProperties>
</file>

<file path=docProps/custom.xml><?xml version="1.0" encoding="utf-8"?>
<Properties xmlns="http://schemas.openxmlformats.org/officeDocument/2006/custom-properties" xmlns:vt="http://schemas.openxmlformats.org/officeDocument/2006/docPropsVTypes"/>
</file>