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b00a8ce9f01252ee933d31ffed2c10f1672bce1"/>
    <w:p>
      <w:pPr>
        <w:pStyle w:val="Heading1"/>
      </w:pPr>
      <w:r>
        <w:t xml:space="preserve">PRIVILEGED &amp; CONFIDENTIAL — ATTORNEY-CLIENT COMMUNICATION / ATTORNEY WORK PRODUCT</w:t>
      </w:r>
    </w:p>
    <w:p>
      <w:pPr>
        <w:pStyle w:val="FirstParagraph"/>
      </w:pPr>
      <w:r>
        <w:rPr>
          <w:b/>
          <w:bCs/>
        </w:rPr>
        <w:t xml:space="preserve">WHITFIELD &amp; CRANE LLP</w:t>
      </w:r>
      <w:r>
        <w:t xml:space="preserve"> </w:t>
      </w:r>
      <w:r>
        <w:t xml:space="preserve">| 840 Third Avenue, 28th Floor, New York, NY 10022</w:t>
      </w:r>
    </w:p>
    <w:p>
      <w:pPr>
        <w:pStyle w:val="BodyText"/>
      </w:pPr>
      <w:r>
        <w:rPr>
          <w:b/>
          <w:bCs/>
        </w:rPr>
        <w:t xml:space="preserve">July 9, 2025</w:t>
      </w:r>
    </w:p>
    <w:p>
      <w:pPr>
        <w:pStyle w:val="BodyText"/>
      </w:pPr>
      <w:r>
        <w:rPr>
          <w:b/>
          <w:bCs/>
        </w:rPr>
        <w:t xml:space="preserve">TO:</w:t>
      </w:r>
      <w:r>
        <w:t xml:space="preserve"> </w:t>
      </w:r>
      <w:r>
        <w:t xml:space="preserve">Angela R. Matsuda, General Counsel, Greenleaf Nutritionals, Inc.</w:t>
      </w:r>
    </w:p>
    <w:p>
      <w:pPr>
        <w:pStyle w:val="BodyText"/>
      </w:pPr>
      <w:r>
        <w:rPr>
          <w:b/>
          <w:bCs/>
        </w:rPr>
        <w:t xml:space="preserve">CC:</w:t>
      </w:r>
      <w:r>
        <w:t xml:space="preserve"> </w:t>
      </w:r>
      <w:r>
        <w:t xml:space="preserve">David T. Heller, Chief Executive Officer, Greenleaf Nutritionals, Inc.; Jonathan F. Park, Deal Partner, Ridgeway Capital Partners</w:t>
      </w:r>
    </w:p>
    <w:p>
      <w:pPr>
        <w:pStyle w:val="BodyText"/>
      </w:pPr>
      <w:r>
        <w:rPr>
          <w:b/>
          <w:bCs/>
        </w:rPr>
        <w:t xml:space="preserve">FROM:</w:t>
      </w:r>
      <w:r>
        <w:t xml:space="preserve"> </w:t>
      </w:r>
      <w:r>
        <w:t xml:space="preserve">Marcus J. Elliott, Partner; Sophia Bransfield, Senior Associate — Whitfield &amp; Crane LLP</w:t>
      </w:r>
    </w:p>
    <w:p>
      <w:pPr>
        <w:pStyle w:val="BodyText"/>
      </w:pPr>
      <w:r>
        <w:rPr>
          <w:b/>
          <w:bCs/>
        </w:rPr>
        <w:t xml:space="preserve">RE:</w:t>
      </w:r>
      <w:r>
        <w:t xml:space="preserve"> </w:t>
      </w:r>
      <w:r>
        <w:t xml:space="preserve">Severity-Rated Issues and Recommendations — Arbitration &amp; Dispute Resolution Provisions (Exclusive Supply Agreement, Quality Assurance Side Letter, and IP License Agreement; Pacifica Botanics Pte. Ltd. / Greenleaf Nutritionals, Inc.)</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sets out our review of the arbitration and dispute resolution provisions across the three principal transaction documents (the</w:t>
      </w:r>
      <w:r>
        <w:t xml:space="preserve"> </w:t>
      </w:r>
      <w:r>
        <w:t xml:space="preserve">“</w:t>
      </w:r>
      <w:r>
        <w:t xml:space="preserve">Transaction Documents</w:t>
      </w:r>
      <w:r>
        <w:t xml:space="preserve">”</w:t>
      </w:r>
      <w:r>
        <w:t xml:space="preserve">) in the Pacifica/Greenleaf supply relationship — the Exclusive Supply Agreement (the</w:t>
      </w:r>
      <w:r>
        <w:t xml:space="preserve"> </w:t>
      </w:r>
      <w:r>
        <w:t xml:space="preserve">“</w:t>
      </w:r>
      <w:r>
        <w:t xml:space="preserve">SA</w:t>
      </w:r>
      <w:r>
        <w:t xml:space="preserve">”</w:t>
      </w:r>
      <w:r>
        <w:t xml:space="preserve">), the Quality Assurance Side Letter (the</w:t>
      </w:r>
      <w:r>
        <w:t xml:space="preserve"> </w:t>
      </w:r>
      <w:r>
        <w:t xml:space="preserve">“</w:t>
      </w:r>
      <w:r>
        <w:t xml:space="preserve">QA Letter</w:t>
      </w:r>
      <w:r>
        <w:t xml:space="preserve">”</w:t>
      </w:r>
      <w:r>
        <w:t xml:space="preserve">), and the IP License Agreement (the</w:t>
      </w:r>
      <w:r>
        <w:t xml:space="preserve"> </w:t>
      </w:r>
      <w:r>
        <w:t xml:space="preserve">“</w:t>
      </w:r>
      <w:r>
        <w:t xml:space="preserve">IPLA</w:t>
      </w:r>
      <w:r>
        <w:t xml:space="preserve">”</w:t>
      </w:r>
      <w:r>
        <w:t xml:space="preserve">) — together with the explanatory memorandum prepared by Harmon &amp; Grey LLP (Pacifica’s counsel) and Greenleaf’s internal instructions. We have identified sixteen issues, rated by severity, with recommended revisions for negotiation in advance of the July 18, 2025 signing.</w:t>
      </w:r>
    </w:p>
    <w:p>
      <w:pPr>
        <w:pStyle w:val="BodyText"/>
      </w:pPr>
      <w:r>
        <w:t xml:space="preserve">The architecture reflects thoughtful subject-matter tailoring, but it contains</w:t>
      </w:r>
      <w:r>
        <w:t xml:space="preserve"> </w:t>
      </w:r>
      <w:r>
        <w:rPr>
          <w:b/>
          <w:bCs/>
        </w:rPr>
        <w:t xml:space="preserve">three Critical defects</w:t>
      </w:r>
      <w:r>
        <w:t xml:space="preserve"> </w:t>
      </w:r>
      <w:r>
        <w:t xml:space="preserve">and</w:t>
      </w:r>
      <w:r>
        <w:t xml:space="preserve"> </w:t>
      </w:r>
      <w:r>
        <w:rPr>
          <w:b/>
          <w:bCs/>
        </w:rPr>
        <w:t xml:space="preserve">six High-severity structural gaps</w:t>
      </w:r>
      <w:r>
        <w:t xml:space="preserve">. Several of these recreate the very</w:t>
      </w:r>
      <w:r>
        <w:t xml:space="preserve"> </w:t>
      </w:r>
      <w:r>
        <w:t xml:space="preserve">“</w:t>
      </w:r>
      <w:r>
        <w:t xml:space="preserve">pathological clause</w:t>
      </w:r>
      <w:r>
        <w:t xml:space="preserve">”</w:t>
      </w:r>
      <w:r>
        <w:t xml:space="preserve"> </w:t>
      </w:r>
      <w:r>
        <w:t xml:space="preserve">and post-award enforcement-delay risk that Pacifica’s 2023 Hong Kong ICC arbitration prompted the architecture to avoid. The most serious problems are: (i) the consequential-damages waiver applied to an exclusive, 13-year, $178M+ supply relationship (Greenleaf’s identified walk-away issue); (ii) a direct jurisdictional conflict between the IPLA and the SA over which forum governs overlapping disputes; and (iii) an appeal-on-questions-of-law provision that is likely ineffective under Singapore law. We recommend resolving the Critical and High issues before signing, beginning with the damages and jurisdictional-conflict items.</w:t>
      </w:r>
    </w:p>
    <w:bookmarkStart w:id="20" w:name="severity-ratings-used-in-this-memorandum"/>
    <w:p>
      <w:pPr>
        <w:pStyle w:val="Heading3"/>
      </w:pPr>
      <w:r>
        <w:t xml:space="preserve">Severity ratings used in this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Provision is likely unenforceable, creates a direct and material risk of jurisdictional challenge or enforcement failure, or presents deal-level commercial exposure Greenleaf has flagged as a potential walk-away. Must be resolved before signing.</w:t>
            </w:r>
          </w:p>
        </w:tc>
      </w:tr>
      <w:tr>
        <w:tc>
          <w:tcPr/>
          <w:p>
            <w:pPr>
              <w:pStyle w:val="Compact"/>
              <w:jc w:val="left"/>
            </w:pPr>
            <w:r>
              <w:rPr>
                <w:b/>
                <w:bCs/>
              </w:rPr>
              <w:t xml:space="preserve">High</w:t>
            </w:r>
          </w:p>
        </w:tc>
        <w:tc>
          <w:tcPr/>
          <w:p>
            <w:pPr>
              <w:pStyle w:val="Compact"/>
              <w:jc w:val="left"/>
            </w:pPr>
            <w:r>
              <w:t xml:space="preserve">Significant commercial, procedural, or enforceability risk; material probability of parallel/inconsistent proceedings or unfavorable outcomes. Should be renegotiated before signing.</w:t>
            </w:r>
          </w:p>
        </w:tc>
      </w:tr>
      <w:tr>
        <w:tc>
          <w:tcPr/>
          <w:p>
            <w:pPr>
              <w:pStyle w:val="Compact"/>
              <w:jc w:val="left"/>
            </w:pPr>
            <w:r>
              <w:rPr>
                <w:b/>
                <w:bCs/>
              </w:rPr>
              <w:t xml:space="preserve">Medium</w:t>
            </w:r>
          </w:p>
        </w:tc>
        <w:tc>
          <w:tcPr/>
          <w:p>
            <w:pPr>
              <w:pStyle w:val="Compact"/>
              <w:jc w:val="left"/>
            </w:pPr>
            <w:r>
              <w:t xml:space="preserve">Material inconsistency or gap increasing cost, complexity, or unpredictability; manageable with targeted revisions. Recommend revision.</w:t>
            </w:r>
          </w:p>
        </w:tc>
      </w:tr>
      <w:tr>
        <w:tc>
          <w:tcPr/>
          <w:p>
            <w:pPr>
              <w:pStyle w:val="Compact"/>
              <w:jc w:val="left"/>
            </w:pPr>
            <w:r>
              <w:rPr>
                <w:b/>
                <w:bCs/>
              </w:rPr>
              <w:t xml:space="preserve">Low</w:t>
            </w:r>
          </w:p>
        </w:tc>
        <w:tc>
          <w:tcPr/>
          <w:p>
            <w:pPr>
              <w:pStyle w:val="Compact"/>
              <w:jc w:val="left"/>
            </w:pPr>
            <w:r>
              <w:t xml:space="preserve">Minor inconsistency or improvement opportunity. Recommend harmonization if time permits.</w:t>
            </w:r>
          </w:p>
        </w:tc>
      </w:tr>
    </w:tbl>
    <w:bookmarkEnd w:id="20"/>
    <w:bookmarkStart w:id="21" w:name="summary-of-issues"/>
    <w:p>
      <w:pPr>
        <w:pStyle w:val="Heading3"/>
      </w:pPr>
      <w:r>
        <w:t xml:space="preserve">Summary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provisions</w:t>
            </w:r>
          </w:p>
        </w:tc>
      </w:tr>
      <w:tr>
        <w:tc>
          <w:tcPr/>
          <w:p>
            <w:pPr>
              <w:pStyle w:val="Compact"/>
              <w:jc w:val="left"/>
            </w:pPr>
            <w:r>
              <w:t xml:space="preserve">1</w:t>
            </w:r>
          </w:p>
        </w:tc>
        <w:tc>
          <w:tcPr/>
          <w:p>
            <w:pPr>
              <w:pStyle w:val="Compact"/>
              <w:jc w:val="left"/>
            </w:pPr>
            <w:r>
              <w:t xml:space="preserve">Consequential-damages waiver combined with exclusivity and the QA §6.6 contradiction</w:t>
            </w:r>
          </w:p>
        </w:tc>
        <w:tc>
          <w:tcPr/>
          <w:p>
            <w:pPr>
              <w:pStyle w:val="Compact"/>
              <w:jc w:val="left"/>
            </w:pPr>
            <w:r>
              <w:rPr>
                <w:b/>
                <w:bCs/>
              </w:rPr>
              <w:t xml:space="preserve">Critical</w:t>
            </w:r>
          </w:p>
        </w:tc>
        <w:tc>
          <w:tcPr/>
          <w:p>
            <w:pPr>
              <w:pStyle w:val="Compact"/>
              <w:jc w:val="left"/>
            </w:pPr>
            <w:r>
              <w:t xml:space="preserve">SA §14.11; SA §11.2; QA §6.1, §6.6</w:t>
            </w:r>
          </w:p>
        </w:tc>
      </w:tr>
      <w:tr>
        <w:tc>
          <w:tcPr/>
          <w:p>
            <w:pPr>
              <w:pStyle w:val="Compact"/>
              <w:jc w:val="left"/>
            </w:pPr>
            <w:r>
              <w:t xml:space="preserve">2</w:t>
            </w:r>
          </w:p>
        </w:tc>
        <w:tc>
          <w:tcPr/>
          <w:p>
            <w:pPr>
              <w:pStyle w:val="Compact"/>
              <w:jc w:val="left"/>
            </w:pPr>
            <w:r>
              <w:t xml:space="preserve">IPLA §9.3 consolidation clause conflicts with SA Art. 14 (LCIA vs. ICC)</w:t>
            </w:r>
          </w:p>
        </w:tc>
        <w:tc>
          <w:tcPr/>
          <w:p>
            <w:pPr>
              <w:pStyle w:val="Compact"/>
              <w:jc w:val="left"/>
            </w:pPr>
            <w:r>
              <w:rPr>
                <w:b/>
                <w:bCs/>
              </w:rPr>
              <w:t xml:space="preserve">Critical</w:t>
            </w:r>
          </w:p>
        </w:tc>
        <w:tc>
          <w:tcPr/>
          <w:p>
            <w:pPr>
              <w:pStyle w:val="Compact"/>
              <w:jc w:val="left"/>
            </w:pPr>
            <w:r>
              <w:t xml:space="preserve">IPLA §9.3; SA §14.1; SA §15.8; IPLA §10.3</w:t>
            </w:r>
          </w:p>
        </w:tc>
      </w:tr>
      <w:tr>
        <w:tc>
          <w:tcPr/>
          <w:p>
            <w:pPr>
              <w:pStyle w:val="Compact"/>
              <w:jc w:val="left"/>
            </w:pPr>
            <w:r>
              <w:t xml:space="preserve">3</w:t>
            </w:r>
          </w:p>
        </w:tc>
        <w:tc>
          <w:tcPr/>
          <w:p>
            <w:pPr>
              <w:pStyle w:val="Compact"/>
              <w:jc w:val="left"/>
            </w:pPr>
            <w:r>
              <w:t xml:space="preserve">SA §14.6 appeal on questions of law to the Singapore High Court — likely ineffective</w:t>
            </w:r>
          </w:p>
        </w:tc>
        <w:tc>
          <w:tcPr/>
          <w:p>
            <w:pPr>
              <w:pStyle w:val="Compact"/>
              <w:jc w:val="left"/>
            </w:pPr>
            <w:r>
              <w:rPr>
                <w:b/>
                <w:bCs/>
              </w:rPr>
              <w:t xml:space="preserve">Critical</w:t>
            </w:r>
          </w:p>
        </w:tc>
        <w:tc>
          <w:tcPr/>
          <w:p>
            <w:pPr>
              <w:pStyle w:val="Compact"/>
              <w:jc w:val="left"/>
            </w:pPr>
            <w:r>
              <w:t xml:space="preserve">SA §14.6</w:t>
            </w:r>
          </w:p>
        </w:tc>
      </w:tr>
      <w:tr>
        <w:tc>
          <w:tcPr/>
          <w:p>
            <w:pPr>
              <w:pStyle w:val="Compact"/>
              <w:jc w:val="left"/>
            </w:pPr>
            <w:r>
              <w:t xml:space="preserve">4</w:t>
            </w:r>
          </w:p>
        </w:tc>
        <w:tc>
          <w:tcPr/>
          <w:p>
            <w:pPr>
              <w:pStyle w:val="Compact"/>
              <w:jc w:val="left"/>
            </w:pPr>
            <w:r>
              <w:t xml:space="preserve">Fragmented architecture: three institutions, two seats, three governing laws</w:t>
            </w:r>
          </w:p>
        </w:tc>
        <w:tc>
          <w:tcPr/>
          <w:p>
            <w:pPr>
              <w:pStyle w:val="Compact"/>
              <w:jc w:val="left"/>
            </w:pPr>
            <w:r>
              <w:rPr>
                <w:b/>
                <w:bCs/>
              </w:rPr>
              <w:t xml:space="preserve">High</w:t>
            </w:r>
          </w:p>
        </w:tc>
        <w:tc>
          <w:tcPr/>
          <w:p>
            <w:pPr>
              <w:pStyle w:val="Compact"/>
              <w:jc w:val="left"/>
            </w:pPr>
            <w:r>
              <w:t xml:space="preserve">SA Art. 14; QA §7; IPLA §9</w:t>
            </w:r>
          </w:p>
        </w:tc>
      </w:tr>
      <w:tr>
        <w:tc>
          <w:tcPr/>
          <w:p>
            <w:pPr>
              <w:pStyle w:val="Compact"/>
              <w:jc w:val="left"/>
            </w:pPr>
            <w:r>
              <w:t xml:space="preserve">5</w:t>
            </w:r>
          </w:p>
        </w:tc>
        <w:tc>
          <w:tcPr/>
          <w:p>
            <w:pPr>
              <w:pStyle w:val="Compact"/>
              <w:jc w:val="left"/>
            </w:pPr>
            <w:r>
              <w:t xml:space="preserve">Conflicting hierarchy/integration clauses with inconsistent carve-outs</w:t>
            </w:r>
          </w:p>
        </w:tc>
        <w:tc>
          <w:tcPr/>
          <w:p>
            <w:pPr>
              <w:pStyle w:val="Compact"/>
              <w:jc w:val="left"/>
            </w:pPr>
            <w:r>
              <w:rPr>
                <w:b/>
                <w:bCs/>
              </w:rPr>
              <w:t xml:space="preserve">High</w:t>
            </w:r>
          </w:p>
        </w:tc>
        <w:tc>
          <w:tcPr/>
          <w:p>
            <w:pPr>
              <w:pStyle w:val="Compact"/>
              <w:jc w:val="left"/>
            </w:pPr>
            <w:r>
              <w:t xml:space="preserve">SA §15.8; QA §8.1; IPLA §10.3</w:t>
            </w:r>
          </w:p>
        </w:tc>
      </w:tr>
      <w:tr>
        <w:tc>
          <w:tcPr/>
          <w:p>
            <w:pPr>
              <w:pStyle w:val="Compact"/>
              <w:jc w:val="left"/>
            </w:pPr>
            <w:r>
              <w:t xml:space="preserve">6</w:t>
            </w:r>
          </w:p>
        </w:tc>
        <w:tc>
          <w:tcPr/>
          <w:p>
            <w:pPr>
              <w:pStyle w:val="Compact"/>
              <w:jc w:val="left"/>
            </w:pPr>
            <w:r>
              <w:t xml:space="preserve">No joinder/consolidation mechanism for non-signatory co-manufacturers</w:t>
            </w:r>
          </w:p>
        </w:tc>
        <w:tc>
          <w:tcPr/>
          <w:p>
            <w:pPr>
              <w:pStyle w:val="Compact"/>
              <w:jc w:val="left"/>
            </w:pPr>
            <w:r>
              <w:rPr>
                <w:b/>
                <w:bCs/>
              </w:rPr>
              <w:t xml:space="preserve">High</w:t>
            </w:r>
          </w:p>
        </w:tc>
        <w:tc>
          <w:tcPr/>
          <w:p>
            <w:pPr>
              <w:pStyle w:val="Compact"/>
              <w:jc w:val="left"/>
            </w:pPr>
            <w:r>
              <w:t xml:space="preserve">SA Art. 14; QA §7; IPLA §9; SA §15.9</w:t>
            </w:r>
          </w:p>
        </w:tc>
      </w:tr>
      <w:tr>
        <w:tc>
          <w:tcPr/>
          <w:p>
            <w:pPr>
              <w:pStyle w:val="Compact"/>
              <w:jc w:val="left"/>
            </w:pPr>
            <w:r>
              <w:t xml:space="preserve">7</w:t>
            </w:r>
          </w:p>
        </w:tc>
        <w:tc>
          <w:tcPr/>
          <w:p>
            <w:pPr>
              <w:pStyle w:val="Compact"/>
              <w:jc w:val="left"/>
            </w:pPr>
            <w:r>
              <w:t xml:space="preserve">SA §14.5 blanket discovery prohibition — evidentiary asymmetry and enforcement risk</w:t>
            </w:r>
          </w:p>
        </w:tc>
        <w:tc>
          <w:tcPr/>
          <w:p>
            <w:pPr>
              <w:pStyle w:val="Compact"/>
              <w:jc w:val="left"/>
            </w:pPr>
            <w:r>
              <w:rPr>
                <w:b/>
                <w:bCs/>
              </w:rPr>
              <w:t xml:space="preserve">High</w:t>
            </w:r>
          </w:p>
        </w:tc>
        <w:tc>
          <w:tcPr/>
          <w:p>
            <w:pPr>
              <w:pStyle w:val="Compact"/>
              <w:jc w:val="left"/>
            </w:pPr>
            <w:r>
              <w:t xml:space="preserve">SA §14.5; QA §4.4, §6.4</w:t>
            </w:r>
          </w:p>
        </w:tc>
      </w:tr>
      <w:tr>
        <w:tc>
          <w:tcPr/>
          <w:p>
            <w:pPr>
              <w:pStyle w:val="Compact"/>
              <w:jc w:val="left"/>
            </w:pPr>
            <w:r>
              <w:t xml:space="preserve">8</w:t>
            </w:r>
          </w:p>
        </w:tc>
        <w:tc>
          <w:tcPr/>
          <w:p>
            <w:pPr>
              <w:pStyle w:val="Compact"/>
              <w:jc w:val="left"/>
            </w:pPr>
            <w:r>
              <w:t xml:space="preserve">QA §7.1/7.2 expert-determination finality is circular; $5M threshold undefined</w:t>
            </w:r>
          </w:p>
        </w:tc>
        <w:tc>
          <w:tcPr/>
          <w:p>
            <w:pPr>
              <w:pStyle w:val="Compact"/>
              <w:jc w:val="left"/>
            </w:pPr>
            <w:r>
              <w:rPr>
                <w:b/>
                <w:bCs/>
              </w:rPr>
              <w:t xml:space="preserve">High</w:t>
            </w:r>
          </w:p>
        </w:tc>
        <w:tc>
          <w:tcPr/>
          <w:p>
            <w:pPr>
              <w:pStyle w:val="Compact"/>
              <w:jc w:val="left"/>
            </w:pPr>
            <w:r>
              <w:t xml:space="preserve">QA §7.1, §7.2</w:t>
            </w:r>
          </w:p>
        </w:tc>
      </w:tr>
      <w:tr>
        <w:tc>
          <w:tcPr/>
          <w:p>
            <w:pPr>
              <w:pStyle w:val="Compact"/>
              <w:jc w:val="left"/>
            </w:pPr>
            <w:r>
              <w:t xml:space="preserve">9</w:t>
            </w:r>
          </w:p>
        </w:tc>
        <w:tc>
          <w:tcPr/>
          <w:p>
            <w:pPr>
              <w:pStyle w:val="Compact"/>
              <w:jc w:val="left"/>
            </w:pPr>
            <w:r>
              <w:t xml:space="preserve">Recall cost allocation captures only</w:t>
            </w:r>
            <w:r>
              <w:t xml:space="preserve"> </w:t>
            </w:r>
            <w:r>
              <w:t xml:space="preserve">“</w:t>
            </w:r>
            <w:r>
              <w:t xml:space="preserve">direct</w:t>
            </w:r>
            <w:r>
              <w:t xml:space="preserve">”</w:t>
            </w:r>
            <w:r>
              <w:t xml:space="preserve"> </w:t>
            </w:r>
            <w:r>
              <w:t xml:space="preserve">costs; consequential recall losses excluded</w:t>
            </w:r>
          </w:p>
        </w:tc>
        <w:tc>
          <w:tcPr/>
          <w:p>
            <w:pPr>
              <w:pStyle w:val="Compact"/>
              <w:jc w:val="left"/>
            </w:pPr>
            <w:r>
              <w:rPr>
                <w:b/>
                <w:bCs/>
              </w:rPr>
              <w:t xml:space="preserve">High</w:t>
            </w:r>
          </w:p>
        </w:tc>
        <w:tc>
          <w:tcPr/>
          <w:p>
            <w:pPr>
              <w:pStyle w:val="Compact"/>
              <w:jc w:val="left"/>
            </w:pPr>
            <w:r>
              <w:t xml:space="preserve">QA §6.1, §6.6; SA §14.11</w:t>
            </w:r>
          </w:p>
        </w:tc>
      </w:tr>
      <w:tr>
        <w:tc>
          <w:tcPr/>
          <w:p>
            <w:pPr>
              <w:pStyle w:val="Compact"/>
              <w:jc w:val="left"/>
            </w:pPr>
            <w:r>
              <w:t xml:space="preserve">10</w:t>
            </w:r>
          </w:p>
        </w:tc>
        <w:tc>
          <w:tcPr/>
          <w:p>
            <w:pPr>
              <w:pStyle w:val="Compact"/>
              <w:jc w:val="left"/>
            </w:pPr>
            <w:r>
              <w:t xml:space="preserve">Expert determinations are not enforceable as arbitral awards under the New York Convention</w:t>
            </w:r>
          </w:p>
        </w:tc>
        <w:tc>
          <w:tcPr/>
          <w:p>
            <w:pPr>
              <w:pStyle w:val="Compact"/>
              <w:jc w:val="left"/>
            </w:pPr>
            <w:r>
              <w:rPr>
                <w:b/>
                <w:bCs/>
              </w:rPr>
              <w:t xml:space="preserve">Medium</w:t>
            </w:r>
          </w:p>
        </w:tc>
        <w:tc>
          <w:tcPr/>
          <w:p>
            <w:pPr>
              <w:pStyle w:val="Compact"/>
              <w:jc w:val="left"/>
            </w:pPr>
            <w:r>
              <w:t xml:space="preserve">QA §7.1</w:t>
            </w:r>
          </w:p>
        </w:tc>
      </w:tr>
      <w:tr>
        <w:tc>
          <w:tcPr/>
          <w:p>
            <w:pPr>
              <w:pStyle w:val="Compact"/>
              <w:jc w:val="left"/>
            </w:pPr>
            <w:r>
              <w:t xml:space="preserve">11</w:t>
            </w:r>
          </w:p>
        </w:tc>
        <w:tc>
          <w:tcPr/>
          <w:p>
            <w:pPr>
              <w:pStyle w:val="Compact"/>
              <w:jc w:val="left"/>
            </w:pPr>
            <w:r>
              <w:t xml:space="preserve">IPLA §2.2(b) restricts sharing Licensed IP with co-manufacturers — compounds joinder problem</w:t>
            </w:r>
          </w:p>
        </w:tc>
        <w:tc>
          <w:tcPr/>
          <w:p>
            <w:pPr>
              <w:pStyle w:val="Compact"/>
              <w:jc w:val="left"/>
            </w:pPr>
            <w:r>
              <w:rPr>
                <w:b/>
                <w:bCs/>
              </w:rPr>
              <w:t xml:space="preserve">Medium</w:t>
            </w:r>
          </w:p>
        </w:tc>
        <w:tc>
          <w:tcPr/>
          <w:p>
            <w:pPr>
              <w:pStyle w:val="Compact"/>
              <w:jc w:val="left"/>
            </w:pPr>
            <w:r>
              <w:t xml:space="preserve">IPLA §2.2(b)</w:t>
            </w:r>
          </w:p>
        </w:tc>
      </w:tr>
      <w:tr>
        <w:tc>
          <w:tcPr/>
          <w:p>
            <w:pPr>
              <w:pStyle w:val="Compact"/>
              <w:jc w:val="left"/>
            </w:pPr>
            <w:r>
              <w:t xml:space="preserve">12</w:t>
            </w:r>
          </w:p>
        </w:tc>
        <w:tc>
          <w:tcPr/>
          <w:p>
            <w:pPr>
              <w:pStyle w:val="Compact"/>
              <w:jc w:val="left"/>
            </w:pPr>
            <w:r>
              <w:t xml:space="preserve">Cost-allocation inconsistency (loser-pays vs. each-bears-own)</w:t>
            </w:r>
          </w:p>
        </w:tc>
        <w:tc>
          <w:tcPr/>
          <w:p>
            <w:pPr>
              <w:pStyle w:val="Compact"/>
              <w:jc w:val="left"/>
            </w:pPr>
            <w:r>
              <w:rPr>
                <w:b/>
                <w:bCs/>
              </w:rPr>
              <w:t xml:space="preserve">Medium</w:t>
            </w:r>
          </w:p>
        </w:tc>
        <w:tc>
          <w:tcPr/>
          <w:p>
            <w:pPr>
              <w:pStyle w:val="Compact"/>
              <w:jc w:val="left"/>
            </w:pPr>
            <w:r>
              <w:t xml:space="preserve">SA §14.8; QA §7.1; IPLA §9.4</w:t>
            </w:r>
          </w:p>
        </w:tc>
      </w:tr>
      <w:tr>
        <w:tc>
          <w:tcPr/>
          <w:p>
            <w:pPr>
              <w:pStyle w:val="Compact"/>
              <w:jc w:val="left"/>
            </w:pPr>
            <w:r>
              <w:t xml:space="preserve">13</w:t>
            </w:r>
          </w:p>
        </w:tc>
        <w:tc>
          <w:tcPr/>
          <w:p>
            <w:pPr>
              <w:pStyle w:val="Compact"/>
              <w:jc w:val="left"/>
            </w:pPr>
            <w:r>
              <w:t xml:space="preserve">Number-of-arbitrators inconsistency; SA unilateral upgrade and 15-day window</w:t>
            </w:r>
          </w:p>
        </w:tc>
        <w:tc>
          <w:tcPr/>
          <w:p>
            <w:pPr>
              <w:pStyle w:val="Compact"/>
              <w:jc w:val="left"/>
            </w:pPr>
            <w:r>
              <w:rPr>
                <w:b/>
                <w:bCs/>
              </w:rPr>
              <w:t xml:space="preserve">Medium</w:t>
            </w:r>
          </w:p>
        </w:tc>
        <w:tc>
          <w:tcPr/>
          <w:p>
            <w:pPr>
              <w:pStyle w:val="Compact"/>
              <w:jc w:val="left"/>
            </w:pPr>
            <w:r>
              <w:t xml:space="preserve">SA §14.3; QA §7.2; IPLA §9.1</w:t>
            </w:r>
          </w:p>
        </w:tc>
      </w:tr>
      <w:tr>
        <w:tc>
          <w:tcPr/>
          <w:p>
            <w:pPr>
              <w:pStyle w:val="Compact"/>
              <w:jc w:val="left"/>
            </w:pPr>
            <w:r>
              <w:t xml:space="preserve">14</w:t>
            </w:r>
          </w:p>
        </w:tc>
        <w:tc>
          <w:tcPr/>
          <w:p>
            <w:pPr>
              <w:pStyle w:val="Compact"/>
              <w:jc w:val="left"/>
            </w:pPr>
            <w:r>
              <w:t xml:space="preserve">Limitation period — SA one-year; none in QA Letter or IPLA; aggressive for latent defects</w:t>
            </w:r>
          </w:p>
        </w:tc>
        <w:tc>
          <w:tcPr/>
          <w:p>
            <w:pPr>
              <w:pStyle w:val="Compact"/>
              <w:jc w:val="left"/>
            </w:pPr>
            <w:r>
              <w:rPr>
                <w:b/>
                <w:bCs/>
              </w:rPr>
              <w:t xml:space="preserve">Medium</w:t>
            </w:r>
          </w:p>
        </w:tc>
        <w:tc>
          <w:tcPr/>
          <w:p>
            <w:pPr>
              <w:pStyle w:val="Compact"/>
              <w:jc w:val="left"/>
            </w:pPr>
            <w:r>
              <w:t xml:space="preserve">SA §14.9; SA §7.3</w:t>
            </w:r>
          </w:p>
        </w:tc>
      </w:tr>
      <w:tr>
        <w:tc>
          <w:tcPr/>
          <w:p>
            <w:pPr>
              <w:pStyle w:val="Compact"/>
              <w:jc w:val="left"/>
            </w:pPr>
            <w:r>
              <w:t xml:space="preserve">15</w:t>
            </w:r>
          </w:p>
        </w:tc>
        <w:tc>
          <w:tcPr/>
          <w:p>
            <w:pPr>
              <w:pStyle w:val="Compact"/>
              <w:jc w:val="left"/>
            </w:pPr>
            <w:r>
              <w:t xml:space="preserve">Interim-relief carve-out inconsistency (SA broad; QA/IPLA silent)</w:t>
            </w:r>
          </w:p>
        </w:tc>
        <w:tc>
          <w:tcPr/>
          <w:p>
            <w:pPr>
              <w:pStyle w:val="Compact"/>
              <w:jc w:val="left"/>
            </w:pPr>
            <w:r>
              <w:rPr>
                <w:b/>
                <w:bCs/>
              </w:rPr>
              <w:t xml:space="preserve">Medium</w:t>
            </w:r>
          </w:p>
        </w:tc>
        <w:tc>
          <w:tcPr/>
          <w:p>
            <w:pPr>
              <w:pStyle w:val="Compact"/>
              <w:jc w:val="left"/>
            </w:pPr>
            <w:r>
              <w:t xml:space="preserve">SA §14.7; QA §7.2; IPLA §9.1</w:t>
            </w:r>
          </w:p>
        </w:tc>
      </w:tr>
      <w:tr>
        <w:tc>
          <w:tcPr/>
          <w:p>
            <w:pPr>
              <w:pStyle w:val="Compact"/>
              <w:jc w:val="left"/>
            </w:pPr>
            <w:r>
              <w:t xml:space="preserve">16</w:t>
            </w:r>
          </w:p>
        </w:tc>
        <w:tc>
          <w:tcPr/>
          <w:p>
            <w:pPr>
              <w:pStyle w:val="Compact"/>
              <w:jc w:val="left"/>
            </w:pPr>
            <w:r>
              <w:t xml:space="preserve">Miscellaneous: confidentiality inconsistency; SA §14.4 vague gap-filler; no Ridgeway intervention mechanism</w:t>
            </w:r>
          </w:p>
        </w:tc>
        <w:tc>
          <w:tcPr/>
          <w:p>
            <w:pPr>
              <w:pStyle w:val="Compact"/>
              <w:jc w:val="left"/>
            </w:pPr>
            <w:r>
              <w:rPr>
                <w:b/>
                <w:bCs/>
              </w:rPr>
              <w:t xml:space="preserve">Low</w:t>
            </w:r>
          </w:p>
        </w:tc>
        <w:tc>
          <w:tcPr/>
          <w:p>
            <w:pPr>
              <w:pStyle w:val="Compact"/>
              <w:jc w:val="left"/>
            </w:pPr>
            <w:r>
              <w:t xml:space="preserve">SA §14.10, §14.4; QA/IPLA</w:t>
            </w:r>
          </w:p>
        </w:tc>
      </w:tr>
    </w:tbl>
    <w:p>
      <w:r>
        <w:pict>
          <v:rect style="width:0;height:1.5pt" o:hralign="center" o:hrstd="t" o:hr="t"/>
        </w:pict>
      </w:r>
    </w:p>
    <w:bookmarkEnd w:id="21"/>
    <w:bookmarkEnd w:id="22"/>
    <w:bookmarkStart w:id="23" w:name="X05f04ab8d0c498926133e43f53aaf5f190845a5"/>
    <w:p>
      <w:pPr>
        <w:pStyle w:val="Heading2"/>
      </w:pPr>
      <w:r>
        <w:t xml:space="preserve">II. Documents Reviewed &amp; Dispute Resolution Architecture</w:t>
      </w:r>
    </w:p>
    <w:p>
      <w:pPr>
        <w:pStyle w:val="FirstParagraph"/>
      </w:pPr>
      <w:r>
        <w:t xml:space="preserve">We reviewed the following: (i) the SA (execution draft, July 18, 2025), Article 14; (ii) the QA Letter (dated August 1, 2025), Section 7; (iii) the IPLA (execution draft, July 18, 2025), Section 9; (iv) the Harmon &amp; Grey LLP memorandum summarizing the dispute-resolution rationale (July 3, 2025); and (v) Greenleaf’s internal email chain on dispute-resolution priorities (June 30 – July 1, 2025).</w:t>
      </w:r>
    </w:p>
    <w:p>
      <w:pPr>
        <w:pStyle w:val="BodyText"/>
      </w:pPr>
      <w:r>
        <w:t xml:space="preserve">The Transaction Documents employ a three-tier dispute-resolution structure, summarized below.</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Document</w:t>
            </w:r>
          </w:p>
        </w:tc>
        <w:tc>
          <w:tcPr/>
          <w:p>
            <w:pPr>
              <w:pStyle w:val="Compact"/>
              <w:jc w:val="left"/>
            </w:pPr>
            <w:r>
              <w:t xml:space="preserve">DR provision</w:t>
            </w:r>
          </w:p>
        </w:tc>
        <w:tc>
          <w:tcPr/>
          <w:p>
            <w:pPr>
              <w:pStyle w:val="Compact"/>
              <w:jc w:val="left"/>
            </w:pPr>
            <w:r>
              <w:t xml:space="preserve">Institution</w:t>
            </w:r>
          </w:p>
        </w:tc>
        <w:tc>
          <w:tcPr/>
          <w:p>
            <w:pPr>
              <w:pStyle w:val="Compact"/>
              <w:jc w:val="left"/>
            </w:pPr>
            <w:r>
              <w:t xml:space="preserve">Seat / venue</w:t>
            </w:r>
          </w:p>
        </w:tc>
        <w:tc>
          <w:tcPr/>
          <w:p>
            <w:pPr>
              <w:pStyle w:val="Compact"/>
              <w:jc w:val="left"/>
            </w:pPr>
            <w:r>
              <w:t xml:space="preserve">Governing law</w:t>
            </w:r>
          </w:p>
        </w:tc>
        <w:tc>
          <w:tcPr/>
          <w:p>
            <w:pPr>
              <w:pStyle w:val="Compact"/>
              <w:jc w:val="left"/>
            </w:pPr>
            <w:r>
              <w:t xml:space="preserve">Tribunal</w:t>
            </w:r>
          </w:p>
        </w:tc>
        <w:tc>
          <w:tcPr/>
          <w:p>
            <w:pPr>
              <w:pStyle w:val="Compact"/>
              <w:jc w:val="left"/>
            </w:pPr>
            <w:r>
              <w:t xml:space="preserve">Cost rule</w:t>
            </w:r>
          </w:p>
        </w:tc>
        <w:tc>
          <w:tcPr/>
          <w:p>
            <w:pPr>
              <w:pStyle w:val="Compact"/>
              <w:jc w:val="left"/>
            </w:pPr>
            <w:r>
              <w:t xml:space="preserve">Limitation period</w:t>
            </w:r>
          </w:p>
        </w:tc>
      </w:tr>
      <w:tr>
        <w:tc>
          <w:tcPr/>
          <w:p>
            <w:pPr>
              <w:pStyle w:val="Compact"/>
              <w:jc w:val="left"/>
            </w:pPr>
            <w:r>
              <w:t xml:space="preserve">SA</w:t>
            </w:r>
          </w:p>
        </w:tc>
        <w:tc>
          <w:tcPr/>
          <w:p>
            <w:pPr>
              <w:pStyle w:val="Compact"/>
              <w:jc w:val="left"/>
            </w:pPr>
            <w:r>
              <w:t xml:space="preserve">Art. 14</w:t>
            </w:r>
          </w:p>
        </w:tc>
        <w:tc>
          <w:tcPr/>
          <w:p>
            <w:pPr>
              <w:pStyle w:val="Compact"/>
              <w:jc w:val="left"/>
            </w:pPr>
            <w:r>
              <w:t xml:space="preserve">ICC</w:t>
            </w:r>
          </w:p>
        </w:tc>
        <w:tc>
          <w:tcPr/>
          <w:p>
            <w:pPr>
              <w:pStyle w:val="Compact"/>
              <w:jc w:val="left"/>
            </w:pPr>
            <w:r>
              <w:t xml:space="preserve">Singapore / London</w:t>
            </w:r>
          </w:p>
        </w:tc>
        <w:tc>
          <w:tcPr/>
          <w:p>
            <w:pPr>
              <w:pStyle w:val="Compact"/>
              <w:jc w:val="left"/>
            </w:pPr>
            <w:r>
              <w:t xml:space="preserve">New York</w:t>
            </w:r>
          </w:p>
        </w:tc>
        <w:tc>
          <w:tcPr/>
          <w:p>
            <w:pPr>
              <w:pStyle w:val="Compact"/>
              <w:jc w:val="left"/>
            </w:pPr>
            <w:r>
              <w:t xml:space="preserve">1 (upgrade to 3)</w:t>
            </w:r>
          </w:p>
        </w:tc>
        <w:tc>
          <w:tcPr/>
          <w:p>
            <w:pPr>
              <w:pStyle w:val="Compact"/>
              <w:jc w:val="left"/>
            </w:pPr>
            <w:r>
              <w:t xml:space="preserve">Loser-pays</w:t>
            </w:r>
          </w:p>
        </w:tc>
        <w:tc>
          <w:tcPr/>
          <w:p>
            <w:pPr>
              <w:pStyle w:val="Compact"/>
              <w:jc w:val="left"/>
            </w:pPr>
            <w:r>
              <w:t xml:space="preserve">1 year</w:t>
            </w:r>
          </w:p>
        </w:tc>
      </w:tr>
      <w:tr>
        <w:tc>
          <w:tcPr/>
          <w:p>
            <w:pPr>
              <w:pStyle w:val="Compact"/>
              <w:jc w:val="left"/>
            </w:pPr>
            <w:r>
              <w:t xml:space="preserve">QA Letter</w:t>
            </w:r>
          </w:p>
        </w:tc>
        <w:tc>
          <w:tcPr/>
          <w:p>
            <w:pPr>
              <w:pStyle w:val="Compact"/>
              <w:jc w:val="left"/>
            </w:pPr>
            <w:r>
              <w:t xml:space="preserve">§7</w:t>
            </w:r>
          </w:p>
        </w:tc>
        <w:tc>
          <w:tcPr/>
          <w:p>
            <w:pPr>
              <w:pStyle w:val="Compact"/>
              <w:jc w:val="left"/>
            </w:pPr>
            <w:r>
              <w:t xml:space="preserve">SIAC (expert determination + arbitration)</w:t>
            </w:r>
          </w:p>
        </w:tc>
        <w:tc>
          <w:tcPr/>
          <w:p>
            <w:pPr>
              <w:pStyle w:val="Compact"/>
              <w:jc w:val="left"/>
            </w:pPr>
            <w:r>
              <w:t xml:space="preserve">Singapore</w:t>
            </w:r>
          </w:p>
        </w:tc>
        <w:tc>
          <w:tcPr/>
          <w:p>
            <w:pPr>
              <w:pStyle w:val="Compact"/>
              <w:jc w:val="left"/>
            </w:pPr>
            <w:r>
              <w:t xml:space="preserve">Singapore</w:t>
            </w:r>
          </w:p>
        </w:tc>
        <w:tc>
          <w:tcPr/>
          <w:p>
            <w:pPr>
              <w:pStyle w:val="Compact"/>
              <w:jc w:val="left"/>
            </w:pPr>
            <w:r>
              <w:t xml:space="preserve">3 (arbitration)</w:t>
            </w:r>
          </w:p>
        </w:tc>
        <w:tc>
          <w:tcPr/>
          <w:p>
            <w:pPr>
              <w:pStyle w:val="Compact"/>
              <w:jc w:val="left"/>
            </w:pPr>
            <w:r>
              <w:t xml:space="preserve">Each bears own</w:t>
            </w:r>
          </w:p>
        </w:tc>
        <w:tc>
          <w:tcPr/>
          <w:p>
            <w:pPr>
              <w:pStyle w:val="Compact"/>
              <w:jc w:val="left"/>
            </w:pPr>
            <w:r>
              <w:t xml:space="preserve">None specified</w:t>
            </w:r>
          </w:p>
        </w:tc>
      </w:tr>
      <w:tr>
        <w:tc>
          <w:tcPr/>
          <w:p>
            <w:pPr>
              <w:pStyle w:val="Compact"/>
              <w:jc w:val="left"/>
            </w:pPr>
            <w:r>
              <w:t xml:space="preserve">IPLA</w:t>
            </w:r>
          </w:p>
        </w:tc>
        <w:tc>
          <w:tcPr/>
          <w:p>
            <w:pPr>
              <w:pStyle w:val="Compact"/>
              <w:jc w:val="left"/>
            </w:pPr>
            <w:r>
              <w:t xml:space="preserve">§9</w:t>
            </w:r>
          </w:p>
        </w:tc>
        <w:tc>
          <w:tcPr/>
          <w:p>
            <w:pPr>
              <w:pStyle w:val="Compact"/>
              <w:jc w:val="left"/>
            </w:pPr>
            <w:r>
              <w:t xml:space="preserve">LCIA</w:t>
            </w:r>
          </w:p>
        </w:tc>
        <w:tc>
          <w:tcPr/>
          <w:p>
            <w:pPr>
              <w:pStyle w:val="Compact"/>
              <w:jc w:val="left"/>
            </w:pPr>
            <w:r>
              <w:t xml:space="preserve">London</w:t>
            </w:r>
          </w:p>
        </w:tc>
        <w:tc>
          <w:tcPr/>
          <w:p>
            <w:pPr>
              <w:pStyle w:val="Compact"/>
              <w:jc w:val="left"/>
            </w:pPr>
            <w:r>
              <w:t xml:space="preserve">England &amp; Wales</w:t>
            </w:r>
          </w:p>
        </w:tc>
        <w:tc>
          <w:tcPr/>
          <w:p>
            <w:pPr>
              <w:pStyle w:val="Compact"/>
              <w:jc w:val="left"/>
            </w:pPr>
            <w:r>
              <w:t xml:space="preserve">1</w:t>
            </w:r>
          </w:p>
        </w:tc>
        <w:tc>
          <w:tcPr/>
          <w:p>
            <w:pPr>
              <w:pStyle w:val="Compact"/>
              <w:jc w:val="left"/>
            </w:pPr>
            <w:r>
              <w:t xml:space="preserve">Each bears own</w:t>
            </w:r>
          </w:p>
        </w:tc>
        <w:tc>
          <w:tcPr/>
          <w:p>
            <w:pPr>
              <w:pStyle w:val="Compact"/>
              <w:jc w:val="left"/>
            </w:pPr>
            <w:r>
              <w:t xml:space="preserve">None specified</w:t>
            </w:r>
          </w:p>
        </w:tc>
      </w:tr>
    </w:tbl>
    <w:p>
      <w:pPr>
        <w:pStyle w:val="BodyText"/>
      </w:pPr>
      <w:r>
        <w:t xml:space="preserve">The Harmon &amp; Grey memo characterizes this as deliberate subject-matter tailoring: commercial/supply disputes to the ICC; technical quality disputes to SIAC expert determination (with arbitration escalation); and IP/regulatory-data disputes to the LCIA. The rationale is understandable in the abstract. In practice, however, the most probable disputes — defective-ingredient and recall claims — will cross all three documents, and the architecture provides no reliable mechanism to keep those disputes in a single forum under a single law. The issues below follow.</w:t>
      </w:r>
    </w:p>
    <w:p>
      <w:r>
        <w:pict>
          <v:rect style="width:0;height:1.5pt" o:hralign="center" o:hrstd="t" o:hr="t"/>
        </w:pict>
      </w:r>
    </w:p>
    <w:bookmarkEnd w:id="23"/>
    <w:bookmarkStart w:id="45" w:name="iii.-severity-rated-issues"/>
    <w:p>
      <w:pPr>
        <w:pStyle w:val="Heading2"/>
      </w:pPr>
      <w:r>
        <w:t xml:space="preserve">III. Severity-Rated Issues</w:t>
      </w:r>
    </w:p>
    <w:bookmarkStart w:id="29" w:name="X1696b4a5f107a378df0f6f409d30dc63b9dac16"/>
    <w:p>
      <w:pPr>
        <w:pStyle w:val="Heading3"/>
      </w:pPr>
      <w:r>
        <w:t xml:space="preserve">A. Structural &amp; Cross-Document Architecture</w:t>
      </w:r>
    </w:p>
    <w:bookmarkStart w:id="24" w:name="X563b1d8fe58a1a6ec192c09bd406840d4dc04b2"/>
    <w:p>
      <w:pPr>
        <w:pStyle w:val="Heading4"/>
      </w:pPr>
      <w:r>
        <w:t xml:space="preserve">Issue 1 — Consequential-damages waiver combined with exclusivity and the QA §6.6 contradiction · CRITICAL</w:t>
      </w:r>
    </w:p>
    <w:p>
      <w:pPr>
        <w:pStyle w:val="FirstParagraph"/>
      </w:pPr>
      <w:r>
        <w:rPr>
          <w:b/>
          <w:bCs/>
        </w:rPr>
        <w:t xml:space="preserve">Provisions.</w:t>
      </w:r>
      <w:r>
        <w:t xml:space="preserve"> </w:t>
      </w:r>
      <w:r>
        <w:t xml:space="preserve">SA §14.11 (</w:t>
      </w:r>
      <w:r>
        <w:t xml:space="preserve">“</w:t>
      </w:r>
      <w:r>
        <w:t xml:space="preserve">The arbitral tribunal shall not have the authority to award punitive, exemplary, or consequential damages</w:t>
      </w:r>
      <w:r>
        <w:t xml:space="preserve">”</w:t>
      </w:r>
      <w:r>
        <w:t xml:space="preserve">); SA §11.2 (independent exclusion of consequential damages, with carve-outs for indemnification, confidentiality, IP-infringement, and payment obligations); QA §6.6 (</w:t>
      </w:r>
      <w:r>
        <w:t xml:space="preserve">“</w:t>
      </w:r>
      <w:r>
        <w:t xml:space="preserve">Nothing in this Section 6 shall limit or modify Greenleaf’s rights to consequential damages, indemnification, or other remedies as provided in the Supply Agreement, except to the extent expressly limited by the dispute resolution provisions of Article 14 of the Supply Agreement</w:t>
      </w:r>
      <w:r>
        <w:t xml:space="preserve">”</w:t>
      </w:r>
      <w:r>
        <w:t xml:space="preserve">); SA §2.1 (exclusive supply — no backup supplier).</w:t>
      </w:r>
    </w:p>
    <w:p>
      <w:pPr>
        <w:pStyle w:val="BodyText"/>
      </w:pPr>
      <w:r>
        <w:rPr>
          <w:b/>
          <w:bCs/>
        </w:rPr>
        <w:t xml:space="preserve">Analysis.</w:t>
      </w:r>
      <w:r>
        <w:t xml:space="preserve"> </w:t>
      </w:r>
      <w:r>
        <w:t xml:space="preserve">SA §14.11 strips the tribunal of authority to award consequential damages, and SA §11.2 independently excludes them (subject to limited carve-outs). The commercial exposure is amplified by the exclusivity structure: Greenleaf has no alternative source. A supply disruption or defective-ingredient scenario generates losses that are predominantly consequential under New York law — lost profits from unfulfilled downstream orders, retailer penalties and slotting-fee losses, recall costs (to the extent flowing from the defective ingredient rather than treated as</w:t>
      </w:r>
      <w:r>
        <w:t xml:space="preserve"> </w:t>
      </w:r>
      <w:r>
        <w:t xml:space="preserve">“</w:t>
      </w:r>
      <w:r>
        <w:t xml:space="preserve">direct</w:t>
      </w:r>
      <w:r>
        <w:t xml:space="preserve">”</w:t>
      </w:r>
      <w:r>
        <w:t xml:space="preserve">), reputational harm, and replacement-sourcing costs. The Ridgeway portfolio example is instructive: in an FDA Class II recall triggered by a defective ingredient, direct damages were approximately $1.8M while consequential damages exceeded $14M — a blanket waiver would have capped recovery at less than 12 cents on the dollar. The 13-year potential duration (initial 7-year term plus two 3-year renewals, through July 31, 2038) deepens the exposure: by Year 10, Greenleaf’s curcumin and ashwagandha product lines will be built around Pacifica’s extracts, magnifying switching costs and downstream losses.</w:t>
      </w:r>
    </w:p>
    <w:p>
      <w:pPr>
        <w:pStyle w:val="BodyText"/>
      </w:pPr>
      <w:r>
        <w:t xml:space="preserve">QA §6.6 is internally contradictory. It purports to preserve Greenleaf’s consequential-damages rights</w:t>
      </w:r>
      <w:r>
        <w:t xml:space="preserve"> </w:t>
      </w:r>
      <w:r>
        <w:t xml:space="preserve">“</w:t>
      </w:r>
      <w:r>
        <w:t xml:space="preserve">as provided in the Supply Agreement,</w:t>
      </w:r>
      <w:r>
        <w:t xml:space="preserve">”</w:t>
      </w:r>
      <w:r>
        <w:t xml:space="preserve"> </w:t>
      </w:r>
      <w:r>
        <w:t xml:space="preserve">then immediately carves them back out</w:t>
      </w:r>
      <w:r>
        <w:t xml:space="preserve"> </w:t>
      </w:r>
      <w:r>
        <w:t xml:space="preserve">“</w:t>
      </w:r>
      <w:r>
        <w:t xml:space="preserve">to the extent expressly limited by the dispute resolution provisions of Article 14.</w:t>
      </w:r>
      <w:r>
        <w:t xml:space="preserve">”</w:t>
      </w:r>
      <w:r>
        <w:t xml:space="preserve"> </w:t>
      </w:r>
      <w:r>
        <w:t xml:space="preserve">Because SA §14.11 expressly limits consequential damages, the</w:t>
      </w:r>
      <w:r>
        <w:t xml:space="preserve"> </w:t>
      </w:r>
      <w:r>
        <w:t xml:space="preserve">“</w:t>
      </w:r>
      <w:r>
        <w:t xml:space="preserve">preservation</w:t>
      </w:r>
      <w:r>
        <w:t xml:space="preserve">”</w:t>
      </w:r>
      <w:r>
        <w:t xml:space="preserve"> </w:t>
      </w:r>
      <w:r>
        <w:t xml:space="preserve">is illusory — the provision reads as though recall-related consequential damages were intended to survive, but they do not. The SA §11.2 carve-outs partially mitigate the waiver for third-party IP-infringement claims, but product-liability and recall claims — Greenleaf’s most likely high-value exposure — are not carved out of §14.11.</w:t>
      </w:r>
    </w:p>
    <w:p>
      <w:pPr>
        <w:pStyle w:val="BodyText"/>
      </w:pPr>
      <w:r>
        <w:rPr>
          <w:b/>
          <w:bCs/>
        </w:rPr>
        <w:t xml:space="preserve">Severity: Critical.</w:t>
      </w:r>
      <w:r>
        <w:t xml:space="preserve"> </w:t>
      </w:r>
      <w:r>
        <w:t xml:space="preserve">This is Greenleaf’s identified walk-away issue and presents deal-level commercial exposure disproportionate to a $178M+ exclusive commitment.</w:t>
      </w:r>
    </w:p>
    <w:p>
      <w:pPr>
        <w:pStyle w:val="BodyText"/>
      </w:pPr>
      <w:r>
        <w:rPr>
          <w:b/>
          <w:bCs/>
        </w:rPr>
        <w:t xml:space="preserve">Recommendation.</w:t>
      </w:r>
    </w:p>
    <w:p>
      <w:pPr>
        <w:pStyle w:val="Compact"/>
        <w:numPr>
          <w:ilvl w:val="0"/>
          <w:numId w:val="1001"/>
        </w:numPr>
      </w:pPr>
      <w:r>
        <w:t xml:space="preserve">Negotiate a carve-out from the §14.11 waiver for (i) recall-related costs and losses, (ii) lost profits directly attributable to supply failure or non-conforming Product, (iii) third-party claims (including consumer and product-liability claims) arising from defective Product, and (iv) indemnification claims under SA Art. 10. Greenleaf has indicated willingness to maintain the waiver of punitive/exemplary damages.</w:t>
      </w:r>
    </w:p>
    <w:p>
      <w:pPr>
        <w:pStyle w:val="Compact"/>
        <w:numPr>
          <w:ilvl w:val="0"/>
          <w:numId w:val="1001"/>
        </w:numPr>
      </w:pPr>
      <w:r>
        <w:t xml:space="preserve">Alternatively, replace the blanket waiver with a damages cap (e.g., a multiple of the annual Minimum Annual Commitment, or an aggregate cap calibrated to the recall-insurance limits in QA §6.5).</w:t>
      </w:r>
    </w:p>
    <w:p>
      <w:pPr>
        <w:pStyle w:val="Compact"/>
        <w:numPr>
          <w:ilvl w:val="0"/>
          <w:numId w:val="1001"/>
        </w:numPr>
      </w:pPr>
      <w:r>
        <w:t xml:space="preserve">Reconcile QA §6.6: either delete the</w:t>
      </w:r>
      <w:r>
        <w:t xml:space="preserve"> </w:t>
      </w:r>
      <w:r>
        <w:t xml:space="preserve">“</w:t>
      </w:r>
      <w:r>
        <w:t xml:space="preserve">except as limited by Article 14</w:t>
      </w:r>
      <w:r>
        <w:t xml:space="preserve">”</w:t>
      </w:r>
      <w:r>
        <w:t xml:space="preserve"> </w:t>
      </w:r>
      <w:r>
        <w:t xml:space="preserve">carve-back so that recall-related consequential damages genuinely survive, or expressly enumerate the recall-related consequential losses that survive the waiver. Coordinate with Issue 9.</w:t>
      </w:r>
    </w:p>
    <w:p>
      <w:pPr>
        <w:pStyle w:val="Compact"/>
        <w:numPr>
          <w:ilvl w:val="0"/>
          <w:numId w:val="1001"/>
        </w:numPr>
      </w:pPr>
      <w:r>
        <w:t xml:space="preserve">Reflect any carve-out in both SA §14.11 and SA §11.2 so the tribunal’s authority and the liability limitation are consistent.</w:t>
      </w:r>
    </w:p>
    <w:bookmarkEnd w:id="24"/>
    <w:bookmarkStart w:id="25" w:name="X260dff2819c86b225c8842a8d14136eb4c27c3a"/>
    <w:p>
      <w:pPr>
        <w:pStyle w:val="Heading4"/>
      </w:pPr>
      <w:r>
        <w:t xml:space="preserve">Issue 2 — IPLA §9.3 consolidation clause conflicts with SA Art. 14 (LCIA vs. ICC) · CRITICAL</w:t>
      </w:r>
    </w:p>
    <w:p>
      <w:pPr>
        <w:pStyle w:val="FirstParagraph"/>
      </w:pPr>
      <w:r>
        <w:rPr>
          <w:b/>
          <w:bCs/>
        </w:rPr>
        <w:t xml:space="preserve">Provisions.</w:t>
      </w:r>
      <w:r>
        <w:t xml:space="preserve"> </w:t>
      </w:r>
      <w:r>
        <w:t xml:space="preserve">IPLA §9.3 (</w:t>
      </w:r>
      <w:r>
        <w:t xml:space="preserve">“</w:t>
      </w:r>
      <w:r>
        <w:t xml:space="preserve">claims arising under this Agreement that also relate to obligations under the Supply Agreement shall be heard jointly in a single arbitration proceeding under this Section 9</w:t>
      </w:r>
      <w:r>
        <w:t xml:space="preserve">”</w:t>
      </w:r>
      <w:r>
        <w:t xml:space="preserve"> </w:t>
      </w:r>
      <w:r>
        <w:t xml:space="preserve">— i.e., LCIA, London, English law); SA §14.1 (disputes</w:t>
      </w:r>
      <w:r>
        <w:t xml:space="preserve"> </w:t>
      </w:r>
      <w:r>
        <w:t xml:space="preserve">“</w:t>
      </w:r>
      <w:r>
        <w:t xml:space="preserve">arising out of or relating to this Agreement</w:t>
      </w:r>
      <w:r>
        <w:t xml:space="preserve">”</w:t>
      </w:r>
      <w:r>
        <w:t xml:space="preserve"> </w:t>
      </w:r>
      <w:r>
        <w:t xml:space="preserve">→ ICC, Singapore seat, New York law); SA §15.8 (SA controls in case of conflict); IPLA §10.3 (SA controls</w:t>
      </w:r>
      <w:r>
        <w:t xml:space="preserve"> </w:t>
      </w:r>
      <w:r>
        <w:t xml:space="preserve">“</w:t>
      </w:r>
      <w:r>
        <w:t xml:space="preserve">except with respect to matters specifically and exclusively addressed by this Agreement</w:t>
      </w:r>
      <w:r>
        <w:t xml:space="preserve">”</w:t>
      </w:r>
      <w:r>
        <w:t xml:space="preserve">).</w:t>
      </w:r>
    </w:p>
    <w:p>
      <w:pPr>
        <w:pStyle w:val="BodyText"/>
      </w:pPr>
      <w:r>
        <w:rPr>
          <w:b/>
          <w:bCs/>
        </w:rPr>
        <w:t xml:space="preserve">Analysis.</w:t>
      </w:r>
      <w:r>
        <w:t xml:space="preserve"> </w:t>
      </w:r>
      <w:r>
        <w:t xml:space="preserve">For any dispute that arises under the IPLA and also relates to SA obligations — a common scenario, e.g., a regulatory-data dispute tied to a supply or quality failure — two arbitration clauses point to different forums. IPLA §9.3 mandates LCIA (London, English law); SA §14.1, read with its broad</w:t>
      </w:r>
      <w:r>
        <w:t xml:space="preserve"> </w:t>
      </w:r>
      <w:r>
        <w:t xml:space="preserve">“</w:t>
      </w:r>
      <w:r>
        <w:t xml:space="preserve">arising out of or relating to</w:t>
      </w:r>
      <w:r>
        <w:t xml:space="preserve">”</w:t>
      </w:r>
      <w:r>
        <w:t xml:space="preserve"> </w:t>
      </w:r>
      <w:r>
        <w:t xml:space="preserve">scope, captures the same dispute into ICC (Singapore, New York law). The hierarchy clauses do not resolve the conflict — they exacerbate it. SA §15.8 says the SA controls in case of conflict (favoring ICC). IPLA §10.3 says the SA controls</w:t>
      </w:r>
      <w:r>
        <w:t xml:space="preserve"> </w:t>
      </w:r>
      <w:r>
        <w:t xml:space="preserve">“</w:t>
      </w:r>
      <w:r>
        <w:t xml:space="preserve">except with respect to matters specifically and exclusively addressed by this Agreement</w:t>
      </w:r>
      <w:r>
        <w:t xml:space="preserve">”</w:t>
      </w:r>
      <w:r>
        <w:t xml:space="preserve"> </w:t>
      </w:r>
      <w:r>
        <w:t xml:space="preserve">— and dispute resolution is specifically addressed by IPLA §9 (favoring LCIA for IPLA disputes). The two clauses thus point in opposite directions for the same overlapping dispute.</w:t>
      </w:r>
    </w:p>
    <w:p>
      <w:pPr>
        <w:pStyle w:val="BodyText"/>
      </w:pPr>
      <w:r>
        <w:t xml:space="preserve">This is a textbook conflicting-arbitration-clauses /</w:t>
      </w:r>
      <w:r>
        <w:t xml:space="preserve"> </w:t>
      </w:r>
      <w:r>
        <w:t xml:space="preserve">“</w:t>
      </w:r>
      <w:r>
        <w:t xml:space="preserve">pathological clause</w:t>
      </w:r>
      <w:r>
        <w:t xml:space="preserve">”</w:t>
      </w:r>
      <w:r>
        <w:t xml:space="preserve"> </w:t>
      </w:r>
      <w:r>
        <w:t xml:space="preserve">situation — precisely the category of defect that caused the 14-month enforcement delay in Pacifica’s 2023 Hong Kong ICC arbitration (per the Harmon &amp; Grey memo and the internal email chain). A party seeking to resist jurisdiction or enforcement will have a colorable argument that the conflicting clauses render the forum selection ambiguous or unenforceable. The consolidation is also one-directional: it pulls SA claims into the LCIA proceeding but does not address QA Letter claims, so a dispute touching all three documents could still fragment across SIAC, LCIA, and ICC. It also overrides the SA’s chosen forum and governing law for SA-related claims, which is difficult to reconcile with the SA being the master agreement.</w:t>
      </w:r>
    </w:p>
    <w:p>
      <w:pPr>
        <w:pStyle w:val="BodyText"/>
      </w:pPr>
      <w:r>
        <w:rPr>
          <w:b/>
          <w:bCs/>
        </w:rPr>
        <w:t xml:space="preserve">Severity: Critical.</w:t>
      </w:r>
      <w:r>
        <w:t xml:space="preserve"> </w:t>
      </w:r>
      <w:r>
        <w:t xml:space="preserve">Creates a direct jurisdictional conflict and enforcement risk; undermines the SA’s forum selection and recreates the risk Pacifica’s architecture was designed to eliminate.</w:t>
      </w:r>
    </w:p>
    <w:p>
      <w:pPr>
        <w:pStyle w:val="BodyText"/>
      </w:pPr>
      <w:r>
        <w:rPr>
          <w:b/>
          <w:bCs/>
        </w:rPr>
        <w:t xml:space="preserve">Recommendation.</w:t>
      </w:r>
    </w:p>
    <w:p>
      <w:pPr>
        <w:pStyle w:val="Compact"/>
        <w:numPr>
          <w:ilvl w:val="0"/>
          <w:numId w:val="1002"/>
        </w:numPr>
      </w:pPr>
      <w:r>
        <w:t xml:space="preserve">Delete IPLA §9.3 in its current form. Replace with a bilateral consolidation protocol that (a) designates a single forum for any dispute touching two or more Transaction Documents, and (b) makes that forum the SA’s ICC/Singapore forum (consistent with the SA’s role as master agreement and SA §15.8), or a neutral single forum agreed by both parties.</w:t>
      </w:r>
    </w:p>
    <w:p>
      <w:pPr>
        <w:pStyle w:val="Compact"/>
        <w:numPr>
          <w:ilvl w:val="0"/>
          <w:numId w:val="1002"/>
        </w:numPr>
      </w:pPr>
      <w:r>
        <w:t xml:space="preserve">Alternatively, adopt a standalone Dispute Resolution Agreement / umbrella clause that overrides the individual clauses for multi-document disputes and provides a clear, single forum-selection rule with a defined consolidation mechanism (e.g., invoking ICC Rules Arts. 10–11 consolidation).</w:t>
      </w:r>
    </w:p>
    <w:p>
      <w:pPr>
        <w:pStyle w:val="Compact"/>
        <w:numPr>
          <w:ilvl w:val="0"/>
          <w:numId w:val="1002"/>
        </w:numPr>
      </w:pPr>
      <w:r>
        <w:t xml:space="preserve">Ensure the consolidation mechanism is mutual and covers all three documents (including the QA Letter), not just IPLA + SA.</w:t>
      </w:r>
    </w:p>
    <w:p>
      <w:pPr>
        <w:pStyle w:val="Compact"/>
        <w:numPr>
          <w:ilvl w:val="0"/>
          <w:numId w:val="1002"/>
        </w:numPr>
      </w:pPr>
      <w:r>
        <w:t xml:space="preserve">Reconcile the hierarchy clauses (see Issue 5) so they do not point in opposite directions.</w:t>
      </w:r>
    </w:p>
    <w:bookmarkEnd w:id="25"/>
    <w:bookmarkStart w:id="26" w:name="Xd4dd23330c1ed075feeb6691eac1770d32edd97"/>
    <w:p>
      <w:pPr>
        <w:pStyle w:val="Heading4"/>
      </w:pPr>
      <w:r>
        <w:t xml:space="preserve">Issue 3 — SA §14.6 appeal on questions of law to the Singapore High Court — likely ineffective · CRITICAL</w:t>
      </w:r>
    </w:p>
    <w:p>
      <w:pPr>
        <w:pStyle w:val="FirstParagraph"/>
      </w:pPr>
      <w:r>
        <w:rPr>
          <w:b/>
          <w:bCs/>
        </w:rPr>
        <w:t xml:space="preserve">Provisions.</w:t>
      </w:r>
      <w:r>
        <w:t xml:space="preserve"> </w:t>
      </w:r>
      <w:r>
        <w:t xml:space="preserve">SA §14.6 (award final and binding;</w:t>
      </w:r>
      <w:r>
        <w:t xml:space="preserve"> </w:t>
      </w:r>
      <w:r>
        <w:t xml:space="preserve">“</w:t>
      </w:r>
      <w:r>
        <w:t xml:space="preserve">either party may appeal the award on questions of law to the High Court of Singapore</w:t>
      </w:r>
      <w:r>
        <w:t xml:space="preserve">”</w:t>
      </w:r>
      <w:r>
        <w:t xml:space="preserve">); Harmon &amp; Grey memo (states the provision is</w:t>
      </w:r>
      <w:r>
        <w:t xml:space="preserve"> </w:t>
      </w:r>
      <w:r>
        <w:t xml:space="preserve">“</w:t>
      </w:r>
      <w:r>
        <w:t xml:space="preserve">modeled on the approach under the English Arbitration Act 1996, specifically Section 69</w:t>
      </w:r>
      <w:r>
        <w:t xml:space="preserve">”</w:t>
      </w:r>
      <w:r>
        <w:t xml:space="preserve">).</w:t>
      </w:r>
    </w:p>
    <w:p>
      <w:pPr>
        <w:pStyle w:val="BodyText"/>
      </w:pPr>
      <w:r>
        <w:rPr>
          <w:b/>
          <w:bCs/>
        </w:rPr>
        <w:t xml:space="preserve">Analysis.</w:t>
      </w:r>
      <w:r>
        <w:t xml:space="preserve"> </w:t>
      </w:r>
      <w:r>
        <w:t xml:space="preserve">The provision is modeled on English Arbitration Act 1996 s.69, which permits agreed appeals on questions of law to the English courts. But the juridical seat of the SA arbitration is Singapore, not England. Singapore’s International Arbitration Act (Cap. 143A) incorporates the UNCITRAL Model Law, which contains no equivalent to s.69. Under the Model Law (Art. 5), court intervention is limited to the grounds expressly provided in the Model Law — principally setting-aside under Art. 34 and refusal of enforcement under Art. 36 — none of which permits review on questions of law. Because court jurisdiction is statutory and the Model Law is exhaustive as to court intervention, the parties cannot by agreement confer a statutory right of appeal on questions of law on the Singapore High Court. SA §14.6 is therefore likely ineffective as a court appeal. (The parties could agree to an internal</w:t>
      </w:r>
      <w:r>
        <w:t xml:space="preserve"> </w:t>
      </w:r>
      <w:r>
        <w:t xml:space="preserve">“</w:t>
      </w:r>
      <w:r>
        <w:t xml:space="preserve">appeal</w:t>
      </w:r>
      <w:r>
        <w:t xml:space="preserve">”</w:t>
      </w:r>
      <w:r>
        <w:t xml:space="preserve"> </w:t>
      </w:r>
      <w:r>
        <w:t xml:space="preserve">to a second-tier arbitral tribunal, but not to the courts.)</w:t>
      </w:r>
    </w:p>
    <w:p>
      <w:pPr>
        <w:pStyle w:val="BodyText"/>
      </w:pPr>
      <w:r>
        <w:t xml:space="preserve">The Harmon &amp; Grey memo’s rationale reflects a misunderstanding of Singapore curial law: it treats the Singapore seat as capable of supporting an English s.69-style appeal, which it is not. If appellate review on questions of law is genuinely desired, the seat would need to be England (where s.69 applies, subject to opt-out), not Singapore. The provision also undermines finality — the central benefit of arbitration — and, if invoked, would generate precisely the kind of post-award procedural dispute and enforcement delay that Pacifica experienced in 2023 and states it wishes to avoid. It is also inconsistent with the ICC Rules, which do not provide for merits appeals.</w:t>
      </w:r>
    </w:p>
    <w:p>
      <w:pPr>
        <w:pStyle w:val="BodyText"/>
      </w:pPr>
      <w:r>
        <w:rPr>
          <w:b/>
          <w:bCs/>
        </w:rPr>
        <w:t xml:space="preserve">Severity: Critical.</w:t>
      </w:r>
      <w:r>
        <w:t xml:space="preserve"> </w:t>
      </w:r>
      <w:r>
        <w:t xml:space="preserve">The provision is likely unenforceable as drafted, creates a false expectation of appellate review, and reintroduces the enforcement-delay risk the architecture was designed to eliminate.</w:t>
      </w:r>
    </w:p>
    <w:p>
      <w:pPr>
        <w:pStyle w:val="BodyText"/>
      </w:pPr>
      <w:r>
        <w:rPr>
          <w:b/>
          <w:bCs/>
        </w:rPr>
        <w:t xml:space="preserve">Recommendation.</w:t>
      </w:r>
    </w:p>
    <w:p>
      <w:pPr>
        <w:pStyle w:val="Compact"/>
        <w:numPr>
          <w:ilvl w:val="0"/>
          <w:numId w:val="1003"/>
        </w:numPr>
      </w:pPr>
      <w:r>
        <w:t xml:space="preserve">Delete the appeal-on-questions-of-law language and provide that the award is final and binding, with recourse limited to the setting-aside/refusal grounds available under the Singapore IAA / Model Law and the New York Convention. This aligns with the seat and with Pacifica’s stated finality objective.</w:t>
      </w:r>
    </w:p>
    <w:p>
      <w:pPr>
        <w:pStyle w:val="Compact"/>
        <w:numPr>
          <w:ilvl w:val="0"/>
          <w:numId w:val="1003"/>
        </w:numPr>
      </w:pPr>
      <w:r>
        <w:t xml:space="preserve">If the parties genuinely want appellate review on questions of law, seat the arbitration in England (London) and opt into English Arbitration Act 1996 s.69 (or the equivalent opt-in), with the appeal channelled to the English courts. This would also align the seat with the existing London hearing venue. Note this would change the curial law and supervisory jurisdiction and should be evaluated holistically with Issues 2 and 4.</w:t>
      </w:r>
    </w:p>
    <w:bookmarkEnd w:id="26"/>
    <w:bookmarkStart w:id="27" w:name="X03190ecdbda6981d2b865eaac2f7db6d36c9ca0"/>
    <w:p>
      <w:pPr>
        <w:pStyle w:val="Heading4"/>
      </w:pPr>
      <w:r>
        <w:t xml:space="preserve">Issue 4 — Fragmented architecture: three institutions, two seats, three governing laws · HIGH</w:t>
      </w:r>
    </w:p>
    <w:p>
      <w:pPr>
        <w:pStyle w:val="FirstParagraph"/>
      </w:pPr>
      <w:r>
        <w:rPr>
          <w:b/>
          <w:bCs/>
        </w:rPr>
        <w:t xml:space="preserve">Provisions.</w:t>
      </w:r>
      <w:r>
        <w:t xml:space="preserve"> </w:t>
      </w:r>
      <w:r>
        <w:t xml:space="preserve">SA Art. 14 (ICC; seat Singapore; venue London; New York law); QA §7 (SIAC expert determination + arbitration; seat Singapore; Singapore law); IPLA §9 (LCIA; seat London; English law).</w:t>
      </w:r>
    </w:p>
    <w:p>
      <w:pPr>
        <w:pStyle w:val="BodyText"/>
      </w:pPr>
      <w:r>
        <w:rPr>
          <w:b/>
          <w:bCs/>
        </w:rPr>
        <w:t xml:space="preserve">Analysis.</w:t>
      </w:r>
      <w:r>
        <w:t xml:space="preserve"> </w:t>
      </w:r>
      <w:r>
        <w:t xml:space="preserve">The three Transaction Documents designate three different administering institutions (ICC, SIAC, LCIA), two different seats (Singapore, London), and three different governing laws (New York, Singapore, England &amp; Wales). The Harmon &amp; Grey memo characterizes this as deliberate subject-matter tailoring. While the rationale is understandable in the abstract, the practical consequence for a tightly integrated transaction is a high probability of parallel proceedings, inconsistent findings, and duplicated cost. Many real disputes will cross document boundaries: a defective-ingredient claim will implicate the SA (supply/warranty), the QA Letter (specifications/testing/recall), and the IPLA (regulatory data / FDA filings). Under the current architecture, the same underlying facts could be litigated in three separate forums under three different laws, with no mechanism to ensure consistent fact-finding. The Harmon &amp; Grey memo itself acknowledges (Section IV) that the parties</w:t>
      </w:r>
      <w:r>
        <w:t xml:space="preserve"> </w:t>
      </w:r>
      <w:r>
        <w:t xml:space="preserve">“</w:t>
      </w:r>
      <w:r>
        <w:t xml:space="preserve">may wish to… harmonize certain procedural aspects,</w:t>
      </w:r>
      <w:r>
        <w:t xml:space="preserve">”</w:t>
      </w:r>
      <w:r>
        <w:t xml:space="preserve"> </w:t>
      </w:r>
      <w:r>
        <w:t xml:space="preserve">but the conflicts identified in Issues 2 and 5 show that the structure does require restructuring to avoid pathological-clause risk.</w:t>
      </w:r>
    </w:p>
    <w:p>
      <w:pPr>
        <w:pStyle w:val="BodyText"/>
      </w:pPr>
      <w:r>
        <w:rPr>
          <w:b/>
          <w:bCs/>
        </w:rPr>
        <w:t xml:space="preserve">Severity: High.</w:t>
      </w:r>
      <w:r>
        <w:t xml:space="preserve"> </w:t>
      </w:r>
      <w:r>
        <w:t xml:space="preserve">The fragmentation is the root cause of Issues 2, 5, and 6 and drives the parallel-proceedings risk.</w:t>
      </w:r>
    </w:p>
    <w:p>
      <w:pPr>
        <w:pStyle w:val="BodyText"/>
      </w:pPr>
      <w:r>
        <w:rPr>
          <w:b/>
          <w:bCs/>
        </w:rPr>
        <w:t xml:space="preserve">Recommendation.</w:t>
      </w:r>
    </w:p>
    <w:p>
      <w:pPr>
        <w:pStyle w:val="Compact"/>
        <w:numPr>
          <w:ilvl w:val="0"/>
          <w:numId w:val="1004"/>
        </w:numPr>
      </w:pPr>
      <w:r>
        <w:t xml:space="preserve">Harmonize to a single administering institution and seat for all three documents (or, at minimum, for the SA and QA Letter, which are most likely to generate overlapping disputes). SIAC (Singapore) or ICC are the most defensible single-institution choices; the QA Letter already uses SIAC and the SA already uses a Singapore seat.</w:t>
      </w:r>
    </w:p>
    <w:p>
      <w:pPr>
        <w:pStyle w:val="Compact"/>
        <w:numPr>
          <w:ilvl w:val="0"/>
          <w:numId w:val="1004"/>
        </w:numPr>
      </w:pPr>
      <w:r>
        <w:t xml:space="preserve">If subject-matter tailoring is retained, adopt a master dispute-resolution protocol (see Issue 2) that mandates consolidation of all related disputes into a single proceeding under a single forum and a single governing law, with clear rules for which forum/law prevails.</w:t>
      </w:r>
    </w:p>
    <w:p>
      <w:pPr>
        <w:pStyle w:val="Compact"/>
        <w:numPr>
          <w:ilvl w:val="0"/>
          <w:numId w:val="1004"/>
        </w:numPr>
      </w:pPr>
      <w:r>
        <w:t xml:space="preserve">Align governing law where commercially sensible (see Issue 5).</w:t>
      </w:r>
    </w:p>
    <w:bookmarkEnd w:id="27"/>
    <w:bookmarkStart w:id="28" w:name="X878f5a999cfffee884b88fd59b56511cc2bc7ba"/>
    <w:p>
      <w:pPr>
        <w:pStyle w:val="Heading4"/>
      </w:pPr>
      <w:r>
        <w:t xml:space="preserve">Issue 5 — Conflicting hierarchy/integration clauses with inconsistent carve-outs · HIGH</w:t>
      </w:r>
    </w:p>
    <w:p>
      <w:pPr>
        <w:pStyle w:val="FirstParagraph"/>
      </w:pPr>
      <w:r>
        <w:rPr>
          <w:b/>
          <w:bCs/>
        </w:rPr>
        <w:t xml:space="preserve">Provisions.</w:t>
      </w:r>
      <w:r>
        <w:t xml:space="preserve"> </w:t>
      </w:r>
      <w:r>
        <w:t xml:space="preserve">SA §15.8 (SA controls in case of conflict with QA Letter or IPLA); QA §8.1 (SA controls</w:t>
      </w:r>
      <w:r>
        <w:t xml:space="preserve"> </w:t>
      </w:r>
      <w:r>
        <w:t xml:space="preserve">“</w:t>
      </w:r>
      <w:r>
        <w:t xml:space="preserve">provided, however, that with respect to the subject matters specifically addressed in this Side Letter… this Side Letter shall control</w:t>
      </w:r>
      <w:r>
        <w:t xml:space="preserve">”</w:t>
      </w:r>
      <w:r>
        <w:t xml:space="preserve">); IPLA §10.3 (SA controls</w:t>
      </w:r>
      <w:r>
        <w:t xml:space="preserve"> </w:t>
      </w:r>
      <w:r>
        <w:t xml:space="preserve">“</w:t>
      </w:r>
      <w:r>
        <w:t xml:space="preserve">except with respect to matters specifically and exclusively addressed by this Agreement</w:t>
      </w:r>
      <w:r>
        <w:t xml:space="preserve">”</w:t>
      </w:r>
      <w:r>
        <w:t xml:space="preserve">).</w:t>
      </w:r>
    </w:p>
    <w:p>
      <w:pPr>
        <w:pStyle w:val="BodyText"/>
      </w:pPr>
      <w:r>
        <w:rPr>
          <w:b/>
          <w:bCs/>
        </w:rPr>
        <w:t xml:space="preserve">Analysis.</w:t>
      </w:r>
      <w:r>
        <w:t xml:space="preserve"> </w:t>
      </w:r>
      <w:r>
        <w:t xml:space="preserve">The three hierarchy clauses use different carve-out formulations: the QA Letter carves out</w:t>
      </w:r>
      <w:r>
        <w:t xml:space="preserve"> </w:t>
      </w:r>
      <w:r>
        <w:t xml:space="preserve">“</w:t>
      </w:r>
      <w:r>
        <w:t xml:space="preserve">subject matters specifically addressed</w:t>
      </w:r>
      <w:r>
        <w:t xml:space="preserve">”</w:t>
      </w:r>
      <w:r>
        <w:t xml:space="preserve"> </w:t>
      </w:r>
      <w:r>
        <w:t xml:space="preserve">in the QA Letter; the IPLA carves out</w:t>
      </w:r>
      <w:r>
        <w:t xml:space="preserve"> </w:t>
      </w:r>
      <w:r>
        <w:t xml:space="preserve">“</w:t>
      </w:r>
      <w:r>
        <w:t xml:space="preserve">matters specifically and exclusively addressed</w:t>
      </w:r>
      <w:r>
        <w:t xml:space="preserve">”</w:t>
      </w:r>
      <w:r>
        <w:t xml:space="preserve"> </w:t>
      </w:r>
      <w:r>
        <w:t xml:space="preserve">in the IPLA. The different standards (</w:t>
      </w:r>
      <w:r>
        <w:t xml:space="preserve">“</w:t>
      </w:r>
      <w:r>
        <w:t xml:space="preserve">specifically addressed</w:t>
      </w:r>
      <w:r>
        <w:t xml:space="preserve">”</w:t>
      </w:r>
      <w:r>
        <w:t xml:space="preserve"> </w:t>
      </w:r>
      <w:r>
        <w:t xml:space="preserve">vs. </w:t>
      </w:r>
      <w:r>
        <w:t xml:space="preserve">“</w:t>
      </w:r>
      <w:r>
        <w:t xml:space="preserve">specifically and exclusively addressed</w:t>
      </w:r>
      <w:r>
        <w:t xml:space="preserve">”</w:t>
      </w:r>
      <w:r>
        <w:t xml:space="preserve">) create interpretive uncertainty about which document controls at the margins. Critically, dispute resolution is a</w:t>
      </w:r>
      <w:r>
        <w:t xml:space="preserve"> </w:t>
      </w:r>
      <w:r>
        <w:t xml:space="preserve">“</w:t>
      </w:r>
      <w:r>
        <w:t xml:space="preserve">subject matter specifically addressed</w:t>
      </w:r>
      <w:r>
        <w:t xml:space="preserve">”</w:t>
      </w:r>
      <w:r>
        <w:t xml:space="preserve"> </w:t>
      </w:r>
      <w:r>
        <w:t xml:space="preserve">in each document. Under QA §8.1, the QA Letter’s dispute resolution (SIAC) controls for QA disputes; under IPLA §10.3, the IPLA’s dispute resolution (LCIA) controls for IPLA disputes; under SA §15.8, the SA’s dispute resolution (ICC) controls for SA disputes. For an overlapping dispute, the clauses point in opposite directions (see Issue 2). None of the clauses specifies which law governs the interpretation of the hierarchy clause itself, nor how to characterize a dispute that spans multiple subject matters.</w:t>
      </w:r>
    </w:p>
    <w:p>
      <w:pPr>
        <w:pStyle w:val="BodyText"/>
      </w:pPr>
      <w:r>
        <w:rPr>
          <w:b/>
          <w:bCs/>
        </w:rPr>
        <w:t xml:space="preserve">Severity: High.</w:t>
      </w:r>
      <w:r>
        <w:t xml:space="preserve"> </w:t>
      </w:r>
      <w:r>
        <w:t xml:space="preserve">The conflicting carve-outs create ambiguity and directly fuel the jurisdictional conflict in Issue 2.</w:t>
      </w:r>
    </w:p>
    <w:p>
      <w:pPr>
        <w:pStyle w:val="BodyText"/>
      </w:pPr>
      <w:r>
        <w:rPr>
          <w:b/>
          <w:bCs/>
        </w:rPr>
        <w:t xml:space="preserve">Recommendation.</w:t>
      </w:r>
    </w:p>
    <w:p>
      <w:pPr>
        <w:pStyle w:val="Compact"/>
        <w:numPr>
          <w:ilvl w:val="0"/>
          <w:numId w:val="1005"/>
        </w:numPr>
      </w:pPr>
      <w:r>
        <w:t xml:space="preserve">Replace the three divergent hierarchy clauses with a single, identically worded integration clause in all three documents, using one consistent carve-out standard.</w:t>
      </w:r>
    </w:p>
    <w:p>
      <w:pPr>
        <w:pStyle w:val="Compact"/>
        <w:numPr>
          <w:ilvl w:val="0"/>
          <w:numId w:val="1005"/>
        </w:numPr>
      </w:pPr>
      <w:r>
        <w:t xml:space="preserve">Define subject-matter allocations clearly: SA = commercial/supply/pricing/delivery/termination; QA Letter = specifications/testing/rejection/recall cost allocation; IPLA = IP/regulatory data/license scope. Provide an express tie-breaker for disputes spanning multiple subject matters (e.g., the SA’s forum governs consolidated/multi-document disputes).</w:t>
      </w:r>
    </w:p>
    <w:p>
      <w:pPr>
        <w:pStyle w:val="Compact"/>
        <w:numPr>
          <w:ilvl w:val="0"/>
          <w:numId w:val="1005"/>
        </w:numPr>
      </w:pPr>
      <w:r>
        <w:t xml:space="preserve">Specify the law governing interpretation of the hierarchy clause itself.</w:t>
      </w:r>
    </w:p>
    <w:bookmarkEnd w:id="28"/>
    <w:bookmarkEnd w:id="29"/>
    <w:bookmarkStart w:id="34" w:name="X805bb068acf915e561148c49dc25b53ecf708d5"/>
    <w:p>
      <w:pPr>
        <w:pStyle w:val="Heading3"/>
      </w:pPr>
      <w:r>
        <w:t xml:space="preserve">B. Enforceability &amp; Pathological-Clause Risk</w:t>
      </w:r>
    </w:p>
    <w:bookmarkStart w:id="30" w:name="X6e5e64fd874db7f6d6ea7252316f9ff2936eef9"/>
    <w:p>
      <w:pPr>
        <w:pStyle w:val="Heading4"/>
      </w:pPr>
      <w:r>
        <w:t xml:space="preserve">Issue 6 — No joinder/consolidation mechanism for non-signatory co-manufacturers · HIGH</w:t>
      </w:r>
    </w:p>
    <w:p>
      <w:pPr>
        <w:pStyle w:val="FirstParagraph"/>
      </w:pPr>
      <w:r>
        <w:rPr>
          <w:b/>
          <w:bCs/>
        </w:rPr>
        <w:t xml:space="preserve">Provisions.</w:t>
      </w:r>
      <w:r>
        <w:t xml:space="preserve"> </w:t>
      </w:r>
      <w:r>
        <w:t xml:space="preserve">SA Art. 14; QA §7; IPLA §9 (none contain a joinder/consolidation mechanism for non-signatories); SA §15.9 and IPLA §10.8 (no third-party beneficiaries).</w:t>
      </w:r>
    </w:p>
    <w:p>
      <w:pPr>
        <w:pStyle w:val="BodyText"/>
      </w:pPr>
      <w:r>
        <w:rPr>
          <w:b/>
          <w:bCs/>
        </w:rPr>
        <w:t xml:space="preserve">Analysis.</w:t>
      </w:r>
      <w:r>
        <w:t xml:space="preserve"> </w:t>
      </w:r>
      <w:r>
        <w:t xml:space="preserve">None of the three arbitration clauses provides any mechanism for joinder of non-signatories or third parties. Greenleaf’s U.S.-based co-manufacturers (blending, encapsulation, packaging) are not parties to any Transaction Document, and a new co-manufacturer is expected online in Q1 2026 — within six months of the Target Effective Date. In the most likely high-value dispute scenario — a defective Pacifica extract processed by a co-man into finished capsules before detection — Greenleaf will need to pursue claims against both Pacifica (supplier of the defective ingredient) and the co-man (for failure to detect or contribution). Under the current architecture, Greenleaf would arbitrate against Pacifica (ICC/Singapore or SIAC) while simultaneously litigating against the co-man in U.S. courts (likely North Carolina state or federal court, under the co-mans’ existing purchase-order/forum-selection terms).</w:t>
      </w:r>
    </w:p>
    <w:p>
      <w:pPr>
        <w:pStyle w:val="BodyText"/>
      </w:pPr>
      <w:r>
        <w:t xml:space="preserve">The consequences are severe: parallel proceedings, duplicative evidence-gathering, a real risk of inconsistent findings (e.g., the tribunal finding the extract defective while the court finds the co-man’s process at fault), and materially increased cost. Under the ICC Rules, joinder of a non-signatory requires the non-signatory’s consent, which co-mans have no incentive to give. The QA Letter’s expert-determination process (QA §7) does not solve this and arguably worsens it by adding a third procedural layer (expert determination → SIAC arbitration → plus co-man litigation) for the same underlying quality event.</w:t>
      </w:r>
    </w:p>
    <w:p>
      <w:pPr>
        <w:pStyle w:val="BodyText"/>
      </w:pPr>
      <w:r>
        <w:rPr>
          <w:b/>
          <w:bCs/>
        </w:rPr>
        <w:t xml:space="preserve">Severity: High.</w:t>
      </w:r>
      <w:r>
        <w:t xml:space="preserve"> </w:t>
      </w:r>
      <w:r>
        <w:t xml:space="preserve">A structural gap that creates parallel-proceedings and inconsistent-finding risk for Greenleaf’s most probable dispute scenario.</w:t>
      </w:r>
    </w:p>
    <w:p>
      <w:pPr>
        <w:pStyle w:val="BodyText"/>
      </w:pPr>
      <w:r>
        <w:rPr>
          <w:b/>
          <w:bCs/>
        </w:rPr>
        <w:t xml:space="preserve">Recommendation.</w:t>
      </w:r>
    </w:p>
    <w:p>
      <w:pPr>
        <w:pStyle w:val="Compact"/>
        <w:numPr>
          <w:ilvl w:val="0"/>
          <w:numId w:val="1006"/>
        </w:numPr>
      </w:pPr>
      <w:r>
        <w:t xml:space="preserve">Negotiate a contractual joinder / consent-to-joinder provision permitting Greenleaf to join co-manufacturers (and other third parties whose conduct is alleged to have contributed to the loss) into the arbitration, conditioned on the third party’s consent (which Greenleaf would secure upstream — see below).</w:t>
      </w:r>
    </w:p>
    <w:p>
      <w:pPr>
        <w:pStyle w:val="Compact"/>
        <w:numPr>
          <w:ilvl w:val="0"/>
          <w:numId w:val="1006"/>
        </w:numPr>
      </w:pPr>
      <w:r>
        <w:t xml:space="preserve">Alternatively (or in addition), negotiate a carve-out permitting quality disputes that necessarily involve third parties to be litigated in a specified court (e.g., U.S. District Court for the Western District of North Carolina, or North Carolina state court) when joinder in arbitration is not feasible.</w:t>
      </w:r>
    </w:p>
    <w:p>
      <w:pPr>
        <w:pStyle w:val="Compact"/>
        <w:numPr>
          <w:ilvl w:val="0"/>
          <w:numId w:val="1006"/>
        </w:numPr>
      </w:pPr>
      <w:r>
        <w:t xml:space="preserve">Going forward, require Greenleaf’s co-manufacturing agreements to include arbitration clauses compatible with the chosen forum (same institution, seat, and governing law) so that future co-mans can be joined. Address the Q1 2026 co-manufacturer now, before it comes online.</w:t>
      </w:r>
    </w:p>
    <w:p>
      <w:pPr>
        <w:pStyle w:val="Compact"/>
        <w:numPr>
          <w:ilvl w:val="0"/>
          <w:numId w:val="1006"/>
        </w:numPr>
      </w:pPr>
      <w:r>
        <w:t xml:space="preserve">Consider a</w:t>
      </w:r>
      <w:r>
        <w:t xml:space="preserve"> </w:t>
      </w:r>
      <w:r>
        <w:t xml:space="preserve">“</w:t>
      </w:r>
      <w:r>
        <w:t xml:space="preserve">basket</w:t>
      </w:r>
      <w:r>
        <w:t xml:space="preserve">”</w:t>
      </w:r>
      <w:r>
        <w:t xml:space="preserve">/umbrella arbitration or multi-party arbitration structure that can encompass consenting non-signatories.</w:t>
      </w:r>
    </w:p>
    <w:bookmarkEnd w:id="30"/>
    <w:bookmarkStart w:id="31" w:name="X40f689e342f42035bb4c67ecaa77fec981983d2"/>
    <w:p>
      <w:pPr>
        <w:pStyle w:val="Heading4"/>
      </w:pPr>
      <w:r>
        <w:t xml:space="preserve">Issue 7 — SA §14.5 blanket discovery prohibition — evidentiary asymmetry and enforcement risk · HIGH</w:t>
      </w:r>
    </w:p>
    <w:p>
      <w:pPr>
        <w:pStyle w:val="FirstParagraph"/>
      </w:pPr>
      <w:r>
        <w:rPr>
          <w:b/>
          <w:bCs/>
        </w:rPr>
        <w:t xml:space="preserve">Provisions.</w:t>
      </w:r>
      <w:r>
        <w:t xml:space="preserve"> </w:t>
      </w:r>
      <w:r>
        <w:t xml:space="preserve">SA §14.5 (</w:t>
      </w:r>
      <w:r>
        <w:t xml:space="preserve">“</w:t>
      </w:r>
      <w:r>
        <w:t xml:space="preserve">No discovery shall be permitted in the arbitration. Each party shall have the right to present documentary evidence and witness testimony at the hearing.</w:t>
      </w:r>
      <w:r>
        <w:t xml:space="preserve">”</w:t>
      </w:r>
      <w:r>
        <w:t xml:space="preserve">); QA §4.4 (audit rights — access to facilities, records, personnel); QA §6.4 (recall cooperation — access to records, samples, personnel); Harmon &amp; Grey memo (justifies the bar by reference to the IBA Rules and protection of Pacifica trade secrets).</w:t>
      </w:r>
    </w:p>
    <w:p>
      <w:pPr>
        <w:pStyle w:val="BodyText"/>
      </w:pPr>
      <w:r>
        <w:rPr>
          <w:b/>
          <w:bCs/>
        </w:rPr>
        <w:t xml:space="preserve">Analysis.</w:t>
      </w:r>
      <w:r>
        <w:t xml:space="preserve"> </w:t>
      </w:r>
      <w:r>
        <w:t xml:space="preserve">The bar is absolute:</w:t>
      </w:r>
      <w:r>
        <w:t xml:space="preserve"> </w:t>
      </w:r>
      <w:r>
        <w:t xml:space="preserve">“</w:t>
      </w:r>
      <w:r>
        <w:t xml:space="preserve">No discovery shall be permitted.</w:t>
      </w:r>
      <w:r>
        <w:t xml:space="preserve">”</w:t>
      </w:r>
      <w:r>
        <w:t xml:space="preserve"> </w:t>
      </w:r>
      <w:r>
        <w:t xml:space="preserve">This is more restrictive than the IBA Rules on the Taking of Evidence, which the Harmon &amp; Grey memo cites as the international norm. The IBA Rules permit limited, targeted document production (Redfern Schedule) of documents relevant and material to the case; a total prohibition goes beyond the IBA consensus the memo invokes.</w:t>
      </w:r>
    </w:p>
    <w:p>
      <w:pPr>
        <w:pStyle w:val="BodyText"/>
      </w:pPr>
      <w:r>
        <w:t xml:space="preserve">The bar creates an evidentiary asymmetry that is particularly damaging in quality disputes. Pacifica holds the manufacturing records, batch testing data, Certificates of Analysis, deviation/out-of-specification reports, and reserve samples — the very evidence Greenleaf needs to prove contamination, adulteration, or non-conformity. The QA Letter grants audit and cooperation access to these records ex ante (QA §4.4, §6.4), but once a dispute matures into arbitration, the §14.5 bar prevents compelled production. Greenleaf would be left to prove a contamination/adulteration claim without access to the supplier’s process and testing records.</w:t>
      </w:r>
    </w:p>
    <w:p>
      <w:pPr>
        <w:pStyle w:val="BodyText"/>
      </w:pPr>
      <w:r>
        <w:t xml:space="preserve">The bar also creates an enforcement risk that is ironic given Pacifica’s objectives. A party prevented from obtaining evidence necessary to present its case may argue it was</w:t>
      </w:r>
      <w:r>
        <w:t xml:space="preserve"> </w:t>
      </w:r>
      <w:r>
        <w:t xml:space="preserve">“</w:t>
      </w:r>
      <w:r>
        <w:t xml:space="preserve">unable to present its case</w:t>
      </w:r>
      <w:r>
        <w:t xml:space="preserve">”</w:t>
      </w:r>
      <w:r>
        <w:t xml:space="preserve"> </w:t>
      </w:r>
      <w:r>
        <w:t xml:space="preserve">— a ground for setting aside (Model Law Art. 34(2)(a)(ii)) and for refusal of recognition/enforcement (New York Convention Art. V(1)(b)). While tribunals and courts generally enforce party-agreed procedural limits, an absolute bar combined with evidentiary asymmetry gives a losing party a colorable challenge route — the kind of post-award challenge Pacifica wants to eliminate. Pacifica’s legitimate confidentiality concerns (trade secrets, extraction methodologies) can be protected through confidentiality orders, redaction, club provisions, and tribunal-controlled production — without an absolute bar.</w:t>
      </w:r>
    </w:p>
    <w:p>
      <w:pPr>
        <w:pStyle w:val="BodyText"/>
      </w:pPr>
      <w:r>
        <w:rPr>
          <w:b/>
          <w:bCs/>
        </w:rPr>
        <w:t xml:space="preserve">Severity: High.</w:t>
      </w:r>
      <w:r>
        <w:t xml:space="preserve"> </w:t>
      </w:r>
      <w:r>
        <w:t xml:space="preserve">Cripples Greenleaf’s ability to prove its most likely claims and creates a counterproductive enforcement risk.</w:t>
      </w:r>
    </w:p>
    <w:p>
      <w:pPr>
        <w:pStyle w:val="BodyText"/>
      </w:pPr>
      <w:r>
        <w:rPr>
          <w:b/>
          <w:bCs/>
        </w:rPr>
        <w:t xml:space="preserve">Recommendation.</w:t>
      </w:r>
    </w:p>
    <w:p>
      <w:pPr>
        <w:pStyle w:val="Compact"/>
        <w:numPr>
          <w:ilvl w:val="0"/>
          <w:numId w:val="1007"/>
        </w:numPr>
      </w:pPr>
      <w:r>
        <w:t xml:space="preserve">Replace the absolute bar with a limited, IBA-Rules-consistent document-production regime:</w:t>
      </w:r>
      <w:r>
        <w:t xml:space="preserve"> </w:t>
      </w:r>
      <w:r>
        <w:t xml:space="preserve">“</w:t>
      </w:r>
      <w:r>
        <w:t xml:space="preserve">Document production shall be limited to documents relevant and material to the issues in dispute, administered via a Redfern Schedule in accordance with the IBA Rules on the Taking of Evidence in International Arbitration.</w:t>
      </w:r>
      <w:r>
        <w:t xml:space="preserve">”</w:t>
      </w:r>
    </w:p>
    <w:p>
      <w:pPr>
        <w:pStyle w:val="Compact"/>
        <w:numPr>
          <w:ilvl w:val="0"/>
          <w:numId w:val="1007"/>
        </w:numPr>
      </w:pPr>
      <w:r>
        <w:t xml:space="preserve">Add an express carve-out for quality/manufacturing records necessary to prove or defend quality, contamination, adulteration, or recall claims — including batch records, COAs, testing/raw data, deviation and OOS investigation reports, and reserve-sample results — subject to confidentiality protections (protective order, redaction of cost/sourcing data,</w:t>
      </w:r>
      <w:r>
        <w:t xml:space="preserve"> </w:t>
      </w:r>
      <w:r>
        <w:t xml:space="preserve">“</w:t>
      </w:r>
      <w:r>
        <w:t xml:space="preserve">club</w:t>
      </w:r>
      <w:r>
        <w:t xml:space="preserve">”</w:t>
      </w:r>
      <w:r>
        <w:t xml:space="preserve"> </w:t>
      </w:r>
      <w:r>
        <w:t xml:space="preserve">or eyes-only access for outside counsel and tribunal-appointed experts).</w:t>
      </w:r>
    </w:p>
    <w:p>
      <w:pPr>
        <w:pStyle w:val="Compact"/>
        <w:numPr>
          <w:ilvl w:val="0"/>
          <w:numId w:val="1007"/>
        </w:numPr>
      </w:pPr>
      <w:r>
        <w:t xml:space="preserve">This preserves Pacifica’s confidentiality while closing the evidentiary gap and reducing the</w:t>
      </w:r>
      <w:r>
        <w:t xml:space="preserve"> </w:t>
      </w:r>
      <w:r>
        <w:t xml:space="preserve">“</w:t>
      </w:r>
      <w:r>
        <w:t xml:space="preserve">unable to present case</w:t>
      </w:r>
      <w:r>
        <w:t xml:space="preserve">”</w:t>
      </w:r>
      <w:r>
        <w:t xml:space="preserve"> </w:t>
      </w:r>
      <w:r>
        <w:t xml:space="preserve">enforcement risk.</w:t>
      </w:r>
    </w:p>
    <w:bookmarkEnd w:id="31"/>
    <w:bookmarkStart w:id="32" w:name="X790917c8000cfbac9940b9506c9150723c9f290"/>
    <w:p>
      <w:pPr>
        <w:pStyle w:val="Heading4"/>
      </w:pPr>
      <w:r>
        <w:t xml:space="preserve">Issue 8 — QA §7.1/7.2 expert-determination finality is circular; $5M threshold undefined · HIGH</w:t>
      </w:r>
    </w:p>
    <w:p>
      <w:pPr>
        <w:pStyle w:val="FirstParagraph"/>
      </w:pPr>
      <w:r>
        <w:rPr>
          <w:b/>
          <w:bCs/>
        </w:rPr>
        <w:t xml:space="preserve">Provisions.</w:t>
      </w:r>
      <w:r>
        <w:t xml:space="preserve"> </w:t>
      </w:r>
      <w:r>
        <w:t xml:space="preserve">QA §7.1 (expert determination</w:t>
      </w:r>
      <w:r>
        <w:t xml:space="preserve"> </w:t>
      </w:r>
      <w:r>
        <w:t xml:space="preserve">“</w:t>
      </w:r>
      <w:r>
        <w:t xml:space="preserve">final and binding on the Parties, subject to Section 7.2</w:t>
      </w:r>
      <w:r>
        <w:t xml:space="preserve">”</w:t>
      </w:r>
      <w:r>
        <w:t xml:space="preserve">; rendered within 60 days; each party bears own costs; expert fees shared; strict independence standard); QA §7.2 (escalation to SIAC arbitration if dispute</w:t>
      </w:r>
      <w:r>
        <w:t xml:space="preserve"> </w:t>
      </w:r>
      <w:r>
        <w:t xml:space="preserve">“</w:t>
      </w:r>
      <w:r>
        <w:t xml:space="preserve">involves an amount in excess of $5,000,000</w:t>
      </w:r>
      <w:r>
        <w:t xml:space="preserve">”</w:t>
      </w:r>
      <w:r>
        <w:t xml:space="preserve"> </w:t>
      </w:r>
      <w:r>
        <w:t xml:space="preserve">or</w:t>
      </w:r>
      <w:r>
        <w:t xml:space="preserve"> </w:t>
      </w:r>
      <w:r>
        <w:t xml:space="preserve">“</w:t>
      </w:r>
      <w:r>
        <w:t xml:space="preserve">if the expert determination… is challenged by either Party</w:t>
      </w:r>
      <w:r>
        <w:t xml:space="preserve">”</w:t>
      </w:r>
      <w:r>
        <w:t xml:space="preserve">).</w:t>
      </w:r>
    </w:p>
    <w:p>
      <w:pPr>
        <w:pStyle w:val="BodyText"/>
      </w:pPr>
      <w:r>
        <w:rPr>
          <w:b/>
          <w:bCs/>
        </w:rPr>
        <w:t xml:space="preserve">Analysis.</w:t>
      </w:r>
      <w:r>
        <w:t xml:space="preserve"> </w:t>
      </w:r>
      <w:r>
        <w:t xml:space="preserve">The finality mechanism is circular. QA §7.1 declares the expert determination</w:t>
      </w:r>
      <w:r>
        <w:t xml:space="preserve"> </w:t>
      </w:r>
      <w:r>
        <w:t xml:space="preserve">“</w:t>
      </w:r>
      <w:r>
        <w:t xml:space="preserve">final and binding,</w:t>
      </w:r>
      <w:r>
        <w:t xml:space="preserve">”</w:t>
      </w:r>
      <w:r>
        <w:t xml:space="preserve"> </w:t>
      </w:r>
      <w:r>
        <w:t xml:space="preserve">but QA §7.2 allows escalation to full arbitration</w:t>
      </w:r>
      <w:r>
        <w:t xml:space="preserve"> </w:t>
      </w:r>
      <w:r>
        <w:t xml:space="preserve">“</w:t>
      </w:r>
      <w:r>
        <w:t xml:space="preserve">if the expert determination… is challenged by either Party</w:t>
      </w:r>
      <w:r>
        <w:t xml:space="preserve">”</w:t>
      </w:r>
      <w:r>
        <w:t xml:space="preserve"> </w:t>
      </w:r>
      <w:r>
        <w:t xml:space="preserve">— with no standard, threshold, or time limit for the challenge. Because any party may challenge for any reason (or no reason), the</w:t>
      </w:r>
      <w:r>
        <w:t xml:space="preserve"> </w:t>
      </w:r>
      <w:r>
        <w:t xml:space="preserve">“</w:t>
      </w:r>
      <w:r>
        <w:t xml:space="preserve">final and binding</w:t>
      </w:r>
      <w:r>
        <w:t xml:space="preserve">”</w:t>
      </w:r>
      <w:r>
        <w:t xml:space="preserve"> </w:t>
      </w:r>
      <w:r>
        <w:t xml:space="preserve">character is illusory: a dissatisfied party can always escalate. This defeats the cost-and-speed rationale for expert determination and converts every expert determination into a non-binding preliminary view.</w:t>
      </w:r>
    </w:p>
    <w:p>
      <w:pPr>
        <w:pStyle w:val="BodyText"/>
      </w:pPr>
      <w:r>
        <w:t xml:space="preserve">The $5M threshold is effectively meaningless as a gatekeeper because the open-ended</w:t>
      </w:r>
      <w:r>
        <w:t xml:space="preserve"> </w:t>
      </w:r>
      <w:r>
        <w:t xml:space="preserve">“</w:t>
      </w:r>
      <w:r>
        <w:t xml:space="preserve">challenge</w:t>
      </w:r>
      <w:r>
        <w:t xml:space="preserve">”</w:t>
      </w:r>
      <w:r>
        <w:t xml:space="preserve"> </w:t>
      </w:r>
      <w:r>
        <w:t xml:space="preserve">route bypasses it: even a sub-$5M dispute can be escalated by challenge. Conversely, the threshold and the challenge route operate as independent triggers, creating uncertainty about which controls.</w:t>
      </w:r>
      <w:r>
        <w:t xml:space="preserve"> </w:t>
      </w:r>
      <w:r>
        <w:t xml:space="preserve">“</w:t>
      </w:r>
      <w:r>
        <w:t xml:space="preserve">Amount in excess of $5,000,000</w:t>
      </w:r>
      <w:r>
        <w:t xml:space="preserve">”</w:t>
      </w:r>
      <w:r>
        <w:t xml:space="preserve"> </w:t>
      </w:r>
      <w:r>
        <w:t xml:space="preserve">is undefined: it is unclear whether</w:t>
      </w:r>
      <w:r>
        <w:t xml:space="preserve"> </w:t>
      </w:r>
      <w:r>
        <w:t xml:space="preserve">“</w:t>
      </w:r>
      <w:r>
        <w:t xml:space="preserve">amount</w:t>
      </w:r>
      <w:r>
        <w:t xml:space="preserve">”</w:t>
      </w:r>
      <w:r>
        <w:t xml:space="preserve"> </w:t>
      </w:r>
      <w:r>
        <w:t xml:space="preserve">means the value of the affected Product, the direct damages claimed, the total claim value including consequential damages, or the aggregate value of the affected product line. This invites strategic characterization (a party frames the dispute above or below $5M to select the forum). The $5M figure is also fixed for the entire 13-year term with no inflation/CPI adjustment or periodic review; its real value will erode, shifting the expert/arbitration boundary over time. Finally, the Expert independence standard (</w:t>
      </w:r>
      <w:r>
        <w:t xml:space="preserve">“</w:t>
      </w:r>
      <w:r>
        <w:t xml:space="preserve">shall not have any current or prior relationship with either Party or their respective affiliates, counsel, or testing laboratories</w:t>
      </w:r>
      <w:r>
        <w:t xml:space="preserve">”</w:t>
      </w:r>
      <w:r>
        <w:t xml:space="preserve">) is stringent for a niche field (botanical extract manufacturing / analytical chemistry) and may make appointment difficult or slow.</w:t>
      </w:r>
    </w:p>
    <w:p>
      <w:pPr>
        <w:pStyle w:val="BodyText"/>
      </w:pPr>
      <w:r>
        <w:rPr>
          <w:b/>
          <w:bCs/>
        </w:rPr>
        <w:t xml:space="preserve">Severity: High.</w:t>
      </w:r>
      <w:r>
        <w:t xml:space="preserve"> </w:t>
      </w:r>
      <w:r>
        <w:t xml:space="preserve">The circular finality and undefined threshold undermine the expert-determination mechanism and create forum-selection gaming.</w:t>
      </w:r>
    </w:p>
    <w:p>
      <w:pPr>
        <w:pStyle w:val="BodyText"/>
      </w:pPr>
      <w:r>
        <w:rPr>
          <w:b/>
          <w:bCs/>
        </w:rPr>
        <w:t xml:space="preserve">Recommendation.</w:t>
      </w:r>
    </w:p>
    <w:p>
      <w:pPr>
        <w:pStyle w:val="Compact"/>
        <w:numPr>
          <w:ilvl w:val="0"/>
          <w:numId w:val="1008"/>
        </w:numPr>
      </w:pPr>
      <w:r>
        <w:t xml:space="preserve">Make expert determination genuinely final for disputes at or below the threshold, with escalation permitted only on defined grounds (e.g., fraud, manifest error, lack of jurisdiction, or the expert’s exceeding its mandate) — not on an open-ended</w:t>
      </w:r>
      <w:r>
        <w:t xml:space="preserve"> </w:t>
      </w:r>
      <w:r>
        <w:t xml:space="preserve">“</w:t>
      </w:r>
      <w:r>
        <w:t xml:space="preserve">challenge.</w:t>
      </w:r>
      <w:r>
        <w:t xml:space="preserve">”</w:t>
      </w:r>
      <w:r>
        <w:t xml:space="preserve"> </w:t>
      </w:r>
      <w:r>
        <w:t xml:space="preserve">Alternatively, make the $5M threshold the sole trigger and remove the</w:t>
      </w:r>
      <w:r>
        <w:t xml:space="preserve"> </w:t>
      </w:r>
      <w:r>
        <w:t xml:space="preserve">“</w:t>
      </w:r>
      <w:r>
        <w:t xml:space="preserve">challenge</w:t>
      </w:r>
      <w:r>
        <w:t xml:space="preserve">”</w:t>
      </w:r>
      <w:r>
        <w:t xml:space="preserve"> </w:t>
      </w:r>
      <w:r>
        <w:t xml:space="preserve">route.</w:t>
      </w:r>
    </w:p>
    <w:p>
      <w:pPr>
        <w:pStyle w:val="Compact"/>
        <w:numPr>
          <w:ilvl w:val="0"/>
          <w:numId w:val="1008"/>
        </w:numPr>
      </w:pPr>
      <w:r>
        <w:t xml:space="preserve">Define</w:t>
      </w:r>
      <w:r>
        <w:t xml:space="preserve"> </w:t>
      </w:r>
      <w:r>
        <w:t xml:space="preserve">“</w:t>
      </w:r>
      <w:r>
        <w:t xml:space="preserve">amount in dispute</w:t>
      </w:r>
      <w:r>
        <w:t xml:space="preserve">”</w:t>
      </w:r>
      <w:r>
        <w:t xml:space="preserve"> </w:t>
      </w:r>
      <w:r>
        <w:t xml:space="preserve">(e.g., the aggregate monetary value of the claim, including all damages sought, exclusive of interest and costs).</w:t>
      </w:r>
    </w:p>
    <w:p>
      <w:pPr>
        <w:pStyle w:val="Compact"/>
        <w:numPr>
          <w:ilvl w:val="0"/>
          <w:numId w:val="1008"/>
        </w:numPr>
      </w:pPr>
      <w:r>
        <w:t xml:space="preserve">Add a CPI/periodic-review adjustment to the $5M threshold, or reset it at each renewal.</w:t>
      </w:r>
    </w:p>
    <w:p>
      <w:pPr>
        <w:pStyle w:val="Compact"/>
        <w:numPr>
          <w:ilvl w:val="0"/>
          <w:numId w:val="1008"/>
        </w:numPr>
      </w:pPr>
      <w:r>
        <w:t xml:space="preserve">Soften the Expert independence standard to</w:t>
      </w:r>
      <w:r>
        <w:t xml:space="preserve"> </w:t>
      </w:r>
      <w:r>
        <w:t xml:space="preserve">“</w:t>
      </w:r>
      <w:r>
        <w:t xml:space="preserve">no material current or prior relationship,</w:t>
      </w:r>
      <w:r>
        <w:t xml:space="preserve">”</w:t>
      </w:r>
      <w:r>
        <w:t xml:space="preserve"> </w:t>
      </w:r>
      <w:r>
        <w:t xml:space="preserve">consistent with SIAC expert-appointment norms, to ensure a qualified expert can be appointed.</w:t>
      </w:r>
    </w:p>
    <w:bookmarkEnd w:id="32"/>
    <w:bookmarkStart w:id="33" w:name="Xe19327cae574e5ef5ec05fa90c9aeb034f9728a"/>
    <w:p>
      <w:pPr>
        <w:pStyle w:val="Heading4"/>
      </w:pPr>
      <w:r>
        <w:t xml:space="preserve">Issue 9 — Recall cost allocation captures only</w:t>
      </w:r>
      <w:r>
        <w:t xml:space="preserve"> </w:t>
      </w:r>
      <w:r>
        <w:t xml:space="preserve">“</w:t>
      </w:r>
      <w:r>
        <w:t xml:space="preserve">direct</w:t>
      </w:r>
      <w:r>
        <w:t xml:space="preserve">”</w:t>
      </w:r>
      <w:r>
        <w:t xml:space="preserve"> </w:t>
      </w:r>
      <w:r>
        <w:t xml:space="preserve">costs; consequential recall losses excluded · HIGH</w:t>
      </w:r>
    </w:p>
    <w:p>
      <w:pPr>
        <w:pStyle w:val="FirstParagraph"/>
      </w:pPr>
      <w:r>
        <w:rPr>
          <w:b/>
          <w:bCs/>
        </w:rPr>
        <w:t xml:space="preserve">Provisions.</w:t>
      </w:r>
      <w:r>
        <w:t xml:space="preserve"> </w:t>
      </w:r>
      <w:r>
        <w:t xml:space="preserve">QA §6.1 (Pacifica bears</w:t>
      </w:r>
      <w:r>
        <w:t xml:space="preserve"> </w:t>
      </w:r>
      <w:r>
        <w:t xml:space="preserve">“</w:t>
      </w:r>
      <w:r>
        <w:t xml:space="preserve">all direct costs and expenses</w:t>
      </w:r>
      <w:r>
        <w:t xml:space="preserve">”</w:t>
      </w:r>
      <w:r>
        <w:t xml:space="preserve"> </w:t>
      </w:r>
      <w:r>
        <w:t xml:space="preserve">of a recall attributable to Defective Product, with an enumerated list); QA §6.6 (consequential-damages preservation subject to SA §14.11).</w:t>
      </w:r>
    </w:p>
    <w:p>
      <w:pPr>
        <w:pStyle w:val="BodyText"/>
      </w:pPr>
      <w:r>
        <w:rPr>
          <w:b/>
          <w:bCs/>
        </w:rPr>
        <w:t xml:space="preserve">Analysis.</w:t>
      </w:r>
      <w:r>
        <w:t xml:space="preserve"> </w:t>
      </w:r>
      <w:r>
        <w:t xml:space="preserve">QA §6.1 enumerates</w:t>
      </w:r>
      <w:r>
        <w:t xml:space="preserve"> </w:t>
      </w:r>
      <w:r>
        <w:t xml:space="preserve">“</w:t>
      </w:r>
      <w:r>
        <w:t xml:space="preserve">direct costs and expenses</w:t>
      </w:r>
      <w:r>
        <w:t xml:space="preserve">”</w:t>
      </w:r>
      <w:r>
        <w:t xml:space="preserve"> </w:t>
      </w:r>
      <w:r>
        <w:t xml:space="preserve">of a recall (notification, retrieval/destruction, replacement product, regulatory submissions, third-party testing, internal administrative costs). Many of the largest recall losses — lost revenue from pulled SKUs, retailer penalties and deductions, crisis PR, consumer refund programs, business interruption during reformulation, and reputational harm — are likely classified as consequential (not direct) under New York law. The Ridgeway portfolio example (direct ~$1.8M vs. consequential &gt;$14M) shows that the</w:t>
      </w:r>
      <w:r>
        <w:t xml:space="preserve"> </w:t>
      </w:r>
      <w:r>
        <w:t xml:space="preserve">“</w:t>
      </w:r>
      <w:r>
        <w:t xml:space="preserve">direct costs</w:t>
      </w:r>
      <w:r>
        <w:t xml:space="preserve">”</w:t>
      </w:r>
      <w:r>
        <w:t xml:space="preserve"> </w:t>
      </w:r>
      <w:r>
        <w:t xml:space="preserve">bucket captures a small fraction of total recall loss. QA §6.6 purports to preserve consequential-damages rights but carves them back out via SA §14.11 (see Issue 1). The net result: Greenleaf’s recall recovery is limited to the</w:t>
      </w:r>
      <w:r>
        <w:t xml:space="preserve"> </w:t>
      </w:r>
      <w:r>
        <w:t xml:space="preserve">“</w:t>
      </w:r>
      <w:r>
        <w:t xml:space="preserve">direct costs</w:t>
      </w:r>
      <w:r>
        <w:t xml:space="preserve">”</w:t>
      </w:r>
      <w:r>
        <w:t xml:space="preserve"> </w:t>
      </w:r>
      <w:r>
        <w:t xml:space="preserve">in QA §6.1, with the bulk of recall losses (consequential) excluded by SA §14.11. There is thus a gap between the recall cost-allocation regime (which implies Pacifica bears recall losses it caused) and the damages waiver (which excludes the largest recall losses).</w:t>
      </w:r>
    </w:p>
    <w:p>
      <w:pPr>
        <w:pStyle w:val="BodyText"/>
      </w:pPr>
      <w:r>
        <w:rPr>
          <w:b/>
          <w:bCs/>
        </w:rPr>
        <w:t xml:space="preserve">Severity: High.</w:t>
      </w:r>
      <w:r>
        <w:t xml:space="preserve"> </w:t>
      </w:r>
      <w:r>
        <w:t xml:space="preserve">The recall regime does not capture Greenleaf’s principal recall exposure.</w:t>
      </w:r>
    </w:p>
    <w:p>
      <w:pPr>
        <w:pStyle w:val="BodyText"/>
      </w:pPr>
      <w:r>
        <w:rPr>
          <w:b/>
          <w:bCs/>
        </w:rPr>
        <w:t xml:space="preserve">Recommendation.</w:t>
      </w:r>
    </w:p>
    <w:p>
      <w:pPr>
        <w:pStyle w:val="Compact"/>
        <w:numPr>
          <w:ilvl w:val="0"/>
          <w:numId w:val="1009"/>
        </w:numPr>
      </w:pPr>
      <w:r>
        <w:t xml:space="preserve">Expand QA §6.1 to expressly include the consequential/indirect recall losses attributable to Pacifica’s Defective Product (lost revenue, retailer penalties, crisis PR, consumer refunds, business interruption, reputational recovery costs), or cross-reference the carve-out from the §14.11 waiver (Issue 1) so that recall-related consequential damages are recoverable.</w:t>
      </w:r>
    </w:p>
    <w:p>
      <w:pPr>
        <w:pStyle w:val="Compact"/>
        <w:numPr>
          <w:ilvl w:val="0"/>
          <w:numId w:val="1009"/>
        </w:numPr>
      </w:pPr>
      <w:r>
        <w:t xml:space="preserve">Reconcile QA §6.6 with SA §14.11 so the recall cost-allocation regime and the damages waiver are internally consistent (see Issue 1).</w:t>
      </w:r>
    </w:p>
    <w:p>
      <w:pPr>
        <w:pStyle w:val="Compact"/>
        <w:numPr>
          <w:ilvl w:val="0"/>
          <w:numId w:val="1009"/>
        </w:numPr>
      </w:pPr>
      <w:r>
        <w:t xml:space="preserve">Consider aligning recall cost recovery with the QA §6.5 insurance limits ($10M per occurrence / $20M aggregate) so that contractual recovery and the insurance backstop are coordinated.</w:t>
      </w:r>
    </w:p>
    <w:bookmarkEnd w:id="33"/>
    <w:bookmarkEnd w:id="34"/>
    <w:bookmarkStart w:id="37" w:name="c.-multi-party-related-provisions"/>
    <w:p>
      <w:pPr>
        <w:pStyle w:val="Heading3"/>
      </w:pPr>
      <w:r>
        <w:t xml:space="preserve">C. Multi-Party &amp; Related Provisions</w:t>
      </w:r>
    </w:p>
    <w:bookmarkStart w:id="35" w:name="X2af6d734e8161d3c90abe82fd09371b1a5bd10d"/>
    <w:p>
      <w:pPr>
        <w:pStyle w:val="Heading4"/>
      </w:pPr>
      <w:r>
        <w:t xml:space="preserve">Issue 10 — Expert determinations are not enforceable as arbitral awards under the New York Convention · MEDIUM</w:t>
      </w:r>
    </w:p>
    <w:p>
      <w:pPr>
        <w:pStyle w:val="FirstParagraph"/>
      </w:pPr>
      <w:r>
        <w:rPr>
          <w:b/>
          <w:bCs/>
        </w:rPr>
        <w:t xml:space="preserve">Provisions.</w:t>
      </w:r>
      <w:r>
        <w:t xml:space="preserve"> </w:t>
      </w:r>
      <w:r>
        <w:t xml:space="preserve">QA §7.1 (SIAC expert determination under the Rules for the Appointment of Experts).</w:t>
      </w:r>
    </w:p>
    <w:p>
      <w:pPr>
        <w:pStyle w:val="BodyText"/>
      </w:pPr>
      <w:r>
        <w:rPr>
          <w:b/>
          <w:bCs/>
        </w:rPr>
        <w:t xml:space="preserve">Analysis.</w:t>
      </w:r>
      <w:r>
        <w:t xml:space="preserve"> </w:t>
      </w:r>
      <w:r>
        <w:t xml:space="preserve">An expert determination is generally not an</w:t>
      </w:r>
      <w:r>
        <w:t xml:space="preserve"> </w:t>
      </w:r>
      <w:r>
        <w:t xml:space="preserve">“</w:t>
      </w:r>
      <w:r>
        <w:t xml:space="preserve">arbitral award</w:t>
      </w:r>
      <w:r>
        <w:t xml:space="preserve">”</w:t>
      </w:r>
      <w:r>
        <w:t xml:space="preserve"> </w:t>
      </w:r>
      <w:r>
        <w:t xml:space="preserve">for purposes of the New York Convention / FAA Chapter 2 unless it possesses the hallmarks of arbitration (adjudicative process, binding dispute resolution). SIAC’s Rules for the Appointment of Experts produce an expert determination, not an arbitral award. Enforcement of an expert determination in the U.S. would therefore proceed as a contractual determination (e.g., breach of contract / specific performance), not under the streamlined New York Convention / FAA regime. This matters because Greenleaf’s most likely enforcement target is the U.S. (North Carolina/Delaware); a contractual enforcement action is slower, more contested, and more exposed to merits re-examination than Convention enforcement of an arbitral award. The escalation to SIAC arbitration (QA §7.2) would produce a Convention-enforceable award, but only if escalation occurs — and the circular finality in Issue 8 makes that unpredictable.</w:t>
      </w:r>
    </w:p>
    <w:p>
      <w:pPr>
        <w:pStyle w:val="BodyText"/>
      </w:pPr>
      <w:r>
        <w:rPr>
          <w:b/>
          <w:bCs/>
        </w:rPr>
        <w:t xml:space="preserve">Severity: Medium.</w:t>
      </w:r>
      <w:r>
        <w:t xml:space="preserve"> </w:t>
      </w:r>
      <w:r>
        <w:t xml:space="preserve">Creates a cross-border enforcement gap for the expert-determination track.</w:t>
      </w:r>
    </w:p>
    <w:p>
      <w:pPr>
        <w:pStyle w:val="BodyText"/>
      </w:pPr>
      <w:r>
        <w:rPr>
          <w:b/>
          <w:bCs/>
        </w:rPr>
        <w:t xml:space="preserve">Recommendation.</w:t>
      </w:r>
    </w:p>
    <w:p>
      <w:pPr>
        <w:pStyle w:val="Compact"/>
        <w:numPr>
          <w:ilvl w:val="0"/>
          <w:numId w:val="1010"/>
        </w:numPr>
      </w:pPr>
      <w:r>
        <w:t xml:space="preserve">For disputes likely to require cross-border enforcement, consider defaulting to arbitration (which produces a Convention-enforceable award) rather than expert determination, or structure the expert determination so that it can be recorded as a consent award where appropriate.</w:t>
      </w:r>
    </w:p>
    <w:p>
      <w:pPr>
        <w:pStyle w:val="Compact"/>
        <w:numPr>
          <w:ilvl w:val="0"/>
          <w:numId w:val="1010"/>
        </w:numPr>
      </w:pPr>
      <w:r>
        <w:t xml:space="preserve">Alternatively, add a contractual enforcement mechanism (e.g., agreement to enforce the expert determination as a final and binding contractual determination, with a waiver of merits re-examination subject to defined challenge grounds).</w:t>
      </w:r>
    </w:p>
    <w:bookmarkEnd w:id="35"/>
    <w:bookmarkStart w:id="36" w:name="X29bd2d59fa32a0dc1cdc9f02b06fd02c9b3f6a8"/>
    <w:p>
      <w:pPr>
        <w:pStyle w:val="Heading4"/>
      </w:pPr>
      <w:r>
        <w:t xml:space="preserve">Issue 11 — IPLA §2.2(b) restricts sharing Licensed IP with co-manufacturers — compounds joinder problem · MEDIUM</w:t>
      </w:r>
    </w:p>
    <w:p>
      <w:pPr>
        <w:pStyle w:val="FirstParagraph"/>
      </w:pPr>
      <w:r>
        <w:rPr>
          <w:b/>
          <w:bCs/>
        </w:rPr>
        <w:t xml:space="preserve">Provisions.</w:t>
      </w:r>
      <w:r>
        <w:t xml:space="preserve"> </w:t>
      </w:r>
      <w:r>
        <w:t xml:space="preserve">IPLA §2.2(b) (Greenleaf shall not disclose Licensed IP to co-manufacturers, contract laboratories, or Affiliates without Pacifica’s prior written consent, except as strictly necessary for FDA submissions and then only under confidentiality obligations).</w:t>
      </w:r>
    </w:p>
    <w:p>
      <w:pPr>
        <w:pStyle w:val="BodyText"/>
      </w:pPr>
      <w:r>
        <w:rPr>
          <w:b/>
          <w:bCs/>
        </w:rPr>
        <w:t xml:space="preserve">Analysis.</w:t>
      </w:r>
      <w:r>
        <w:t xml:space="preserve"> </w:t>
      </w:r>
      <w:r>
        <w:t xml:space="preserve">The restriction limits Greenleaf’s ability to share Licensed IP and related technical information with its co-manufacturers. In a quality dispute, Greenleaf may need to share Pacifica’s process/testing data with a co-man (and with the co-man’s counsel and the court/tribunal) to coordinate defense, allocate responsibility, and present a consistent factual picture. This compounds the joinder problem (Issue 6): even if joinder were available, the IPLA restriction could impede the information-sharing necessary to litigate a multi-party quality dispute coherently.</w:t>
      </w:r>
    </w:p>
    <w:p>
      <w:pPr>
        <w:pStyle w:val="BodyText"/>
      </w:pPr>
      <w:r>
        <w:rPr>
          <w:b/>
          <w:bCs/>
        </w:rPr>
        <w:t xml:space="preserve">Severity: Medium.</w:t>
      </w:r>
      <w:r>
        <w:t xml:space="preserve"> </w:t>
      </w:r>
      <w:r>
        <w:t xml:space="preserve">Impairs Greenleaf’s ability to coordinate multi-party quality disputes.</w:t>
      </w:r>
    </w:p>
    <w:p>
      <w:pPr>
        <w:pStyle w:val="BodyText"/>
      </w:pPr>
      <w:r>
        <w:rPr>
          <w:b/>
          <w:bCs/>
        </w:rPr>
        <w:t xml:space="preserve">Recommendation.</w:t>
      </w:r>
    </w:p>
    <w:p>
      <w:pPr>
        <w:pStyle w:val="Compact"/>
        <w:numPr>
          <w:ilvl w:val="0"/>
          <w:numId w:val="1011"/>
        </w:numPr>
      </w:pPr>
      <w:r>
        <w:t xml:space="preserve">Add a carve-out to IPLA §2.2(b) permitting Greenleaf to share Licensed IP / Confidential Information with co-manufacturers, their counsel, and tribunals/courts to the extent reasonably necessary to investigate, defend, or prosecute quality, recall, or indemnification disputes, subject to confidentiality obligations no less protective than IPLA §5.</w:t>
      </w:r>
    </w:p>
    <w:p>
      <w:pPr>
        <w:pStyle w:val="Compact"/>
        <w:numPr>
          <w:ilvl w:val="0"/>
          <w:numId w:val="1011"/>
        </w:numPr>
      </w:pPr>
      <w:r>
        <w:t xml:space="preserve">Coordinate with the joinder solution (Issue 6) and the discovery revision (Issue 7).</w:t>
      </w:r>
    </w:p>
    <w:bookmarkEnd w:id="36"/>
    <w:bookmarkEnd w:id="37"/>
    <w:bookmarkStart w:id="42" w:name="d.-procedural-inconsistencies"/>
    <w:p>
      <w:pPr>
        <w:pStyle w:val="Heading3"/>
      </w:pPr>
      <w:r>
        <w:t xml:space="preserve">D. Procedural Inconsistencies</w:t>
      </w:r>
    </w:p>
    <w:bookmarkStart w:id="38" w:name="X5ea162b8792b20b51ec72ecd34830f44b13752b"/>
    <w:p>
      <w:pPr>
        <w:pStyle w:val="Heading4"/>
      </w:pPr>
      <w:r>
        <w:t xml:space="preserve">Issue 12 — Cost-allocation inconsistency (loser-pays vs. each-bears-own) · MEDIUM</w:t>
      </w:r>
    </w:p>
    <w:p>
      <w:pPr>
        <w:pStyle w:val="FirstParagraph"/>
      </w:pPr>
      <w:r>
        <w:rPr>
          <w:b/>
          <w:bCs/>
        </w:rPr>
        <w:t xml:space="preserve">Provisions.</w:t>
      </w:r>
      <w:r>
        <w:t xml:space="preserve"> </w:t>
      </w:r>
      <w:r>
        <w:t xml:space="preserve">SA §14.8 (losing party bears all costs, including prevailing party’s reasonable attorneys’ fees — loser-pays/fee-shifting); QA §7.1 (each party bears own costs; expert fees shared equally); IPLA §9.4 (each party bears own costs; arbitrator/LCIA fees shared equally unless tribunal determines otherwise).</w:t>
      </w:r>
    </w:p>
    <w:p>
      <w:pPr>
        <w:pStyle w:val="BodyText"/>
      </w:pPr>
      <w:r>
        <w:rPr>
          <w:b/>
          <w:bCs/>
        </w:rPr>
        <w:t xml:space="preserve">Analysis.</w:t>
      </w:r>
      <w:r>
        <w:t xml:space="preserve"> </w:t>
      </w:r>
      <w:r>
        <w:t xml:space="preserve">The SA adopts loser-pays fee-shifting; the QA Letter and IPLA adopt each-bears-own (the</w:t>
      </w:r>
      <w:r>
        <w:t xml:space="preserve"> </w:t>
      </w:r>
      <w:r>
        <w:t xml:space="preserve">“</w:t>
      </w:r>
      <w:r>
        <w:t xml:space="preserve">American rule</w:t>
      </w:r>
      <w:r>
        <w:t xml:space="preserve">”</w:t>
      </w:r>
      <w:r>
        <w:t xml:space="preserve">). For substantively similar disputes, the cost outcome will differ depending on which forum applies. This affects settlement leverage and the economics of bringing claims: under the SA, a claimant faces fee-shifting risk; under the QA Letter/IPLA, it does not. The inconsistency is also potentially in tension with the SA’s indemnification provisions (Art. 10), under which the indemnifying party bears defense costs — potentially conflicting with the loser-pays rule for indemnified claims.</w:t>
      </w:r>
    </w:p>
    <w:p>
      <w:pPr>
        <w:pStyle w:val="BodyText"/>
      </w:pPr>
      <w:r>
        <w:rPr>
          <w:b/>
          <w:bCs/>
        </w:rPr>
        <w:t xml:space="preserve">Severity: Medium.</w:t>
      </w:r>
      <w:r>
        <w:t xml:space="preserve"> </w:t>
      </w:r>
      <w:r>
        <w:t xml:space="preserve">Inconsistent cost rules across forums; affects claim economics and settlement.</w:t>
      </w:r>
    </w:p>
    <w:p>
      <w:pPr>
        <w:pStyle w:val="BodyText"/>
      </w:pPr>
      <w:r>
        <w:rPr>
          <w:b/>
          <w:bCs/>
        </w:rPr>
        <w:t xml:space="preserve">Recommendation.</w:t>
      </w:r>
    </w:p>
    <w:p>
      <w:pPr>
        <w:pStyle w:val="Compact"/>
        <w:numPr>
          <w:ilvl w:val="0"/>
          <w:numId w:val="1012"/>
        </w:numPr>
      </w:pPr>
      <w:r>
        <w:t xml:space="preserve">Align cost allocation across all three documents (either loser-pays throughout or each-bears-own throughout). Given Greenleaf is the more likely claimant in quality disputes, each-bears-own (or tribunal discretion) may be more favorable; loser-pays deters frivolous claims but raises claimant risk. Decide consistently and specify the relationship to indemnification cost allocation.</w:t>
      </w:r>
    </w:p>
    <w:bookmarkEnd w:id="38"/>
    <w:bookmarkStart w:id="39" w:name="Xe906b37c63533e9989d21f0e7eb447a20e81b9f"/>
    <w:p>
      <w:pPr>
        <w:pStyle w:val="Heading4"/>
      </w:pPr>
      <w:r>
        <w:t xml:space="preserve">Issue 13 — Number-of-arbitrators inconsistency; SA unilateral upgrade and 15-day window · MEDIUM</w:t>
      </w:r>
    </w:p>
    <w:p>
      <w:pPr>
        <w:pStyle w:val="FirstParagraph"/>
      </w:pPr>
      <w:r>
        <w:rPr>
          <w:b/>
          <w:bCs/>
        </w:rPr>
        <w:t xml:space="preserve">Provisions.</w:t>
      </w:r>
      <w:r>
        <w:t xml:space="preserve"> </w:t>
      </w:r>
      <w:r>
        <w:t xml:space="preserve">SA §14.3 (one arbitrator, unless either party requests three within 15 days of the Request for Arbitration); QA §7.2 (three arbitrators for escalated SIAC arbitration); IPLA §9.1 (one arbitrator).</w:t>
      </w:r>
    </w:p>
    <w:p>
      <w:pPr>
        <w:pStyle w:val="BodyText"/>
      </w:pPr>
      <w:r>
        <w:rPr>
          <w:b/>
          <w:bCs/>
        </w:rPr>
        <w:t xml:space="preserve">Analysis.</w:t>
      </w:r>
      <w:r>
        <w:t xml:space="preserve"> </w:t>
      </w:r>
      <w:r>
        <w:t xml:space="preserve">The default differs across documents (SA: one; QA: three; IPLA: one). For a $178M+ (potentially $250M+ with renewals) relationship, a one-arbitrator default in the SA is light for material disputes. The SA’s unilateral upgrade right (either party may demand three within 15 days) creates strategic risk: a party can force a three-arbitrator panel (higher cost, slower) unilaterally, and the 15-day window is short and easy to miss, potentially locking in a sole arbitrator for a complex dispute.</w:t>
      </w:r>
    </w:p>
    <w:p>
      <w:pPr>
        <w:pStyle w:val="BodyText"/>
      </w:pPr>
      <w:r>
        <w:rPr>
          <w:b/>
          <w:bCs/>
        </w:rPr>
        <w:t xml:space="preserve">Severity: Medium.</w:t>
      </w:r>
      <w:r>
        <w:t xml:space="preserve"> </w:t>
      </w:r>
      <w:r>
        <w:t xml:space="preserve">Inconsistent and strategically gameable.</w:t>
      </w:r>
    </w:p>
    <w:p>
      <w:pPr>
        <w:pStyle w:val="BodyText"/>
      </w:pPr>
      <w:r>
        <w:rPr>
          <w:b/>
          <w:bCs/>
        </w:rPr>
        <w:t xml:space="preserve">Recommendation.</w:t>
      </w:r>
    </w:p>
    <w:p>
      <w:pPr>
        <w:pStyle w:val="Compact"/>
        <w:numPr>
          <w:ilvl w:val="0"/>
          <w:numId w:val="1013"/>
        </w:numPr>
      </w:pPr>
      <w:r>
        <w:t xml:space="preserve">Adopt a consistent default tied to claim value (e.g., three arbitrators for claims above a threshold, one below), or default to three for all three documents given the relationship’s value. Remove or tighten the unilateral upgrade right and extend the 15-day window.</w:t>
      </w:r>
    </w:p>
    <w:bookmarkEnd w:id="39"/>
    <w:bookmarkStart w:id="40" w:name="X183260f905309f041917c9cc596c47fede3c1b0"/>
    <w:p>
      <w:pPr>
        <w:pStyle w:val="Heading4"/>
      </w:pPr>
      <w:r>
        <w:t xml:space="preserve">Issue 14 — Limitation period — SA one-year; none in QA Letter or IPLA; aggressive for latent defects · MEDIUM</w:t>
      </w:r>
    </w:p>
    <w:p>
      <w:pPr>
        <w:pStyle w:val="FirstParagraph"/>
      </w:pPr>
      <w:r>
        <w:rPr>
          <w:b/>
          <w:bCs/>
        </w:rPr>
        <w:t xml:space="preserve">Provisions.</w:t>
      </w:r>
      <w:r>
        <w:t xml:space="preserve"> </w:t>
      </w:r>
      <w:r>
        <w:t xml:space="preserve">SA §14.9 (one year from when claimant</w:t>
      </w:r>
      <w:r>
        <w:t xml:space="preserve"> </w:t>
      </w:r>
      <w:r>
        <w:t xml:space="preserve">“</w:t>
      </w:r>
      <w:r>
        <w:t xml:space="preserve">knew or should have known</w:t>
      </w:r>
      <w:r>
        <w:t xml:space="preserve">”</w:t>
      </w:r>
      <w:r>
        <w:t xml:space="preserve"> </w:t>
      </w:r>
      <w:r>
        <w:t xml:space="preserve">of the facts giving rise to the claim); SA §7.3 (latent-defect claims within 12 months of delivery); QA §7 and IPLA §9 (no limitation period specified).</w:t>
      </w:r>
    </w:p>
    <w:p>
      <w:pPr>
        <w:pStyle w:val="BodyText"/>
      </w:pPr>
      <w:r>
        <w:rPr>
          <w:b/>
          <w:bCs/>
        </w:rPr>
        <w:t xml:space="preserve">Analysis.</w:t>
      </w:r>
      <w:r>
        <w:t xml:space="preserve"> </w:t>
      </w:r>
      <w:r>
        <w:t xml:space="preserve">The one-year period is at the floor permitted by UCC §2-725(1) for sale-of-goods claims (parties may reduce the four-year default</w:t>
      </w:r>
      <w:r>
        <w:t xml:space="preserve"> </w:t>
      </w:r>
      <w:r>
        <w:t xml:space="preserve">“</w:t>
      </w:r>
      <w:r>
        <w:t xml:space="preserve">to not less than one year</w:t>
      </w:r>
      <w:r>
        <w:t xml:space="preserve">”</w:t>
      </w:r>
      <w:r>
        <w:t xml:space="preserve">). It is therefore likely enforceable for goods claims, but aggressive for a 7-to-13-year supply relationship in which latent defects in botanical extracts (e.g., contamination, adulteration, stability failures) may not be discovered for years after delivery. The</w:t>
      </w:r>
      <w:r>
        <w:t xml:space="preserve"> </w:t>
      </w:r>
      <w:r>
        <w:t xml:space="preserve">“</w:t>
      </w:r>
      <w:r>
        <w:t xml:space="preserve">knew or should have known</w:t>
      </w:r>
      <w:r>
        <w:t xml:space="preserve">”</w:t>
      </w:r>
      <w:r>
        <w:t xml:space="preserve"> </w:t>
      </w:r>
      <w:r>
        <w:t xml:space="preserve">accrual standard is more favorable than the UCC default (which accrues at tender for most warranty claims), but the</w:t>
      </w:r>
      <w:r>
        <w:t xml:space="preserve"> </w:t>
      </w:r>
      <w:r>
        <w:t xml:space="preserve">“</w:t>
      </w:r>
      <w:r>
        <w:t xml:space="preserve">should have known</w:t>
      </w:r>
      <w:r>
        <w:t xml:space="preserve">”</w:t>
      </w:r>
      <w:r>
        <w:t xml:space="preserve"> </w:t>
      </w:r>
      <w:r>
        <w:t xml:space="preserve">prong could start the clock before actual discovery (e.g., from a COA discrepancy Greenleaf</w:t>
      </w:r>
      <w:r>
        <w:t xml:space="preserve"> </w:t>
      </w:r>
      <w:r>
        <w:t xml:space="preserve">“</w:t>
      </w:r>
      <w:r>
        <w:t xml:space="preserve">should have</w:t>
      </w:r>
      <w:r>
        <w:t xml:space="preserve">”</w:t>
      </w:r>
      <w:r>
        <w:t xml:space="preserve"> </w:t>
      </w:r>
      <w:r>
        <w:t xml:space="preserve">investigated), compressing the window.</w:t>
      </w:r>
    </w:p>
    <w:p>
      <w:pPr>
        <w:pStyle w:val="BodyText"/>
      </w:pPr>
      <w:r>
        <w:t xml:space="preserve">SA §14.9 applies to all arbitration claims, not just sale-of-goods warranty claims. For non-goods claims (indemnification, IP infringement, confidentiality), the one-year period is governed by New York contract law and may be challenged as unreasonable, particularly for indemnification claims that accrue only when a third-party claim is asserted (which may be years after the underlying breach). For product-liability/personal-injury claims that flow through to indemnification, a one-year contractual limitation may conflict with New York’s tort limitation rules and public policy. The QA Letter and IPLA contain no limitation periods; it is unclear whether they inherit the SA’s one-year period (via the integration clauses) or default to the relevant jurisdiction’s limitation periods (Singapore / England). This is a gap. There is also a potential mismatch between SA §7.3 (latent-defect claims within 12 months of delivery) and SA §14.9 (arbitration within one year of knowledge): a latent defect discovered late could be time-barred under §7.3 before the §14.9 clock meaningfully runs, or the two periods could operate inconsistently.</w:t>
      </w:r>
    </w:p>
    <w:p>
      <w:pPr>
        <w:pStyle w:val="BodyText"/>
      </w:pPr>
      <w:r>
        <w:rPr>
          <w:b/>
          <w:bCs/>
        </w:rPr>
        <w:t xml:space="preserve">Severity: Medium.</w:t>
      </w:r>
      <w:r>
        <w:t xml:space="preserve"> </w:t>
      </w:r>
      <w:r>
        <w:t xml:space="preserve">Enforceable but aggressive; gaps and accrual mismatches create risk.</w:t>
      </w:r>
    </w:p>
    <w:p>
      <w:pPr>
        <w:pStyle w:val="BodyText"/>
      </w:pPr>
      <w:r>
        <w:rPr>
          <w:b/>
          <w:bCs/>
        </w:rPr>
        <w:t xml:space="preserve">Recommendation.</w:t>
      </w:r>
    </w:p>
    <w:p>
      <w:pPr>
        <w:pStyle w:val="Compact"/>
        <w:numPr>
          <w:ilvl w:val="0"/>
          <w:numId w:val="1014"/>
        </w:numPr>
      </w:pPr>
      <w:r>
        <w:t xml:space="preserve">Extend the limitation period to two-to-three years (or align with the UCC four-year default) for latent-defect and indemnification claims, with a clear discovery-rule accrual and a long-stop outer limit (e.g., no claim more than a defined number of years after delivery).</w:t>
      </w:r>
    </w:p>
    <w:p>
      <w:pPr>
        <w:pStyle w:val="Compact"/>
        <w:numPr>
          <w:ilvl w:val="0"/>
          <w:numId w:val="1014"/>
        </w:numPr>
      </w:pPr>
      <w:r>
        <w:t xml:space="preserve">Add limitation periods to the QA Letter and IPLA, or specify that they inherit the SA’s period, with accrual rules appropriate to each claim type (e.g., indemnification accrues upon assertion of the underlying third-party claim).</w:t>
      </w:r>
    </w:p>
    <w:p>
      <w:pPr>
        <w:pStyle w:val="Compact"/>
        <w:numPr>
          <w:ilvl w:val="0"/>
          <w:numId w:val="1014"/>
        </w:numPr>
      </w:pPr>
      <w:r>
        <w:t xml:space="preserve">Reconcile SA §7.3 and SA §14.9 so the latent-defect notice period and the arbitration limitation period operate consistently.</w:t>
      </w:r>
    </w:p>
    <w:p>
      <w:pPr>
        <w:pStyle w:val="Compact"/>
        <w:numPr>
          <w:ilvl w:val="0"/>
          <w:numId w:val="1014"/>
        </w:numPr>
      </w:pPr>
      <w:r>
        <w:t xml:space="preserve">Carve out product-liability/personal-injury indemnification claims from the shortened period to avoid public-policy challenges.</w:t>
      </w:r>
    </w:p>
    <w:bookmarkEnd w:id="40"/>
    <w:bookmarkStart w:id="41" w:name="X05473d05ab5d10ff4c125e7e9af25bcf5a9d59a"/>
    <w:p>
      <w:pPr>
        <w:pStyle w:val="Heading4"/>
      </w:pPr>
      <w:r>
        <w:t xml:space="preserve">Issue 15 — Interim-relief carve-out inconsistency (SA broad; QA/IPLA silent) · MEDIUM</w:t>
      </w:r>
    </w:p>
    <w:p>
      <w:pPr>
        <w:pStyle w:val="FirstParagraph"/>
      </w:pPr>
      <w:r>
        <w:rPr>
          <w:b/>
          <w:bCs/>
        </w:rPr>
        <w:t xml:space="preserve">Provisions.</w:t>
      </w:r>
      <w:r>
        <w:t xml:space="preserve"> </w:t>
      </w:r>
      <w:r>
        <w:t xml:space="preserve">SA §14.7 (either party may seek injunctive/equitable relief from</w:t>
      </w:r>
      <w:r>
        <w:t xml:space="preserve"> </w:t>
      </w:r>
      <w:r>
        <w:t xml:space="preserve">“</w:t>
      </w:r>
      <w:r>
        <w:t xml:space="preserve">any court of competent jurisdiction worldwide</w:t>
      </w:r>
      <w:r>
        <w:t xml:space="preserve">”</w:t>
      </w:r>
      <w:r>
        <w:t xml:space="preserve">); QA §7.2 (tribunal authority to award injunctive relief, specific performance, damages — no court carve-out); IPLA §9.1 (silent on interim relief).</w:t>
      </w:r>
    </w:p>
    <w:p>
      <w:pPr>
        <w:pStyle w:val="BodyText"/>
      </w:pPr>
      <w:r>
        <w:rPr>
          <w:b/>
          <w:bCs/>
        </w:rPr>
        <w:t xml:space="preserve">Analysis.</w:t>
      </w:r>
      <w:r>
        <w:t xml:space="preserve"> </w:t>
      </w:r>
      <w:r>
        <w:t xml:space="preserve">The SA preserves a broad court interim-relief carve-out (</w:t>
      </w:r>
      <w:r>
        <w:t xml:space="preserve">“</w:t>
      </w:r>
      <w:r>
        <w:t xml:space="preserve">any court of competent jurisdiction worldwide</w:t>
      </w:r>
      <w:r>
        <w:t xml:space="preserve">”</w:t>
      </w:r>
      <w:r>
        <w:t xml:space="preserve">), which could enable forum shopping for interim measures and may overlap or conflict with the tribunal’s own interim-measures authority (ICC Rules Art. 28). The QA Letter and IPLA are silent on court interim relief (though SIAC and LCIA Rules and the relevant arbitration acts generally permit court interim relief unless excluded). The breadth of</w:t>
      </w:r>
      <w:r>
        <w:t xml:space="preserve"> </w:t>
      </w:r>
      <w:r>
        <w:t xml:space="preserve">“</w:t>
      </w:r>
      <w:r>
        <w:t xml:space="preserve">any court worldwide</w:t>
      </w:r>
      <w:r>
        <w:t xml:space="preserve">”</w:t>
      </w:r>
      <w:r>
        <w:t xml:space="preserve"> </w:t>
      </w:r>
      <w:r>
        <w:t xml:space="preserve">is unusual and could lead to competing interim orders in multiple jurisdictions.</w:t>
      </w:r>
    </w:p>
    <w:p>
      <w:pPr>
        <w:pStyle w:val="BodyText"/>
      </w:pPr>
      <w:r>
        <w:rPr>
          <w:b/>
          <w:bCs/>
        </w:rPr>
        <w:t xml:space="preserve">Severity: Medium.</w:t>
      </w:r>
      <w:r>
        <w:t xml:space="preserve"> </w:t>
      </w:r>
      <w:r>
        <w:t xml:space="preserve">Inconsistent and potentially overbroad.</w:t>
      </w:r>
    </w:p>
    <w:p>
      <w:pPr>
        <w:pStyle w:val="BodyText"/>
      </w:pPr>
      <w:r>
        <w:rPr>
          <w:b/>
          <w:bCs/>
        </w:rPr>
        <w:t xml:space="preserve">Recommendation.</w:t>
      </w:r>
    </w:p>
    <w:p>
      <w:pPr>
        <w:pStyle w:val="Compact"/>
        <w:numPr>
          <w:ilvl w:val="0"/>
          <w:numId w:val="1015"/>
        </w:numPr>
      </w:pPr>
      <w:r>
        <w:t xml:space="preserve">Adopt a consistent interim-relief carve-out across all three documents, specifying that either party may seek interim relief from courts of competent jurisdiction (e.g., at the seat or where assets are located) without waiving the arbitration, and clarifying the relationship to the tribunal’s interim-measures authority (tribunal measures take precedence once constituted, except in emergencies).</w:t>
      </w:r>
    </w:p>
    <w:bookmarkEnd w:id="41"/>
    <w:bookmarkEnd w:id="42"/>
    <w:bookmarkStart w:id="44" w:name="e.-miscellaneous"/>
    <w:p>
      <w:pPr>
        <w:pStyle w:val="Heading3"/>
      </w:pPr>
      <w:r>
        <w:t xml:space="preserve">E. Miscellaneous</w:t>
      </w:r>
    </w:p>
    <w:bookmarkStart w:id="43" w:name="Xe70476963c2c43f995ea09c952a95274f44ebd6"/>
    <w:p>
      <w:pPr>
        <w:pStyle w:val="Heading4"/>
      </w:pPr>
      <w:r>
        <w:t xml:space="preserve">Issue 16 — Confidentiality inconsistency; SA §14.4 vague gap-filler; no Ridgeway intervention mechanism · LOW</w:t>
      </w:r>
    </w:p>
    <w:p>
      <w:pPr>
        <w:pStyle w:val="FirstParagraph"/>
      </w:pPr>
      <w:r>
        <w:rPr>
          <w:b/>
          <w:bCs/>
        </w:rPr>
        <w:t xml:space="preserve">(a) Confidentiality inconsistency.</w:t>
      </w:r>
      <w:r>
        <w:t xml:space="preserve"> </w:t>
      </w:r>
      <w:r>
        <w:t xml:space="preserve">SA §14.10 imposes confidentiality on arbitration proceedings and documents; the QA Letter and IPLA are silent (though SIAC/LCIA Rules provide confidentiality). Recommend a consistent confidentiality provision across all three, with aligned carve-outs for related litigation (e.g., co-manufacturer litigation) and regulatory disclosure.</w:t>
      </w:r>
    </w:p>
    <w:p>
      <w:pPr>
        <w:pStyle w:val="BodyText"/>
      </w:pPr>
      <w:r>
        <w:rPr>
          <w:b/>
          <w:bCs/>
        </w:rPr>
        <w:t xml:space="preserve">(b) SA §14.4 gap-filler.</w:t>
      </w:r>
      <w:r>
        <w:t xml:space="preserve"> </w:t>
      </w:r>
      <w:r>
        <w:t xml:space="preserve">The clause directs arbitrators to apply</w:t>
      </w:r>
      <w:r>
        <w:t xml:space="preserve"> </w:t>
      </w:r>
      <w:r>
        <w:t xml:space="preserve">“</w:t>
      </w:r>
      <w:r>
        <w:t xml:space="preserve">general principles of international commercial law</w:t>
      </w:r>
      <w:r>
        <w:t xml:space="preserve">”</w:t>
      </w:r>
      <w:r>
        <w:t xml:space="preserve"> </w:t>
      </w:r>
      <w:r>
        <w:t xml:space="preserve">where New York law is silent. This is vague and could produce unpredictable outcomes. Recommend replacing with a defined gap-filler (e.g., the UNIDROIT Principles of International Commercial Contracts) or simply New York law (including its default rules) without the open-ended gap-filler.</w:t>
      </w:r>
    </w:p>
    <w:p>
      <w:pPr>
        <w:pStyle w:val="BodyText"/>
      </w:pPr>
      <w:r>
        <w:rPr>
          <w:b/>
          <w:bCs/>
        </w:rPr>
        <w:t xml:space="preserve">(c) Ridgeway Capital (62% holder).</w:t>
      </w:r>
      <w:r>
        <w:t xml:space="preserve"> </w:t>
      </w:r>
      <w:r>
        <w:t xml:space="preserve">The IPLA defines Ridgeway as a Greenleaf Affiliate; the SA’s no-third-party-beneficiaries clause (§15.9) means Ridgeway has no direct dispute-resolution rights. If Greenleaf’s and Ridgeway’s interests diverge on a major settlement, there is no procedural mechanism to address it. Low priority, but consider whether a notice/consultation right for material disputes is warranted given the 62% holding.</w:t>
      </w:r>
    </w:p>
    <w:p>
      <w:r>
        <w:pict>
          <v:rect style="width:0;height:1.5pt" o:hralign="center" o:hrstd="t" o:hr="t"/>
        </w:pict>
      </w:r>
    </w:p>
    <w:bookmarkEnd w:id="43"/>
    <w:bookmarkEnd w:id="44"/>
    <w:bookmarkEnd w:id="45"/>
    <w:bookmarkStart w:id="46" w:name="iv.-cross-cutting-recommendations"/>
    <w:p>
      <w:pPr>
        <w:pStyle w:val="Heading2"/>
      </w:pPr>
      <w:r>
        <w:t xml:space="preserve">IV. Cross-Cutting Recommendations</w:t>
      </w:r>
    </w:p>
    <w:p>
      <w:pPr>
        <w:numPr>
          <w:ilvl w:val="0"/>
          <w:numId w:val="1016"/>
        </w:numPr>
      </w:pPr>
      <w:r>
        <w:rPr>
          <w:b/>
          <w:bCs/>
        </w:rPr>
        <w:t xml:space="preserve">Adopt a single, unified dispute-resolution framework (or a master Dispute Resolution Agreement).</w:t>
      </w:r>
      <w:r>
        <w:t xml:space="preserve"> </w:t>
      </w:r>
      <w:r>
        <w:t xml:space="preserve">A single institution, single seat, and single governing law, with a mandatory consolidation protocol for multi-document disputes, would resolve Issues 2, 4, 5, and 12–15 at once and substantially reduce the parallel-proceedings and pathological-clause risks.</w:t>
      </w:r>
    </w:p>
    <w:p>
      <w:pPr>
        <w:numPr>
          <w:ilvl w:val="0"/>
          <w:numId w:val="1016"/>
        </w:numPr>
      </w:pPr>
      <w:r>
        <w:rPr>
          <w:b/>
          <w:bCs/>
        </w:rPr>
        <w:t xml:space="preserve">If subject-matter tailoring is retained, at minimum unify the SA and QA Letter</w:t>
      </w:r>
      <w:r>
        <w:t xml:space="preserve"> </w:t>
      </w:r>
      <w:r>
        <w:t xml:space="preserve">(the two most likely to overlap) under one institution/seat/law, and add a bilateral consolidation protocol covering all three documents.</w:t>
      </w:r>
    </w:p>
    <w:p>
      <w:pPr>
        <w:numPr>
          <w:ilvl w:val="0"/>
          <w:numId w:val="1016"/>
        </w:numPr>
      </w:pPr>
      <w:r>
        <w:rPr>
          <w:b/>
          <w:bCs/>
        </w:rPr>
        <w:t xml:space="preserve">Resolve the seat/appeal mismatch.</w:t>
      </w:r>
      <w:r>
        <w:t xml:space="preserve"> </w:t>
      </w:r>
      <w:r>
        <w:t xml:space="preserve">Either (a) keep the Singapore seat and delete the appeal (Model Law finality), or (b) move the seat to England and opt into s.69 if appellate review is desired. Do not keep a Singapore seat with an English-style court appeal (Issue 3).</w:t>
      </w:r>
    </w:p>
    <w:p>
      <w:pPr>
        <w:numPr>
          <w:ilvl w:val="0"/>
          <w:numId w:val="1016"/>
        </w:numPr>
      </w:pPr>
      <w:r>
        <w:rPr>
          <w:b/>
          <w:bCs/>
        </w:rPr>
        <w:t xml:space="preserve">Build the multi-party architecture.</w:t>
      </w:r>
      <w:r>
        <w:t xml:space="preserve"> </w:t>
      </w:r>
      <w:r>
        <w:t xml:space="preserve">A joinder/consent mechanism plus compatible co-manufacturer arbitration clauses plus a litigation carve-out for unavoidable multi-party quality disputes plus an IPLA information-sharing carve-out (Issues 6, 11). Address the Q1 2026 co-manufacturer now.</w:t>
      </w:r>
    </w:p>
    <w:p>
      <w:pPr>
        <w:numPr>
          <w:ilvl w:val="0"/>
          <w:numId w:val="1016"/>
        </w:numPr>
      </w:pPr>
      <w:r>
        <w:rPr>
          <w:b/>
          <w:bCs/>
        </w:rPr>
        <w:t xml:space="preserve">Fix the damages architecture.</w:t>
      </w:r>
      <w:r>
        <w:t xml:space="preserve"> </w:t>
      </w:r>
      <w:r>
        <w:t xml:space="preserve">Carve out recall/supply-failure/third-party consequential damages from the §14.11 waiver (or cap them), reconcile QA §6.1/§6.6, and align with the QA §6.5 insurance limits (Issues 1, 9).</w:t>
      </w:r>
    </w:p>
    <w:p>
      <w:pPr>
        <w:numPr>
          <w:ilvl w:val="0"/>
          <w:numId w:val="1016"/>
        </w:numPr>
      </w:pPr>
      <w:r>
        <w:rPr>
          <w:b/>
          <w:bCs/>
        </w:rPr>
        <w:t xml:space="preserve">Replace the discovery bar</w:t>
      </w:r>
      <w:r>
        <w:t xml:space="preserve"> </w:t>
      </w:r>
      <w:r>
        <w:t xml:space="preserve">with IBA-consistent targeted production, a quality-records carve-out, and confidentiality protections (Issue 7).</w:t>
      </w:r>
    </w:p>
    <w:p>
      <w:pPr>
        <w:numPr>
          <w:ilvl w:val="0"/>
          <w:numId w:val="1016"/>
        </w:numPr>
      </w:pPr>
      <w:r>
        <w:rPr>
          <w:b/>
          <w:bCs/>
        </w:rPr>
        <w:t xml:space="preserve">Harmonize procedural defaults</w:t>
      </w:r>
      <w:r>
        <w:t xml:space="preserve"> </w:t>
      </w:r>
      <w:r>
        <w:t xml:space="preserve">— cost allocation, number of arbitrators, limitation periods, interim relief, and confidentiality — consistently across all three documents (Issues 12–16).</w:t>
      </w:r>
    </w:p>
    <w:p>
      <w:r>
        <w:pict>
          <v:rect style="width:0;height:1.5pt" o:hralign="center" o:hrstd="t" o:hr="t"/>
        </w:pict>
      </w:r>
    </w:p>
    <w:bookmarkEnd w:id="46"/>
    <w:bookmarkStart w:id="47" w:name="X7bd5c7d5ae4494670e430a88a67d478cd4dfe47"/>
    <w:p>
      <w:pPr>
        <w:pStyle w:val="Heading2"/>
      </w:pPr>
      <w:r>
        <w:t xml:space="preserve">V. Recommended Negotiation Priority Sequence</w:t>
      </w:r>
    </w:p>
    <w:p>
      <w:pPr>
        <w:pStyle w:val="FirstParagraph"/>
      </w:pPr>
      <w:r>
        <w:t xml:space="preserve">Aligned with Greenleaf’s internal priorities and the severity ratings above:</w:t>
      </w:r>
    </w:p>
    <w:p>
      <w:pPr>
        <w:pStyle w:val="Compact"/>
        <w:numPr>
          <w:ilvl w:val="0"/>
          <w:numId w:val="1017"/>
        </w:numPr>
      </w:pPr>
      <w:r>
        <w:rPr>
          <w:b/>
          <w:bCs/>
        </w:rPr>
        <w:t xml:space="preserve">Consequential-damages waiver (Issue 1) and recall cost allocation (Issue 9)</w:t>
      </w:r>
      <w:r>
        <w:t xml:space="preserve"> </w:t>
      </w:r>
      <w:r>
        <w:t xml:space="preserve">— Critical; deal-level; Greenleaf’s stated walk-away issue. Resolve first.</w:t>
      </w:r>
    </w:p>
    <w:p>
      <w:pPr>
        <w:pStyle w:val="Compact"/>
        <w:numPr>
          <w:ilvl w:val="0"/>
          <w:numId w:val="1017"/>
        </w:numPr>
      </w:pPr>
      <w:r>
        <w:rPr>
          <w:b/>
          <w:bCs/>
        </w:rPr>
        <w:t xml:space="preserve">IPLA §9.3 / SA Art. 14 jurisdictional conflict (Issue 2) and SA §14.6 appeal (Issue 3)</w:t>
      </w:r>
      <w:r>
        <w:t xml:space="preserve"> </w:t>
      </w:r>
      <w:r>
        <w:t xml:space="preserve">— Critical; enforceability/pathological-clause risk; directly threatens Pacifica’s own stated objective of avoiding enforcement delay.</w:t>
      </w:r>
    </w:p>
    <w:p>
      <w:pPr>
        <w:pStyle w:val="Compact"/>
        <w:numPr>
          <w:ilvl w:val="0"/>
          <w:numId w:val="1017"/>
        </w:numPr>
      </w:pPr>
      <w:r>
        <w:rPr>
          <w:b/>
          <w:bCs/>
        </w:rPr>
        <w:t xml:space="preserve">Joinder / multi-party mechanism (Issue 6) and IPLA §2.2(b) (Issue 11)</w:t>
      </w:r>
      <w:r>
        <w:t xml:space="preserve"> </w:t>
      </w:r>
      <w:r>
        <w:t xml:space="preserve">— High; structural; must be addressed before the Q1 2026 co-manufacturer comes online.</w:t>
      </w:r>
    </w:p>
    <w:p>
      <w:pPr>
        <w:pStyle w:val="Compact"/>
        <w:numPr>
          <w:ilvl w:val="0"/>
          <w:numId w:val="1017"/>
        </w:numPr>
      </w:pPr>
      <w:r>
        <w:rPr>
          <w:b/>
          <w:bCs/>
        </w:rPr>
        <w:t xml:space="preserve">Cross-document consistency (Issues 4, 5) and unified framework</w:t>
      </w:r>
      <w:r>
        <w:t xml:space="preserve"> </w:t>
      </w:r>
      <w:r>
        <w:t xml:space="preserve">— High; root-cause fixes.</w:t>
      </w:r>
    </w:p>
    <w:p>
      <w:pPr>
        <w:pStyle w:val="Compact"/>
        <w:numPr>
          <w:ilvl w:val="0"/>
          <w:numId w:val="1017"/>
        </w:numPr>
      </w:pPr>
      <w:r>
        <w:rPr>
          <w:b/>
          <w:bCs/>
        </w:rPr>
        <w:t xml:space="preserve">Discovery bar (Issue 7) and expert-determination finality (Issue 8)</w:t>
      </w:r>
      <w:r>
        <w:t xml:space="preserve"> </w:t>
      </w:r>
      <w:r>
        <w:t xml:space="preserve">— High; evidentiary and procedural reliability.</w:t>
      </w:r>
    </w:p>
    <w:p>
      <w:pPr>
        <w:pStyle w:val="Compact"/>
        <w:numPr>
          <w:ilvl w:val="0"/>
          <w:numId w:val="1017"/>
        </w:numPr>
      </w:pPr>
      <w:r>
        <w:rPr>
          <w:b/>
          <w:bCs/>
        </w:rPr>
        <w:t xml:space="preserve">Procedural harmonization (Issues 12–15) and miscellaneous (Issue 16)</w:t>
      </w:r>
      <w:r>
        <w:t xml:space="preserve"> </w:t>
      </w:r>
      <w:r>
        <w:t xml:space="preserve">— Medium/Low; clean up during the same negotiation pass.</w:t>
      </w:r>
    </w:p>
    <w:p>
      <w:r>
        <w:pict>
          <v:rect style="width:0;height:1.5pt" o:hralign="center" o:hrstd="t" o:hr="t"/>
        </w:pict>
      </w:r>
    </w:p>
    <w:bookmarkEnd w:id="47"/>
    <w:bookmarkStart w:id="48" w:name="vi.-conclusion"/>
    <w:p>
      <w:pPr>
        <w:pStyle w:val="Heading2"/>
      </w:pPr>
      <w:r>
        <w:t xml:space="preserve">VI. Conclusion</w:t>
      </w:r>
    </w:p>
    <w:p>
      <w:pPr>
        <w:pStyle w:val="FirstParagraph"/>
      </w:pPr>
      <w:r>
        <w:t xml:space="preserve">The dispute-resolution architecture reflects thoughtful subject-matter tailoring but contains three Critical defects — the consequential-damages waiver as applied to an exclusive supply relationship; the IPLA/SA jurisdictional conflict; and the likely-ineffective Singapore appeal — and several High-severity structural gaps, including fragmentation, conflicting hierarchy clauses, the absence of a joinder mechanism, the blanket discovery bar, and the circular expert-determination finality. Several of these recreate the very</w:t>
      </w:r>
      <w:r>
        <w:t xml:space="preserve"> </w:t>
      </w:r>
      <w:r>
        <w:t xml:space="preserve">“</w:t>
      </w:r>
      <w:r>
        <w:t xml:space="preserve">pathological clause</w:t>
      </w:r>
      <w:r>
        <w:t xml:space="preserve">”</w:t>
      </w:r>
      <w:r>
        <w:t xml:space="preserve"> </w:t>
      </w:r>
      <w:r>
        <w:t xml:space="preserve">and enforcement-delay risk that Pacifica’s 2023 experience prompted the architecture to avoid. We recommend resolving the Critical and High issues before the July 18 signing, beginning with the consequential-damages and jurisdictional-conflict items, and we are available to draft revised provisions and a consolidated dispute-resolution protocol on Greenleaf’s behalf.</w:t>
      </w:r>
    </w:p>
    <w:p>
      <w:pPr>
        <w:pStyle w:val="BodyText"/>
      </w:pPr>
      <w:r>
        <w:rPr>
          <w:i/>
          <w:iCs/>
        </w:rPr>
        <w:t xml:space="preserve">This memorandum is privileged and confidential, prepared in anticipation of negotiation, and constitutes attorney work product. It is intended solely for Greenleaf Nutritionals, Inc. and its counsel and advisors identified above.</w:t>
      </w:r>
    </w:p>
    <w:p>
      <w:pPr>
        <w:pStyle w:val="BodyText"/>
      </w:pPr>
      <w:r>
        <w:t xml:space="preserve">—</w:t>
      </w:r>
      <w:r>
        <w:t xml:space="preserve"> </w:t>
      </w:r>
      <w:r>
        <w:rPr>
          <w:b/>
          <w:bCs/>
        </w:rPr>
        <w:t xml:space="preserve">Whitfield &amp; Crane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2026-06-28T21:37:44Z</dcterms:created>
  <dcterms:modified xsi:type="dcterms:W3CDTF">2026-06-28T21:37:44Z</dcterms:modified>
</cp:coreProperties>
</file>

<file path=docProps/custom.xml><?xml version="1.0" encoding="utf-8"?>
<Properties xmlns="http://schemas.openxmlformats.org/officeDocument/2006/custom-properties" xmlns:vt="http://schemas.openxmlformats.org/officeDocument/2006/docPropsVTypes"/>
</file>