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&amp; CONFIDENTIAL — ATTORNEY WORK PRODUCT / PREPARED IN ANTICIPATION OF NEGOTIATIONS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Angela R. Matsuda, General Counsel, Greenleaf Nutritionals, Inc.; Marcus J. Elliott &amp; Sophia Bransfield, Whitfield &amp; Crane LLP</w:t>
            </w:r>
          </w:p>
        </w:tc>
      </w:tr>
      <w:tr>
        <w:tc>
          <w:tcPr/>
          <w:p>
            <w:pPr>
              <w:pStyle w:val="Compact"/>
              <w:jc w:val="left"/>
            </w:pPr>
            <w:r>
              <w:rPr>
                <w:b/>
                <w:bCs/>
              </w:rPr>
              <w:t xml:space="preserve">CC:</w:t>
            </w:r>
          </w:p>
        </w:tc>
        <w:tc>
          <w:tcPr/>
          <w:p>
            <w:pPr>
              <w:pStyle w:val="Compact"/>
              <w:jc w:val="left"/>
            </w:pPr>
            <w:r>
              <w:t xml:space="preserve">David T. Heller, CEO, Greenleaf Nutritionals, Inc.; Jonathan F. Park, Ridgeway Capital Partners</w:t>
            </w:r>
          </w:p>
        </w:tc>
      </w:tr>
      <w:tr>
        <w:tc>
          <w:tcPr/>
          <w:p>
            <w:pPr>
              <w:pStyle w:val="Compact"/>
              <w:jc w:val="left"/>
            </w:pPr>
            <w:r>
              <w:rPr>
                <w:b/>
                <w:bCs/>
              </w:rPr>
              <w:t xml:space="preserve">FROM:</w:t>
            </w:r>
          </w:p>
        </w:tc>
        <w:tc>
          <w:tcPr/>
          <w:p>
            <w:pPr>
              <w:pStyle w:val="Compact"/>
              <w:jc w:val="left"/>
            </w:pPr>
            <w:r>
              <w:t xml:space="preserve">Dispute Resolution Review Team</w:t>
            </w:r>
          </w:p>
        </w:tc>
      </w:tr>
      <w:tr>
        <w:tc>
          <w:tcPr/>
          <w:p>
            <w:pPr>
              <w:pStyle w:val="Compact"/>
              <w:jc w:val="left"/>
            </w:pPr>
            <w:r>
              <w:rPr>
                <w:b/>
                <w:bCs/>
              </w:rPr>
              <w:t xml:space="preserve">DATE:</w:t>
            </w:r>
          </w:p>
        </w:tc>
        <w:tc>
          <w:tcPr/>
          <w:p>
            <w:pPr>
              <w:pStyle w:val="Compact"/>
              <w:jc w:val="left"/>
            </w:pPr>
            <w:r>
              <w:t xml:space="preserve">July 10, 2025</w:t>
            </w:r>
          </w:p>
        </w:tc>
      </w:tr>
      <w:tr>
        <w:tc>
          <w:tcPr/>
          <w:p>
            <w:pPr>
              <w:pStyle w:val="Compact"/>
              <w:jc w:val="left"/>
            </w:pPr>
            <w:r>
              <w:rPr>
                <w:b/>
                <w:bCs/>
              </w:rPr>
              <w:t xml:space="preserve">RE:</w:t>
            </w:r>
          </w:p>
        </w:tc>
        <w:tc>
          <w:tcPr/>
          <w:p>
            <w:pPr>
              <w:pStyle w:val="Compact"/>
              <w:jc w:val="left"/>
            </w:pPr>
            <w:r>
              <w:t xml:space="preserve">Severity-Rated Issues Memo — Arbitration &amp; Dispute Resolution Provisions Across the Pacifica/Greenleaf Transaction Documents (Exclusive Supply Agreement, Quality Assurance Side Letter, IP License Agreement)</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 reviews the arbitration and dispute resolution provisions across the five documents made available for review: (i) the</w:t>
      </w:r>
      <w:r>
        <w:t xml:space="preserve"> </w:t>
      </w:r>
      <w:r>
        <w:rPr>
          <w:b/>
          <w:bCs/>
        </w:rPr>
        <w:t xml:space="preserve">Exclusive Supply Agreement</w:t>
      </w:r>
      <w:r>
        <w:t xml:space="preserve"> </w:t>
      </w:r>
      <w:r>
        <w:t xml:space="preserve">(</w:t>
      </w:r>
      <w:r>
        <w:t xml:space="preserve">“</w:t>
      </w:r>
      <w:r>
        <w:rPr>
          <w:b/>
          <w:bCs/>
        </w:rPr>
        <w:t xml:space="preserve">SA</w:t>
      </w:r>
      <w:r>
        <w:t xml:space="preserve">,</w:t>
      </w:r>
      <w:r>
        <w:t xml:space="preserve">”</w:t>
      </w:r>
      <w:r>
        <w:t xml:space="preserve"> </w:t>
      </w:r>
      <w:r>
        <w:t xml:space="preserve">execution draft dated August 1, 2025); (ii) the</w:t>
      </w:r>
      <w:r>
        <w:t xml:space="preserve"> </w:t>
      </w:r>
      <w:r>
        <w:rPr>
          <w:b/>
          <w:bCs/>
        </w:rPr>
        <w:t xml:space="preserve">Quality Assurance Side Letter</w:t>
      </w:r>
      <w:r>
        <w:t xml:space="preserve"> </w:t>
      </w:r>
      <w:r>
        <w:t xml:space="preserve">(</w:t>
      </w:r>
      <w:r>
        <w:t xml:space="preserve">“</w:t>
      </w:r>
      <w:r>
        <w:rPr>
          <w:b/>
          <w:bCs/>
        </w:rPr>
        <w:t xml:space="preserve">QA Letter</w:t>
      </w:r>
      <w:r>
        <w:t xml:space="preserve">,</w:t>
      </w:r>
      <w:r>
        <w:t xml:space="preserve">”</w:t>
      </w:r>
      <w:r>
        <w:t xml:space="preserve"> </w:t>
      </w:r>
      <w:r>
        <w:t xml:space="preserve">dated August 1, 2025); (iii) the</w:t>
      </w:r>
      <w:r>
        <w:t xml:space="preserve"> </w:t>
      </w:r>
      <w:r>
        <w:rPr>
          <w:b/>
          <w:bCs/>
        </w:rPr>
        <w:t xml:space="preserve">IP License Agreement</w:t>
      </w:r>
      <w:r>
        <w:t xml:space="preserve"> </w:t>
      </w:r>
      <w:r>
        <w:t xml:space="preserve">(</w:t>
      </w:r>
      <w:r>
        <w:t xml:space="preserve">“</w:t>
      </w:r>
      <w:r>
        <w:rPr>
          <w:b/>
          <w:bCs/>
        </w:rPr>
        <w:t xml:space="preserve">IPLA</w:t>
      </w:r>
      <w:r>
        <w:t xml:space="preserve">,</w:t>
      </w:r>
      <w:r>
        <w:t xml:space="preserve">”</w:t>
      </w:r>
      <w:r>
        <w:t xml:space="preserve"> </w:t>
      </w:r>
      <w:r>
        <w:t xml:space="preserve">execution draft dated July 18, 2025); (iv) the</w:t>
      </w:r>
      <w:r>
        <w:t xml:space="preserve"> </w:t>
      </w:r>
      <w:r>
        <w:rPr>
          <w:b/>
          <w:bCs/>
        </w:rPr>
        <w:t xml:space="preserve">internal Greenleaf email chain</w:t>
      </w:r>
      <w:r>
        <w:t xml:space="preserve"> </w:t>
      </w:r>
      <w:r>
        <w:t xml:space="preserve">of June 30–July 1, 2025; and (v) the</w:t>
      </w:r>
      <w:r>
        <w:t xml:space="preserve"> </w:t>
      </w:r>
      <w:r>
        <w:rPr>
          <w:b/>
          <w:bCs/>
        </w:rPr>
        <w:t xml:space="preserve">Harmon &amp; Grey LLP summary memorandum</w:t>
      </w:r>
      <w:r>
        <w:t xml:space="preserve"> </w:t>
      </w:r>
      <w:r>
        <w:t xml:space="preserve">of July 3, 2025 explaining the drafting rationale. All three operative agreements were drafted by Harmon &amp; Grey LLP on behalf of Pacifica Botanics Pte. Ltd.</w:t>
      </w:r>
    </w:p>
    <w:p>
      <w:pPr>
        <w:pStyle w:val="BodyText"/>
      </w:pPr>
      <w:r>
        <w:t xml:space="preserve">The three operative agreements route disputes to</w:t>
      </w:r>
      <w:r>
        <w:t xml:space="preserve"> </w:t>
      </w:r>
      <w:r>
        <w:rPr>
          <w:b/>
          <w:bCs/>
        </w:rPr>
        <w:t xml:space="preserve">three different arbitral institutions</w:t>
      </w:r>
      <w:r>
        <w:t xml:space="preserve"> </w:t>
      </w:r>
      <w:r>
        <w:t xml:space="preserve">(ICC, SIAC, LCIA),</w:t>
      </w:r>
      <w:r>
        <w:t xml:space="preserve"> </w:t>
      </w:r>
      <w:r>
        <w:rPr>
          <w:b/>
          <w:bCs/>
        </w:rPr>
        <w:t xml:space="preserve">two different seats</w:t>
      </w:r>
      <w:r>
        <w:t xml:space="preserve"> </w:t>
      </w:r>
      <w:r>
        <w:t xml:space="preserve">(Singapore and London), and</w:t>
      </w:r>
      <w:r>
        <w:t xml:space="preserve"> </w:t>
      </w:r>
      <w:r>
        <w:rPr>
          <w:b/>
          <w:bCs/>
        </w:rPr>
        <w:t xml:space="preserve">three different governing laws</w:t>
      </w:r>
      <w:r>
        <w:t xml:space="preserve"> </w:t>
      </w:r>
      <w:r>
        <w:t xml:space="preserve">(New York, Singapore, and England &amp; Wales). While Harmon &amp; Grey’s stated rationale — matching each agreement’s subject matter to a specialized forum — is defensible in the abstract, the execution produces several provisions that are</w:t>
      </w:r>
      <w:r>
        <w:t xml:space="preserve"> </w:t>
      </w:r>
      <w:r>
        <w:rPr>
          <w:b/>
          <w:bCs/>
        </w:rPr>
        <w:t xml:space="preserve">internally inconsistent across the document suite</w:t>
      </w:r>
      <w:r>
        <w:t xml:space="preserve">, that</w:t>
      </w:r>
      <w:r>
        <w:t xml:space="preserve"> </w:t>
      </w:r>
      <w:r>
        <w:rPr>
          <w:b/>
          <w:bCs/>
        </w:rPr>
        <w:t xml:space="preserve">recreate the very</w:t>
      </w:r>
      <w:r>
        <w:rPr>
          <w:b/>
          <w:bCs/>
        </w:rPr>
        <w:t xml:space="preserve"> </w:t>
      </w:r>
      <w:r>
        <w:rPr>
          <w:b/>
          <w:bCs/>
        </w:rPr>
        <w:t xml:space="preserve">“</w:t>
      </w:r>
      <w:r>
        <w:rPr>
          <w:b/>
          <w:bCs/>
        </w:rPr>
        <w:t xml:space="preserve">pathological clause</w:t>
      </w:r>
      <w:r>
        <w:rPr>
          <w:b/>
          <w:bCs/>
        </w:rPr>
        <w:t xml:space="preserve">”</w:t>
      </w:r>
      <w:r>
        <w:rPr>
          <w:b/>
          <w:bCs/>
        </w:rPr>
        <w:t xml:space="preserve"> </w:t>
      </w:r>
      <w:r>
        <w:rPr>
          <w:b/>
          <w:bCs/>
        </w:rPr>
        <w:t xml:space="preserve">/ enforcement-delay risk</w:t>
      </w:r>
      <w:r>
        <w:t xml:space="preserve"> </w:t>
      </w:r>
      <w:r>
        <w:t xml:space="preserve">Harmon &amp; Grey was retained to avoid (Pacifica’s 2023 Hong Kong-seated ICC arbitration suffered a 14-month enforcement delay from a clause challenge), and that</w:t>
      </w:r>
      <w:r>
        <w:t xml:space="preserve"> </w:t>
      </w:r>
      <w:r>
        <w:rPr>
          <w:b/>
          <w:bCs/>
        </w:rPr>
        <w:t xml:space="preserve">allocate dispute risk asymmetrically against Greenleaf</w:t>
      </w:r>
      <w:r>
        <w:t xml:space="preserve"> </w:t>
      </w:r>
      <w:r>
        <w:t xml:space="preserve">given the exclusive-supply structure (no backup supplier; $178M minimum commitment over the initial term, potentially $250M+ over the full 13-year horizon with renewals).</w:t>
      </w:r>
    </w:p>
    <w:p>
      <w:pPr>
        <w:pStyle w:val="BodyText"/>
      </w:pPr>
      <w:r>
        <w:t xml:space="preserve">We identify</w:t>
      </w:r>
      <w:r>
        <w:t xml:space="preserve"> </w:t>
      </w:r>
      <w:r>
        <w:rPr>
          <w:b/>
          <w:bCs/>
        </w:rPr>
        <w:t xml:space="preserve">twelve issues</w:t>
      </w:r>
      <w:r>
        <w:t xml:space="preserve"> </w:t>
      </w:r>
      <w:r>
        <w:t xml:space="preserve">rated across four severity tiers. The two</w:t>
      </w:r>
      <w:r>
        <w:t xml:space="preserve"> </w:t>
      </w:r>
      <w:r>
        <w:rPr>
          <w:b/>
          <w:bCs/>
        </w:rPr>
        <w:t xml:space="preserve">Critical</w:t>
      </w:r>
      <w:r>
        <w:t xml:space="preserve"> </w:t>
      </w:r>
      <w:r>
        <w:t xml:space="preserve">issues — (1) conflicting forum-selection/consolidation clauses that produce a pathological clause, and (2) the consequential-damages waiver combined with exclusivity, the liability cap, and an internal QA Letter cross-reference — should be resolved before signing. The five</w:t>
      </w:r>
      <w:r>
        <w:t xml:space="preserve"> </w:t>
      </w:r>
      <w:r>
        <w:rPr>
          <w:b/>
          <w:bCs/>
        </w:rPr>
        <w:t xml:space="preserve">High</w:t>
      </w:r>
      <w:r>
        <w:t xml:space="preserve"> </w:t>
      </w:r>
      <w:r>
        <w:t xml:space="preserve">issues address the fragmented architecture, the absence of any joinder mechanism for non-signatory co-manufacturers, a one-year limitation period sitting at the statutory floor, a statutory appeal right that undermines finality, and a blanket discovery bar that would cripple quality claims. The remaining</w:t>
      </w:r>
      <w:r>
        <w:t xml:space="preserve"> </w:t>
      </w:r>
      <w:r>
        <w:rPr>
          <w:b/>
          <w:bCs/>
        </w:rPr>
        <w:t xml:space="preserve">Medium</w:t>
      </w:r>
      <w:r>
        <w:t xml:space="preserve"> </w:t>
      </w:r>
      <w:r>
        <w:t xml:space="preserve">and</w:t>
      </w:r>
      <w:r>
        <w:t xml:space="preserve"> </w:t>
      </w:r>
      <w:r>
        <w:rPr>
          <w:b/>
          <w:bCs/>
        </w:rPr>
        <w:t xml:space="preserve">Low</w:t>
      </w:r>
      <w:r>
        <w:t xml:space="preserve"> </w:t>
      </w:r>
      <w:r>
        <w:t xml:space="preserve">issues concern expert-determination finality, indemnification interaction, costs/tribunal-size inconsistencies, and several generally-acceptable provisions warranting minor harmonization.</w:t>
      </w:r>
    </w:p>
    <w:bookmarkStart w:id="20"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Provision(s)</w:t>
            </w:r>
          </w:p>
        </w:tc>
      </w:tr>
      <w:tr>
        <w:tc>
          <w:tcPr/>
          <w:p>
            <w:pPr>
              <w:pStyle w:val="Compact"/>
              <w:jc w:val="left"/>
            </w:pPr>
            <w:r>
              <w:t xml:space="preserve">1</w:t>
            </w:r>
          </w:p>
        </w:tc>
        <w:tc>
          <w:tcPr/>
          <w:p>
            <w:pPr>
              <w:pStyle w:val="Compact"/>
              <w:jc w:val="left"/>
            </w:pPr>
            <w:r>
              <w:t xml:space="preserve">Conflicting forum-selection / consolidation clauses (pathological clause)</w:t>
            </w:r>
          </w:p>
        </w:tc>
        <w:tc>
          <w:tcPr/>
          <w:p>
            <w:pPr>
              <w:pStyle w:val="Compact"/>
              <w:jc w:val="left"/>
            </w:pPr>
            <w:r>
              <w:rPr>
                <w:b/>
                <w:bCs/>
              </w:rPr>
              <w:t xml:space="preserve">Critical</w:t>
            </w:r>
          </w:p>
        </w:tc>
        <w:tc>
          <w:tcPr/>
          <w:p>
            <w:pPr>
              <w:pStyle w:val="Compact"/>
              <w:jc w:val="left"/>
            </w:pPr>
            <w:r>
              <w:t xml:space="preserve">IPLA §9.3; SA §15.8; QA §8.1</w:t>
            </w:r>
          </w:p>
        </w:tc>
      </w:tr>
      <w:tr>
        <w:tc>
          <w:tcPr/>
          <w:p>
            <w:pPr>
              <w:pStyle w:val="Compact"/>
              <w:jc w:val="left"/>
            </w:pPr>
            <w:r>
              <w:t xml:space="preserve">2</w:t>
            </w:r>
          </w:p>
        </w:tc>
        <w:tc>
          <w:tcPr/>
          <w:p>
            <w:pPr>
              <w:pStyle w:val="Compact"/>
              <w:jc w:val="left"/>
            </w:pPr>
            <w:r>
              <w:t xml:space="preserve">Consequential-damages waiver + exclusivity + liability cap + QA §6.6</w:t>
            </w:r>
          </w:p>
        </w:tc>
        <w:tc>
          <w:tcPr/>
          <w:p>
            <w:pPr>
              <w:pStyle w:val="Compact"/>
              <w:jc w:val="left"/>
            </w:pPr>
            <w:r>
              <w:rPr>
                <w:b/>
                <w:bCs/>
              </w:rPr>
              <w:t xml:space="preserve">Critical</w:t>
            </w:r>
          </w:p>
        </w:tc>
        <w:tc>
          <w:tcPr/>
          <w:p>
            <w:pPr>
              <w:pStyle w:val="Compact"/>
              <w:jc w:val="left"/>
            </w:pPr>
            <w:r>
              <w:t xml:space="preserve">SA §14.11, §11.1, §11.2, §2.1; QA §6.6</w:t>
            </w:r>
          </w:p>
        </w:tc>
      </w:tr>
      <w:tr>
        <w:tc>
          <w:tcPr/>
          <w:p>
            <w:pPr>
              <w:pStyle w:val="Compact"/>
              <w:jc w:val="left"/>
            </w:pPr>
            <w:r>
              <w:t xml:space="preserve">3</w:t>
            </w:r>
          </w:p>
        </w:tc>
        <w:tc>
          <w:tcPr/>
          <w:p>
            <w:pPr>
              <w:pStyle w:val="Compact"/>
              <w:jc w:val="left"/>
            </w:pPr>
            <w:r>
              <w:t xml:space="preserve">Fragmented architecture (3 institutions / 2 seats / 3 laws)</w:t>
            </w:r>
          </w:p>
        </w:tc>
        <w:tc>
          <w:tcPr/>
          <w:p>
            <w:pPr>
              <w:pStyle w:val="Compact"/>
              <w:jc w:val="left"/>
            </w:pPr>
            <w:r>
              <w:rPr>
                <w:b/>
                <w:bCs/>
              </w:rPr>
              <w:t xml:space="preserve">High</w:t>
            </w:r>
          </w:p>
        </w:tc>
        <w:tc>
          <w:tcPr/>
          <w:p>
            <w:pPr>
              <w:pStyle w:val="Compact"/>
              <w:jc w:val="left"/>
            </w:pPr>
            <w:r>
              <w:t xml:space="preserve">SA Art. 14; QA §7; IPLA §9</w:t>
            </w:r>
          </w:p>
        </w:tc>
      </w:tr>
      <w:tr>
        <w:tc>
          <w:tcPr/>
          <w:p>
            <w:pPr>
              <w:pStyle w:val="Compact"/>
              <w:jc w:val="left"/>
            </w:pPr>
            <w:r>
              <w:t xml:space="preserve">4</w:t>
            </w:r>
          </w:p>
        </w:tc>
        <w:tc>
          <w:tcPr/>
          <w:p>
            <w:pPr>
              <w:pStyle w:val="Compact"/>
              <w:jc w:val="left"/>
            </w:pPr>
            <w:r>
              <w:t xml:space="preserve">No joinder / non-signatory mechanism for co-manufacturers</w:t>
            </w:r>
          </w:p>
        </w:tc>
        <w:tc>
          <w:tcPr/>
          <w:p>
            <w:pPr>
              <w:pStyle w:val="Compact"/>
              <w:jc w:val="left"/>
            </w:pPr>
            <w:r>
              <w:rPr>
                <w:b/>
                <w:bCs/>
              </w:rPr>
              <w:t xml:space="preserve">High</w:t>
            </w:r>
          </w:p>
        </w:tc>
        <w:tc>
          <w:tcPr/>
          <w:p>
            <w:pPr>
              <w:pStyle w:val="Compact"/>
              <w:jc w:val="left"/>
            </w:pPr>
            <w:r>
              <w:t xml:space="preserve">SA Art. 14; QA §7; IPLA §9</w:t>
            </w:r>
          </w:p>
        </w:tc>
      </w:tr>
      <w:tr>
        <w:tc>
          <w:tcPr/>
          <w:p>
            <w:pPr>
              <w:pStyle w:val="Compact"/>
              <w:jc w:val="left"/>
            </w:pPr>
            <w:r>
              <w:t xml:space="preserve">5</w:t>
            </w:r>
          </w:p>
        </w:tc>
        <w:tc>
          <w:tcPr/>
          <w:p>
            <w:pPr>
              <w:pStyle w:val="Compact"/>
              <w:jc w:val="left"/>
            </w:pPr>
            <w:r>
              <w:t xml:space="preserve">One-year limitation period at the UCC floor</w:t>
            </w:r>
          </w:p>
        </w:tc>
        <w:tc>
          <w:tcPr/>
          <w:p>
            <w:pPr>
              <w:pStyle w:val="Compact"/>
              <w:jc w:val="left"/>
            </w:pPr>
            <w:r>
              <w:rPr>
                <w:b/>
                <w:bCs/>
              </w:rPr>
              <w:t xml:space="preserve">High</w:t>
            </w:r>
          </w:p>
        </w:tc>
        <w:tc>
          <w:tcPr/>
          <w:p>
            <w:pPr>
              <w:pStyle w:val="Compact"/>
              <w:jc w:val="left"/>
            </w:pPr>
            <w:r>
              <w:t xml:space="preserve">SA §14.9; SA §7.3; QA §5.1</w:t>
            </w:r>
          </w:p>
        </w:tc>
      </w:tr>
      <w:tr>
        <w:tc>
          <w:tcPr/>
          <w:p>
            <w:pPr>
              <w:pStyle w:val="Compact"/>
              <w:jc w:val="left"/>
            </w:pPr>
            <w:r>
              <w:t xml:space="preserve">6</w:t>
            </w:r>
          </w:p>
        </w:tc>
        <w:tc>
          <w:tcPr/>
          <w:p>
            <w:pPr>
              <w:pStyle w:val="Compact"/>
              <w:jc w:val="left"/>
            </w:pPr>
            <w:r>
              <w:t xml:space="preserve">Statutory appeal on questions of law to Singapore High Court</w:t>
            </w:r>
          </w:p>
        </w:tc>
        <w:tc>
          <w:tcPr/>
          <w:p>
            <w:pPr>
              <w:pStyle w:val="Compact"/>
              <w:jc w:val="left"/>
            </w:pPr>
            <w:r>
              <w:rPr>
                <w:b/>
                <w:bCs/>
              </w:rPr>
              <w:t xml:space="preserve">High</w:t>
            </w:r>
          </w:p>
        </w:tc>
        <w:tc>
          <w:tcPr/>
          <w:p>
            <w:pPr>
              <w:pStyle w:val="Compact"/>
              <w:jc w:val="left"/>
            </w:pPr>
            <w:r>
              <w:t xml:space="preserve">SA §14.6</w:t>
            </w:r>
          </w:p>
        </w:tc>
      </w:tr>
      <w:tr>
        <w:tc>
          <w:tcPr/>
          <w:p>
            <w:pPr>
              <w:pStyle w:val="Compact"/>
              <w:jc w:val="left"/>
            </w:pPr>
            <w:r>
              <w:t xml:space="preserve">7</w:t>
            </w:r>
          </w:p>
        </w:tc>
        <w:tc>
          <w:tcPr/>
          <w:p>
            <w:pPr>
              <w:pStyle w:val="Compact"/>
              <w:jc w:val="left"/>
            </w:pPr>
            <w:r>
              <w:t xml:space="preserve">Blanket discovery prohibition</w:t>
            </w:r>
          </w:p>
        </w:tc>
        <w:tc>
          <w:tcPr/>
          <w:p>
            <w:pPr>
              <w:pStyle w:val="Compact"/>
              <w:jc w:val="left"/>
            </w:pPr>
            <w:r>
              <w:rPr>
                <w:b/>
                <w:bCs/>
              </w:rPr>
              <w:t xml:space="preserve">High</w:t>
            </w:r>
          </w:p>
        </w:tc>
        <w:tc>
          <w:tcPr/>
          <w:p>
            <w:pPr>
              <w:pStyle w:val="Compact"/>
              <w:jc w:val="left"/>
            </w:pPr>
            <w:r>
              <w:t xml:space="preserve">SA §14.5</w:t>
            </w:r>
          </w:p>
        </w:tc>
      </w:tr>
      <w:tr>
        <w:tc>
          <w:tcPr/>
          <w:p>
            <w:pPr>
              <w:pStyle w:val="Compact"/>
              <w:jc w:val="left"/>
            </w:pPr>
            <w:r>
              <w:t xml:space="preserve">8</w:t>
            </w:r>
          </w:p>
        </w:tc>
        <w:tc>
          <w:tcPr/>
          <w:p>
            <w:pPr>
              <w:pStyle w:val="Compact"/>
              <w:jc w:val="left"/>
            </w:pPr>
            <w:r>
              <w:t xml:space="preserve">Expert determination</w:t>
            </w:r>
            <w:r>
              <w:t xml:space="preserve"> </w:t>
            </w:r>
            <w:r>
              <w:t xml:space="preserve">“</w:t>
            </w:r>
            <w:r>
              <w:t xml:space="preserve">final and binding</w:t>
            </w:r>
            <w:r>
              <w:t xml:space="preserve">”</w:t>
            </w:r>
            <w:r>
              <w:t xml:space="preserve"> </w:t>
            </w:r>
            <w:r>
              <w:t xml:space="preserve">yet freely challengeable</w:t>
            </w:r>
          </w:p>
        </w:tc>
        <w:tc>
          <w:tcPr/>
          <w:p>
            <w:pPr>
              <w:pStyle w:val="Compact"/>
              <w:jc w:val="left"/>
            </w:pPr>
            <w:r>
              <w:rPr>
                <w:b/>
                <w:bCs/>
              </w:rPr>
              <w:t xml:space="preserve">Medium</w:t>
            </w:r>
          </w:p>
        </w:tc>
        <w:tc>
          <w:tcPr/>
          <w:p>
            <w:pPr>
              <w:pStyle w:val="Compact"/>
              <w:jc w:val="left"/>
            </w:pPr>
            <w:r>
              <w:t xml:space="preserve">QA §7.1, §7.2</w:t>
            </w:r>
          </w:p>
        </w:tc>
      </w:tr>
      <w:tr>
        <w:tc>
          <w:tcPr/>
          <w:p>
            <w:pPr>
              <w:pStyle w:val="Compact"/>
              <w:jc w:val="left"/>
            </w:pPr>
            <w:r>
              <w:t xml:space="preserve">9</w:t>
            </w:r>
          </w:p>
        </w:tc>
        <w:tc>
          <w:tcPr/>
          <w:p>
            <w:pPr>
              <w:pStyle w:val="Compact"/>
              <w:jc w:val="left"/>
            </w:pPr>
            <w:r>
              <w:t xml:space="preserve">Indemnification vs. damages-waiver interaction</w:t>
            </w:r>
          </w:p>
        </w:tc>
        <w:tc>
          <w:tcPr/>
          <w:p>
            <w:pPr>
              <w:pStyle w:val="Compact"/>
              <w:jc w:val="left"/>
            </w:pPr>
            <w:r>
              <w:rPr>
                <w:b/>
                <w:bCs/>
              </w:rPr>
              <w:t xml:space="preserve">Medium</w:t>
            </w:r>
          </w:p>
        </w:tc>
        <w:tc>
          <w:tcPr/>
          <w:p>
            <w:pPr>
              <w:pStyle w:val="Compact"/>
              <w:jc w:val="left"/>
            </w:pPr>
            <w:r>
              <w:t xml:space="preserve">SA §14.11 vs. Art. 10; §11.1–11.2</w:t>
            </w:r>
          </w:p>
        </w:tc>
      </w:tr>
      <w:tr>
        <w:tc>
          <w:tcPr/>
          <w:p>
            <w:pPr>
              <w:pStyle w:val="Compact"/>
              <w:jc w:val="left"/>
            </w:pPr>
            <w:r>
              <w:t xml:space="preserve">10</w:t>
            </w:r>
          </w:p>
        </w:tc>
        <w:tc>
          <w:tcPr/>
          <w:p>
            <w:pPr>
              <w:pStyle w:val="Compact"/>
              <w:jc w:val="left"/>
            </w:pPr>
            <w:r>
              <w:t xml:space="preserve">Inconsistent costs / fee-shifting and tribunal size</w:t>
            </w:r>
          </w:p>
        </w:tc>
        <w:tc>
          <w:tcPr/>
          <w:p>
            <w:pPr>
              <w:pStyle w:val="Compact"/>
              <w:jc w:val="left"/>
            </w:pPr>
            <w:r>
              <w:rPr>
                <w:b/>
                <w:bCs/>
              </w:rPr>
              <w:t xml:space="preserve">Medium</w:t>
            </w:r>
          </w:p>
        </w:tc>
        <w:tc>
          <w:tcPr/>
          <w:p>
            <w:pPr>
              <w:pStyle w:val="Compact"/>
              <w:jc w:val="left"/>
            </w:pPr>
            <w:r>
              <w:t xml:space="preserve">SA §14.8, §14.3; IPLA §9.4, §9.1; QA §7.2</w:t>
            </w:r>
          </w:p>
        </w:tc>
      </w:tr>
      <w:tr>
        <w:tc>
          <w:tcPr/>
          <w:p>
            <w:pPr>
              <w:pStyle w:val="Compact"/>
              <w:jc w:val="left"/>
            </w:pPr>
            <w:r>
              <w:t xml:space="preserve">11</w:t>
            </w:r>
          </w:p>
        </w:tc>
        <w:tc>
          <w:tcPr/>
          <w:p>
            <w:pPr>
              <w:pStyle w:val="Compact"/>
              <w:jc w:val="left"/>
            </w:pPr>
            <w:r>
              <w:t xml:space="preserve">Seat/venue split, interim-relief breadth, confidentiality carve-out</w:t>
            </w:r>
          </w:p>
        </w:tc>
        <w:tc>
          <w:tcPr/>
          <w:p>
            <w:pPr>
              <w:pStyle w:val="Compact"/>
              <w:jc w:val="left"/>
            </w:pPr>
            <w:r>
              <w:rPr>
                <w:b/>
                <w:bCs/>
              </w:rPr>
              <w:t xml:space="preserve">Low</w:t>
            </w:r>
          </w:p>
        </w:tc>
        <w:tc>
          <w:tcPr/>
          <w:p>
            <w:pPr>
              <w:pStyle w:val="Compact"/>
              <w:jc w:val="left"/>
            </w:pPr>
            <w:r>
              <w:t xml:space="preserve">SA §14.2, §14.7, §14.10</w:t>
            </w:r>
          </w:p>
        </w:tc>
      </w:tr>
      <w:tr>
        <w:tc>
          <w:tcPr/>
          <w:p>
            <w:pPr>
              <w:pStyle w:val="Compact"/>
              <w:jc w:val="left"/>
            </w:pPr>
            <w:r>
              <w:t xml:space="preserve">12</w:t>
            </w:r>
          </w:p>
        </w:tc>
        <w:tc>
          <w:tcPr/>
          <w:p>
            <w:pPr>
              <w:pStyle w:val="Compact"/>
              <w:jc w:val="left"/>
            </w:pPr>
            <w:r>
              <w:t xml:space="preserve">No pre-arbitration escalation / mediation step</w:t>
            </w:r>
          </w:p>
        </w:tc>
        <w:tc>
          <w:tcPr/>
          <w:p>
            <w:pPr>
              <w:pStyle w:val="Compact"/>
              <w:jc w:val="left"/>
            </w:pPr>
            <w:r>
              <w:rPr>
                <w:b/>
                <w:bCs/>
              </w:rPr>
              <w:t xml:space="preserve">Low</w:t>
            </w:r>
          </w:p>
        </w:tc>
        <w:tc>
          <w:tcPr/>
          <w:p>
            <w:pPr>
              <w:pStyle w:val="Compact"/>
              <w:jc w:val="left"/>
            </w:pPr>
            <w:r>
              <w:t xml:space="preserve">All three agreements</w:t>
            </w:r>
          </w:p>
        </w:tc>
      </w:tr>
    </w:tbl>
    <w:p>
      <w:r>
        <w:pict>
          <v:rect style="width:0;height:1.5pt" o:hralign="center" o:hrstd="t" o:hr="t"/>
        </w:pict>
      </w:r>
    </w:p>
    <w:bookmarkEnd w:id="20"/>
    <w:bookmarkEnd w:id="21"/>
    <w:bookmarkStart w:id="22" w:name="X5a4d45cd06d65f7fda4bf1ca7dc86a640f10dad"/>
    <w:p>
      <w:pPr>
        <w:pStyle w:val="Heading2"/>
      </w:pPr>
      <w:r>
        <w:t xml:space="preserve">II. Documents Reviewed and Dispute Resolution Map</w:t>
      </w:r>
    </w:p>
    <w:p>
      <w:pPr>
        <w:pStyle w:val="FirstParagraph"/>
      </w:pPr>
      <w:r>
        <w:t xml:space="preserve">The following table maps the dispute resolution architecture across the three operative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SA (Art. 14)</w:t>
            </w:r>
          </w:p>
        </w:tc>
        <w:tc>
          <w:tcPr/>
          <w:p>
            <w:pPr>
              <w:pStyle w:val="Compact"/>
              <w:jc w:val="left"/>
            </w:pPr>
            <w:r>
              <w:t xml:space="preserve">QA Letter (§7)</w:t>
            </w:r>
          </w:p>
        </w:tc>
        <w:tc>
          <w:tcPr/>
          <w:p>
            <w:pPr>
              <w:pStyle w:val="Compact"/>
              <w:jc w:val="left"/>
            </w:pPr>
            <w:r>
              <w:t xml:space="preserve">IPLA (§9)</w:t>
            </w:r>
          </w:p>
        </w:tc>
      </w:tr>
      <w:tr>
        <w:tc>
          <w:tcPr/>
          <w:p>
            <w:pPr>
              <w:pStyle w:val="Compact"/>
              <w:jc w:val="left"/>
            </w:pPr>
            <w:r>
              <w:rPr>
                <w:b/>
                <w:bCs/>
              </w:rPr>
              <w:t xml:space="preserve">Institution</w:t>
            </w:r>
          </w:p>
        </w:tc>
        <w:tc>
          <w:tcPr/>
          <w:p>
            <w:pPr>
              <w:pStyle w:val="Compact"/>
              <w:jc w:val="left"/>
            </w:pPr>
            <w:r>
              <w:t xml:space="preserve">ICC</w:t>
            </w:r>
          </w:p>
        </w:tc>
        <w:tc>
          <w:tcPr/>
          <w:p>
            <w:pPr>
              <w:pStyle w:val="Compact"/>
              <w:jc w:val="left"/>
            </w:pPr>
            <w:r>
              <w:t xml:space="preserve">SIAC (expert determination → arbitration)</w:t>
            </w:r>
          </w:p>
        </w:tc>
        <w:tc>
          <w:tcPr/>
          <w:p>
            <w:pPr>
              <w:pStyle w:val="Compact"/>
              <w:jc w:val="left"/>
            </w:pPr>
            <w:r>
              <w:t xml:space="preserve">LCIA</w:t>
            </w:r>
          </w:p>
        </w:tc>
      </w:tr>
      <w:tr>
        <w:tc>
          <w:tcPr/>
          <w:p>
            <w:pPr>
              <w:pStyle w:val="Compact"/>
              <w:jc w:val="left"/>
            </w:pPr>
            <w:r>
              <w:rPr>
                <w:b/>
                <w:bCs/>
              </w:rPr>
              <w:t xml:space="preserve">Seat</w:t>
            </w:r>
          </w:p>
        </w:tc>
        <w:tc>
          <w:tcPr/>
          <w:p>
            <w:pPr>
              <w:pStyle w:val="Compact"/>
              <w:jc w:val="left"/>
            </w:pPr>
            <w:r>
              <w:t xml:space="preserve">Singapore</w:t>
            </w:r>
          </w:p>
        </w:tc>
        <w:tc>
          <w:tcPr/>
          <w:p>
            <w:pPr>
              <w:pStyle w:val="Compact"/>
              <w:jc w:val="left"/>
            </w:pPr>
            <w:r>
              <w:t xml:space="preserve">Singapore</w:t>
            </w:r>
          </w:p>
        </w:tc>
        <w:tc>
          <w:tcPr/>
          <w:p>
            <w:pPr>
              <w:pStyle w:val="Compact"/>
              <w:jc w:val="left"/>
            </w:pPr>
            <w:r>
              <w:t xml:space="preserve">London</w:t>
            </w:r>
          </w:p>
        </w:tc>
      </w:tr>
      <w:tr>
        <w:tc>
          <w:tcPr/>
          <w:p>
            <w:pPr>
              <w:pStyle w:val="Compact"/>
              <w:jc w:val="left"/>
            </w:pPr>
            <w:r>
              <w:rPr>
                <w:b/>
                <w:bCs/>
              </w:rPr>
              <w:t xml:space="preserve">Hearing venue</w:t>
            </w:r>
          </w:p>
        </w:tc>
        <w:tc>
          <w:tcPr/>
          <w:p>
            <w:pPr>
              <w:pStyle w:val="Compact"/>
              <w:jc w:val="left"/>
            </w:pPr>
            <w:r>
              <w:t xml:space="preserve">London, England</w:t>
            </w:r>
          </w:p>
        </w:tc>
        <w:tc>
          <w:tcPr/>
          <w:p>
            <w:pPr>
              <w:pStyle w:val="Compact"/>
              <w:jc w:val="left"/>
            </w:pPr>
            <w:r>
              <w:t xml:space="preserve">Singapore (implied)</w:t>
            </w:r>
          </w:p>
        </w:tc>
        <w:tc>
          <w:tcPr/>
          <w:p>
            <w:pPr>
              <w:pStyle w:val="Compact"/>
              <w:jc w:val="left"/>
            </w:pPr>
            <w:r>
              <w:t xml:space="preserve">London (implied)</w:t>
            </w:r>
          </w:p>
        </w:tc>
      </w:tr>
      <w:tr>
        <w:tc>
          <w:tcPr/>
          <w:p>
            <w:pPr>
              <w:pStyle w:val="Compact"/>
              <w:jc w:val="left"/>
            </w:pPr>
            <w:r>
              <w:rPr>
                <w:b/>
                <w:bCs/>
              </w:rPr>
              <w:t xml:space="preserve">Arbitrators</w:t>
            </w:r>
          </w:p>
        </w:tc>
        <w:tc>
          <w:tcPr/>
          <w:p>
            <w:pPr>
              <w:pStyle w:val="Compact"/>
              <w:jc w:val="left"/>
            </w:pPr>
            <w:r>
              <w:t xml:space="preserve">1; either party may demand 3 within 15 days of Request</w:t>
            </w:r>
          </w:p>
        </w:tc>
        <w:tc>
          <w:tcPr/>
          <w:p>
            <w:pPr>
              <w:pStyle w:val="Compact"/>
              <w:jc w:val="left"/>
            </w:pPr>
            <w:r>
              <w:t xml:space="preserve">Expert (1) → 3 arbitrators on escalation</w:t>
            </w:r>
          </w:p>
        </w:tc>
        <w:tc>
          <w:tcPr/>
          <w:p>
            <w:pPr>
              <w:pStyle w:val="Compact"/>
              <w:jc w:val="left"/>
            </w:pPr>
            <w:r>
              <w:t xml:space="preserve">1</w:t>
            </w:r>
          </w:p>
        </w:tc>
      </w:tr>
      <w:tr>
        <w:tc>
          <w:tcPr/>
          <w:p>
            <w:pPr>
              <w:pStyle w:val="Compact"/>
              <w:jc w:val="left"/>
            </w:pPr>
            <w:r>
              <w:rPr>
                <w:b/>
                <w:bCs/>
              </w:rPr>
              <w:t xml:space="preserve">Governing (substantive) law</w:t>
            </w:r>
          </w:p>
        </w:tc>
        <w:tc>
          <w:tcPr/>
          <w:p>
            <w:pPr>
              <w:pStyle w:val="Compact"/>
              <w:jc w:val="left"/>
            </w:pPr>
            <w:r>
              <w:t xml:space="preserve">New York (without conflict-of-laws); fallback to</w:t>
            </w:r>
            <w:r>
              <w:t xml:space="preserve"> </w:t>
            </w:r>
            <w:r>
              <w:t xml:space="preserve">“</w:t>
            </w:r>
            <w:r>
              <w:t xml:space="preserve">general principles of international commercial law</w:t>
            </w:r>
            <w:r>
              <w:t xml:space="preserve">”</w:t>
            </w:r>
          </w:p>
        </w:tc>
        <w:tc>
          <w:tcPr/>
          <w:p>
            <w:pPr>
              <w:pStyle w:val="Compact"/>
              <w:jc w:val="left"/>
            </w:pPr>
            <w:r>
              <w:t xml:space="preserve">Republic of Singapore</w:t>
            </w:r>
          </w:p>
        </w:tc>
        <w:tc>
          <w:tcPr/>
          <w:p>
            <w:pPr>
              <w:pStyle w:val="Compact"/>
              <w:jc w:val="left"/>
            </w:pPr>
            <w:r>
              <w:t xml:space="preserve">England &amp; Wales</w:t>
            </w:r>
          </w:p>
        </w:tc>
      </w:tr>
      <w:tr>
        <w:tc>
          <w:tcPr/>
          <w:p>
            <w:pPr>
              <w:pStyle w:val="Compact"/>
              <w:jc w:val="left"/>
            </w:pPr>
            <w:r>
              <w:rPr>
                <w:b/>
                <w:bCs/>
              </w:rPr>
              <w:t xml:space="preserve">Costs / fees</w:t>
            </w:r>
          </w:p>
        </w:tc>
        <w:tc>
          <w:tcPr/>
          <w:p>
            <w:pPr>
              <w:pStyle w:val="Compact"/>
              <w:jc w:val="left"/>
            </w:pPr>
            <w:r>
              <w:t xml:space="preserve">Loser-pays all costs incl. prevailing party’s reasonable attorneys’ fees</w:t>
            </w:r>
          </w:p>
        </w:tc>
        <w:tc>
          <w:tcPr/>
          <w:p>
            <w:pPr>
              <w:pStyle w:val="Compact"/>
              <w:jc w:val="left"/>
            </w:pPr>
            <w:r>
              <w:t xml:space="preserve">Each bears own; Expert &amp; SIAC fees shared equally (expert tier); arbitration tier silent</w:t>
            </w:r>
          </w:p>
        </w:tc>
        <w:tc>
          <w:tcPr/>
          <w:p>
            <w:pPr>
              <w:pStyle w:val="Compact"/>
              <w:jc w:val="left"/>
            </w:pPr>
            <w:r>
              <w:t xml:space="preserve">Each bears own; arbitrator/LCIA fees shared equally unless tribunal decides</w:t>
            </w:r>
          </w:p>
        </w:tc>
      </w:tr>
      <w:tr>
        <w:tc>
          <w:tcPr/>
          <w:p>
            <w:pPr>
              <w:pStyle w:val="Compact"/>
              <w:jc w:val="left"/>
            </w:pPr>
            <w:r>
              <w:rPr>
                <w:b/>
                <w:bCs/>
              </w:rPr>
              <w:t xml:space="preserve">Discovery</w:t>
            </w:r>
          </w:p>
        </w:tc>
        <w:tc>
          <w:tcPr/>
          <w:p>
            <w:pPr>
              <w:pStyle w:val="Compact"/>
              <w:jc w:val="left"/>
            </w:pPr>
            <w:r>
              <w:t xml:space="preserve">None permitted</w:t>
            </w:r>
          </w:p>
        </w:tc>
        <w:tc>
          <w:tcPr/>
          <w:p>
            <w:pPr>
              <w:pStyle w:val="Compact"/>
              <w:jc w:val="left"/>
            </w:pPr>
            <w:r>
              <w:t xml:space="preserve">Not addressed (expert process)</w:t>
            </w:r>
          </w:p>
        </w:tc>
        <w:tc>
          <w:tcPr/>
          <w:p>
            <w:pPr>
              <w:pStyle w:val="Compact"/>
              <w:jc w:val="left"/>
            </w:pPr>
            <w:r>
              <w:t xml:space="preserve">Not addressed</w:t>
            </w:r>
          </w:p>
        </w:tc>
      </w:tr>
      <w:tr>
        <w:tc>
          <w:tcPr/>
          <w:p>
            <w:pPr>
              <w:pStyle w:val="Compact"/>
              <w:jc w:val="left"/>
            </w:pPr>
            <w:r>
              <w:rPr>
                <w:b/>
                <w:bCs/>
              </w:rPr>
              <w:t xml:space="preserve">Limitation period</w:t>
            </w:r>
          </w:p>
        </w:tc>
        <w:tc>
          <w:tcPr/>
          <w:p>
            <w:pPr>
              <w:pStyle w:val="Compact"/>
              <w:jc w:val="left"/>
            </w:pPr>
            <w:r>
              <w:t xml:space="preserve">1 year from knowledge</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rPr>
                <w:b/>
                <w:bCs/>
              </w:rPr>
              <w:t xml:space="preserve">Appeal</w:t>
            </w:r>
          </w:p>
        </w:tc>
        <w:tc>
          <w:tcPr/>
          <w:p>
            <w:pPr>
              <w:pStyle w:val="Compact"/>
              <w:jc w:val="left"/>
            </w:pPr>
            <w:r>
              <w:t xml:space="preserve">Appeal on questions of law to High Court of Singapore</w:t>
            </w:r>
          </w:p>
        </w:tc>
        <w:tc>
          <w:tcPr/>
          <w:p>
            <w:pPr>
              <w:pStyle w:val="Compact"/>
              <w:jc w:val="left"/>
            </w:pPr>
            <w:r>
              <w:t xml:space="preserve">None (expert</w:t>
            </w:r>
            <w:r>
              <w:t xml:space="preserve"> </w:t>
            </w:r>
            <w:r>
              <w:t xml:space="preserve">“</w:t>
            </w:r>
            <w:r>
              <w:t xml:space="preserve">final and binding,</w:t>
            </w:r>
            <w:r>
              <w:t xml:space="preserve">”</w:t>
            </w:r>
            <w:r>
              <w:t xml:space="preserve"> </w:t>
            </w:r>
            <w:r>
              <w:t xml:space="preserve">subject to escalation)</w:t>
            </w:r>
          </w:p>
        </w:tc>
        <w:tc>
          <w:tcPr/>
          <w:p>
            <w:pPr>
              <w:pStyle w:val="Compact"/>
              <w:jc w:val="left"/>
            </w:pPr>
            <w:r>
              <w:t xml:space="preserve">None</w:t>
            </w:r>
          </w:p>
        </w:tc>
      </w:tr>
      <w:tr>
        <w:tc>
          <w:tcPr/>
          <w:p>
            <w:pPr>
              <w:pStyle w:val="Compact"/>
              <w:jc w:val="left"/>
            </w:pPr>
            <w:r>
              <w:rPr>
                <w:b/>
                <w:bCs/>
              </w:rPr>
              <w:t xml:space="preserve">Damages</w:t>
            </w:r>
          </w:p>
        </w:tc>
        <w:tc>
          <w:tcPr/>
          <w:p>
            <w:pPr>
              <w:pStyle w:val="Compact"/>
              <w:jc w:val="left"/>
            </w:pPr>
            <w:r>
              <w:t xml:space="preserve">No punitive, exemplary, or consequential damages</w:t>
            </w:r>
          </w:p>
        </w:tc>
        <w:tc>
          <w:tcPr/>
          <w:p>
            <w:pPr>
              <w:pStyle w:val="Compact"/>
              <w:jc w:val="left"/>
            </w:pPr>
            <w:r>
              <w:t xml:space="preserve">Tribunal may award</w:t>
            </w:r>
            <w:r>
              <w:t xml:space="preserve"> </w:t>
            </w:r>
            <w:r>
              <w:t xml:space="preserve">“</w:t>
            </w:r>
            <w:r>
              <w:t xml:space="preserve">any remedy or relief available under applicable law</w:t>
            </w:r>
            <w:r>
              <w:t xml:space="preserve">”</w:t>
            </w:r>
          </w:p>
        </w:tc>
        <w:tc>
          <w:tcPr/>
          <w:p>
            <w:pPr>
              <w:pStyle w:val="Compact"/>
              <w:jc w:val="left"/>
            </w:pPr>
            <w:r>
              <w:t xml:space="preserve">Not limited</w:t>
            </w:r>
          </w:p>
        </w:tc>
      </w:tr>
      <w:tr>
        <w:tc>
          <w:tcPr/>
          <w:p>
            <w:pPr>
              <w:pStyle w:val="Compact"/>
              <w:jc w:val="left"/>
            </w:pPr>
            <w:r>
              <w:rPr>
                <w:b/>
                <w:bCs/>
              </w:rPr>
              <w:t xml:space="preserve">Interim relief</w:t>
            </w:r>
          </w:p>
        </w:tc>
        <w:tc>
          <w:tcPr/>
          <w:p>
            <w:pPr>
              <w:pStyle w:val="Compact"/>
              <w:jc w:val="left"/>
            </w:pPr>
            <w:r>
              <w:t xml:space="preserve">Preserved (any court worldwide)</w:t>
            </w:r>
          </w:p>
        </w:tc>
        <w:tc>
          <w:tcPr/>
          <w:p>
            <w:pPr>
              <w:pStyle w:val="Compact"/>
              <w:jc w:val="left"/>
            </w:pPr>
            <w:r>
              <w:t xml:space="preserve">Tribunal may grant injunctive relief, specific performance</w:t>
            </w:r>
          </w:p>
        </w:tc>
        <w:tc>
          <w:tcPr/>
          <w:p>
            <w:pPr>
              <w:pStyle w:val="Compact"/>
              <w:jc w:val="left"/>
            </w:pPr>
            <w:r>
              <w:t xml:space="preserve">Not addressed (LCIA Rules)</w:t>
            </w:r>
          </w:p>
        </w:tc>
      </w:tr>
      <w:tr>
        <w:tc>
          <w:tcPr/>
          <w:p>
            <w:pPr>
              <w:pStyle w:val="Compact"/>
              <w:jc w:val="left"/>
            </w:pPr>
            <w:r>
              <w:rPr>
                <w:b/>
                <w:bCs/>
              </w:rPr>
              <w:t xml:space="preserve">Consolidation / joinder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§9.3 purports to consolidate SA-related claims into the LCIA arbitration</w:t>
            </w:r>
          </w:p>
        </w:tc>
      </w:tr>
      <w:tr>
        <w:tc>
          <w:tcPr/>
          <w:p>
            <w:pPr>
              <w:pStyle w:val="Compact"/>
              <w:jc w:val="left"/>
            </w:pPr>
            <w:r>
              <w:rPr>
                <w:b/>
                <w:bCs/>
              </w:rPr>
              <w:t xml:space="preserve">Conflict / hierarchy</w:t>
            </w:r>
          </w:p>
        </w:tc>
        <w:tc>
          <w:tcPr/>
          <w:p>
            <w:pPr>
              <w:pStyle w:val="Compact"/>
              <w:jc w:val="left"/>
            </w:pPr>
            <w:r>
              <w:t xml:space="preserve">§15.8: SA controls over QA Letter and IPLA</w:t>
            </w:r>
          </w:p>
        </w:tc>
        <w:tc>
          <w:tcPr/>
          <w:p>
            <w:pPr>
              <w:pStyle w:val="Compact"/>
              <w:jc w:val="left"/>
            </w:pPr>
            <w:r>
              <w:t xml:space="preserve">§8.1: SA controls except for QA-specific subjects (incl. §7 DR)</w:t>
            </w:r>
          </w:p>
        </w:tc>
        <w:tc>
          <w:tcPr/>
          <w:p>
            <w:pPr>
              <w:pStyle w:val="Compact"/>
              <w:jc w:val="left"/>
            </w:pPr>
            <w:r>
              <w:t xml:space="preserve">§10.3: SA controls except matters</w:t>
            </w:r>
            <w:r>
              <w:t xml:space="preserve"> </w:t>
            </w:r>
            <w:r>
              <w:t xml:space="preserve">“</w:t>
            </w:r>
            <w:r>
              <w:t xml:space="preserve">specifically and exclusively addressed</w:t>
            </w:r>
            <w:r>
              <w:t xml:space="preserve">”</w:t>
            </w:r>
            <w:r>
              <w:t xml:space="preserve"> </w:t>
            </w:r>
            <w:r>
              <w:t xml:space="preserve">by IPLA</w:t>
            </w:r>
          </w:p>
        </w:tc>
      </w:tr>
    </w:tbl>
    <w:p>
      <w:r>
        <w:pict>
          <v:rect style="width:0;height:1.5pt" o:hralign="center" o:hrstd="t" o:hr="t"/>
        </w:pict>
      </w:r>
    </w:p>
    <w:bookmarkEnd w:id="22"/>
    <w:bookmarkStart w:id="23" w:name="iii.-severity-rating-scale"/>
    <w:p>
      <w:pPr>
        <w:pStyle w:val="Heading2"/>
      </w:pPr>
      <w:r>
        <w:t xml:space="preserve">III. Severity Rating Scale</w:t>
      </w:r>
    </w:p>
    <w:p>
      <w:pPr>
        <w:pStyle w:val="Compact"/>
        <w:numPr>
          <w:ilvl w:val="0"/>
          <w:numId w:val="1001"/>
        </w:numPr>
      </w:pPr>
      <w:r>
        <w:rPr>
          <w:b/>
          <w:bCs/>
        </w:rPr>
        <w:t xml:space="preserve">Critical</w:t>
      </w:r>
      <w:r>
        <w:t xml:space="preserve"> </w:t>
      </w:r>
      <w:r>
        <w:t xml:space="preserve">— Creates a material risk of unenforceability, a pathological clause, or significant enforcement delay; or creates severe, asymmetric commercial exposure that a party has identified as a potential dealbreaker. Must be resolved before signing.</w:t>
      </w:r>
    </w:p>
    <w:p>
      <w:pPr>
        <w:pStyle w:val="Compact"/>
        <w:numPr>
          <w:ilvl w:val="0"/>
          <w:numId w:val="1001"/>
        </w:numPr>
      </w:pPr>
      <w:r>
        <w:rPr>
          <w:b/>
          <w:bCs/>
        </w:rPr>
        <w:t xml:space="preserve">High</w:t>
      </w:r>
      <w:r>
        <w:t xml:space="preserve"> </w:t>
      </w:r>
      <w:r>
        <w:t xml:space="preserve">— Creates significant legal or commercial risk (parallel proceedings, loss of substantive rights, finality erosion, or proof-of-claim impairment) that is more readily curable but should be addressed in this negotiation round.</w:t>
      </w:r>
    </w:p>
    <w:p>
      <w:pPr>
        <w:pStyle w:val="Compact"/>
        <w:numPr>
          <w:ilvl w:val="0"/>
          <w:numId w:val="1001"/>
        </w:numPr>
      </w:pPr>
      <w:r>
        <w:rPr>
          <w:b/>
          <w:bCs/>
        </w:rPr>
        <w:t xml:space="preserve">Medium</w:t>
      </w:r>
      <w:r>
        <w:t xml:space="preserve"> </w:t>
      </w:r>
      <w:r>
        <w:t xml:space="preserve">— Creates uncertainty, inefficiency, or internal inconsistency that increases cost or unpredictability but is not, standing alone, a dealbreaker.</w:t>
      </w:r>
    </w:p>
    <w:p>
      <w:pPr>
        <w:pStyle w:val="Compact"/>
        <w:numPr>
          <w:ilvl w:val="0"/>
          <w:numId w:val="1001"/>
        </w:numPr>
      </w:pPr>
      <w:r>
        <w:rPr>
          <w:b/>
          <w:bCs/>
        </w:rPr>
        <w:t xml:space="preserve">Low</w:t>
      </w:r>
      <w:r>
        <w:t xml:space="preserve"> </w:t>
      </w:r>
      <w:r>
        <w:t xml:space="preserve">— Generally acceptable and consistent with market practice; warrants minor harmonization or a clarifying note.</w:t>
      </w:r>
    </w:p>
    <w:p>
      <w:r>
        <w:pict>
          <v:rect style="width:0;height:1.5pt" o:hralign="center" o:hrstd="t" o:hr="t"/>
        </w:pict>
      </w:r>
    </w:p>
    <w:bookmarkEnd w:id="23"/>
    <w:bookmarkStart w:id="40" w:name="iv.-issues-and-recommendations"/>
    <w:p>
      <w:pPr>
        <w:pStyle w:val="Heading2"/>
      </w:pPr>
      <w:r>
        <w:t xml:space="preserve">IV. Issues and Recommendations</w:t>
      </w:r>
    </w:p>
    <w:bookmarkStart w:id="26" w:name="critical"/>
    <w:p>
      <w:pPr>
        <w:pStyle w:val="Heading3"/>
      </w:pPr>
      <w:r>
        <w:t xml:space="preserve">CRITICAL</w:t>
      </w:r>
    </w:p>
    <w:bookmarkStart w:id="24" w:name="Xa75941a3129daa268d98e01ab7d83db76d0ab37"/>
    <w:p>
      <w:pPr>
        <w:pStyle w:val="Heading4"/>
      </w:pPr>
      <w:r>
        <w:t xml:space="preserve">Issue 1 — Conflicting forum-selection and consolidation clauses produce a</w:t>
      </w:r>
      <w:r>
        <w:t xml:space="preserve"> </w:t>
      </w:r>
      <w:r>
        <w:t xml:space="preserve">“</w:t>
      </w:r>
      <w:r>
        <w:t xml:space="preserve">pathological</w:t>
      </w:r>
      <w:r>
        <w:t xml:space="preserve">”</w:t>
      </w:r>
      <w:r>
        <w:t xml:space="preserve"> </w:t>
      </w:r>
      <w:r>
        <w:t xml:space="preserve">clause</w:t>
      </w:r>
    </w:p>
    <w:p>
      <w:pPr>
        <w:pStyle w:val="FirstParagraph"/>
      </w:pPr>
      <w:r>
        <w:rPr>
          <w:b/>
          <w:bCs/>
        </w:rPr>
        <w:t xml:space="preserve">Provisions:</w:t>
      </w:r>
      <w:r>
        <w:t xml:space="preserve"> </w:t>
      </w:r>
      <w:r>
        <w:t xml:space="preserve">IPLA §9.3; SA §15.8; QA §8.1 (and SA §14.1–14.2, QA §7.1–7.2, IPLA §9.1).</w:t>
      </w:r>
    </w:p>
    <w:p>
      <w:pPr>
        <w:pStyle w:val="BodyText"/>
      </w:pPr>
      <w:r>
        <w:rPr>
          <w:b/>
          <w:bCs/>
        </w:rPr>
        <w:t xml:space="preserve">Analysis.</w:t>
      </w:r>
      <w:r>
        <w:t xml:space="preserve"> </w:t>
      </w:r>
      <w:r>
        <w:t xml:space="preserve">The three agreements contain mutually irreconcilable directions for any dispute that touches more than one document:</w:t>
      </w:r>
    </w:p>
    <w:p>
      <w:pPr>
        <w:pStyle w:val="Compact"/>
        <w:numPr>
          <w:ilvl w:val="0"/>
          <w:numId w:val="1002"/>
        </w:numPr>
      </w:pPr>
      <w:r>
        <w:rPr>
          <w:b/>
          <w:bCs/>
        </w:rPr>
        <w:t xml:space="preserve">IPLA §9.3</w:t>
      </w:r>
      <w:r>
        <w:t xml:space="preserve"> </w:t>
      </w:r>
      <w:r>
        <w:t xml:space="preserve">states that</w:t>
      </w:r>
      <w:r>
        <w:t xml:space="preserve"> </w:t>
      </w:r>
      <w:r>
        <w:t xml:space="preserve">“</w:t>
      </w:r>
      <w:r>
        <w:t xml:space="preserve">claims arising under this Agreement that also relate to obligations under the Supply Agreement</w:t>
      </w:r>
      <w:r>
        <w:t xml:space="preserve"> </w:t>
      </w:r>
      <w:r>
        <w:rPr>
          <w:b/>
          <w:bCs/>
        </w:rPr>
        <w:t xml:space="preserve">shall be heard jointly in a single arbitration proceeding under this Section 9</w:t>
      </w:r>
      <w:r>
        <w:t xml:space="preserve">”</w:t>
      </w:r>
      <w:r>
        <w:t xml:space="preserve"> </w:t>
      </w:r>
      <w:r>
        <w:t xml:space="preserve">— i.e., before the</w:t>
      </w:r>
      <w:r>
        <w:t xml:space="preserve"> </w:t>
      </w:r>
      <w:r>
        <w:rPr>
          <w:b/>
          <w:bCs/>
        </w:rPr>
        <w:t xml:space="preserve">LCIA in London</w:t>
      </w:r>
      <w:r>
        <w:t xml:space="preserve"> </w:t>
      </w:r>
      <w:r>
        <w:t xml:space="preserve">under</w:t>
      </w:r>
      <w:r>
        <w:t xml:space="preserve"> </w:t>
      </w:r>
      <w:r>
        <w:rPr>
          <w:b/>
          <w:bCs/>
        </w:rPr>
        <w:t xml:space="preserve">English law</w:t>
      </w:r>
      <w:r>
        <w:t xml:space="preserve">.</w:t>
      </w:r>
    </w:p>
    <w:p>
      <w:pPr>
        <w:pStyle w:val="Compact"/>
        <w:numPr>
          <w:ilvl w:val="0"/>
          <w:numId w:val="1002"/>
        </w:numPr>
      </w:pPr>
      <w:r>
        <w:rPr>
          <w:b/>
          <w:bCs/>
        </w:rPr>
        <w:t xml:space="preserve">SA §15.8</w:t>
      </w:r>
      <w:r>
        <w:t xml:space="preserve"> </w:t>
      </w:r>
      <w:r>
        <w:t xml:space="preserve">provides that</w:t>
      </w:r>
      <w:r>
        <w:t xml:space="preserve"> </w:t>
      </w:r>
      <w:r>
        <w:t xml:space="preserve">“</w:t>
      </w:r>
      <w:r>
        <w:t xml:space="preserve">in the event of any conflict between the terms of this Agreement and the terms of the QA Side Letter or the IPLA,</w:t>
      </w:r>
      <w:r>
        <w:t xml:space="preserve"> </w:t>
      </w:r>
      <w:r>
        <w:rPr>
          <w:b/>
          <w:bCs/>
        </w:rPr>
        <w:t xml:space="preserve">this Agreement shall control</w:t>
      </w:r>
      <w:r>
        <w:t xml:space="preserve">”</w:t>
      </w:r>
      <w:r>
        <w:t xml:space="preserve"> </w:t>
      </w:r>
      <w:r>
        <w:t xml:space="preserve">— i.e.,</w:t>
      </w:r>
      <w:r>
        <w:t xml:space="preserve"> </w:t>
      </w:r>
      <w:r>
        <w:rPr>
          <w:b/>
          <w:bCs/>
        </w:rPr>
        <w:t xml:space="preserve">ICC in Singapore</w:t>
      </w:r>
      <w:r>
        <w:t xml:space="preserve"> </w:t>
      </w:r>
      <w:r>
        <w:t xml:space="preserve">under</w:t>
      </w:r>
      <w:r>
        <w:t xml:space="preserve"> </w:t>
      </w:r>
      <w:r>
        <w:rPr>
          <w:b/>
          <w:bCs/>
        </w:rPr>
        <w:t xml:space="preserve">New York law</w:t>
      </w:r>
      <w:r>
        <w:t xml:space="preserve">.</w:t>
      </w:r>
    </w:p>
    <w:p>
      <w:pPr>
        <w:pStyle w:val="Compact"/>
        <w:numPr>
          <w:ilvl w:val="0"/>
          <w:numId w:val="1002"/>
        </w:numPr>
      </w:pPr>
      <w:r>
        <w:rPr>
          <w:b/>
          <w:bCs/>
        </w:rPr>
        <w:t xml:space="preserve">QA §8.1</w:t>
      </w:r>
      <w:r>
        <w:t xml:space="preserve"> </w:t>
      </w:r>
      <w:r>
        <w:t xml:space="preserve">provides that the SA controls</w:t>
      </w:r>
      <w:r>
        <w:t xml:space="preserve"> </w:t>
      </w:r>
      <w:r>
        <w:rPr>
          <w:i/>
          <w:iCs/>
        </w:rPr>
        <w:t xml:space="preserve">except</w:t>
      </w:r>
      <w:r>
        <w:t xml:space="preserve"> </w:t>
      </w:r>
      <w:r>
        <w:t xml:space="preserve">for</w:t>
      </w:r>
      <w:r>
        <w:t xml:space="preserve"> </w:t>
      </w:r>
      <w:r>
        <w:t xml:space="preserve">“</w:t>
      </w:r>
      <w:r>
        <w:t xml:space="preserve">the subject matters specifically addressed in this Side Letter — including … the dispute resolution mechanism set forth in Section 7,</w:t>
      </w:r>
      <w:r>
        <w:t xml:space="preserve">”</w:t>
      </w:r>
      <w:r>
        <w:t xml:space="preserve"> </w:t>
      </w:r>
      <w:r>
        <w:t xml:space="preserve">for which</w:t>
      </w:r>
      <w:r>
        <w:t xml:space="preserve"> </w:t>
      </w:r>
      <w:r>
        <w:rPr>
          <w:b/>
          <w:bCs/>
        </w:rPr>
        <w:t xml:space="preserve">the QA Letter controls</w:t>
      </w:r>
      <w:r>
        <w:t xml:space="preserve"> </w:t>
      </w:r>
      <w:r>
        <w:t xml:space="preserve">— i.e.,</w:t>
      </w:r>
      <w:r>
        <w:t xml:space="preserve"> </w:t>
      </w:r>
      <w:r>
        <w:rPr>
          <w:b/>
          <w:bCs/>
        </w:rPr>
        <w:t xml:space="preserve">SIAC in Singapore</w:t>
      </w:r>
      <w:r>
        <w:t xml:space="preserve"> </w:t>
      </w:r>
      <w:r>
        <w:t xml:space="preserve">under</w:t>
      </w:r>
      <w:r>
        <w:t xml:space="preserve"> </w:t>
      </w:r>
      <w:r>
        <w:rPr>
          <w:b/>
          <w:bCs/>
        </w:rPr>
        <w:t xml:space="preserve">Singapore law</w:t>
      </w:r>
      <w:r>
        <w:t xml:space="preserve">.</w:t>
      </w:r>
    </w:p>
    <w:p>
      <w:pPr>
        <w:pStyle w:val="FirstParagraph"/>
      </w:pPr>
      <w:r>
        <w:t xml:space="preserve">Consider the most likely real-world dispute: a defective batch of Pacifica extract that is processed by a co-manufacturer into finished product, triggers an FDA recall, and implicates the licensed IP/regulatory data. That single factual dispute simultaneously implicates the SA (supply/quality), the QA Letter (testing, rejection, recall cost allocation), and the IPLA (licensed process data used in regulatory filings). The three clauses send that dispute to three different tribunals under three different laws. Worse, IPLA §9.3 purports to</w:t>
      </w:r>
      <w:r>
        <w:t xml:space="preserve"> </w:t>
      </w:r>
      <w:r>
        <w:rPr>
          <w:i/>
          <w:iCs/>
        </w:rPr>
        <w:t xml:space="preserve">consolidate</w:t>
      </w:r>
      <w:r>
        <w:t xml:space="preserve"> </w:t>
      </w:r>
      <w:r>
        <w:t xml:space="preserve">SA-related claims into an LCIA arbitration, but the LCIA cannot administer or consolidate a dispute that the SA commits to the ICC; the two institutions’ rules are not interoperable in that direction, and consolidation would require the parties’ consent and the ICC’s involvement. The clause is, as drafted,</w:t>
      </w:r>
      <w:r>
        <w:t xml:space="preserve"> </w:t>
      </w:r>
      <w:r>
        <w:rPr>
          <w:b/>
          <w:bCs/>
        </w:rPr>
        <w:t xml:space="preserve">likely unenforceable as a consolidation mechanism</w:t>
      </w:r>
      <w:r>
        <w:t xml:space="preserve">.</w:t>
      </w:r>
    </w:p>
    <w:p>
      <w:pPr>
        <w:pStyle w:val="BodyText"/>
      </w:pPr>
      <w:r>
        <w:t xml:space="preserve">This is a textbook</w:t>
      </w:r>
      <w:r>
        <w:t xml:space="preserve"> </w:t>
      </w:r>
      <w:r>
        <w:rPr>
          <w:b/>
          <w:bCs/>
        </w:rPr>
        <w:t xml:space="preserve">“</w:t>
      </w:r>
      <w:r>
        <w:rPr>
          <w:b/>
          <w:bCs/>
        </w:rPr>
        <w:t xml:space="preserve">pathological</w:t>
      </w:r>
      <w:r>
        <w:rPr>
          <w:b/>
          <w:bCs/>
        </w:rPr>
        <w:t xml:space="preserve">”</w:t>
      </w:r>
      <w:r>
        <w:rPr>
          <w:b/>
          <w:bCs/>
        </w:rPr>
        <w:t xml:space="preserve"> </w:t>
      </w:r>
      <w:r>
        <w:rPr>
          <w:b/>
          <w:bCs/>
        </w:rPr>
        <w:t xml:space="preserve">arbitration clause</w:t>
      </w:r>
      <w:r>
        <w:t xml:space="preserve"> </w:t>
      </w:r>
      <w:r>
        <w:t xml:space="preserve">— the precise defect that, according to both the internal email chain and the Harmon &amp; Grey memo, caused the losing party in Pacifica’s 2023 Hong Kong-seated ICC arbitration to challenge enforcement and delay recovery by</w:t>
      </w:r>
      <w:r>
        <w:t xml:space="preserve"> </w:t>
      </w:r>
      <w:r>
        <w:rPr>
          <w:b/>
          <w:bCs/>
        </w:rPr>
        <w:t xml:space="preserve">14 months</w:t>
      </w:r>
      <w:r>
        <w:t xml:space="preserve">. The current package, drafted expressly to avoid that outcome, recreates the same risk in a more severe form because the conflict is</w:t>
      </w:r>
      <w:r>
        <w:t xml:space="preserve"> </w:t>
      </w:r>
      <w:r>
        <w:rPr>
          <w:i/>
          <w:iCs/>
        </w:rPr>
        <w:t xml:space="preserve">internal</w:t>
      </w:r>
      <w:r>
        <w:t xml:space="preserve"> </w:t>
      </w:r>
      <w:r>
        <w:t xml:space="preserve">to the parties’ own document suite rather than arising from an external challenge.</w:t>
      </w:r>
    </w:p>
    <w:p>
      <w:pPr>
        <w:pStyle w:val="BodyText"/>
      </w:pPr>
      <w:r>
        <w:rPr>
          <w:b/>
          <w:bCs/>
        </w:rPr>
        <w:t xml:space="preserve">Why it matters.</w:t>
      </w:r>
      <w:r>
        <w:t xml:space="preserve"> </w:t>
      </w:r>
      <w:r>
        <w:t xml:space="preserve">A pathological clause invites jurisdictional objections at the outset of any arbitration (delaying constitution of the tribunal), at the enforcement stage (a ground to resist recognition under the New York Convention / FAA), and in any parallel court action. It harms</w:t>
      </w:r>
      <w:r>
        <w:t xml:space="preserve"> </w:t>
      </w:r>
      <w:r>
        <w:rPr>
          <w:b/>
          <w:bCs/>
        </w:rPr>
        <w:t xml:space="preserve">both</w:t>
      </w:r>
      <w:r>
        <w:t xml:space="preserve"> </w:t>
      </w:r>
      <w:r>
        <w:t xml:space="preserve">parties: Pacifica’s 2023 experience shows the cost of defending a clause challenge, and Greenleaf faces the same delay in collecting on any award. The conflict/hierarchy clauses (§15.8, §8.1, §10.3) resolve</w:t>
      </w:r>
      <w:r>
        <w:t xml:space="preserve"> </w:t>
      </w:r>
      <w:r>
        <w:rPr>
          <w:i/>
          <w:iCs/>
        </w:rPr>
        <w:t xml:space="preserve">substantive</w:t>
      </w:r>
      <w:r>
        <w:t xml:space="preserve"> </w:t>
      </w:r>
      <w:r>
        <w:t xml:space="preserve">term conflicts but do</w:t>
      </w:r>
      <w:r>
        <w:t xml:space="preserve"> </w:t>
      </w:r>
      <w:r>
        <w:rPr>
          <w:b/>
          <w:bCs/>
        </w:rPr>
        <w:t xml:space="preserve">not</w:t>
      </w:r>
      <w:r>
        <w:t xml:space="preserve"> </w:t>
      </w:r>
      <w:r>
        <w:t xml:space="preserve">resolve which dispute-resolution forum governs a multi-agreement dispute — indeed they actively contradict the DR designations.</w:t>
      </w:r>
    </w:p>
    <w:p>
      <w:pPr>
        <w:pStyle w:val="BodyText"/>
      </w:pPr>
      <w:r>
        <w:rPr>
          <w:b/>
          <w:bCs/>
        </w:rPr>
        <w:t xml:space="preserve">Recommendation.</w:t>
      </w:r>
    </w:p>
    <w:p>
      <w:pPr>
        <w:pStyle w:val="Compact"/>
        <w:numPr>
          <w:ilvl w:val="0"/>
          <w:numId w:val="1003"/>
        </w:numPr>
      </w:pPr>
      <w:r>
        <w:rPr>
          <w:b/>
          <w:bCs/>
        </w:rPr>
        <w:t xml:space="preserve">Adopt a single, unified dispute-resolution clause</w:t>
      </w:r>
      <w:r>
        <w:t xml:space="preserve"> </w:t>
      </w:r>
      <w:r>
        <w:t xml:space="preserve">across all three documents — ideally a master clause in the SA that the QA Letter and IPLA incorporate by reference — designating one institution, one seat, and one governing law (or a single, clearly ordered conflict rule). This is the cleanest fix and eliminates the pathological-clause risk entirely.</w:t>
      </w:r>
    </w:p>
    <w:p>
      <w:pPr>
        <w:pStyle w:val="Compact"/>
        <w:numPr>
          <w:ilvl w:val="0"/>
          <w:numId w:val="1003"/>
        </w:numPr>
      </w:pPr>
      <w:r>
        <w:t xml:space="preserve">If a tiered structure is retained, (a) use</w:t>
      </w:r>
      <w:r>
        <w:t xml:space="preserve"> </w:t>
      </w:r>
      <w:r>
        <w:rPr>
          <w:b/>
          <w:bCs/>
        </w:rPr>
        <w:t xml:space="preserve">one administering institution</w:t>
      </w:r>
      <w:r>
        <w:t xml:space="preserve"> </w:t>
      </w:r>
      <w:r>
        <w:t xml:space="preserve">that offers both expert determination and arbitration (SIAC does; alternatively, an ICC arbitration with a contractual expert-determination pre-step) so all tiers stay within a single institution; (b) define</w:t>
      </w:r>
      <w:r>
        <w:t xml:space="preserve"> </w:t>
      </w:r>
      <w:r>
        <w:rPr>
          <w:b/>
          <w:bCs/>
        </w:rPr>
        <w:t xml:space="preserve">precisely</w:t>
      </w:r>
      <w:r>
        <w:t xml:space="preserve"> </w:t>
      </w:r>
      <w:r>
        <w:t xml:space="preserve">which disputes proceed to which tier; and (c) replace IPLA §9.3 with an</w:t>
      </w:r>
      <w:r>
        <w:t xml:space="preserve"> </w:t>
      </w:r>
      <w:r>
        <w:rPr>
          <w:b/>
          <w:bCs/>
        </w:rPr>
        <w:t xml:space="preserve">express, workable consolidation/joinder mechanism</w:t>
      </w:r>
      <w:r>
        <w:t xml:space="preserve"> </w:t>
      </w:r>
      <w:r>
        <w:t xml:space="preserve">that the chosen institution’s rules can actually administer (e.g., SIAC’s joinder/consolidation provisions, or ICC joinder under the 2021 Rules with the parties’ advance consent).</w:t>
      </w:r>
    </w:p>
    <w:p>
      <w:pPr>
        <w:pStyle w:val="Compact"/>
        <w:numPr>
          <w:ilvl w:val="0"/>
          <w:numId w:val="1003"/>
        </w:numPr>
      </w:pPr>
      <w:r>
        <w:rPr>
          <w:b/>
          <w:bCs/>
        </w:rPr>
        <w:t xml:space="preserve">Reconcile the conflict/hierarchy clauses</w:t>
      </w:r>
      <w:r>
        <w:t xml:space="preserve"> </w:t>
      </w:r>
      <w:r>
        <w:t xml:space="preserve">(SA §15.8, QA §8.1, IPLA §10.3) so they govern</w:t>
      </w:r>
      <w:r>
        <w:t xml:space="preserve"> </w:t>
      </w:r>
      <w:r>
        <w:rPr>
          <w:i/>
          <w:iCs/>
        </w:rPr>
        <w:t xml:space="preserve">substantive</w:t>
      </w:r>
      <w:r>
        <w:t xml:space="preserve"> </w:t>
      </w:r>
      <w:r>
        <w:t xml:space="preserve">term conflicts only and expressly defer to a single DR clause for forum questions, eliminating the current contradiction.</w:t>
      </w:r>
    </w:p>
    <w:p>
      <w:r>
        <w:pict>
          <v:rect style="width:0;height:1.5pt" o:hralign="center" o:hrstd="t" o:hr="t"/>
        </w:pict>
      </w:r>
    </w:p>
    <w:bookmarkEnd w:id="24"/>
    <w:bookmarkStart w:id="25" w:name="X5064431c75949219cb6919798276fff9d6494bf"/>
    <w:p>
      <w:pPr>
        <w:pStyle w:val="Heading4"/>
      </w:pPr>
      <w:r>
        <w:t xml:space="preserve">Issue 2 — Consequential-damages waiver combined with exclusivity, the liability cap, and QA §6.6</w:t>
      </w:r>
    </w:p>
    <w:p>
      <w:pPr>
        <w:pStyle w:val="FirstParagraph"/>
      </w:pPr>
      <w:r>
        <w:rPr>
          <w:b/>
          <w:bCs/>
        </w:rPr>
        <w:t xml:space="preserve">Provisions:</w:t>
      </w:r>
      <w:r>
        <w:t xml:space="preserve"> </w:t>
      </w:r>
      <w:r>
        <w:t xml:space="preserve">SA §14.11, §11.1, §11.2, §2.1; QA §6.6.</w:t>
      </w:r>
    </w:p>
    <w:p>
      <w:pPr>
        <w:pStyle w:val="BodyText"/>
      </w:pPr>
      <w:r>
        <w:rPr>
          <w:b/>
          <w:bCs/>
        </w:rPr>
        <w:t xml:space="preserve">Analysis.</w:t>
      </w:r>
      <w:r>
        <w:t xml:space="preserve"> </w:t>
      </w:r>
      <w:r>
        <w:t xml:space="preserve">Three provisions stack to strip Greenleaf of its principal commercial remedies in the most likely dispute scenario (a defective ingredient causing a recall or supply disruption):</w:t>
      </w:r>
    </w:p>
    <w:p>
      <w:pPr>
        <w:pStyle w:val="Compact"/>
        <w:numPr>
          <w:ilvl w:val="0"/>
          <w:numId w:val="1004"/>
        </w:numPr>
      </w:pPr>
      <w:r>
        <w:rPr>
          <w:b/>
          <w:bCs/>
        </w:rPr>
        <w:t xml:space="preserve">SA §14.11</w:t>
      </w:r>
      <w:r>
        <w:t xml:space="preserve"> </w:t>
      </w:r>
      <w:r>
        <w:t xml:space="preserve">provides that the tribunal</w:t>
      </w:r>
      <w:r>
        <w:t xml:space="preserve"> </w:t>
      </w:r>
      <w:r>
        <w:t xml:space="preserve">“</w:t>
      </w:r>
      <w:r>
        <w:t xml:space="preserve">shall not have the authority to award punitive, exemplary, or consequential damages.</w:t>
      </w:r>
      <w:r>
        <w:t xml:space="preserve">”</w:t>
      </w:r>
    </w:p>
    <w:p>
      <w:pPr>
        <w:pStyle w:val="Compact"/>
        <w:numPr>
          <w:ilvl w:val="0"/>
          <w:numId w:val="1004"/>
        </w:numPr>
      </w:pPr>
      <w:r>
        <w:rPr>
          <w:b/>
          <w:bCs/>
        </w:rPr>
        <w:t xml:space="preserve">SA §11.2</w:t>
      </w:r>
      <w:r>
        <w:t xml:space="preserve"> </w:t>
      </w:r>
      <w:r>
        <w:t xml:space="preserve">excludes indirect, incidental, special, consequential, and punitive damages (except indemnification).</w:t>
      </w:r>
    </w:p>
    <w:p>
      <w:pPr>
        <w:pStyle w:val="Compact"/>
        <w:numPr>
          <w:ilvl w:val="0"/>
          <w:numId w:val="1004"/>
        </w:numPr>
      </w:pPr>
      <w:r>
        <w:rPr>
          <w:b/>
          <w:bCs/>
        </w:rPr>
        <w:t xml:space="preserve">SA §11.1</w:t>
      </w:r>
      <w:r>
        <w:t xml:space="preserve"> </w:t>
      </w:r>
      <w:r>
        <w:t xml:space="preserve">caps each party’s aggregate liability at the amounts paid/payable by Buyer to Supplier in the</w:t>
      </w:r>
      <w:r>
        <w:t xml:space="preserve"> </w:t>
      </w:r>
      <w:r>
        <w:rPr>
          <w:b/>
          <w:bCs/>
        </w:rPr>
        <w:t xml:space="preserve">12 months preceding</w:t>
      </w:r>
      <w:r>
        <w:t xml:space="preserve"> </w:t>
      </w:r>
      <w:r>
        <w:t xml:space="preserve">the event giving rise to the claim.</w:t>
      </w:r>
    </w:p>
    <w:p>
      <w:pPr>
        <w:pStyle w:val="Compact"/>
        <w:numPr>
          <w:ilvl w:val="0"/>
          <w:numId w:val="1004"/>
        </w:numPr>
      </w:pPr>
      <w:r>
        <w:rPr>
          <w:b/>
          <w:bCs/>
        </w:rPr>
        <w:t xml:space="preserve">SA §2.1</w:t>
      </w:r>
      <w:r>
        <w:t xml:space="preserve"> </w:t>
      </w:r>
      <w:r>
        <w:t xml:space="preserve">makes the supply</w:t>
      </w:r>
      <w:r>
        <w:t xml:space="preserve"> </w:t>
      </w:r>
      <w:r>
        <w:rPr>
          <w:b/>
          <w:bCs/>
        </w:rPr>
        <w:t xml:space="preserve">exclusive</w:t>
      </w:r>
      <w:r>
        <w:t xml:space="preserve"> </w:t>
      </w:r>
      <w:r>
        <w:t xml:space="preserve">— Greenleaf has</w:t>
      </w:r>
      <w:r>
        <w:t xml:space="preserve"> </w:t>
      </w:r>
      <w:r>
        <w:rPr>
          <w:b/>
          <w:bCs/>
        </w:rPr>
        <w:t xml:space="preserve">no backup supplier</w:t>
      </w:r>
      <w:r>
        <w:t xml:space="preserve"> </w:t>
      </w:r>
      <w:r>
        <w:t xml:space="preserve">and cannot mitigate by switching sources.</w:t>
      </w:r>
    </w:p>
    <w:p>
      <w:pPr>
        <w:pStyle w:val="FirstParagraph"/>
      </w:pPr>
      <w:r>
        <w:t xml:space="preserve">The practical effect: if Pacifica ships contaminated or off-spec extract that triggers an FDA recall, Greenleaf’s</w:t>
      </w:r>
      <w:r>
        <w:t xml:space="preserve"> </w:t>
      </w:r>
      <w:r>
        <w:rPr>
          <w:i/>
          <w:iCs/>
        </w:rPr>
        <w:t xml:space="preserve">direct</w:t>
      </w:r>
      <w:r>
        <w:t xml:space="preserve"> </w:t>
      </w:r>
      <w:r>
        <w:t xml:space="preserve">damages (cost of the ingredient, shipping, disposal) are a fraction of its</w:t>
      </w:r>
      <w:r>
        <w:t xml:space="preserve"> </w:t>
      </w:r>
      <w:r>
        <w:rPr>
          <w:i/>
          <w:iCs/>
        </w:rPr>
        <w:t xml:space="preserve">real</w:t>
      </w:r>
      <w:r>
        <w:t xml:space="preserve"> </w:t>
      </w:r>
      <w:r>
        <w:t xml:space="preserve">loss. The internal email chain quantifies this concretely — Ridgeway’s comparable portfolio-company recall involved approximately</w:t>
      </w:r>
      <w:r>
        <w:t xml:space="preserve"> </w:t>
      </w:r>
      <w:r>
        <w:rPr>
          <w:b/>
          <w:bCs/>
        </w:rPr>
        <w:t xml:space="preserve">$1.8M in direct damages versus $14M+ in consequential damages</w:t>
      </w:r>
      <w:r>
        <w:t xml:space="preserve"> </w:t>
      </w:r>
      <w:r>
        <w:t xml:space="preserve">(lost revenue from pulled SKUs, retailer penalties, crisis PR, consumer refunds, business interruption, replacement sourcing). Under the current package, Greenleaf would recover</w:t>
      </w:r>
      <w:r>
        <w:t xml:space="preserve"> </w:t>
      </w:r>
      <w:r>
        <w:rPr>
          <w:b/>
          <w:bCs/>
        </w:rPr>
        <w:t xml:space="preserve">less than 12 cents on the dollar</w:t>
      </w:r>
      <w:r>
        <w:t xml:space="preserve"> </w:t>
      </w:r>
      <w:r>
        <w:t xml:space="preserve">of its actual loss, and the exclusivity structure</w:t>
      </w:r>
      <w:r>
        <w:t xml:space="preserve"> </w:t>
      </w:r>
      <w:r>
        <w:rPr>
          <w:b/>
          <w:bCs/>
        </w:rPr>
        <w:t xml:space="preserve">amplifies</w:t>
      </w:r>
      <w:r>
        <w:t xml:space="preserve"> </w:t>
      </w:r>
      <w:r>
        <w:t xml:space="preserve">the consequential exposure because Greenleaf cannot re-source. The waiver is mutual on its face but</w:t>
      </w:r>
      <w:r>
        <w:t xml:space="preserve"> </w:t>
      </w:r>
      <w:r>
        <w:rPr>
          <w:b/>
          <w:bCs/>
        </w:rPr>
        <w:t xml:space="preserve">asymmetric in effect</w:t>
      </w:r>
      <w:r>
        <w:t xml:space="preserve"> </w:t>
      </w:r>
      <w:r>
        <w:t xml:space="preserve">because only Greenleaf bears the unrecoverable supply-disruption risk.</w:t>
      </w:r>
    </w:p>
    <w:p>
      <w:pPr>
        <w:pStyle w:val="BodyText"/>
      </w:pPr>
      <w:r>
        <w:t xml:space="preserve">The defect is sharpened by</w:t>
      </w:r>
      <w:r>
        <w:t xml:space="preserve"> </w:t>
      </w:r>
      <w:r>
        <w:rPr>
          <w:b/>
          <w:bCs/>
        </w:rPr>
        <w:t xml:space="preserve">QA §6.6</w:t>
      </w:r>
      <w:r>
        <w:t xml:space="preserve">, which states that nothing in the QA recall-cost-allocation section</w:t>
      </w:r>
      <w:r>
        <w:t xml:space="preserve"> </w:t>
      </w:r>
      <w:r>
        <w:t xml:space="preserve">“</w:t>
      </w:r>
      <w:r>
        <w:t xml:space="preserve">shall limit or modify Greenleaf’s rights to consequential damages, indemnification, or other remedies as provided in the Supply Agreement,</w:t>
      </w:r>
      <w:r>
        <w:t xml:space="preserve"> </w:t>
      </w:r>
      <w:r>
        <w:rPr>
          <w:b/>
          <w:bCs/>
        </w:rPr>
        <w:t xml:space="preserve">except to the extent expressly limited by the dispute resolution provisions of Article 14 of the Supply Agreement</w:t>
      </w:r>
      <w:r>
        <w:t xml:space="preserve">.</w:t>
      </w:r>
      <w:r>
        <w:t xml:space="preserve">”</w:t>
      </w:r>
      <w:r>
        <w:t xml:space="preserve"> </w:t>
      </w:r>
      <w:r>
        <w:t xml:space="preserve">The QA Letter thus</w:t>
      </w:r>
      <w:r>
        <w:t xml:space="preserve"> </w:t>
      </w:r>
      <w:r>
        <w:rPr>
          <w:i/>
          <w:iCs/>
        </w:rPr>
        <w:t xml:space="preserve">purports</w:t>
      </w:r>
      <w:r>
        <w:t xml:space="preserve"> </w:t>
      </w:r>
      <w:r>
        <w:t xml:space="preserve">to preserve consequential damages for recall scenarios — the central commercial concern of the entire QA regime — and then</w:t>
      </w:r>
      <w:r>
        <w:t xml:space="preserve"> </w:t>
      </w:r>
      <w:r>
        <w:rPr>
          <w:b/>
          <w:bCs/>
        </w:rPr>
        <w:t xml:space="preserve">immediately subordinates that preservation to SA §14.11’s waiver</w:t>
      </w:r>
      <w:r>
        <w:t xml:space="preserve">. The cross-reference defeats the protection it appears to grant. This is an internal contradiction within the document suite.</w:t>
      </w:r>
    </w:p>
    <w:p>
      <w:pPr>
        <w:pStyle w:val="BodyText"/>
      </w:pPr>
      <w:r>
        <w:t xml:space="preserve">Two further points bear on enforceability. First, because the SA is governed by New York law and concerns a sale of goods,</w:t>
      </w:r>
      <w:r>
        <w:t xml:space="preserve"> </w:t>
      </w:r>
      <w:r>
        <w:rPr>
          <w:b/>
          <w:bCs/>
        </w:rPr>
        <w:t xml:space="preserve">UCC § 2-719</w:t>
      </w:r>
      <w:r>
        <w:t xml:space="preserve"> </w:t>
      </w:r>
      <w:r>
        <w:t xml:space="preserve">governs the limitation of remedies: a consequential-damages exclusion is enforceable if conspicuous and not unconscionable, but an exclusive remedy that</w:t>
      </w:r>
      <w:r>
        <w:t xml:space="preserve"> </w:t>
      </w:r>
      <w:r>
        <w:rPr>
          <w:b/>
          <w:bCs/>
        </w:rPr>
        <w:t xml:space="preserve">fails of its essential purpose</w:t>
      </w:r>
      <w:r>
        <w:t xml:space="preserve"> </w:t>
      </w:r>
      <w:r>
        <w:t xml:space="preserve">can cause the limitation to fall away and restore consequential damages — a risk that cuts against Pacifica as well (the waiver may be invalidated precisely when Greenleaf needs it most). Second, the §11.1 cap is tied to amounts</w:t>
      </w:r>
      <w:r>
        <w:t xml:space="preserve"> </w:t>
      </w:r>
      <w:r>
        <w:rPr>
          <w:i/>
          <w:iCs/>
        </w:rPr>
        <w:t xml:space="preserve">paid</w:t>
      </w:r>
      <w:r>
        <w:t xml:space="preserve">; if Greenleaf suspends payment after a breach, the cap could collapse to a nominal figure.</w:t>
      </w:r>
    </w:p>
    <w:p>
      <w:pPr>
        <w:pStyle w:val="BodyText"/>
      </w:pPr>
      <w:r>
        <w:rPr>
          <w:b/>
          <w:bCs/>
        </w:rPr>
        <w:t xml:space="preserve">Why it matters.</w:t>
      </w:r>
      <w:r>
        <w:t xml:space="preserve"> </w:t>
      </w:r>
      <w:r>
        <w:t xml:space="preserve">This is Greenleaf’s stated top priority and, per the CEO,</w:t>
      </w:r>
      <w:r>
        <w:t xml:space="preserve"> </w:t>
      </w:r>
      <w:r>
        <w:t xml:space="preserve">“</w:t>
      </w:r>
      <w:r>
        <w:t xml:space="preserve">a hill we’re willing to die on.</w:t>
      </w:r>
      <w:r>
        <w:t xml:space="preserve">”</w:t>
      </w:r>
      <w:r>
        <w:t xml:space="preserve"> </w:t>
      </w:r>
      <w:r>
        <w:t xml:space="preserve">Over a 13-year horizon (through July 31, 2038 with renewals) and $178M+ in commitments, a blanket consequential-damages waiver on an exclusive supply agreement is, in the CEO’s words,</w:t>
      </w:r>
      <w:r>
        <w:t xml:space="preserve"> </w:t>
      </w:r>
      <w:r>
        <w:t xml:space="preserve">“</w:t>
      </w:r>
      <w:r>
        <w:t xml:space="preserve">giving Pacifica a free pass to disrupt our business.</w:t>
      </w:r>
      <w:r>
        <w:t xml:space="preserve">”</w:t>
      </w:r>
      <w:r>
        <w:t xml:space="preserve"> </w:t>
      </w:r>
      <w:r>
        <w:t xml:space="preserve">The combination of waiver + cap + exclusivity leaves Greenleaf materially undercompensated for the very losses a supply dispute is most likely to generate.</w:t>
      </w:r>
    </w:p>
    <w:p>
      <w:pPr>
        <w:pStyle w:val="BodyText"/>
      </w:pPr>
      <w:r>
        <w:rPr>
          <w:b/>
          <w:bCs/>
        </w:rPr>
        <w:t xml:space="preserve">Recommendation.</w:t>
      </w:r>
    </w:p>
    <w:p>
      <w:pPr>
        <w:pStyle w:val="Compact"/>
        <w:numPr>
          <w:ilvl w:val="0"/>
          <w:numId w:val="1005"/>
        </w:numPr>
      </w:pPr>
      <w:r>
        <w:rPr>
          <w:b/>
          <w:bCs/>
        </w:rPr>
        <w:t xml:space="preserve">Carve out</w:t>
      </w:r>
      <w:r>
        <w:t xml:space="preserve"> </w:t>
      </w:r>
      <w:r>
        <w:t xml:space="preserve">of the §14.11 waiver (and §11.2): (i) recall-related costs; (ii) lost profits directly attributable to supply failure or defective goods; (iii) third-party claims (consumer, retailer, regulatory) arising from defective ingredients; and (iv) damages recoverable through indemnification. Greenleaf has indicated willingness to waive</w:t>
      </w:r>
      <w:r>
        <w:t xml:space="preserve"> </w:t>
      </w:r>
      <w:r>
        <w:rPr>
          <w:i/>
          <w:iCs/>
        </w:rPr>
        <w:t xml:space="preserve">punitive</w:t>
      </w:r>
      <w:r>
        <w:t xml:space="preserve"> </w:t>
      </w:r>
      <w:r>
        <w:t xml:space="preserve">damages; the carve-out should target consequential losses.</w:t>
      </w:r>
    </w:p>
    <w:p>
      <w:pPr>
        <w:pStyle w:val="Compact"/>
        <w:numPr>
          <w:ilvl w:val="0"/>
          <w:numId w:val="1005"/>
        </w:numPr>
      </w:pPr>
      <w:r>
        <w:rPr>
          <w:b/>
          <w:bCs/>
        </w:rPr>
        <w:t xml:space="preserve">Alternatively</w:t>
      </w:r>
      <w:r>
        <w:t xml:space="preserve">, replace the blanket waiver with a</w:t>
      </w:r>
      <w:r>
        <w:t xml:space="preserve"> </w:t>
      </w:r>
      <w:r>
        <w:rPr>
          <w:b/>
          <w:bCs/>
        </w:rPr>
        <w:t xml:space="preserve">super-cap</w:t>
      </w:r>
      <w:r>
        <w:t xml:space="preserve"> </w:t>
      </w:r>
      <w:r>
        <w:t xml:space="preserve">for consequential damages (e.g., a defined multiple of the §11.1 cap, or a fixed dollar cap calibrated to the recall exposure) so Pacifica retains certainty while Greenleaf recovers its principal losses.</w:t>
      </w:r>
    </w:p>
    <w:p>
      <w:pPr>
        <w:pStyle w:val="Compact"/>
        <w:numPr>
          <w:ilvl w:val="0"/>
          <w:numId w:val="1005"/>
        </w:numPr>
      </w:pPr>
      <w:r>
        <w:rPr>
          <w:b/>
          <w:bCs/>
        </w:rPr>
        <w:t xml:space="preserve">Reconcile QA §6.6</w:t>
      </w:r>
      <w:r>
        <w:t xml:space="preserve"> </w:t>
      </w:r>
      <w:r>
        <w:t xml:space="preserve">so it actually preserves recall consequential damages — delete the</w:t>
      </w:r>
      <w:r>
        <w:t xml:space="preserve"> </w:t>
      </w:r>
      <w:r>
        <w:t xml:space="preserve">“</w:t>
      </w:r>
      <w:r>
        <w:t xml:space="preserve">except … Article 14</w:t>
      </w:r>
      <w:r>
        <w:t xml:space="preserve">”</w:t>
      </w:r>
      <w:r>
        <w:t xml:space="preserve"> </w:t>
      </w:r>
      <w:r>
        <w:t xml:space="preserve">subordination, or expressly carve recall-related consequential damages out of §14.11.</w:t>
      </w:r>
    </w:p>
    <w:p>
      <w:pPr>
        <w:pStyle w:val="Compact"/>
        <w:numPr>
          <w:ilvl w:val="0"/>
          <w:numId w:val="1005"/>
        </w:numPr>
      </w:pPr>
      <w:r>
        <w:rPr>
          <w:b/>
          <w:bCs/>
        </w:rPr>
        <w:t xml:space="preserve">Confirm UCC § 2-719 compliance</w:t>
      </w:r>
      <w:r>
        <w:t xml:space="preserve"> </w:t>
      </w:r>
      <w:r>
        <w:t xml:space="preserve">(conspicuousness) and assess</w:t>
      </w:r>
      <w:r>
        <w:t xml:space="preserve"> </w:t>
      </w:r>
      <w:r>
        <w:t xml:space="preserve">“</w:t>
      </w:r>
      <w:r>
        <w:t xml:space="preserve">fail of essential purpose</w:t>
      </w:r>
      <w:r>
        <w:t xml:space="preserve">”</w:t>
      </w:r>
      <w:r>
        <w:t xml:space="preserve"> </w:t>
      </w:r>
      <w:r>
        <w:t xml:space="preserve">/ unconscionability risk for both sides; consider an anti-waiver-failure clause or a fallback remedy.</w:t>
      </w:r>
    </w:p>
    <w:p>
      <w:pPr>
        <w:pStyle w:val="Compact"/>
        <w:numPr>
          <w:ilvl w:val="0"/>
          <w:numId w:val="1005"/>
        </w:numPr>
      </w:pPr>
      <w:r>
        <w:rPr>
          <w:b/>
          <w:bCs/>
        </w:rPr>
        <w:t xml:space="preserve">Reconsider the §11.1 cap measure</w:t>
      </w:r>
      <w:r>
        <w:t xml:space="preserve"> </w:t>
      </w:r>
      <w:r>
        <w:t xml:space="preserve">for an exclusive supply relationship — e.g., a multi-year aggregate or a higher fixed cap — so the cap does not collapse when Greenleaf suspends payment after a breach.</w:t>
      </w:r>
    </w:p>
    <w:p>
      <w:r>
        <w:pict>
          <v:rect style="width:0;height:1.5pt" o:hralign="center" o:hrstd="t" o:hr="t"/>
        </w:pict>
      </w:r>
    </w:p>
    <w:bookmarkEnd w:id="25"/>
    <w:bookmarkEnd w:id="26"/>
    <w:bookmarkStart w:id="32" w:name="high"/>
    <w:p>
      <w:pPr>
        <w:pStyle w:val="Heading3"/>
      </w:pPr>
      <w:r>
        <w:t xml:space="preserve">HIGH</w:t>
      </w:r>
    </w:p>
    <w:bookmarkStart w:id="27" w:name="X57f31872640afd26e16efa17b09b0a334175119"/>
    <w:p>
      <w:pPr>
        <w:pStyle w:val="Heading4"/>
      </w:pPr>
      <w:r>
        <w:t xml:space="preserve">Issue 3 — Fragmented dispute-resolution architecture (three institutions, two seats, three governing laws)</w:t>
      </w:r>
    </w:p>
    <w:p>
      <w:pPr>
        <w:pStyle w:val="FirstParagraph"/>
      </w:pPr>
      <w:r>
        <w:rPr>
          <w:b/>
          <w:bCs/>
        </w:rPr>
        <w:t xml:space="preserve">Provisions:</w:t>
      </w:r>
      <w:r>
        <w:t xml:space="preserve"> </w:t>
      </w:r>
      <w:r>
        <w:t xml:space="preserve">SA Art. 14; QA §7; IPLA §9.</w:t>
      </w:r>
    </w:p>
    <w:p>
      <w:pPr>
        <w:pStyle w:val="BodyText"/>
      </w:pPr>
      <w:r>
        <w:rPr>
          <w:b/>
          <w:bCs/>
        </w:rPr>
        <w:t xml:space="preserve">Analysis.</w:t>
      </w:r>
      <w:r>
        <w:t xml:space="preserve"> </w:t>
      </w:r>
      <w:r>
        <w:t xml:space="preserve">As mapped in Part II, the three agreements designate the ICC (Singapore seat, New York law), SIAC (Singapore seat, Singapore law), and LCIA (London seat, English law), respectively. Harmon &amp; Grey’s rationale — matching forum expertise to subject matter — is reasonable in theory, but the execution produces three independent proceedings for what is a single integrated commercial relationship, with no workable mechanism to coordinate them. The foreseeable consequences are the ones the internal email chain and Ridgeway identify:</w:t>
      </w:r>
      <w:r>
        <w:t xml:space="preserve"> </w:t>
      </w:r>
      <w:r>
        <w:rPr>
          <w:b/>
          <w:bCs/>
        </w:rPr>
        <w:t xml:space="preserve">parallel proceedings, inconsistent findings of fact and law, jurisdictional disputes over competence, and duplicated legal spend</w:t>
      </w:r>
      <w:r>
        <w:t xml:space="preserve">. A tribunal in one forum may find the extract defective while an expert/tribunal in another finds the co-manufacturer’s process at fault; the governing-law differences (UCC sale-of-goods analysis under New York law vs. Singapore contract law vs. English IP-licensing law) compound the inconsistency.</w:t>
      </w:r>
    </w:p>
    <w:p>
      <w:pPr>
        <w:pStyle w:val="BodyText"/>
      </w:pPr>
      <w:r>
        <w:t xml:space="preserve">The fragmentation also interacts with the conflict clauses (Issue 1): because no single clause clearly governs multi-agreement disputes, the</w:t>
      </w:r>
      <w:r>
        <w:t xml:space="preserve"> </w:t>
      </w:r>
      <w:r>
        <w:t xml:space="preserve">“</w:t>
      </w:r>
      <w:r>
        <w:t xml:space="preserve">right</w:t>
      </w:r>
      <w:r>
        <w:t xml:space="preserve">”</w:t>
      </w:r>
      <w:r>
        <w:t xml:space="preserve"> </w:t>
      </w:r>
      <w:r>
        <w:t xml:space="preserve">forum for any given dispute is genuinely uncertain — the precondition for a pathological-clause challenge.</w:t>
      </w:r>
    </w:p>
    <w:p>
      <w:pPr>
        <w:pStyle w:val="BodyText"/>
      </w:pPr>
      <w:r>
        <w:rPr>
          <w:b/>
          <w:bCs/>
        </w:rPr>
        <w:t xml:space="preserve">Why it matters.</w:t>
      </w:r>
      <w:r>
        <w:t xml:space="preserve"> </w:t>
      </w:r>
      <w:r>
        <w:t xml:space="preserve">Fragmentation increases the total cost and duration of every dispute and creates inconsistency risk that undermines the predictability Harmon &amp; Grey’s design was meant to deliver. It affects both parties, but Greenleaf — as the party most likely to bring quality/supply claims across multiple documents — bears the brunt.</w:t>
      </w:r>
    </w:p>
    <w:p>
      <w:pPr>
        <w:pStyle w:val="BodyText"/>
      </w:pPr>
      <w:r>
        <w:rPr>
          <w:b/>
          <w:bCs/>
        </w:rPr>
        <w:t xml:space="preserve">Recommendation.</w:t>
      </w:r>
    </w:p>
    <w:p>
      <w:pPr>
        <w:pStyle w:val="Compact"/>
        <w:numPr>
          <w:ilvl w:val="0"/>
          <w:numId w:val="1006"/>
        </w:numPr>
      </w:pPr>
      <w:r>
        <w:rPr>
          <w:b/>
          <w:bCs/>
        </w:rPr>
        <w:t xml:space="preserve">Harmonize to a single institution and seat.</w:t>
      </w:r>
      <w:r>
        <w:t xml:space="preserve"> </w:t>
      </w:r>
      <w:r>
        <w:t xml:space="preserve">Given Pacifica’s Singapore domicile and the New York Convention’s reach,</w:t>
      </w:r>
      <w:r>
        <w:t xml:space="preserve"> </w:t>
      </w:r>
      <w:r>
        <w:rPr>
          <w:b/>
          <w:bCs/>
        </w:rPr>
        <w:t xml:space="preserve">SIAC in Singapore</w:t>
      </w:r>
      <w:r>
        <w:t xml:space="preserve"> </w:t>
      </w:r>
      <w:r>
        <w:t xml:space="preserve">(which offers both expert determination and arbitration, supporting a tiered approach within one institution) or</w:t>
      </w:r>
      <w:r>
        <w:t xml:space="preserve"> </w:t>
      </w:r>
      <w:r>
        <w:rPr>
          <w:b/>
          <w:bCs/>
        </w:rPr>
        <w:t xml:space="preserve">ICC in Singapore</w:t>
      </w:r>
      <w:r>
        <w:t xml:space="preserve"> </w:t>
      </w:r>
      <w:r>
        <w:t xml:space="preserve">are the strongest candidates. A single seat also simplifies curial-law and supervisory-court questions.</w:t>
      </w:r>
    </w:p>
    <w:p>
      <w:pPr>
        <w:pStyle w:val="Compact"/>
        <w:numPr>
          <w:ilvl w:val="0"/>
          <w:numId w:val="1006"/>
        </w:numPr>
      </w:pPr>
      <w:r>
        <w:rPr>
          <w:b/>
          <w:bCs/>
        </w:rPr>
        <w:t xml:space="preserve">Align the governing law.</w:t>
      </w:r>
      <w:r>
        <w:t xml:space="preserve"> </w:t>
      </w:r>
      <w:r>
        <w:t xml:space="preserve">New York law is defensible for the package given UCC applicability to the sale of goods and Greenleaf’s U.S. operations; Singapore law is defensible if Pacifica insists and given the Singapore seat.</w:t>
      </w:r>
      <w:r>
        <w:t xml:space="preserve"> </w:t>
      </w:r>
      <w:r>
        <w:rPr>
          <w:b/>
          <w:bCs/>
        </w:rPr>
        <w:t xml:space="preserve">Pick one</w:t>
      </w:r>
      <w:r>
        <w:t xml:space="preserve"> </w:t>
      </w:r>
      <w:r>
        <w:t xml:space="preserve">for the integrated suite, or define a single, ordered conflict rule. Eliminate the IPLA’s English-law / London-seat detour unless there is a specific, documented reason for it.</w:t>
      </w:r>
    </w:p>
    <w:p>
      <w:pPr>
        <w:pStyle w:val="Compact"/>
        <w:numPr>
          <w:ilvl w:val="0"/>
          <w:numId w:val="1006"/>
        </w:numPr>
      </w:pPr>
      <w:r>
        <w:t xml:space="preserve">If tiers are retained, keep them within</w:t>
      </w:r>
      <w:r>
        <w:t xml:space="preserve"> </w:t>
      </w:r>
      <w:r>
        <w:rPr>
          <w:b/>
          <w:bCs/>
        </w:rPr>
        <w:t xml:space="preserve">one institution</w:t>
      </w:r>
      <w:r>
        <w:t xml:space="preserve"> </w:t>
      </w:r>
      <w:r>
        <w:t xml:space="preserve">and add the express conflict rule called for in Issue 1.</w:t>
      </w:r>
    </w:p>
    <w:p>
      <w:r>
        <w:pict>
          <v:rect style="width:0;height:1.5pt" o:hralign="center" o:hrstd="t" o:hr="t"/>
        </w:pict>
      </w:r>
    </w:p>
    <w:bookmarkEnd w:id="27"/>
    <w:bookmarkStart w:id="28" w:name="X619216aa3eb673afea18dcc4f337f3caad7a815"/>
    <w:p>
      <w:pPr>
        <w:pStyle w:val="Heading4"/>
      </w:pPr>
      <w:r>
        <w:t xml:space="preserve">Issue 4 — No joinder or non-signatory mechanism for co-manufacturers (or Ridgeway)</w:t>
      </w:r>
    </w:p>
    <w:p>
      <w:pPr>
        <w:pStyle w:val="FirstParagraph"/>
      </w:pPr>
      <w:r>
        <w:rPr>
          <w:b/>
          <w:bCs/>
        </w:rPr>
        <w:t xml:space="preserve">Provisions:</w:t>
      </w:r>
      <w:r>
        <w:t xml:space="preserve"> </w:t>
      </w:r>
      <w:r>
        <w:t xml:space="preserve">SA Art. 14; QA §7; IPLA §9 (none contains a joinder provision).</w:t>
      </w:r>
    </w:p>
    <w:p>
      <w:pPr>
        <w:pStyle w:val="BodyText"/>
      </w:pPr>
      <w:r>
        <w:rPr>
          <w:b/>
          <w:bCs/>
        </w:rPr>
        <w:t xml:space="preserve">Analysis.</w:t>
      </w:r>
      <w:r>
        <w:t xml:space="preserve"> </w:t>
      </w:r>
      <w:r>
        <w:t xml:space="preserve">None of the three arbitration clauses contains any mechanism for joinder of non-signatories or third parties. Greenleaf’s U.S.-based co-manufacturers — who blend, encapsulate, and package finished supplements using Pacifica’s extracts — are</w:t>
      </w:r>
      <w:r>
        <w:t xml:space="preserve"> </w:t>
      </w:r>
      <w:r>
        <w:rPr>
          <w:b/>
          <w:bCs/>
        </w:rPr>
        <w:t xml:space="preserve">not parties</w:t>
      </w:r>
      <w:r>
        <w:t xml:space="preserve"> </w:t>
      </w:r>
      <w:r>
        <w:t xml:space="preserve">to any of the three agreements, and Greenleaf’s existing co-manufacturing arrangements are governed by</w:t>
      </w:r>
      <w:r>
        <w:t xml:space="preserve"> </w:t>
      </w:r>
      <w:r>
        <w:rPr>
          <w:b/>
          <w:bCs/>
        </w:rPr>
        <w:t xml:space="preserve">North Carolina choice-of-law and forum-selection clauses for NC state courts</w:t>
      </w:r>
      <w:r>
        <w:t xml:space="preserve"> </w:t>
      </w:r>
      <w:r>
        <w:t xml:space="preserve">(no arbitration). A new co-manufacturer is expected to come online in</w:t>
      </w:r>
      <w:r>
        <w:t xml:space="preserve"> </w:t>
      </w:r>
      <w:r>
        <w:rPr>
          <w:b/>
          <w:bCs/>
        </w:rPr>
        <w:t xml:space="preserve">Q1 2026</w:t>
      </w:r>
      <w:r>
        <w:t xml:space="preserve">, within six months of the SA’s effective date.</w:t>
      </w:r>
    </w:p>
    <w:p>
      <w:pPr>
        <w:pStyle w:val="BodyText"/>
      </w:pPr>
      <w:r>
        <w:t xml:space="preserve">The most likely dispute scenario — a defective batch that a co-man processes into finished product before the defect is caught — will require Greenleaf to bring claims against</w:t>
      </w:r>
      <w:r>
        <w:t xml:space="preserve"> </w:t>
      </w:r>
      <w:r>
        <w:rPr>
          <w:b/>
          <w:bCs/>
        </w:rPr>
        <w:t xml:space="preserve">both</w:t>
      </w:r>
      <w:r>
        <w:t xml:space="preserve"> </w:t>
      </w:r>
      <w:r>
        <w:t xml:space="preserve">Pacifica (defective ingredient) and the co-manufacturer (failure to detect / contribution). With no joinder mechanism, Greenleaf would be forced to</w:t>
      </w:r>
      <w:r>
        <w:t xml:space="preserve"> </w:t>
      </w:r>
      <w:r>
        <w:rPr>
          <w:b/>
          <w:bCs/>
        </w:rPr>
        <w:t xml:space="preserve">arbitrate against Pacifica</w:t>
      </w:r>
      <w:r>
        <w:t xml:space="preserve"> </w:t>
      </w:r>
      <w:r>
        <w:t xml:space="preserve">(ICC/Singapore or SIAC/Singapore, depending on the agreement implicated) while</w:t>
      </w:r>
      <w:r>
        <w:t xml:space="preserve"> </w:t>
      </w:r>
      <w:r>
        <w:rPr>
          <w:b/>
          <w:bCs/>
        </w:rPr>
        <w:t xml:space="preserve">simultaneously litigating against the co-manufacturer</w:t>
      </w:r>
      <w:r>
        <w:t xml:space="preserve"> </w:t>
      </w:r>
      <w:r>
        <w:t xml:space="preserve">in North Carolina court. The consequences are severe: parallel proceedings, duplicative evidence-gathering,</w:t>
      </w:r>
      <w:r>
        <w:t xml:space="preserve"> </w:t>
      </w:r>
      <w:r>
        <w:rPr>
          <w:b/>
          <w:bCs/>
        </w:rPr>
        <w:t xml:space="preserve">inconsistent findings of fact</w:t>
      </w:r>
      <w:r>
        <w:t xml:space="preserve"> </w:t>
      </w:r>
      <w:r>
        <w:t xml:space="preserve">(one tribunal finding the extract defective while a court finds the co-man’s process at fault), and materially increased cost. Under the ICC Rules, joinder of a non-signatory requires the non-signatory’s</w:t>
      </w:r>
      <w:r>
        <w:t xml:space="preserve"> </w:t>
      </w:r>
      <w:r>
        <w:rPr>
          <w:b/>
          <w:bCs/>
        </w:rPr>
        <w:t xml:space="preserve">consent</w:t>
      </w:r>
      <w:r>
        <w:t xml:space="preserve">, which a co-manufacturer facing liability would have no incentive to give. Ridgeway Capital Partners (approximately 62% equity holder) likewise lacks any intervention mechanism, raising the secondary concern flagged in the email chain that there is no procedural vehicle if Greenleaf’s and Ridgeway’s settlement interests diverge.</w:t>
      </w:r>
    </w:p>
    <w:p>
      <w:pPr>
        <w:pStyle w:val="BodyText"/>
      </w:pPr>
      <w:r>
        <w:rPr>
          <w:b/>
          <w:bCs/>
        </w:rPr>
        <w:t xml:space="preserve">Why it matters.</w:t>
      </w:r>
      <w:r>
        <w:t xml:space="preserve"> </w:t>
      </w:r>
      <w:r>
        <w:t xml:space="preserve">This is Greenleaf’s stated Priority 2 and is structural to its co-manufacturing business model. The inability to consolidate related claims in a single proceeding is, in Ridgeway’s words,</w:t>
      </w:r>
      <w:r>
        <w:t xml:space="preserve"> </w:t>
      </w:r>
      <w:r>
        <w:t xml:space="preserve">“</w:t>
      </w:r>
      <w:r>
        <w:t xml:space="preserve">not workable</w:t>
      </w:r>
      <w:r>
        <w:t xml:space="preserve">”</w:t>
      </w:r>
      <w:r>
        <w:t xml:space="preserve"> </w:t>
      </w:r>
      <w:r>
        <w:t xml:space="preserve">for the most likely dispute type.</w:t>
      </w:r>
    </w:p>
    <w:p>
      <w:pPr>
        <w:pStyle w:val="BodyText"/>
      </w:pPr>
      <w:r>
        <w:rPr>
          <w:b/>
          <w:bCs/>
        </w:rPr>
        <w:t xml:space="preserve">Recommendation.</w:t>
      </w:r>
    </w:p>
    <w:p>
      <w:pPr>
        <w:pStyle w:val="Compact"/>
        <w:numPr>
          <w:ilvl w:val="0"/>
          <w:numId w:val="1007"/>
        </w:numPr>
      </w:pPr>
      <w:r>
        <w:rPr>
          <w:b/>
          <w:bCs/>
        </w:rPr>
        <w:t xml:space="preserve">Add a contractual joinder / consent-to-joinder provision</w:t>
      </w:r>
      <w:r>
        <w:t xml:space="preserve"> </w:t>
      </w:r>
      <w:r>
        <w:t xml:space="preserve">permitting non-signatory co-manufacturers and affiliates to be joined in the arbitration (with their consent), and</w:t>
      </w:r>
      <w:r>
        <w:t xml:space="preserve"> </w:t>
      </w:r>
      <w:r>
        <w:rPr>
          <w:b/>
          <w:bCs/>
        </w:rPr>
        <w:t xml:space="preserve">require Greenleaf’s future co-manufacturing agreements to include compatible arbitration clauses</w:t>
      </w:r>
      <w:r>
        <w:t xml:space="preserve"> </w:t>
      </w:r>
      <w:r>
        <w:t xml:space="preserve">(same institution, seat, and rules) so all related disputes can be consolidated.</w:t>
      </w:r>
    </w:p>
    <w:p>
      <w:pPr>
        <w:pStyle w:val="Compact"/>
        <w:numPr>
          <w:ilvl w:val="0"/>
          <w:numId w:val="1007"/>
        </w:numPr>
      </w:pPr>
      <w:r>
        <w:rPr>
          <w:b/>
          <w:bCs/>
        </w:rPr>
        <w:t xml:space="preserve">Alternatively (or in addition), add a carve-out</w:t>
      </w:r>
      <w:r>
        <w:t xml:space="preserve"> </w:t>
      </w:r>
      <w:r>
        <w:t xml:space="preserve">permitting quality disputes involving necessary third parties to be</w:t>
      </w:r>
      <w:r>
        <w:t xml:space="preserve"> </w:t>
      </w:r>
      <w:r>
        <w:rPr>
          <w:b/>
          <w:bCs/>
        </w:rPr>
        <w:t xml:space="preserve">litigated in a specified court</w:t>
      </w:r>
      <w:r>
        <w:t xml:space="preserve"> </w:t>
      </w:r>
      <w:r>
        <w:t xml:space="preserve">(e.g., North Carolina or New York) rather than arbitrated, when joinder is required for complete relief.</w:t>
      </w:r>
    </w:p>
    <w:p>
      <w:pPr>
        <w:pStyle w:val="Compact"/>
        <w:numPr>
          <w:ilvl w:val="0"/>
          <w:numId w:val="1007"/>
        </w:numPr>
      </w:pPr>
      <w:r>
        <w:rPr>
          <w:b/>
          <w:bCs/>
        </w:rPr>
        <w:t xml:space="preserve">Consider a multi-party arbitration architecture</w:t>
      </w:r>
      <w:r>
        <w:t xml:space="preserve"> </w:t>
      </w:r>
      <w:r>
        <w:t xml:space="preserve">— e.g., SIAC’s joinder and consolidation provisions, or ICC joinder under the 2021 Rules with the parties’ advance consent — so the clause itself enables multi-party proceedings rather than relying on post-dispute consent.</w:t>
      </w:r>
    </w:p>
    <w:p>
      <w:pPr>
        <w:pStyle w:val="Compact"/>
        <w:numPr>
          <w:ilvl w:val="0"/>
          <w:numId w:val="1007"/>
        </w:numPr>
      </w:pPr>
      <w:r>
        <w:rPr>
          <w:b/>
          <w:bCs/>
        </w:rPr>
        <w:t xml:space="preserve">Address Ridgeway’s interest</w:t>
      </w:r>
      <w:r>
        <w:t xml:space="preserve">, if warranted, through a non-party intervention or notice/consultation mechanism on settlement of material disputes.</w:t>
      </w:r>
    </w:p>
    <w:p>
      <w:r>
        <w:pict>
          <v:rect style="width:0;height:1.5pt" o:hralign="center" o:hrstd="t" o:hr="t"/>
        </w:pict>
      </w:r>
    </w:p>
    <w:bookmarkEnd w:id="28"/>
    <w:bookmarkStart w:id="29" w:name="X705ae20b66b81c8d4848b0dd96e26d2082cba47"/>
    <w:p>
      <w:pPr>
        <w:pStyle w:val="Heading4"/>
      </w:pPr>
      <w:r>
        <w:t xml:space="preserve">Issue 5 — One-year limitation period sits at the UCC statutory floor and is commercially inadequate for latent defects</w:t>
      </w:r>
    </w:p>
    <w:p>
      <w:pPr>
        <w:pStyle w:val="FirstParagraph"/>
      </w:pPr>
      <w:r>
        <w:rPr>
          <w:b/>
          <w:bCs/>
        </w:rPr>
        <w:t xml:space="preserve">Provisions:</w:t>
      </w:r>
      <w:r>
        <w:t xml:space="preserve"> </w:t>
      </w:r>
      <w:r>
        <w:t xml:space="preserve">SA §14.9; SA §7.3; QA §5.1, §3.5.</w:t>
      </w:r>
    </w:p>
    <w:p>
      <w:pPr>
        <w:pStyle w:val="BodyText"/>
      </w:pPr>
      <w:r>
        <w:rPr>
          <w:b/>
          <w:bCs/>
        </w:rPr>
        <w:t xml:space="preserve">Analysis.</w:t>
      </w:r>
      <w:r>
        <w:t xml:space="preserve"> </w:t>
      </w:r>
      <w:r>
        <w:t xml:space="preserve">SA §14.9 imposes a</w:t>
      </w:r>
      <w:r>
        <w:t xml:space="preserve"> </w:t>
      </w:r>
      <w:r>
        <w:rPr>
          <w:b/>
          <w:bCs/>
        </w:rPr>
        <w:t xml:space="preserve">one-year</w:t>
      </w:r>
      <w:r>
        <w:t xml:space="preserve"> </w:t>
      </w:r>
      <w:r>
        <w:t xml:space="preserve">limitation period for commencing arbitration, running from the date the claiming party</w:t>
      </w:r>
      <w:r>
        <w:t xml:space="preserve"> </w:t>
      </w:r>
      <w:r>
        <w:t xml:space="preserve">“</w:t>
      </w:r>
      <w:r>
        <w:t xml:space="preserve">knew or should have known</w:t>
      </w:r>
      <w:r>
        <w:t xml:space="preserve">”</w:t>
      </w:r>
      <w:r>
        <w:t xml:space="preserve"> </w:t>
      </w:r>
      <w:r>
        <w:t xml:space="preserve">of the facts giving rise to the claim. Because the SA is governed by New York law and concerns a sale of goods,</w:t>
      </w:r>
      <w:r>
        <w:t xml:space="preserve"> </w:t>
      </w:r>
      <w:r>
        <w:rPr>
          <w:b/>
          <w:bCs/>
        </w:rPr>
        <w:t xml:space="preserve">UCC § 2-725</w:t>
      </w:r>
      <w:r>
        <w:t xml:space="preserve"> </w:t>
      </w:r>
      <w:r>
        <w:t xml:space="preserve">applies: it sets a four-year limitations period for breach of a sale-of-goods contract and provides that the parties’ agreement</w:t>
      </w:r>
      <w:r>
        <w:t xml:space="preserve"> </w:t>
      </w:r>
      <w:r>
        <w:t xml:space="preserve">“</w:t>
      </w:r>
      <w:r>
        <w:t xml:space="preserve">cannot reduce the period of limitation to less than one year.</w:t>
      </w:r>
      <w:r>
        <w:t xml:space="preserve">”</w:t>
      </w:r>
      <w:r>
        <w:t xml:space="preserve"> </w:t>
      </w:r>
      <w:r>
        <w:t xml:space="preserve">The SA’s one-year period therefore sits at the</w:t>
      </w:r>
      <w:r>
        <w:t xml:space="preserve"> </w:t>
      </w:r>
      <w:r>
        <w:rPr>
          <w:b/>
          <w:bCs/>
        </w:rPr>
        <w:t xml:space="preserve">absolute statutory floor</w:t>
      </w:r>
      <w:r>
        <w:t xml:space="preserve"> </w:t>
      </w:r>
      <w:r>
        <w:t xml:space="preserve">— the most aggressive reduction UCC permits — making it the maximum exposure to challenge (including arguments about whether § 2-725’s reference to</w:t>
      </w:r>
      <w:r>
        <w:t xml:space="preserve"> </w:t>
      </w:r>
      <w:r>
        <w:t xml:space="preserve">“</w:t>
      </w:r>
      <w:r>
        <w:t xml:space="preserve">actions</w:t>
      </w:r>
      <w:r>
        <w:t xml:space="preserve">”</w:t>
      </w:r>
      <w:r>
        <w:t xml:space="preserve"> </w:t>
      </w:r>
      <w:r>
        <w:t xml:space="preserve">reaches arbitration, and whether the one-year period is enforceable as to</w:t>
      </w:r>
      <w:r>
        <w:t xml:space="preserve"> </w:t>
      </w:r>
      <w:r>
        <w:rPr>
          <w:b/>
          <w:bCs/>
        </w:rPr>
        <w:t xml:space="preserve">non-UCC claims</w:t>
      </w:r>
      <w:r>
        <w:t xml:space="preserve"> </w:t>
      </w:r>
      <w:r>
        <w:t xml:space="preserve">such as indemnification, IP, and confidentiality, which carry their own longer limitation periods).</w:t>
      </w:r>
    </w:p>
    <w:p>
      <w:pPr>
        <w:pStyle w:val="BodyText"/>
      </w:pPr>
      <w:r>
        <w:t xml:space="preserve">The period is also</w:t>
      </w:r>
      <w:r>
        <w:t xml:space="preserve"> </w:t>
      </w:r>
      <w:r>
        <w:rPr>
          <w:b/>
          <w:bCs/>
        </w:rPr>
        <w:t xml:space="preserve">commercially inadequate</w:t>
      </w:r>
      <w:r>
        <w:t xml:space="preserve"> </w:t>
      </w:r>
      <w:r>
        <w:t xml:space="preserve">for this relationship. Botanical-extract defects — contamination, adulteration, stability/degradation, heavy-metals exceedance — are frequently</w:t>
      </w:r>
      <w:r>
        <w:t xml:space="preserve"> </w:t>
      </w:r>
      <w:r>
        <w:rPr>
          <w:b/>
          <w:bCs/>
        </w:rPr>
        <w:t xml:space="preserve">latent</w:t>
      </w:r>
      <w:r>
        <w:t xml:space="preserve"> </w:t>
      </w:r>
      <w:r>
        <w:t xml:space="preserve">and may not manifest until well after delivery, sometimes only after incorporation into finished product and consumer/regulatory exposure. The interplay among the limitation provisions is confusing and potentially self-defeating: SA §7.3 permits latent-defect claims within</w:t>
      </w:r>
      <w:r>
        <w:t xml:space="preserve"> </w:t>
      </w:r>
      <w:r>
        <w:rPr>
          <w:b/>
          <w:bCs/>
        </w:rPr>
        <w:t xml:space="preserve">12 months of delivery</w:t>
      </w:r>
      <w:r>
        <w:t xml:space="preserve">; QA §5.1 permits rejection of latent defects within</w:t>
      </w:r>
      <w:r>
        <w:t xml:space="preserve"> </w:t>
      </w:r>
      <w:r>
        <w:rPr>
          <w:b/>
          <w:bCs/>
        </w:rPr>
        <w:t xml:space="preserve">30 days of discovery</w:t>
      </w:r>
      <w:r>
        <w:t xml:space="preserve"> </w:t>
      </w:r>
      <w:r>
        <w:t xml:space="preserve">(no stated outer limit); QA §3.5 preserves latent-defect claims not reasonably discoverable on incoming testing; yet SA §14.9 gives only</w:t>
      </w:r>
      <w:r>
        <w:t xml:space="preserve"> </w:t>
      </w:r>
      <w:r>
        <w:rPr>
          <w:b/>
          <w:bCs/>
        </w:rPr>
        <w:t xml:space="preserve">one year from knowledge</w:t>
      </w:r>
      <w:r>
        <w:t xml:space="preserve"> </w:t>
      </w:r>
      <w:r>
        <w:t xml:space="preserve">to commence arbitration. A latent defect discovered at month 11 after delivery could leave Greenleaf roughly one month to constitute a tribunal and file, and a defect discovered after the §7.3 12-month delivery window creates ambiguity about whether the claim survives at all. For a 7-to-13-year relationship, a one-year clock is unusually tight.</w:t>
      </w:r>
    </w:p>
    <w:p>
      <w:pPr>
        <w:pStyle w:val="BodyText"/>
      </w:pPr>
      <w:r>
        <w:rPr>
          <w:b/>
          <w:bCs/>
        </w:rPr>
        <w:t xml:space="preserve">Why it matters.</w:t>
      </w:r>
      <w:r>
        <w:t xml:space="preserve"> </w:t>
      </w:r>
      <w:r>
        <w:t xml:space="preserve">A limitation period at the UCC floor is vulnerable to challenge (creating litigation over the clause itself) and risks extinguishing Greenleaf’s most serious claims — latent quality defects — before they are discoverable. It also creates internal incoherence with the QA Letter’s latent-defect regime.</w:t>
      </w:r>
    </w:p>
    <w:p>
      <w:pPr>
        <w:pStyle w:val="BodyText"/>
      </w:pPr>
      <w:r>
        <w:rPr>
          <w:b/>
          <w:bCs/>
        </w:rPr>
        <w:t xml:space="preserve">Recommendation.</w:t>
      </w:r>
    </w:p>
    <w:p>
      <w:pPr>
        <w:pStyle w:val="Compact"/>
        <w:numPr>
          <w:ilvl w:val="0"/>
          <w:numId w:val="1008"/>
        </w:numPr>
      </w:pPr>
      <w:r>
        <w:rPr>
          <w:b/>
          <w:bCs/>
        </w:rPr>
        <w:t xml:space="preserve">Extend the limitation period</w:t>
      </w:r>
      <w:r>
        <w:t xml:space="preserve"> </w:t>
      </w:r>
      <w:r>
        <w:t xml:space="preserve">to at least</w:t>
      </w:r>
      <w:r>
        <w:t xml:space="preserve"> </w:t>
      </w:r>
      <w:r>
        <w:rPr>
          <w:b/>
          <w:bCs/>
        </w:rPr>
        <w:t xml:space="preserve">two to three years</w:t>
      </w:r>
      <w:r>
        <w:t xml:space="preserve"> </w:t>
      </w:r>
      <w:r>
        <w:t xml:space="preserve">for goods-related claims (or align with the UCC four-year default), with a</w:t>
      </w:r>
      <w:r>
        <w:t xml:space="preserve"> </w:t>
      </w:r>
      <w:r>
        <w:rPr>
          <w:b/>
          <w:bCs/>
        </w:rPr>
        <w:t xml:space="preserve">separate, longer period for latent defects</w:t>
      </w:r>
      <w:r>
        <w:t xml:space="preserve"> </w:t>
      </w:r>
      <w:r>
        <w:t xml:space="preserve">(e.g., two to three years from discovery, subject to a defined outer limit such as the product shelf-life plus a buffer).</w:t>
      </w:r>
    </w:p>
    <w:p>
      <w:pPr>
        <w:pStyle w:val="Compact"/>
        <w:numPr>
          <w:ilvl w:val="0"/>
          <w:numId w:val="1008"/>
        </w:numPr>
      </w:pPr>
      <w:r>
        <w:rPr>
          <w:b/>
          <w:bCs/>
        </w:rPr>
        <w:t xml:space="preserve">Reconcile §14.9, SA §7.3, and QA §5.1</w:t>
      </w:r>
      <w:r>
        <w:t xml:space="preserve"> </w:t>
      </w:r>
      <w:r>
        <w:t xml:space="preserve">so the limitation and rejection windows are coherent and do not silently extinguish latent-defect claims preserved elsewhere.</w:t>
      </w:r>
    </w:p>
    <w:p>
      <w:pPr>
        <w:pStyle w:val="Compact"/>
        <w:numPr>
          <w:ilvl w:val="0"/>
          <w:numId w:val="1008"/>
        </w:numPr>
      </w:pPr>
      <w:r>
        <w:rPr>
          <w:b/>
          <w:bCs/>
        </w:rPr>
        <w:t xml:space="preserve">Confirm enforceability</w:t>
      </w:r>
      <w:r>
        <w:t xml:space="preserve"> </w:t>
      </w:r>
      <w:r>
        <w:t xml:space="preserve">under New York law (UCC § 2-725) as to arbitration and as to non-UCC claims; consider a discovery-based accrual rule for latent defects.</w:t>
      </w:r>
    </w:p>
    <w:p>
      <w:pPr>
        <w:pStyle w:val="Compact"/>
        <w:numPr>
          <w:ilvl w:val="0"/>
          <w:numId w:val="1008"/>
        </w:numPr>
      </w:pPr>
      <w:r>
        <w:t xml:space="preserve">Specify that the limitation period is tolled during any pre-arbitration expert-determination, mediation, or negotiation step.</w:t>
      </w:r>
    </w:p>
    <w:p>
      <w:r>
        <w:pict>
          <v:rect style="width:0;height:1.5pt" o:hralign="center" o:hrstd="t" o:hr="t"/>
        </w:pict>
      </w:r>
    </w:p>
    <w:bookmarkEnd w:id="29"/>
    <w:bookmarkStart w:id="30" w:name="X0353c1eec5d33d36661a30d4ffbcc581a56c5b4"/>
    <w:p>
      <w:pPr>
        <w:pStyle w:val="Heading4"/>
      </w:pPr>
      <w:r>
        <w:t xml:space="preserve">Issue 6 — Statutory appeal on questions of law to the High Court of Singapore undermines finality and creates a law/court mismatch</w:t>
      </w:r>
    </w:p>
    <w:p>
      <w:pPr>
        <w:pStyle w:val="FirstParagraph"/>
      </w:pPr>
      <w:r>
        <w:rPr>
          <w:b/>
          <w:bCs/>
        </w:rPr>
        <w:t xml:space="preserve">Provisions:</w:t>
      </w:r>
      <w:r>
        <w:t xml:space="preserve"> </w:t>
      </w:r>
      <w:r>
        <w:t xml:space="preserve">SA §14.6.</w:t>
      </w:r>
    </w:p>
    <w:p>
      <w:pPr>
        <w:pStyle w:val="BodyText"/>
      </w:pPr>
      <w:r>
        <w:rPr>
          <w:b/>
          <w:bCs/>
        </w:rPr>
        <w:t xml:space="preserve">Analysis.</w:t>
      </w:r>
      <w:r>
        <w:t xml:space="preserve"> </w:t>
      </w:r>
      <w:r>
        <w:t xml:space="preserve">SA §14.6 provides that the award is final and binding and may be entered in any court of competent jurisdiction,</w:t>
      </w:r>
      <w:r>
        <w:t xml:space="preserve"> </w:t>
      </w:r>
      <w:r>
        <w:rPr>
          <w:b/>
          <w:bCs/>
        </w:rPr>
        <w:t xml:space="preserve">but</w:t>
      </w:r>
      <w:r>
        <w:t xml:space="preserve"> </w:t>
      </w:r>
      <w:r>
        <w:t xml:space="preserve">that</w:t>
      </w:r>
      <w:r>
        <w:t xml:space="preserve"> </w:t>
      </w:r>
      <w:r>
        <w:t xml:space="preserve">“</w:t>
      </w:r>
      <w:r>
        <w:t xml:space="preserve">either party may appeal the award on questions of law to the High Court of Singapore.</w:t>
      </w:r>
      <w:r>
        <w:t xml:space="preserve">”</w:t>
      </w:r>
      <w:r>
        <w:t xml:space="preserve"> </w:t>
      </w:r>
      <w:r>
        <w:t xml:space="preserve">Harmon &amp; Grey models this on</w:t>
      </w:r>
      <w:r>
        <w:t xml:space="preserve"> </w:t>
      </w:r>
      <w:r>
        <w:rPr>
          <w:b/>
          <w:bCs/>
        </w:rPr>
        <w:t xml:space="preserve">Section 69 of the English Arbitration Act 1996</w:t>
      </w:r>
      <w:r>
        <w:t xml:space="preserve"> </w:t>
      </w:r>
      <w:r>
        <w:t xml:space="preserve">and frames it as a</w:t>
      </w:r>
      <w:r>
        <w:t xml:space="preserve"> </w:t>
      </w:r>
      <w:r>
        <w:t xml:space="preserve">“</w:t>
      </w:r>
      <w:r>
        <w:t xml:space="preserve">safety valve.</w:t>
      </w:r>
      <w:r>
        <w:t xml:space="preserve">”</w:t>
      </w:r>
      <w:r>
        <w:t xml:space="preserve"> </w:t>
      </w:r>
      <w:r>
        <w:t xml:space="preserve">Four problems follow:</w:t>
      </w:r>
    </w:p>
    <w:p>
      <w:pPr>
        <w:pStyle w:val="Compact"/>
        <w:numPr>
          <w:ilvl w:val="0"/>
          <w:numId w:val="1009"/>
        </w:numPr>
      </w:pPr>
      <w:r>
        <w:rPr>
          <w:b/>
          <w:bCs/>
        </w:rPr>
        <w:t xml:space="preserve">Finality is undermined.</w:t>
      </w:r>
      <w:r>
        <w:t xml:space="preserve"> </w:t>
      </w:r>
      <w:r>
        <w:t xml:space="preserve">A core benefit of international arbitration is the near-finality of awards and the narrow, limited grounds for post-award review (Model Law Article 34 / IAA). An agreed appeal right on questions of law is an</w:t>
      </w:r>
      <w:r>
        <w:t xml:space="preserve"> </w:t>
      </w:r>
      <w:r>
        <w:rPr>
          <w:b/>
          <w:bCs/>
        </w:rPr>
        <w:t xml:space="preserve">invitation to challenge</w:t>
      </w:r>
      <w:r>
        <w:t xml:space="preserve">, extending dispute timelines and cost — the opposite of the efficiency the architecture is meant to deliver.</w:t>
      </w:r>
    </w:p>
    <w:p>
      <w:pPr>
        <w:pStyle w:val="Compact"/>
        <w:numPr>
          <w:ilvl w:val="0"/>
          <w:numId w:val="1009"/>
        </w:numPr>
      </w:pPr>
      <w:r>
        <w:rPr>
          <w:b/>
          <w:bCs/>
        </w:rPr>
        <w:t xml:space="preserve">Law/court mismatch.</w:t>
      </w:r>
      <w:r>
        <w:t xml:space="preserve"> </w:t>
      </w:r>
      <w:r>
        <w:t xml:space="preserve">The SA’s substantive law is</w:t>
      </w:r>
      <w:r>
        <w:t xml:space="preserve"> </w:t>
      </w:r>
      <w:r>
        <w:rPr>
          <w:b/>
          <w:bCs/>
        </w:rPr>
        <w:t xml:space="preserve">New York</w:t>
      </w:r>
      <w:r>
        <w:t xml:space="preserve">. An appeal</w:t>
      </w:r>
      <w:r>
        <w:t xml:space="preserve"> </w:t>
      </w:r>
      <w:r>
        <w:t xml:space="preserve">“</w:t>
      </w:r>
      <w:r>
        <w:t xml:space="preserve">on questions of law</w:t>
      </w:r>
      <w:r>
        <w:t xml:space="preserve">”</w:t>
      </w:r>
      <w:r>
        <w:t xml:space="preserve"> </w:t>
      </w:r>
      <w:r>
        <w:t xml:space="preserve">to the</w:t>
      </w:r>
      <w:r>
        <w:t xml:space="preserve"> </w:t>
      </w:r>
      <w:r>
        <w:rPr>
          <w:b/>
          <w:bCs/>
        </w:rPr>
        <w:t xml:space="preserve">Singapore</w:t>
      </w:r>
      <w:r>
        <w:t xml:space="preserve"> </w:t>
      </w:r>
      <w:r>
        <w:t xml:space="preserve">High Court would have Singapore courts reviewing New York law questions. A Singapore court’s interpretation of New York law would not bind U.S. courts and may not be authoritative, producing a determinations of questionable value and potential inconsistency with U.S. enforcement courts.</w:t>
      </w:r>
    </w:p>
    <w:p>
      <w:pPr>
        <w:pStyle w:val="Compact"/>
        <w:numPr>
          <w:ilvl w:val="0"/>
          <w:numId w:val="1009"/>
        </w:numPr>
      </w:pPr>
      <w:r>
        <w:rPr>
          <w:b/>
          <w:bCs/>
        </w:rPr>
        <w:t xml:space="preserve">Enforcement-delay risk recreated.</w:t>
      </w:r>
      <w:r>
        <w:t xml:space="preserve"> </w:t>
      </w:r>
      <w:r>
        <w:t xml:space="preserve">This is precisely the kind of post-award challenge vector that caused Pacifica’s 14-month enforcement delay in 2023. An appeal right gives the losing party a procedural foothold to delay enforcement (and may complicate the</w:t>
      </w:r>
      <w:r>
        <w:t xml:space="preserve"> </w:t>
      </w:r>
      <w:r>
        <w:t xml:space="preserve">“</w:t>
      </w:r>
      <w:r>
        <w:t xml:space="preserve">finality</w:t>
      </w:r>
      <w:r>
        <w:t xml:space="preserve">”</w:t>
      </w:r>
      <w:r>
        <w:t xml:space="preserve"> </w:t>
      </w:r>
      <w:r>
        <w:t xml:space="preserve">showing useful for New York Convention recognition).</w:t>
      </w:r>
    </w:p>
    <w:p>
      <w:pPr>
        <w:pStyle w:val="Compact"/>
        <w:numPr>
          <w:ilvl w:val="0"/>
          <w:numId w:val="1009"/>
        </w:numPr>
      </w:pPr>
      <w:r>
        <w:rPr>
          <w:b/>
          <w:bCs/>
        </w:rPr>
        <w:t xml:space="preserve">Availability under Singapore law is questionable.</w:t>
      </w:r>
      <w:r>
        <w:t xml:space="preserve"> </w:t>
      </w:r>
      <w:r>
        <w:t xml:space="preserve">For international arbitrations seated in Singapore, the governing regime is the</w:t>
      </w:r>
      <w:r>
        <w:t xml:space="preserve"> </w:t>
      </w:r>
      <w:r>
        <w:rPr>
          <w:b/>
          <w:bCs/>
        </w:rPr>
        <w:t xml:space="preserve">International Arbitration Act (IAA)</w:t>
      </w:r>
      <w:r>
        <w:t xml:space="preserve">, which incorporates the UNCITRAL Model Law; the default is</w:t>
      </w:r>
      <w:r>
        <w:t xml:space="preserve"> </w:t>
      </w:r>
      <w:r>
        <w:rPr>
          <w:b/>
          <w:bCs/>
        </w:rPr>
        <w:t xml:space="preserve">no appeal on questions of law</w:t>
      </w:r>
      <w:r>
        <w:t xml:space="preserve"> </w:t>
      </w:r>
      <w:r>
        <w:t xml:space="preserve">(the domestic-Arbitration-Act appeal mechanism analogous to English s.69 does not apply of its own force to IAA arbitrations). The clause’s enforceability and scope should be confirmed by Singapore-qualified counsel; as drafted it may not operate as intended or may import unintended consequences.</w:t>
      </w:r>
    </w:p>
    <w:p>
      <w:pPr>
        <w:pStyle w:val="FirstParagraph"/>
      </w:pPr>
      <w:r>
        <w:rPr>
          <w:b/>
          <w:bCs/>
        </w:rPr>
        <w:t xml:space="preserve">Why it matters.</w:t>
      </w:r>
      <w:r>
        <w:t xml:space="preserve"> </w:t>
      </w:r>
      <w:r>
        <w:t xml:space="preserve">The provision sacrifices finality for a</w:t>
      </w:r>
      <w:r>
        <w:t xml:space="preserve"> </w:t>
      </w:r>
      <w:r>
        <w:t xml:space="preserve">“</w:t>
      </w:r>
      <w:r>
        <w:t xml:space="preserve">safety valve</w:t>
      </w:r>
      <w:r>
        <w:t xml:space="preserve">”</w:t>
      </w:r>
      <w:r>
        <w:t xml:space="preserve"> </w:t>
      </w:r>
      <w:r>
        <w:t xml:space="preserve">of uncertain enforceability and questionable utility (Singapore courts reviewing New York law), while adding a challenge vector that recreates the enforcement-delay risk the package was designed to eliminate.</w:t>
      </w:r>
    </w:p>
    <w:p>
      <w:pPr>
        <w:pStyle w:val="BodyText"/>
      </w:pPr>
      <w:r>
        <w:rPr>
          <w:b/>
          <w:bCs/>
        </w:rPr>
        <w:t xml:space="preserve">Recommendation.</w:t>
      </w:r>
    </w:p>
    <w:p>
      <w:pPr>
        <w:pStyle w:val="Compact"/>
        <w:numPr>
          <w:ilvl w:val="0"/>
          <w:numId w:val="1010"/>
        </w:numPr>
      </w:pPr>
      <w:r>
        <w:rPr>
          <w:b/>
          <w:bCs/>
        </w:rPr>
        <w:t xml:space="preserve">Delete the appeal-on-law provision</w:t>
      </w:r>
      <w:r>
        <w:t xml:space="preserve"> </w:t>
      </w:r>
      <w:r>
        <w:t xml:space="preserve">and rely on the narrow Model Law / IAA setting-aside grounds (Article 34) for post-award review, restoring finality. This is the cleanest fix and aligns with Singapore’s default regime.</w:t>
      </w:r>
    </w:p>
    <w:p>
      <w:pPr>
        <w:pStyle w:val="Compact"/>
        <w:numPr>
          <w:ilvl w:val="0"/>
          <w:numId w:val="1010"/>
        </w:numPr>
      </w:pPr>
      <w:r>
        <w:t xml:space="preserve">If a safety valve is desired,</w:t>
      </w:r>
      <w:r>
        <w:t xml:space="preserve"> </w:t>
      </w:r>
      <w:r>
        <w:rPr>
          <w:b/>
          <w:bCs/>
        </w:rPr>
        <w:t xml:space="preserve">limit it to questions of Singapore law</w:t>
      </w:r>
      <w:r>
        <w:t xml:space="preserve"> </w:t>
      </w:r>
      <w:r>
        <w:t xml:space="preserve">(the curial law at the seat) with a leave requirement and a high threshold (e.g., serious injustice / obvious error), and</w:t>
      </w:r>
      <w:r>
        <w:t xml:space="preserve"> </w:t>
      </w:r>
      <w:r>
        <w:rPr>
          <w:b/>
          <w:bCs/>
        </w:rPr>
        <w:t xml:space="preserve">exclude New York substantive-law questions</w:t>
      </w:r>
      <w:r>
        <w:t xml:space="preserve">.</w:t>
      </w:r>
    </w:p>
    <w:p>
      <w:pPr>
        <w:pStyle w:val="Compact"/>
        <w:numPr>
          <w:ilvl w:val="0"/>
          <w:numId w:val="1010"/>
        </w:numPr>
      </w:pPr>
      <w:r>
        <w:t xml:space="preserve">At minimum,</w:t>
      </w:r>
      <w:r>
        <w:t xml:space="preserve"> </w:t>
      </w:r>
      <w:r>
        <w:rPr>
          <w:b/>
          <w:bCs/>
        </w:rPr>
        <w:t xml:space="preserve">confirm with Singapore-qualified counsel</w:t>
      </w:r>
      <w:r>
        <w:t xml:space="preserve"> </w:t>
      </w:r>
      <w:r>
        <w:t xml:space="preserve">that the provision is enforceable and define its scope precisely; and ensure that any appeal right does not delay New York Convention enforcement (consider providing that enforcement may proceed notwithstanding an appeal).</w:t>
      </w:r>
    </w:p>
    <w:p>
      <w:r>
        <w:pict>
          <v:rect style="width:0;height:1.5pt" o:hralign="center" o:hrstd="t" o:hr="t"/>
        </w:pict>
      </w:r>
    </w:p>
    <w:bookmarkEnd w:id="30"/>
    <w:bookmarkStart w:id="31" w:name="Xa4e8e202ff91d200918fec747b0a70f37195fcc"/>
    <w:p>
      <w:pPr>
        <w:pStyle w:val="Heading4"/>
      </w:pPr>
      <w:r>
        <w:t xml:space="preserve">Issue 7 — Blanket discovery prohibition would cripple proof of quality, contamination, and adulteration claims</w:t>
      </w:r>
    </w:p>
    <w:p>
      <w:pPr>
        <w:pStyle w:val="FirstParagraph"/>
      </w:pPr>
      <w:r>
        <w:rPr>
          <w:b/>
          <w:bCs/>
        </w:rPr>
        <w:t xml:space="preserve">Provisions:</w:t>
      </w:r>
      <w:r>
        <w:t xml:space="preserve"> </w:t>
      </w:r>
      <w:r>
        <w:t xml:space="preserve">SA §14.5; QA §4.4, §3.4.</w:t>
      </w:r>
    </w:p>
    <w:p>
      <w:pPr>
        <w:pStyle w:val="BodyText"/>
      </w:pPr>
      <w:r>
        <w:rPr>
          <w:b/>
          <w:bCs/>
        </w:rPr>
        <w:t xml:space="preserve">Analysis.</w:t>
      </w:r>
      <w:r>
        <w:t xml:space="preserve"> </w:t>
      </w:r>
      <w:r>
        <w:t xml:space="preserve">SA §14.5 provides that</w:t>
      </w:r>
      <w:r>
        <w:t xml:space="preserve"> </w:t>
      </w:r>
      <w:r>
        <w:t xml:space="preserve">“</w:t>
      </w:r>
      <w:r>
        <w:rPr>
          <w:b/>
          <w:bCs/>
        </w:rPr>
        <w:t xml:space="preserve">no discovery shall be permitted</w:t>
      </w:r>
      <w:r>
        <w:t xml:space="preserve"> </w:t>
      </w:r>
      <w:r>
        <w:t xml:space="preserve">in the arbitration,</w:t>
      </w:r>
      <w:r>
        <w:t xml:space="preserve">”</w:t>
      </w:r>
      <w:r>
        <w:t xml:space="preserve"> </w:t>
      </w:r>
      <w:r>
        <w:t xml:space="preserve">with each party retaining only the right to</w:t>
      </w:r>
      <w:r>
        <w:t xml:space="preserve"> </w:t>
      </w:r>
      <w:r>
        <w:t xml:space="preserve">“</w:t>
      </w:r>
      <w:r>
        <w:t xml:space="preserve">present documentary evidence and witness testimony at the hearing.</w:t>
      </w:r>
      <w:r>
        <w:t xml:space="preserve">”</w:t>
      </w:r>
      <w:r>
        <w:t xml:space="preserve"> </w:t>
      </w:r>
      <w:r>
        <w:t xml:space="preserve">Harmon &amp; Grey’s rationale — protecting Pacifica’s proprietary extraction processes and trade secrets from U.S.-style</w:t>
      </w:r>
      <w:r>
        <w:t xml:space="preserve"> </w:t>
      </w:r>
      <w:r>
        <w:t xml:space="preserve">“</w:t>
      </w:r>
      <w:r>
        <w:t xml:space="preserve">fishing expeditions,</w:t>
      </w:r>
      <w:r>
        <w:t xml:space="preserve">”</w:t>
      </w:r>
      <w:r>
        <w:t xml:space="preserve"> </w:t>
      </w:r>
      <w:r>
        <w:t xml:space="preserve">and aligning with international practice — is legitimate. But the clause is</w:t>
      </w:r>
      <w:r>
        <w:t xml:space="preserve"> </w:t>
      </w:r>
      <w:r>
        <w:rPr>
          <w:b/>
          <w:bCs/>
        </w:rPr>
        <w:t xml:space="preserve">broader than the international norm it invokes</w:t>
      </w:r>
      <w:r>
        <w:t xml:space="preserve">: the IBA Rules on the Taking of Evidence, which Harmon &amp; Grey cites, in fact</w:t>
      </w:r>
      <w:r>
        <w:t xml:space="preserve"> </w:t>
      </w:r>
      <w:r>
        <w:rPr>
          <w:b/>
          <w:bCs/>
        </w:rPr>
        <w:t xml:space="preserve">permit limited, targeted document production</w:t>
      </w:r>
      <w:r>
        <w:t xml:space="preserve"> </w:t>
      </w:r>
      <w:r>
        <w:t xml:space="preserve">through Redfern-schedule requests tied to specific relevance and materiality standards. SA §14.5 goes further by prohibiting</w:t>
      </w:r>
      <w:r>
        <w:t xml:space="preserve"> </w:t>
      </w:r>
      <w:r>
        <w:rPr>
          <w:i/>
          <w:iCs/>
        </w:rPr>
        <w:t xml:space="preserve">all</w:t>
      </w:r>
      <w:r>
        <w:t xml:space="preserve"> </w:t>
      </w:r>
      <w:r>
        <w:t xml:space="preserve">compelled production.</w:t>
      </w:r>
    </w:p>
    <w:p>
      <w:pPr>
        <w:pStyle w:val="BodyText"/>
      </w:pPr>
      <w:r>
        <w:t xml:space="preserve">For the disputes most likely to arise — contamination, adulteration, off-spec, or stability failures — Greenleaf will need access to</w:t>
      </w:r>
      <w:r>
        <w:t xml:space="preserve"> </w:t>
      </w:r>
      <w:r>
        <w:rPr>
          <w:b/>
          <w:bCs/>
        </w:rPr>
        <w:t xml:space="preserve">Pacifica’s manufacturing records, batch testing data, Certificates of Analysis, reserve samples, and out-of-specification investigation records</w:t>
      </w:r>
      <w:r>
        <w:t xml:space="preserve"> </w:t>
      </w:r>
      <w:r>
        <w:t xml:space="preserve">to prove causation and defect. A blanket discovery bar could leave Greenleaf unable to compel the very documents on which its claims depend, while Pacifica (which controls its own records) can selectively present favorable evidence. The bar also sits in tension with the QA Letter’s audit rights (§4.4) and the §3.4 sample/data-exchange mechanism for resolving COA discrepancies — rights that become difficult to enforce in arbitration if the tribunal cannot order production.</w:t>
      </w:r>
    </w:p>
    <w:p>
      <w:pPr>
        <w:pStyle w:val="BodyText"/>
      </w:pPr>
      <w:r>
        <w:rPr>
          <w:b/>
          <w:bCs/>
        </w:rPr>
        <w:t xml:space="preserve">Why it matters.</w:t>
      </w:r>
      <w:r>
        <w:t xml:space="preserve"> </w:t>
      </w:r>
      <w:r>
        <w:t xml:space="preserve">The right to present evidence is hollow without the ability to obtain the counterparty’s relevant records. In quality and recall disputes — Greenleaf’s primary risk — the evidentiary asymmetry favors the supplier, who holds the manufacturing and testing records. This is a flagged concern (Greenleaf Priority item).</w:t>
      </w:r>
    </w:p>
    <w:p>
      <w:pPr>
        <w:pStyle w:val="BodyText"/>
      </w:pPr>
      <w:r>
        <w:rPr>
          <w:b/>
          <w:bCs/>
        </w:rPr>
        <w:t xml:space="preserve">Recommendation.</w:t>
      </w:r>
    </w:p>
    <w:p>
      <w:pPr>
        <w:pStyle w:val="Compact"/>
        <w:numPr>
          <w:ilvl w:val="0"/>
          <w:numId w:val="1011"/>
        </w:numPr>
      </w:pPr>
      <w:r>
        <w:rPr>
          <w:b/>
          <w:bCs/>
        </w:rPr>
        <w:t xml:space="preserve">Replace the blanket bar with a limited, targeted document-production regime</w:t>
      </w:r>
      <w:r>
        <w:t xml:space="preserve"> </w:t>
      </w:r>
      <w:r>
        <w:t xml:space="preserve">modeled on the IBA Rules (Redfern-schedule requests, specific-document identification, relevance/materiality standards, and tribunal authority to order production).</w:t>
      </w:r>
    </w:p>
    <w:p>
      <w:pPr>
        <w:pStyle w:val="Compact"/>
        <w:numPr>
          <w:ilvl w:val="0"/>
          <w:numId w:val="1011"/>
        </w:numPr>
      </w:pPr>
      <w:r>
        <w:rPr>
          <w:b/>
          <w:bCs/>
        </w:rPr>
        <w:t xml:space="preserve">Add robust confidentiality protections</w:t>
      </w:r>
      <w:r>
        <w:t xml:space="preserve"> </w:t>
      </w:r>
      <w:r>
        <w:t xml:space="preserve">— attorneys’-eyes-only access, protective orders, and restrictions on use — to address Pacifica’s legitimate trade-secret concern.</w:t>
      </w:r>
    </w:p>
    <w:p>
      <w:pPr>
        <w:pStyle w:val="Compact"/>
        <w:numPr>
          <w:ilvl w:val="0"/>
          <w:numId w:val="1011"/>
        </w:numPr>
      </w:pPr>
      <w:r>
        <w:rPr>
          <w:b/>
          <w:bCs/>
        </w:rPr>
        <w:t xml:space="preserve">Preserve a specific right to compel production of quality and safety records</w:t>
      </w:r>
      <w:r>
        <w:t xml:space="preserve"> </w:t>
      </w:r>
      <w:r>
        <w:t xml:space="preserve">(batch records, COAs, testing and validation data, reserve samples, OOS investigations) relevant to any quality, contamination, or recall claim.</w:t>
      </w:r>
    </w:p>
    <w:p>
      <w:pPr>
        <w:pStyle w:val="Compact"/>
        <w:numPr>
          <w:ilvl w:val="0"/>
          <w:numId w:val="1011"/>
        </w:numPr>
      </w:pPr>
      <w:r>
        <w:rPr>
          <w:b/>
          <w:bCs/>
        </w:rPr>
        <w:t xml:space="preserve">Harmonize with the QA Letter’s audit and sample-exchange rights</w:t>
      </w:r>
      <w:r>
        <w:t xml:space="preserve"> </w:t>
      </w:r>
      <w:r>
        <w:t xml:space="preserve">so that rights preserved in the QA regime are enforceable in arbitration.</w:t>
      </w:r>
    </w:p>
    <w:p>
      <w:r>
        <w:pict>
          <v:rect style="width:0;height:1.5pt" o:hralign="center" o:hrstd="t" o:hr="t"/>
        </w:pict>
      </w:r>
    </w:p>
    <w:bookmarkEnd w:id="31"/>
    <w:bookmarkEnd w:id="32"/>
    <w:bookmarkStart w:id="36" w:name="medium"/>
    <w:p>
      <w:pPr>
        <w:pStyle w:val="Heading3"/>
      </w:pPr>
      <w:r>
        <w:t xml:space="preserve">MEDIUM</w:t>
      </w:r>
    </w:p>
    <w:bookmarkStart w:id="33" w:name="Xb02f289c420633654a3689c9ec815690f3dd04f"/>
    <w:p>
      <w:pPr>
        <w:pStyle w:val="Heading4"/>
      </w:pPr>
      <w:r>
        <w:t xml:space="preserve">Issue 8 — Expert determination is</w:t>
      </w:r>
      <w:r>
        <w:t xml:space="preserve"> </w:t>
      </w:r>
      <w:r>
        <w:t xml:space="preserve">“</w:t>
      </w:r>
      <w:r>
        <w:t xml:space="preserve">final and binding</w:t>
      </w:r>
      <w:r>
        <w:t xml:space="preserve">”</w:t>
      </w:r>
      <w:r>
        <w:t xml:space="preserve"> </w:t>
      </w:r>
      <w:r>
        <w:t xml:space="preserve">yet freely challengeable, defeating its efficiency rationale</w:t>
      </w:r>
    </w:p>
    <w:p>
      <w:pPr>
        <w:pStyle w:val="FirstParagraph"/>
      </w:pPr>
      <w:r>
        <w:rPr>
          <w:b/>
          <w:bCs/>
        </w:rPr>
        <w:t xml:space="preserve">Provisions:</w:t>
      </w:r>
      <w:r>
        <w:t xml:space="preserve"> </w:t>
      </w:r>
      <w:r>
        <w:t xml:space="preserve">QA §7.1, §7.2.</w:t>
      </w:r>
    </w:p>
    <w:p>
      <w:pPr>
        <w:pStyle w:val="BodyText"/>
      </w:pPr>
      <w:r>
        <w:rPr>
          <w:b/>
          <w:bCs/>
        </w:rPr>
        <w:t xml:space="preserve">Analysis.</w:t>
      </w:r>
      <w:r>
        <w:t xml:space="preserve"> </w:t>
      </w:r>
      <w:r>
        <w:t xml:space="preserve">QA §7.1 provides that the Expert’s determination</w:t>
      </w:r>
      <w:r>
        <w:t xml:space="preserve"> </w:t>
      </w:r>
      <w:r>
        <w:t xml:space="preserve">“</w:t>
      </w:r>
      <w:r>
        <w:t xml:space="preserve">shall be final and binding on the Parties,</w:t>
      </w:r>
      <w:r>
        <w:t xml:space="preserve"> </w:t>
      </w:r>
      <w:r>
        <w:rPr>
          <w:b/>
          <w:bCs/>
        </w:rPr>
        <w:t xml:space="preserve">subject to Section 7.2</w:t>
      </w:r>
      <w:r>
        <w:t xml:space="preserve">.</w:t>
      </w:r>
      <w:r>
        <w:t xml:space="preserve">”</w:t>
      </w:r>
      <w:r>
        <w:t xml:space="preserve"> </w:t>
      </w:r>
      <w:r>
        <w:t xml:space="preserve">QA §7.2 then escalates the dispute to full SIAC arbitration if the dispute exceeds</w:t>
      </w:r>
      <w:r>
        <w:t xml:space="preserve"> </w:t>
      </w:r>
      <w:r>
        <w:rPr>
          <w:b/>
          <w:bCs/>
        </w:rPr>
        <w:t xml:space="preserve">$5,000,000</w:t>
      </w:r>
      <w:r>
        <w:t xml:space="preserve"> </w:t>
      </w:r>
      <w:r>
        <w:rPr>
          <w:b/>
          <w:bCs/>
        </w:rPr>
        <w:t xml:space="preserve">or</w:t>
      </w:r>
      <w:r>
        <w:t xml:space="preserve"> </w:t>
      </w:r>
      <w:r>
        <w:t xml:space="preserve">“</w:t>
      </w:r>
      <w:r>
        <w:t xml:space="preserve">if the expert determination …</w:t>
      </w:r>
      <w:r>
        <w:t xml:space="preserve"> </w:t>
      </w:r>
      <w:r>
        <w:rPr>
          <w:b/>
          <w:bCs/>
        </w:rPr>
        <w:t xml:space="preserve">is challenged by either Party</w:t>
      </w:r>
      <w:r>
        <w:t xml:space="preserve">.</w:t>
      </w:r>
      <w:r>
        <w:t xml:space="preserve">”</w:t>
      </w:r>
      <w:r>
        <w:t xml:space="preserve"> </w:t>
      </w:r>
      <w:r>
        <w:t xml:space="preserve">The challenge trigger is open-ended: there is</w:t>
      </w:r>
      <w:r>
        <w:t xml:space="preserve"> </w:t>
      </w:r>
      <w:r>
        <w:rPr>
          <w:b/>
          <w:bCs/>
        </w:rPr>
        <w:t xml:space="preserve">no standard</w:t>
      </w:r>
      <w:r>
        <w:t xml:space="preserve"> </w:t>
      </w:r>
      <w:r>
        <w:t xml:space="preserve">(e.g., fraud, manifest error, jurisdiction),</w:t>
      </w:r>
      <w:r>
        <w:t xml:space="preserve"> </w:t>
      </w:r>
      <w:r>
        <w:rPr>
          <w:b/>
          <w:bCs/>
        </w:rPr>
        <w:t xml:space="preserve">no time limit</w:t>
      </w:r>
      <w:r>
        <w:t xml:space="preserve">, and</w:t>
      </w:r>
      <w:r>
        <w:t xml:space="preserve"> </w:t>
      </w:r>
      <w:r>
        <w:rPr>
          <w:b/>
          <w:bCs/>
        </w:rPr>
        <w:t xml:space="preserve">no threshold</w:t>
      </w:r>
      <w:r>
        <w:t xml:space="preserve"> </w:t>
      </w:r>
      <w:r>
        <w:t xml:space="preserve">for challenge. In practice, either party can force</w:t>
      </w:r>
      <w:r>
        <w:t xml:space="preserve"> </w:t>
      </w:r>
      <w:r>
        <w:rPr>
          <w:b/>
          <w:bCs/>
        </w:rPr>
        <w:t xml:space="preserve">de novo</w:t>
      </w:r>
      <w:r>
        <w:t xml:space="preserve"> </w:t>
      </w:r>
      <w:r>
        <w:t xml:space="preserve">arbitration of any expert determination simply by</w:t>
      </w:r>
      <w:r>
        <w:t xml:space="preserve"> </w:t>
      </w:r>
      <w:r>
        <w:t xml:space="preserve">“</w:t>
      </w:r>
      <w:r>
        <w:t xml:space="preserve">challenging</w:t>
      </w:r>
      <w:r>
        <w:t xml:space="preserve">”</w:t>
      </w:r>
      <w:r>
        <w:t xml:space="preserve"> </w:t>
      </w:r>
      <w:r>
        <w:t xml:space="preserve">it, which makes the expert determination</w:t>
      </w:r>
      <w:r>
        <w:t xml:space="preserve"> </w:t>
      </w:r>
      <w:r>
        <w:rPr>
          <w:b/>
          <w:bCs/>
        </w:rPr>
        <w:t xml:space="preserve">non-final</w:t>
      </w:r>
      <w:r>
        <w:t xml:space="preserve"> </w:t>
      </w:r>
      <w:r>
        <w:t xml:space="preserve">despite the label — undermining the cost-and-speed rationale Harmon &amp; Grey advances for the tier. The $5M threshold also creates a cliff: single-batch quality disputes (likely under $5M) stay with the expert, while recall-related disputes (likely over $5M) bypass the expert entirely, so the expert tier handles the easy cases and the hard cases go straight to arbitration — the inverse of an efficient design. Finally, §7.1’s statement that quality disputes</w:t>
      </w:r>
      <w:r>
        <w:t xml:space="preserve"> </w:t>
      </w:r>
      <w:r>
        <w:t xml:space="preserve">“</w:t>
      </w:r>
      <w:r>
        <w:t xml:space="preserve">shall be resolved</w:t>
      </w:r>
      <w:r>
        <w:t xml:space="preserve"> </w:t>
      </w:r>
      <w:r>
        <w:rPr>
          <w:b/>
          <w:bCs/>
        </w:rPr>
        <w:t xml:space="preserve">exclusively</w:t>
      </w:r>
      <w:r>
        <w:t xml:space="preserve"> </w:t>
      </w:r>
      <w:r>
        <w:t xml:space="preserve">by expert determination</w:t>
      </w:r>
      <w:r>
        <w:t xml:space="preserve">”</w:t>
      </w:r>
      <w:r>
        <w:t xml:space="preserve"> </w:t>
      </w:r>
      <w:r>
        <w:t xml:space="preserve">is in tension with the §7.2 arbitration escalation.</w:t>
      </w:r>
    </w:p>
    <w:p>
      <w:pPr>
        <w:pStyle w:val="BodyText"/>
      </w:pPr>
      <w:r>
        <w:rPr>
          <w:b/>
          <w:bCs/>
        </w:rPr>
        <w:t xml:space="preserve">Why it matters.</w:t>
      </w:r>
      <w:r>
        <w:t xml:space="preserve"> </w:t>
      </w:r>
      <w:r>
        <w:t xml:space="preserve">The expert-determination tier is unlikely to deliver the finality and cost savings it promises; parties will routinely escalate, duplicating process and cost. The cliff effect and the</w:t>
      </w:r>
      <w:r>
        <w:t xml:space="preserve"> </w:t>
      </w:r>
      <w:r>
        <w:t xml:space="preserve">“</w:t>
      </w:r>
      <w:r>
        <w:t xml:space="preserve">exclusively</w:t>
      </w:r>
      <w:r>
        <w:t xml:space="preserve">”</w:t>
      </w:r>
      <w:r>
        <w:t xml:space="preserve"> </w:t>
      </w:r>
      <w:r>
        <w:t xml:space="preserve">language create interpretive uncertainty.</w:t>
      </w:r>
    </w:p>
    <w:p>
      <w:pPr>
        <w:pStyle w:val="BodyText"/>
      </w:pPr>
      <w:r>
        <w:rPr>
          <w:b/>
          <w:bCs/>
        </w:rPr>
        <w:t xml:space="preserve">Recommendation.</w:t>
      </w:r>
    </w:p>
    <w:p>
      <w:pPr>
        <w:pStyle w:val="Compact"/>
        <w:numPr>
          <w:ilvl w:val="0"/>
          <w:numId w:val="1012"/>
        </w:numPr>
      </w:pPr>
      <w:r>
        <w:rPr>
          <w:b/>
          <w:bCs/>
        </w:rPr>
        <w:t xml:space="preserve">Make expert determination genuinely final and binding</w:t>
      </w:r>
      <w:r>
        <w:t xml:space="preserve"> </w:t>
      </w:r>
      <w:r>
        <w:t xml:space="preserve">below the threshold by limiting challenges to</w:t>
      </w:r>
      <w:r>
        <w:t xml:space="preserve"> </w:t>
      </w:r>
      <w:r>
        <w:rPr>
          <w:b/>
          <w:bCs/>
        </w:rPr>
        <w:t xml:space="preserve">fraud, manifest error, or lack of jurisdiction</w:t>
      </w:r>
      <w:r>
        <w:t xml:space="preserve">, and adding a</w:t>
      </w:r>
      <w:r>
        <w:t xml:space="preserve"> </w:t>
      </w:r>
      <w:r>
        <w:rPr>
          <w:b/>
          <w:bCs/>
        </w:rPr>
        <w:t xml:space="preserve">short challenge window</w:t>
      </w:r>
      <w:r>
        <w:t xml:space="preserve"> </w:t>
      </w:r>
      <w:r>
        <w:t xml:space="preserve">(e.g., 30 days from the determination).</w:t>
      </w:r>
    </w:p>
    <w:p>
      <w:pPr>
        <w:pStyle w:val="Compact"/>
        <w:numPr>
          <w:ilvl w:val="0"/>
          <w:numId w:val="1012"/>
        </w:numPr>
      </w:pPr>
      <w:r>
        <w:rPr>
          <w:b/>
          <w:bCs/>
        </w:rPr>
        <w:t xml:space="preserve">Clarify the $5M threshold</w:t>
      </w:r>
      <w:r>
        <w:t xml:space="preserve"> </w:t>
      </w:r>
      <w:r>
        <w:t xml:space="preserve">(per dispute or aggregate; whether inclusive of recall costs and downstream losses).</w:t>
      </w:r>
    </w:p>
    <w:p>
      <w:pPr>
        <w:pStyle w:val="Compact"/>
        <w:numPr>
          <w:ilvl w:val="0"/>
          <w:numId w:val="1012"/>
        </w:numPr>
      </w:pPr>
      <w:r>
        <w:rPr>
          <w:b/>
          <w:bCs/>
        </w:rPr>
        <w:t xml:space="preserve">Define the escalation standard</w:t>
      </w:r>
      <w:r>
        <w:t xml:space="preserve"> </w:t>
      </w:r>
      <w:r>
        <w:t xml:space="preserve">— whether arbitration is de novo or an appellate review of the expert’s determination.</w:t>
      </w:r>
    </w:p>
    <w:p>
      <w:pPr>
        <w:pStyle w:val="Compact"/>
        <w:numPr>
          <w:ilvl w:val="0"/>
          <w:numId w:val="1012"/>
        </w:numPr>
      </w:pPr>
      <w:r>
        <w:rPr>
          <w:b/>
          <w:bCs/>
        </w:rPr>
        <w:t xml:space="preserve">Reconcile the</w:t>
      </w:r>
      <w:r>
        <w:rPr>
          <w:b/>
          <w:bCs/>
        </w:rPr>
        <w:t xml:space="preserve"> </w:t>
      </w:r>
      <w:r>
        <w:rPr>
          <w:b/>
          <w:bCs/>
        </w:rPr>
        <w:t xml:space="preserve">“</w:t>
      </w:r>
      <w:r>
        <w:rPr>
          <w:b/>
          <w:bCs/>
        </w:rPr>
        <w:t xml:space="preserve">exclusively</w:t>
      </w:r>
      <w:r>
        <w:rPr>
          <w:b/>
          <w:bCs/>
        </w:rPr>
        <w:t xml:space="preserve">”</w:t>
      </w:r>
      <w:r>
        <w:rPr>
          <w:b/>
          <w:bCs/>
        </w:rPr>
        <w:t xml:space="preserve"> </w:t>
      </w:r>
      <w:r>
        <w:rPr>
          <w:b/>
          <w:bCs/>
        </w:rPr>
        <w:t xml:space="preserve">language</w:t>
      </w:r>
      <w:r>
        <w:t xml:space="preserve"> </w:t>
      </w:r>
      <w:r>
        <w:t xml:space="preserve">with the §7.2 escalation so the tier structure is internally coherent.</w:t>
      </w:r>
    </w:p>
    <w:p>
      <w:r>
        <w:pict>
          <v:rect style="width:0;height:1.5pt" o:hralign="center" o:hrstd="t" o:hr="t"/>
        </w:pict>
      </w:r>
    </w:p>
    <w:bookmarkEnd w:id="33"/>
    <w:bookmarkStart w:id="34" w:name="X20a085e9f2a8faead2b6e8fb162cce9a60ab03e"/>
    <w:p>
      <w:pPr>
        <w:pStyle w:val="Heading4"/>
      </w:pPr>
      <w:r>
        <w:t xml:space="preserve">Issue 9 — Indemnification vs. damages-waiver interaction is ambiguous and may erode third-party-claim recovery</w:t>
      </w:r>
    </w:p>
    <w:p>
      <w:pPr>
        <w:pStyle w:val="FirstParagraph"/>
      </w:pPr>
      <w:r>
        <w:rPr>
          <w:b/>
          <w:bCs/>
        </w:rPr>
        <w:t xml:space="preserve">Provisions:</w:t>
      </w:r>
      <w:r>
        <w:t xml:space="preserve"> </w:t>
      </w:r>
      <w:r>
        <w:t xml:space="preserve">SA §14.11 vs. Article 10; SA §11.1, §11.2.</w:t>
      </w:r>
    </w:p>
    <w:p>
      <w:pPr>
        <w:pStyle w:val="BodyText"/>
      </w:pPr>
      <w:r>
        <w:rPr>
          <w:b/>
          <w:bCs/>
        </w:rPr>
        <w:t xml:space="preserve">Analysis.</w:t>
      </w:r>
      <w:r>
        <w:t xml:space="preserve"> </w:t>
      </w:r>
      <w:r>
        <w:t xml:space="preserve">SA Article 10 indemnification</w:t>
      </w:r>
      <w:r>
        <w:t xml:space="preserve"> </w:t>
      </w:r>
      <w:r>
        <w:rPr>
          <w:b/>
          <w:bCs/>
        </w:rPr>
        <w:t xml:space="preserve">survives</w:t>
      </w:r>
      <w:r>
        <w:t xml:space="preserve"> </w:t>
      </w:r>
      <w:r>
        <w:t xml:space="preserve">termination (§13.5) and is</w:t>
      </w:r>
      <w:r>
        <w:t xml:space="preserve"> </w:t>
      </w:r>
      <w:r>
        <w:rPr>
          <w:b/>
          <w:bCs/>
        </w:rPr>
        <w:t xml:space="preserve">carved out</w:t>
      </w:r>
      <w:r>
        <w:t xml:space="preserve"> </w:t>
      </w:r>
      <w:r>
        <w:t xml:space="preserve">of both the liability cap (§11.1) and the damages exclusion (§11.2) — signaling that indemnification is intended to be Greenleaf’s primary recourse for third-party claims (consumer, retailer, regulatory). But SA §14.11 states that the tribunal</w:t>
      </w:r>
      <w:r>
        <w:t xml:space="preserve"> </w:t>
      </w:r>
      <w:r>
        <w:t xml:space="preserve">“</w:t>
      </w:r>
      <w:r>
        <w:t xml:space="preserve">shall not have the authority to award … consequential damages</w:t>
      </w:r>
      <w:r>
        <w:t xml:space="preserve">”</w:t>
      </w:r>
      <w:r>
        <w:t xml:space="preserve"> </w:t>
      </w:r>
      <w:r>
        <w:t xml:space="preserve">— a</w:t>
      </w:r>
      <w:r>
        <w:t xml:space="preserve"> </w:t>
      </w:r>
      <w:r>
        <w:rPr>
          <w:b/>
          <w:bCs/>
        </w:rPr>
        <w:t xml:space="preserve">blanket prohibition</w:t>
      </w:r>
      <w:r>
        <w:t xml:space="preserve"> </w:t>
      </w:r>
      <w:r>
        <w:t xml:space="preserve">that, read literally, could bar consequential damages</w:t>
      </w:r>
      <w:r>
        <w:t xml:space="preserve"> </w:t>
      </w:r>
      <w:r>
        <w:rPr>
          <w:b/>
          <w:bCs/>
        </w:rPr>
        <w:t xml:space="preserve">even when sought through indemnification</w:t>
      </w:r>
      <w:r>
        <w:t xml:space="preserve">. Third-party claims frequently include consequential elements (a retailer’s lost profits, a consumer’s economic losses) that flow through to the indemnitor. If §14.11 limits the tribunal’s authority to award those damages, the indemnification protection — Greenleaf’s main shield for the recall/third-party-claim scenario — is materially eroded, and the §11.2 indemnification carve-out is rendered partly hollow in the arbitral forum.</w:t>
      </w:r>
    </w:p>
    <w:p>
      <w:pPr>
        <w:pStyle w:val="BodyText"/>
      </w:pPr>
      <w:r>
        <w:rPr>
          <w:b/>
          <w:bCs/>
        </w:rPr>
        <w:t xml:space="preserve">Why it matters.</w:t>
      </w:r>
      <w:r>
        <w:t xml:space="preserve"> </w:t>
      </w:r>
      <w:r>
        <w:t xml:space="preserve">The interaction is ambiguous and could defeat the indemnification regime that the liability provisions otherwise preserve. This compounds Issue 2’s remedies problem for the third-party-claim scenario.</w:t>
      </w:r>
    </w:p>
    <w:p>
      <w:pPr>
        <w:pStyle w:val="BodyText"/>
      </w:pPr>
      <w:r>
        <w:rPr>
          <w:b/>
          <w:bCs/>
        </w:rPr>
        <w:t xml:space="preserve">Recommendation.</w:t>
      </w:r>
    </w:p>
    <w:p>
      <w:pPr>
        <w:pStyle w:val="Compact"/>
        <w:numPr>
          <w:ilvl w:val="0"/>
          <w:numId w:val="1013"/>
        </w:numPr>
      </w:pPr>
      <w:r>
        <w:rPr>
          <w:b/>
          <w:bCs/>
        </w:rPr>
        <w:t xml:space="preserve">Add an express carve-out in §14.11</w:t>
      </w:r>
      <w:r>
        <w:t xml:space="preserve"> </w:t>
      </w:r>
      <w:r>
        <w:t xml:space="preserve">for damages recoverable through indemnification, including third-party consequential damages.</w:t>
      </w:r>
    </w:p>
    <w:p>
      <w:pPr>
        <w:pStyle w:val="Compact"/>
        <w:numPr>
          <w:ilvl w:val="0"/>
          <w:numId w:val="1013"/>
        </w:numPr>
      </w:pPr>
      <w:r>
        <w:rPr>
          <w:b/>
          <w:bCs/>
        </w:rPr>
        <w:t xml:space="preserve">Clarify</w:t>
      </w:r>
      <w:r>
        <w:t xml:space="preserve"> </w:t>
      </w:r>
      <w:r>
        <w:t xml:space="preserve">that §14.11 does not limit indemnification obligations or the categories of</w:t>
      </w:r>
      <w:r>
        <w:t xml:space="preserve"> </w:t>
      </w:r>
      <w:r>
        <w:t xml:space="preserve">“</w:t>
      </w:r>
      <w:r>
        <w:t xml:space="preserve">Losses</w:t>
      </w:r>
      <w:r>
        <w:t xml:space="preserve">”</w:t>
      </w:r>
      <w:r>
        <w:t xml:space="preserve"> </w:t>
      </w:r>
      <w:r>
        <w:t xml:space="preserve">indemnifiable under Article 10.</w:t>
      </w:r>
    </w:p>
    <w:p>
      <w:pPr>
        <w:pStyle w:val="Compact"/>
        <w:numPr>
          <w:ilvl w:val="0"/>
          <w:numId w:val="1013"/>
        </w:numPr>
      </w:pPr>
      <w:r>
        <w:rPr>
          <w:b/>
          <w:bCs/>
        </w:rPr>
        <w:t xml:space="preserve">Reconcile §11.2’s indemnification carve-out</w:t>
      </w:r>
      <w:r>
        <w:t xml:space="preserve"> </w:t>
      </w:r>
      <w:r>
        <w:t xml:space="preserve">with §14.11 so the survival of indemnification is consistent across the cap, the damages exclusion, and the arbitral remedial limit.</w:t>
      </w:r>
    </w:p>
    <w:p>
      <w:r>
        <w:pict>
          <v:rect style="width:0;height:1.5pt" o:hralign="center" o:hrstd="t" o:hr="t"/>
        </w:pict>
      </w:r>
    </w:p>
    <w:bookmarkEnd w:id="34"/>
    <w:bookmarkStart w:id="35" w:name="Xabb46f119a8146296bb395d091c0b256bf0fe92"/>
    <w:p>
      <w:pPr>
        <w:pStyle w:val="Heading4"/>
      </w:pPr>
      <w:r>
        <w:t xml:space="preserve">Issue 10 — Inconsistent costs/fee-shifting and tribunal-size provisions across the documents</w:t>
      </w:r>
    </w:p>
    <w:p>
      <w:pPr>
        <w:pStyle w:val="FirstParagraph"/>
      </w:pPr>
      <w:r>
        <w:rPr>
          <w:b/>
          <w:bCs/>
        </w:rPr>
        <w:t xml:space="preserve">Provisions:</w:t>
      </w:r>
      <w:r>
        <w:t xml:space="preserve"> </w:t>
      </w:r>
      <w:r>
        <w:t xml:space="preserve">SA §14.8, §14.3; IPLA §9.4, §9.1; QA §7.2.</w:t>
      </w:r>
    </w:p>
    <w:p>
      <w:pPr>
        <w:pStyle w:val="BodyText"/>
      </w:pPr>
      <w:r>
        <w:rPr>
          <w:b/>
          <w:bCs/>
        </w:rPr>
        <w:t xml:space="preserve">Analysis.</w:t>
      </w:r>
      <w:r>
        <w:t xml:space="preserve"> </w:t>
      </w:r>
      <w:r>
        <w:t xml:space="preserve">Two sets of inconsistencies create uncertainty for multi-agreement disputes:</w:t>
      </w:r>
    </w:p>
    <w:p>
      <w:pPr>
        <w:pStyle w:val="Compact"/>
        <w:numPr>
          <w:ilvl w:val="0"/>
          <w:numId w:val="1014"/>
        </w:numPr>
      </w:pPr>
      <w:r>
        <w:rPr>
          <w:b/>
          <w:bCs/>
        </w:rPr>
        <w:t xml:space="preserve">Costs / fee-shifting.</w:t>
      </w:r>
      <w:r>
        <w:t xml:space="preserve"> </w:t>
      </w:r>
      <w:r>
        <w:t xml:space="preserve">The SA applies full</w:t>
      </w:r>
      <w:r>
        <w:t xml:space="preserve"> </w:t>
      </w:r>
      <w:r>
        <w:rPr>
          <w:b/>
          <w:bCs/>
        </w:rPr>
        <w:t xml:space="preserve">loser-pays</w:t>
      </w:r>
      <w:r>
        <w:t xml:space="preserve"> </w:t>
      </w:r>
      <w:r>
        <w:t xml:space="preserve">(the losing party bears all costs including the prevailing party’s reasonable attorneys’ fees); the IPLA applies the</w:t>
      </w:r>
      <w:r>
        <w:t xml:space="preserve"> </w:t>
      </w:r>
      <w:r>
        <w:rPr>
          <w:b/>
          <w:bCs/>
        </w:rPr>
        <w:t xml:space="preserve">American rule</w:t>
      </w:r>
      <w:r>
        <w:t xml:space="preserve"> </w:t>
      </w:r>
      <w:r>
        <w:t xml:space="preserve">(each party bears its own costs, with arbitrator/LCIA fees shared equally unless the tribunal decides); the QA expert tier has each party bearing its own costs with shared expert/SIAC fees; and the QA arbitration tier is</w:t>
      </w:r>
      <w:r>
        <w:t xml:space="preserve"> </w:t>
      </w:r>
      <w:r>
        <w:rPr>
          <w:b/>
          <w:bCs/>
        </w:rPr>
        <w:t xml:space="preserve">silent</w:t>
      </w:r>
      <w:r>
        <w:t xml:space="preserve"> </w:t>
      </w:r>
      <w:r>
        <w:t xml:space="preserve">(defaulting to SIAC Rules discretion). For a consolidated dispute, it is unclear which cost rule applies, and the SA’s full loser-pays is aggressive enough to</w:t>
      </w:r>
      <w:r>
        <w:t xml:space="preserve"> </w:t>
      </w:r>
      <w:r>
        <w:rPr>
          <w:b/>
          <w:bCs/>
        </w:rPr>
        <w:t xml:space="preserve">deter legitimate claims</w:t>
      </w:r>
      <w:r>
        <w:t xml:space="preserve"> </w:t>
      </w:r>
      <w:r>
        <w:t xml:space="preserve">or be wielded strategically by a better-resourced party.</w:t>
      </w:r>
    </w:p>
    <w:p>
      <w:pPr>
        <w:pStyle w:val="Compact"/>
        <w:numPr>
          <w:ilvl w:val="0"/>
          <w:numId w:val="1014"/>
        </w:numPr>
      </w:pPr>
      <w:r>
        <w:rPr>
          <w:b/>
          <w:bCs/>
        </w:rPr>
        <w:t xml:space="preserve">Tribunal size.</w:t>
      </w:r>
      <w:r>
        <w:t xml:space="preserve"> </w:t>
      </w:r>
      <w:r>
        <w:t xml:space="preserve">The SA provides for</w:t>
      </w:r>
      <w:r>
        <w:t xml:space="preserve"> </w:t>
      </w:r>
      <w:r>
        <w:rPr>
          <w:b/>
          <w:bCs/>
        </w:rPr>
        <w:t xml:space="preserve">one</w:t>
      </w:r>
      <w:r>
        <w:t xml:space="preserve"> </w:t>
      </w:r>
      <w:r>
        <w:t xml:space="preserve">arbitrator</w:t>
      </w:r>
      <w:r>
        <w:t xml:space="preserve"> </w:t>
      </w:r>
      <w:r>
        <w:rPr>
          <w:b/>
          <w:bCs/>
        </w:rPr>
        <w:t xml:space="preserve">unless either party requests three</w:t>
      </w:r>
      <w:r>
        <w:t xml:space="preserve"> </w:t>
      </w:r>
      <w:r>
        <w:t xml:space="preserve">within 15 days of the Request for Arbitration — a</w:t>
      </w:r>
      <w:r>
        <w:t xml:space="preserve"> </w:t>
      </w:r>
      <w:r>
        <w:rPr>
          <w:b/>
          <w:bCs/>
        </w:rPr>
        <w:t xml:space="preserve">unilateral escalation lever</w:t>
      </w:r>
      <w:r>
        <w:t xml:space="preserve"> </w:t>
      </w:r>
      <w:r>
        <w:t xml:space="preserve">by which either party can force a costlier, slower three-arbitrator panel with no showing of complexity or value. The IPLA fixes</w:t>
      </w:r>
      <w:r>
        <w:t xml:space="preserve"> </w:t>
      </w:r>
      <w:r>
        <w:rPr>
          <w:b/>
          <w:bCs/>
        </w:rPr>
        <w:t xml:space="preserve">one</w:t>
      </w:r>
      <w:r>
        <w:t xml:space="preserve">; the QA arbitration tier fixes</w:t>
      </w:r>
      <w:r>
        <w:t xml:space="preserve"> </w:t>
      </w:r>
      <w:r>
        <w:rPr>
          <w:b/>
          <w:bCs/>
        </w:rPr>
        <w:t xml:space="preserve">three</w:t>
      </w:r>
      <w:r>
        <w:t xml:space="preserve">. Inconsistent tribunal sizing across the suite complicates any consolidation and creates tactical asymmetry.</w:t>
      </w:r>
    </w:p>
    <w:p>
      <w:pPr>
        <w:pStyle w:val="FirstParagraph"/>
      </w:pPr>
      <w:r>
        <w:rPr>
          <w:b/>
          <w:bCs/>
        </w:rPr>
        <w:t xml:space="preserve">Why it matters.</w:t>
      </w:r>
      <w:r>
        <w:t xml:space="preserve"> </w:t>
      </w:r>
      <w:r>
        <w:t xml:space="preserve">Inconsistency produces unpredictability and cost in exactly the multi-agreement disputes the architecture makes likely. The unilateral three-arbitrator lever and the full loser-pays rule each create tactical exposure.</w:t>
      </w:r>
    </w:p>
    <w:p>
      <w:pPr>
        <w:pStyle w:val="BodyText"/>
      </w:pPr>
      <w:r>
        <w:rPr>
          <w:b/>
          <w:bCs/>
        </w:rPr>
        <w:t xml:space="preserve">Recommendation.</w:t>
      </w:r>
    </w:p>
    <w:p>
      <w:pPr>
        <w:pStyle w:val="Compact"/>
        <w:numPr>
          <w:ilvl w:val="0"/>
          <w:numId w:val="1015"/>
        </w:numPr>
      </w:pPr>
      <w:r>
        <w:rPr>
          <w:b/>
          <w:bCs/>
        </w:rPr>
        <w:t xml:space="preserve">Harmonize costs allocation</w:t>
      </w:r>
      <w:r>
        <w:t xml:space="preserve"> </w:t>
      </w:r>
      <w:r>
        <w:t xml:space="preserve">across the suite — recommend tribunal discretion with a reasonableness standard, or a consistent loser-pays rule with a reasonableness cap — and</w:t>
      </w:r>
      <w:r>
        <w:t xml:space="preserve"> </w:t>
      </w:r>
      <w:r>
        <w:rPr>
          <w:b/>
          <w:bCs/>
        </w:rPr>
        <w:t xml:space="preserve">specify the cost rule for the QA arbitration tier</w:t>
      </w:r>
      <w:r>
        <w:t xml:space="preserve">.</w:t>
      </w:r>
    </w:p>
    <w:p>
      <w:pPr>
        <w:pStyle w:val="Compact"/>
        <w:numPr>
          <w:ilvl w:val="0"/>
          <w:numId w:val="1015"/>
        </w:numPr>
      </w:pPr>
      <w:r>
        <w:rPr>
          <w:b/>
          <w:bCs/>
        </w:rPr>
        <w:t xml:space="preserve">Harmonize tribunal size</w:t>
      </w:r>
      <w:r>
        <w:t xml:space="preserve">, ideally tied to claim value (e.g., one arbitrator below a threshold, three above).</w:t>
      </w:r>
    </w:p>
    <w:p>
      <w:pPr>
        <w:pStyle w:val="Compact"/>
        <w:numPr>
          <w:ilvl w:val="0"/>
          <w:numId w:val="1015"/>
        </w:numPr>
      </w:pPr>
      <w:r>
        <w:rPr>
          <w:b/>
          <w:bCs/>
        </w:rPr>
        <w:t xml:space="preserve">Remove or condition the unilateral three-arbitrator escalation</w:t>
      </w:r>
      <w:r>
        <w:t xml:space="preserve"> </w:t>
      </w:r>
      <w:r>
        <w:t xml:space="preserve">in SA §14.3 (e.g., require mutual consent or a value/complexity threshold) so a single party cannot force a costlier panel.</w:t>
      </w:r>
    </w:p>
    <w:p>
      <w:r>
        <w:pict>
          <v:rect style="width:0;height:1.5pt" o:hralign="center" o:hrstd="t" o:hr="t"/>
        </w:pict>
      </w:r>
    </w:p>
    <w:bookmarkEnd w:id="35"/>
    <w:bookmarkEnd w:id="36"/>
    <w:bookmarkStart w:id="39" w:name="low"/>
    <w:p>
      <w:pPr>
        <w:pStyle w:val="Heading3"/>
      </w:pPr>
      <w:r>
        <w:t xml:space="preserve">LOW</w:t>
      </w:r>
    </w:p>
    <w:bookmarkStart w:id="37" w:name="Xea8350d4408cd43878cde8b4d9c31ca9bd32d5a"/>
    <w:p>
      <w:pPr>
        <w:pStyle w:val="Heading4"/>
      </w:pPr>
      <w:r>
        <w:t xml:space="preserve">Issue 11 — Seat/venue split, interim-relief breadth, and confidentiality carve-out (generally acceptable; minor harmonization)</w:t>
      </w:r>
    </w:p>
    <w:p>
      <w:pPr>
        <w:pStyle w:val="FirstParagraph"/>
      </w:pPr>
      <w:r>
        <w:rPr>
          <w:b/>
          <w:bCs/>
        </w:rPr>
        <w:t xml:space="preserve">Provisions:</w:t>
      </w:r>
      <w:r>
        <w:t xml:space="preserve"> </w:t>
      </w:r>
      <w:r>
        <w:t xml:space="preserve">SA §14.2, §14.7, §14.10.</w:t>
      </w:r>
    </w:p>
    <w:p>
      <w:pPr>
        <w:pStyle w:val="BodyText"/>
      </w:pPr>
      <w:r>
        <w:rPr>
          <w:b/>
          <w:bCs/>
        </w:rPr>
        <w:t xml:space="preserve">Analysis.</w:t>
      </w:r>
      <w:r>
        <w:t xml:space="preserve"> </w:t>
      </w:r>
      <w:r>
        <w:t xml:space="preserve">Three provisions are largely acceptable but warrant minor attention:</w:t>
      </w:r>
    </w:p>
    <w:p>
      <w:pPr>
        <w:pStyle w:val="Compact"/>
        <w:numPr>
          <w:ilvl w:val="0"/>
          <w:numId w:val="1016"/>
        </w:numPr>
      </w:pPr>
      <w:r>
        <w:rPr>
          <w:b/>
          <w:bCs/>
        </w:rPr>
        <w:t xml:space="preserve">Seat/venue split (§14.2).</w:t>
      </w:r>
      <w:r>
        <w:t xml:space="preserve"> </w:t>
      </w:r>
      <w:r>
        <w:t xml:space="preserve">A Singapore juridical seat with London as the physical hearing venue is a routine and well-established arrangement; the seat/venue distinction is sound, and Singapore is a New York Convention signatory with a pro-arbitration curial framework (IAA / Model Law). The clause clearly designates the seat.</w:t>
      </w:r>
      <w:r>
        <w:t xml:space="preserve"> </w:t>
      </w:r>
      <w:r>
        <w:rPr>
          <w:b/>
          <w:bCs/>
        </w:rPr>
        <w:t xml:space="preserve">No change required</w:t>
      </w:r>
      <w:r>
        <w:t xml:space="preserve">, though if the architecture is unified (Issue 3), the venue should be reconsidered for consistency.</w:t>
      </w:r>
    </w:p>
    <w:p>
      <w:pPr>
        <w:pStyle w:val="Compact"/>
        <w:numPr>
          <w:ilvl w:val="0"/>
          <w:numId w:val="1016"/>
        </w:numPr>
      </w:pPr>
      <w:r>
        <w:rPr>
          <w:b/>
          <w:bCs/>
        </w:rPr>
        <w:t xml:space="preserve">Interim relief (§14.7).</w:t>
      </w:r>
      <w:r>
        <w:t xml:space="preserve"> </w:t>
      </w:r>
      <w:r>
        <w:t xml:space="preserve">Preserving each party’s right to seek injunctive/equitable relief from</w:t>
      </w:r>
      <w:r>
        <w:t xml:space="preserve"> </w:t>
      </w:r>
      <w:r>
        <w:t xml:space="preserve">“</w:t>
      </w:r>
      <w:r>
        <w:t xml:space="preserve">any court of competent jurisdiction worldwide</w:t>
      </w:r>
      <w:r>
        <w:t xml:space="preserve">”</w:t>
      </w:r>
      <w:r>
        <w:t xml:space="preserve"> </w:t>
      </w:r>
      <w:r>
        <w:t xml:space="preserve">is standard and necessary (e.g., to protect IP or address an urgent supply/public-health matter). The breadth creates minor forum-shopping risk and a possibility of inconsistent interim orders across jurisdictions. Consider narrowing to courts at the seat or where assets are located.</w:t>
      </w:r>
    </w:p>
    <w:p>
      <w:pPr>
        <w:pStyle w:val="Compact"/>
        <w:numPr>
          <w:ilvl w:val="0"/>
          <w:numId w:val="1016"/>
        </w:numPr>
      </w:pPr>
      <w:r>
        <w:rPr>
          <w:b/>
          <w:bCs/>
        </w:rPr>
        <w:t xml:space="preserve">Confidentiality (§14.10).</w:t>
      </w:r>
      <w:r>
        <w:t xml:space="preserve"> </w:t>
      </w:r>
      <w:r>
        <w:t xml:space="preserve">The carve-out permitting disclosure</w:t>
      </w:r>
      <w:r>
        <w:t xml:space="preserve"> </w:t>
      </w:r>
      <w:r>
        <w:t xml:space="preserve">“</w:t>
      </w:r>
      <w:r>
        <w:t xml:space="preserve">as required by applicable law or regulation</w:t>
      </w:r>
      <w:r>
        <w:t xml:space="preserve">”</w:t>
      </w:r>
      <w:r>
        <w:t xml:space="preserve"> </w:t>
      </w:r>
      <w:r>
        <w:t xml:space="preserve">lacks the</w:t>
      </w:r>
      <w:r>
        <w:t xml:space="preserve"> </w:t>
      </w:r>
      <w:r>
        <w:rPr>
          <w:b/>
          <w:bCs/>
        </w:rPr>
        <w:t xml:space="preserve">notice and protective-order cooperation safeguards</w:t>
      </w:r>
      <w:r>
        <w:t xml:space="preserve"> </w:t>
      </w:r>
      <w:r>
        <w:t xml:space="preserve">that the SA’s own confidentiality article (§12.2(e)) requires. The asymmetry is minor but should be harmonized.</w:t>
      </w:r>
    </w:p>
    <w:p>
      <w:pPr>
        <w:pStyle w:val="FirstParagraph"/>
      </w:pPr>
      <w:r>
        <w:rPr>
          <w:b/>
          <w:bCs/>
        </w:rPr>
        <w:t xml:space="preserve">Recommendation.</w:t>
      </w:r>
      <w:r>
        <w:t xml:space="preserve"> </w:t>
      </w:r>
      <w:r>
        <w:t xml:space="preserve">Add notice and protective-order cooperation to the §14.10 carve-out (mirroring §12.2(e)); consider narrowing §14.7 to the seat and asset-location courts; confirm seat-designation clarity if the architecture is unified. Otherwise acceptable.</w:t>
      </w:r>
    </w:p>
    <w:p>
      <w:r>
        <w:pict>
          <v:rect style="width:0;height:1.5pt" o:hralign="center" o:hrstd="t" o:hr="t"/>
        </w:pict>
      </w:r>
    </w:p>
    <w:bookmarkEnd w:id="37"/>
    <w:bookmarkStart w:id="38" w:name="Xd4e9696947d8e41e884598744e391e58cc0c5f2"/>
    <w:p>
      <w:pPr>
        <w:pStyle w:val="Heading4"/>
      </w:pPr>
      <w:r>
        <w:t xml:space="preserve">Issue 12 — No pre-arbitration escalation / mediation step</w:t>
      </w:r>
    </w:p>
    <w:p>
      <w:pPr>
        <w:pStyle w:val="FirstParagraph"/>
      </w:pPr>
      <w:r>
        <w:rPr>
          <w:b/>
          <w:bCs/>
        </w:rPr>
        <w:t xml:space="preserve">Provisions:</w:t>
      </w:r>
      <w:r>
        <w:t xml:space="preserve"> </w:t>
      </w:r>
      <w:r>
        <w:t xml:space="preserve">All three agreements (none requires negotiation or mediation before arbitration, other than the QA Letter’s expert-determination step for quality disputes).</w:t>
      </w:r>
    </w:p>
    <w:p>
      <w:pPr>
        <w:pStyle w:val="BodyText"/>
      </w:pPr>
      <w:r>
        <w:rPr>
          <w:b/>
          <w:bCs/>
        </w:rPr>
        <w:t xml:space="preserve">Analysis.</w:t>
      </w:r>
      <w:r>
        <w:t xml:space="preserve"> </w:t>
      </w:r>
      <w:r>
        <w:t xml:space="preserve">The suite contains no executive-negotiation or mediation step before arbitration for commercial disputes (the QA Letter’s expert tier serves a related but narrower function for technical quality issues). A brief, structured escalation step (senior-executive negotiation, optionally followed by mediation) is common in long-term supply agreements and can resolve many disputes cheaply and preserve the commercial relationship — particularly valuable in a 7-to-13-year exclusive arrangement where the parties are commercially interdependent.</w:t>
      </w:r>
    </w:p>
    <w:p>
      <w:pPr>
        <w:pStyle w:val="BodyText"/>
      </w:pPr>
      <w:r>
        <w:rPr>
          <w:b/>
          <w:bCs/>
        </w:rPr>
        <w:t xml:space="preserve">Recommendation.</w:t>
      </w:r>
      <w:r>
        <w:t xml:space="preserve"> </w:t>
      </w:r>
      <w:r>
        <w:t xml:space="preserve">Optional and low priority — add a short executive-negotiation period (e.g., 30 days) and/or a mediation step before arbitration for commercial (non-quality) disputes. This is an efficiency enhancement, not a defect.</w:t>
      </w:r>
    </w:p>
    <w:p>
      <w:r>
        <w:pict>
          <v:rect style="width:0;height:1.5pt" o:hralign="center" o:hrstd="t" o:hr="t"/>
        </w:pict>
      </w:r>
    </w:p>
    <w:bookmarkEnd w:id="38"/>
    <w:bookmarkEnd w:id="39"/>
    <w:bookmarkEnd w:id="40"/>
    <w:bookmarkStart w:id="41" w:name="v.-consolidated-negotiation-priorities"/>
    <w:p>
      <w:pPr>
        <w:pStyle w:val="Heading2"/>
      </w:pPr>
      <w:r>
        <w:t xml:space="preserve">V. Consolidated Negotiation Priorities</w:t>
      </w:r>
    </w:p>
    <w:p>
      <w:pPr>
        <w:pStyle w:val="FirstParagraph"/>
      </w:pPr>
      <w:r>
        <w:t xml:space="preserve">The following sequencing aligns the recommendations with the Greenleaf team’s stated priorities while front-loading the structural fixes that reduce enforceability risk for</w:t>
      </w:r>
      <w:r>
        <w:t xml:space="preserve"> </w:t>
      </w:r>
      <w:r>
        <w:rPr>
          <w:b/>
          <w:bCs/>
        </w:rPr>
        <w:t xml:space="preserve">both</w:t>
      </w:r>
      <w:r>
        <w:t xml:space="preserve"> </w:t>
      </w:r>
      <w:r>
        <w:t xml:space="preserve">parties:</w:t>
      </w:r>
    </w:p>
    <w:p>
      <w:pPr>
        <w:pStyle w:val="Compact"/>
        <w:numPr>
          <w:ilvl w:val="0"/>
          <w:numId w:val="1017"/>
        </w:numPr>
      </w:pPr>
      <w:r>
        <w:rPr>
          <w:b/>
          <w:bCs/>
        </w:rPr>
        <w:t xml:space="preserve">Unify the dispute-resolution architecture and reconcile the conflict/consolidation clauses</w:t>
      </w:r>
      <w:r>
        <w:t xml:space="preserve"> </w:t>
      </w:r>
      <w:r>
        <w:t xml:space="preserve">(Issues 1 and 3). This is the structural prerequisite: it eliminates the pathological-clause risk, simplifies U.S. enforcement, and makes every other issue easier to resolve on a consistent foundation. Recommend a single institution (SIAC or ICC) and seat (Singapore), with one governing law and a workable joinder/consolidation mechanism.</w:t>
      </w:r>
    </w:p>
    <w:p>
      <w:pPr>
        <w:pStyle w:val="Compact"/>
        <w:numPr>
          <w:ilvl w:val="0"/>
          <w:numId w:val="1017"/>
        </w:numPr>
      </w:pPr>
      <w:r>
        <w:rPr>
          <w:b/>
          <w:bCs/>
        </w:rPr>
        <w:t xml:space="preserve">Restructure the remedies regime</w:t>
      </w:r>
      <w:r>
        <w:t xml:space="preserve"> </w:t>
      </w:r>
      <w:r>
        <w:t xml:space="preserve">— carve out / cap the consequential-damages waiver, reconcile QA §6.6, and resolve the indemnification interaction (Issues 2 and 9). This is Greenleaf’s stated top priority and a potential dealbreaker; it also benefits Pacifica by reducing UCC § 2-719</w:t>
      </w:r>
      <w:r>
        <w:t xml:space="preserve"> </w:t>
      </w:r>
      <w:r>
        <w:t xml:space="preserve">“</w:t>
      </w:r>
      <w:r>
        <w:t xml:space="preserve">fail of essential purpose</w:t>
      </w:r>
      <w:r>
        <w:t xml:space="preserve">”</w:t>
      </w:r>
      <w:r>
        <w:t xml:space="preserve"> </w:t>
      </w:r>
      <w:r>
        <w:t xml:space="preserve">/ unconscionability invalidation risk.</w:t>
      </w:r>
    </w:p>
    <w:p>
      <w:pPr>
        <w:pStyle w:val="Compact"/>
        <w:numPr>
          <w:ilvl w:val="0"/>
          <w:numId w:val="1017"/>
        </w:numPr>
      </w:pPr>
      <w:r>
        <w:rPr>
          <w:b/>
          <w:bCs/>
        </w:rPr>
        <w:t xml:space="preserve">Add a joinder / non-signatory mechanism</w:t>
      </w:r>
      <w:r>
        <w:t xml:space="preserve"> </w:t>
      </w:r>
      <w:r>
        <w:t xml:space="preserve">for co-manufacturers and align future co-man agreements (Issue 4). Greenleaf’s stated Priority 2; structural to its business model and the most likely dispute type.</w:t>
      </w:r>
    </w:p>
    <w:p>
      <w:pPr>
        <w:pStyle w:val="Compact"/>
        <w:numPr>
          <w:ilvl w:val="0"/>
          <w:numId w:val="1017"/>
        </w:numPr>
      </w:pPr>
      <w:r>
        <w:rPr>
          <w:b/>
          <w:bCs/>
        </w:rPr>
        <w:t xml:space="preserve">Fix the limitation period and the discovery regime</w:t>
      </w:r>
      <w:r>
        <w:t xml:space="preserve"> </w:t>
      </w:r>
      <w:r>
        <w:t xml:space="preserve">(Issues 5 and 7). Greenleaf’s stated additional items; both bear directly on Greenleaf’s ability to bring and prove quality claims.</w:t>
      </w:r>
    </w:p>
    <w:p>
      <w:pPr>
        <w:pStyle w:val="Compact"/>
        <w:numPr>
          <w:ilvl w:val="0"/>
          <w:numId w:val="1017"/>
        </w:numPr>
      </w:pPr>
      <w:r>
        <w:rPr>
          <w:b/>
          <w:bCs/>
        </w:rPr>
        <w:t xml:space="preserve">Resolve the appeal-on-law provision</w:t>
      </w:r>
      <w:r>
        <w:t xml:space="preserve"> </w:t>
      </w:r>
      <w:r>
        <w:t xml:space="preserve">(Issue 6). Restores finality and removes a post-award challenge vector; confirm with Singapore-qualified counsel.</w:t>
      </w:r>
    </w:p>
    <w:p>
      <w:pPr>
        <w:pStyle w:val="Compact"/>
        <w:numPr>
          <w:ilvl w:val="0"/>
          <w:numId w:val="1017"/>
        </w:numPr>
      </w:pPr>
      <w:r>
        <w:rPr>
          <w:b/>
          <w:bCs/>
        </w:rPr>
        <w:t xml:space="preserve">Harmonize the remaining provisions</w:t>
      </w:r>
      <w:r>
        <w:t xml:space="preserve"> </w:t>
      </w:r>
      <w:r>
        <w:t xml:space="preserve">— expert-determination finality, costs/tribunal size, and the minor provisions (Issues 8, 10, 11, 12).</w:t>
      </w:r>
    </w:p>
    <w:p>
      <w:r>
        <w:pict>
          <v:rect style="width:0;height:1.5pt" o:hralign="center" o:hrstd="t" o:hr="t"/>
        </w:pict>
      </w:r>
    </w:p>
    <w:bookmarkEnd w:id="41"/>
    <w:bookmarkStart w:id="42" w:name="vi.-note-on-u.s.-enforceability"/>
    <w:p>
      <w:pPr>
        <w:pStyle w:val="Heading2"/>
      </w:pPr>
      <w:r>
        <w:t xml:space="preserve">VI. Note on U.S. Enforceability</w:t>
      </w:r>
    </w:p>
    <w:p>
      <w:pPr>
        <w:pStyle w:val="FirstParagraph"/>
      </w:pPr>
      <w:r>
        <w:t xml:space="preserve">Greenleaf’s threshold concern is the ability to enforce any arbitral award in the United States — principally in</w:t>
      </w:r>
      <w:r>
        <w:t xml:space="preserve"> </w:t>
      </w:r>
      <w:r>
        <w:rPr>
          <w:b/>
          <w:bCs/>
        </w:rPr>
        <w:t xml:space="preserve">North Carolina</w:t>
      </w:r>
      <w:r>
        <w:t xml:space="preserve"> </w:t>
      </w:r>
      <w:r>
        <w:t xml:space="preserve">(principal office) and</w:t>
      </w:r>
      <w:r>
        <w:t xml:space="preserve"> </w:t>
      </w:r>
      <w:r>
        <w:rPr>
          <w:b/>
          <w:bCs/>
        </w:rPr>
        <w:t xml:space="preserve">Delaware</w:t>
      </w:r>
      <w:r>
        <w:t xml:space="preserve"> </w:t>
      </w:r>
      <w:r>
        <w:t xml:space="preserve">(state of incorporation). On the current package:</w:t>
      </w:r>
    </w:p>
    <w:p>
      <w:pPr>
        <w:pStyle w:val="Compact"/>
        <w:numPr>
          <w:ilvl w:val="0"/>
          <w:numId w:val="1018"/>
        </w:numPr>
      </w:pPr>
      <w:r>
        <w:t xml:space="preserve">The</w:t>
      </w:r>
      <w:r>
        <w:t xml:space="preserve"> </w:t>
      </w:r>
      <w:r>
        <w:rPr>
          <w:b/>
          <w:bCs/>
        </w:rPr>
        <w:t xml:space="preserve">Singapore seat is acceptable</w:t>
      </w:r>
      <w:r>
        <w:t xml:space="preserve"> </w:t>
      </w:r>
      <w:r>
        <w:t xml:space="preserve">for U.S. enforcement: Singapore is a New York Convention signatory, and awards are recognizable under</w:t>
      </w:r>
      <w:r>
        <w:t xml:space="preserve"> </w:t>
      </w:r>
      <w:r>
        <w:rPr>
          <w:b/>
          <w:bCs/>
        </w:rPr>
        <w:t xml:space="preserve">FAA Chapter 2</w:t>
      </w:r>
      <w:r>
        <w:t xml:space="preserve"> </w:t>
      </w:r>
      <w:r>
        <w:t xml:space="preserve">in both North Carolina and Delaware federal courts. The seat itself is not an obstacle.</w:t>
      </w:r>
    </w:p>
    <w:p>
      <w:pPr>
        <w:pStyle w:val="Compact"/>
        <w:numPr>
          <w:ilvl w:val="0"/>
          <w:numId w:val="1018"/>
        </w:numPr>
      </w:pPr>
      <w:r>
        <w:t xml:space="preserve">The</w:t>
      </w:r>
      <w:r>
        <w:t xml:space="preserve"> </w:t>
      </w:r>
      <w:r>
        <w:rPr>
          <w:b/>
          <w:bCs/>
        </w:rPr>
        <w:t xml:space="preserve">real enforceability risks are internal</w:t>
      </w:r>
      <w:r>
        <w:t xml:space="preserve">: the pathological/competing forum clauses (Issue 1), the statutory appeal right that delays finality (Issue 6), and the limitation period at the UCC floor (Issue 5). Resolving Issues 1, 5, and 6 substantially addresses the U.S. enforcement concern and, in particular, avoids a repeat of the 14-month enforcement delay Pacifica experienced in 2023.</w:t>
      </w:r>
    </w:p>
    <w:p>
      <w:pPr>
        <w:pStyle w:val="Compact"/>
        <w:numPr>
          <w:ilvl w:val="0"/>
          <w:numId w:val="1018"/>
        </w:numPr>
      </w:pPr>
      <w:r>
        <w:t xml:space="preserve">We recommend that Whitfield &amp; Crane confirm FAA Chapter 2 / New York Convention recognition mechanics in the Fourth Circuit (North Carolina) and the Third Circuit (Delaware) and confirm that no clause feature creates an avoidable obstacle to entry of judgment on the award.</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dispute-resolution framework reflects thoughtful subject-matter matching but, as executed across three separately drafted agreements, contains two Critical defects (a pathological clause from conflicting forum/consolidation provisions, and a remedies regime that strips Greenleaf of its principal losses in the most likely dispute scenario) and five High defects (fragmented architecture, no joinder mechanism, a floor-level limitation period, an appeal right that undermines finality, and a discovery bar that impairs quality claims). Several of these recreate the very enforcement-delay and challenge risks Harmon &amp; Grey was retained to avoid. The recommendations above are designed to produce a unified, enforceable, and commercially balanced dispute-resolution framework before the July 18, 2025 signing and August 1, 2025 effective date. We are available to discuss any of these issues and to assist in preparing redlines for negotiation with Harmon &amp; Grey.</w:t>
      </w:r>
    </w:p>
    <w:p>
      <w:r>
        <w:pict>
          <v:rect style="width:0;height:1.5pt" o:hralign="center" o:hrstd="t" o:hr="t"/>
        </w:pict>
      </w:r>
    </w:p>
    <w:p>
      <w:pPr>
        <w:pStyle w:val="FirstParagraph"/>
      </w:pPr>
      <w:r>
        <w:rPr>
          <w:i/>
          <w:iCs/>
        </w:rPr>
        <w:t xml:space="preserve">Prepared on the basis of the five documents identified in Part I. This memorandum is provided to facilitate negotiation and does not constitute a formal opinion on Singapore, English, or New York law; questions of foreign-law enforceability (particularly the SA §14.6 appeal mechanism and the SA §14.9 limitation period) should be confirmed with qualified counsel in the relevant jurisdiction.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2026-06-29T00:37:48Z</dcterms:created>
  <dcterms:modified xsi:type="dcterms:W3CDTF">2026-06-29T00:37:48Z</dcterms:modified>
</cp:coreProperties>
</file>

<file path=docProps/custom.xml><?xml version="1.0" encoding="utf-8"?>
<Properties xmlns="http://schemas.openxmlformats.org/officeDocument/2006/custom-properties" xmlns:vt="http://schemas.openxmlformats.org/officeDocument/2006/docPropsVTypes"/>
</file>