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emorandum"/>
    <w:p>
      <w:pPr>
        <w:pStyle w:val="Heading1"/>
      </w:pPr>
      <w:r>
        <w:t xml:space="preserve">MEMORANDUM</w:t>
      </w:r>
    </w:p>
    <w:p>
      <w:pPr>
        <w:pStyle w:val="FirstParagraph"/>
      </w:pPr>
      <w:r>
        <w:rPr>
          <w:b/>
          <w:bCs/>
        </w:rPr>
        <w:t xml:space="preserve">PRIVILEGED AND CONFIDENTIAL — ATTORNEY WORK PRODUCT / PREPARED IN ANTICIPATION OF LITIGATION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Arbitration File — AAA Case No. 01-24-0003217</w:t>
            </w:r>
          </w:p>
        </w:tc>
      </w:tr>
      <w:tr>
        <w:tc>
          <w:tcPr/>
          <w:p>
            <w:pPr>
              <w:pStyle w:val="Compact"/>
              <w:jc w:val="left"/>
            </w:pPr>
            <w:r>
              <w:rPr>
                <w:b/>
                <w:bCs/>
              </w:rPr>
              <w:t xml:space="preserve">FROM:</w:t>
            </w:r>
          </w:p>
        </w:tc>
        <w:tc>
          <w:tcPr/>
          <w:p>
            <w:pPr>
              <w:pStyle w:val="Compact"/>
              <w:jc w:val="left"/>
            </w:pPr>
            <w:r>
              <w:t xml:space="preserve">Analyzing Counsel</w:t>
            </w:r>
          </w:p>
        </w:tc>
      </w:tr>
      <w:tr>
        <w:tc>
          <w:tcPr/>
          <w:p>
            <w:pPr>
              <w:pStyle w:val="Compact"/>
              <w:jc w:val="left"/>
            </w:pPr>
            <w:r>
              <w:rPr>
                <w:b/>
                <w:bCs/>
              </w:rPr>
              <w:t xml:space="preserve">DATE:</w:t>
            </w:r>
          </w:p>
        </w:tc>
        <w:tc>
          <w:tcPr/>
          <w:p>
            <w:pPr>
              <w:pStyle w:val="Compact"/>
              <w:jc w:val="left"/>
            </w:pPr>
            <w:r>
              <w:t xml:space="preserve">June 20, 2024</w:t>
            </w:r>
          </w:p>
        </w:tc>
      </w:tr>
      <w:tr>
        <w:tc>
          <w:tcPr/>
          <w:p>
            <w:pPr>
              <w:pStyle w:val="Compact"/>
              <w:jc w:val="left"/>
            </w:pPr>
            <w:r>
              <w:rPr>
                <w:b/>
                <w:bCs/>
              </w:rPr>
              <w:t xml:space="preserve">RE:</w:t>
            </w:r>
          </w:p>
        </w:tc>
        <w:tc>
          <w:tcPr/>
          <w:p>
            <w:pPr>
              <w:pStyle w:val="Compact"/>
              <w:jc w:val="left"/>
            </w:pPr>
            <w:r>
              <w:t xml:space="preserve">Assessment of Grounds for Challenge to the Appointment of Hon. Margaret R. Fairhaven (Ret.) as Sole Arbitrator —</w:t>
            </w:r>
            <w:r>
              <w:t xml:space="preserve"> </w:t>
            </w:r>
            <w:r>
              <w:rPr>
                <w:i/>
                <w:iCs/>
              </w:rPr>
              <w:t xml:space="preserve">Cascade Thermal Systems Inc. v. Whitmore Capital Partners LLC</w:t>
            </w:r>
          </w:p>
        </w:tc>
      </w:tr>
    </w:tbl>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assesses whether grounds exist to challenge the appointment of Hon. Margaret R. Fairhaven (Ret.) as Sole Arbitrator in the above-captioned arbitration, based on a comparison of her Arbitrator Disclosure Statement dated June 17, 2024 against the other source documents in the file. The documents reviewed are:</w:t>
      </w:r>
    </w:p>
    <w:p>
      <w:pPr>
        <w:pStyle w:val="Compact"/>
        <w:numPr>
          <w:ilvl w:val="0"/>
          <w:numId w:val="1001"/>
        </w:numPr>
      </w:pPr>
      <w:r>
        <w:rPr>
          <w:b/>
          <w:bCs/>
        </w:rPr>
        <w:t xml:space="preserve">Arbitrator Disclosure Statement</w:t>
      </w:r>
      <w:r>
        <w:t xml:space="preserve"> </w:t>
      </w:r>
      <w:r>
        <w:t xml:space="preserve">(June 17, 2024);</w:t>
      </w:r>
    </w:p>
    <w:p>
      <w:pPr>
        <w:pStyle w:val="Compact"/>
        <w:numPr>
          <w:ilvl w:val="0"/>
          <w:numId w:val="1001"/>
        </w:numPr>
      </w:pPr>
      <w:r>
        <w:rPr>
          <w:b/>
          <w:bCs/>
        </w:rPr>
        <w:t xml:space="preserve">Arbitration Demand and Statement of Claims</w:t>
      </w:r>
      <w:r>
        <w:t xml:space="preserve"> </w:t>
      </w:r>
      <w:r>
        <w:t xml:space="preserve">(March 15, 2024);</w:t>
      </w:r>
    </w:p>
    <w:p>
      <w:pPr>
        <w:pStyle w:val="Compact"/>
        <w:numPr>
          <w:ilvl w:val="0"/>
          <w:numId w:val="1001"/>
        </w:numPr>
      </w:pPr>
      <w:r>
        <w:rPr>
          <w:b/>
          <w:bCs/>
        </w:rPr>
        <w:t xml:space="preserve">AAA Commercial Arbitration Rules — Selected Excerpts</w:t>
      </w:r>
      <w:r>
        <w:t xml:space="preserve"> </w:t>
      </w:r>
      <w:r>
        <w:t xml:space="preserve">(Rules R-1, R-12, R-16, R-17, R-18, R-19, R-20, R-24, R-35, R-48);</w:t>
      </w:r>
    </w:p>
    <w:p>
      <w:pPr>
        <w:pStyle w:val="Compact"/>
        <w:numPr>
          <w:ilvl w:val="0"/>
          <w:numId w:val="1001"/>
        </w:numPr>
      </w:pPr>
      <w:r>
        <w:rPr>
          <w:b/>
          <w:bCs/>
        </w:rPr>
        <w:t xml:space="preserve">Entity and Relationship Profiles</w:t>
      </w:r>
      <w:r>
        <w:t xml:space="preserve"> </w:t>
      </w:r>
      <w:r>
        <w:t xml:space="preserve">— internal research memorandum (June 19, 2024); and</w:t>
      </w:r>
    </w:p>
    <w:p>
      <w:pPr>
        <w:pStyle w:val="Compact"/>
        <w:numPr>
          <w:ilvl w:val="0"/>
          <w:numId w:val="1001"/>
        </w:numPr>
      </w:pPr>
      <w:r>
        <w:rPr>
          <w:b/>
          <w:bCs/>
        </w:rPr>
        <w:t xml:space="preserve">Arbitrator Appointment Data</w:t>
      </w:r>
      <w:r>
        <w:t xml:space="preserve"> </w:t>
      </w:r>
      <w:r>
        <w:t xml:space="preserve">(spreadsheet: Case List, Fee Summary, Pending Matters).</w:t>
      </w:r>
    </w:p>
    <w:p>
      <w:pPr>
        <w:pStyle w:val="FirstParagraph"/>
      </w:pPr>
      <w:r>
        <w:t xml:space="preserve">The arbitrator’s disclosure identifies the parties, counsel, and certain prior and pending arbitrations, and certifies that it</w:t>
      </w:r>
      <w:r>
        <w:t xml:space="preserve"> </w:t>
      </w:r>
      <w:r>
        <w:t xml:space="preserve">“</w:t>
      </w:r>
      <w:r>
        <w:t xml:space="preserve">represents all circumstances known to me that might give rise to justifiable doubt as to my impartiality or independence.</w:t>
      </w:r>
      <w:r>
        <w:t xml:space="preserve">”</w:t>
      </w:r>
      <w:r>
        <w:t xml:space="preserve"> </w:t>
      </w:r>
      <w:r>
        <w:t xml:space="preserve">Cross-referencing the disclosure against the entity-relationship research and the appointment dataset reveals multiple connections that were</w:t>
      </w:r>
      <w:r>
        <w:t xml:space="preserve"> </w:t>
      </w:r>
      <w:r>
        <w:rPr>
          <w:b/>
          <w:bCs/>
        </w:rPr>
        <w:t xml:space="preserve">not</w:t>
      </w:r>
      <w:r>
        <w:t xml:space="preserve"> </w:t>
      </w:r>
      <w:r>
        <w:t xml:space="preserve">disclosed, and at least one disclosed connection that appears</w:t>
      </w:r>
      <w:r>
        <w:t xml:space="preserve"> </w:t>
      </w:r>
      <w:r>
        <w:rPr>
          <w:b/>
          <w:bCs/>
        </w:rPr>
        <w:t xml:space="preserve">incomplete</w:t>
      </w:r>
      <w:r>
        <w:t xml:space="preserve">. This memorandum catalogs those connections, evaluates each against the governing disclosure and challenge standards, and offers a recommendation.</w:t>
      </w:r>
    </w:p>
    <w:bookmarkEnd w:id="20"/>
    <w:bookmarkStart w:id="21" w:name="X66452098e0a7cbcccd55d6529f2a92470671aef"/>
    <w:p>
      <w:pPr>
        <w:pStyle w:val="Heading2"/>
      </w:pPr>
      <w:r>
        <w:t xml:space="preserve">II. Procedural Posture and Governing Standards</w:t>
      </w:r>
    </w:p>
    <w:p>
      <w:pPr>
        <w:pStyle w:val="FirstParagraph"/>
      </w:pPr>
      <w:r>
        <w:rPr>
          <w:b/>
          <w:bCs/>
        </w:rPr>
        <w:t xml:space="preserve">A. Key dates.</w:t>
      </w:r>
      <w:r>
        <w:t xml:space="preserve"> </w:t>
      </w:r>
      <w:r>
        <w:t xml:space="preserve">The parties selected Judge Fairhaven on June 3, 2024; the AAA confirmed her appointment on June 10, 2024; and she submitted her disclosure on June 17, 2024. Under AAA Commercial Arbitration Rule R-18(a), any challenge must be made by written notice to the AAA and the other party, stating the grounds with specificity, within seven (7) calendar days after the appointment was communicated to the challenging party or after the circumstances giving rise to the challenge became known or should reasonably have become known, whichever is later. The arbitrator’s disclosure sets the deadline as</w:t>
      </w:r>
      <w:r>
        <w:t xml:space="preserve"> </w:t>
      </w:r>
      <w:r>
        <w:rPr>
          <w:b/>
          <w:bCs/>
        </w:rPr>
        <w:t xml:space="preserve">June 24, 2024</w:t>
      </w:r>
      <w:r>
        <w:t xml:space="preserve">. The preliminary hearing is scheduled for August 5, 2024; the evidentiary hearing is set for January 13 through February 7, 2025.</w:t>
      </w:r>
    </w:p>
    <w:p>
      <w:pPr>
        <w:pStyle w:val="BodyText"/>
      </w:pPr>
      <w:r>
        <w:rPr>
          <w:b/>
          <w:bCs/>
        </w:rPr>
        <w:t xml:space="preserve">B. The disclosure standard.</w:t>
      </w:r>
      <w:r>
        <w:t xml:space="preserve"> </w:t>
      </w:r>
      <w:r>
        <w:t xml:space="preserve">Rule R-16 provides that the obligation to disclose</w:t>
      </w:r>
      <w:r>
        <w:t xml:space="preserve"> </w:t>
      </w:r>
      <w:r>
        <w:t xml:space="preserve">“</w:t>
      </w:r>
      <w:r>
        <w:t xml:space="preserve">shall be construed broadly to further the goal of ensuring that arbitrators are and remain impartial and independent,</w:t>
      </w:r>
      <w:r>
        <w:t xml:space="preserve">”</w:t>
      </w:r>
      <w:r>
        <w:t xml:space="preserve"> </w:t>
      </w:r>
      <w:r>
        <w:t xml:space="preserve">and that the</w:t>
      </w:r>
      <w:r>
        <w:t xml:space="preserve"> </w:t>
      </w:r>
      <w:r>
        <w:t xml:space="preserve">“</w:t>
      </w:r>
      <w:r>
        <w:t xml:space="preserve">justifiable doubt</w:t>
      </w:r>
      <w:r>
        <w:t xml:space="preserve">”</w:t>
      </w:r>
      <w:r>
        <w:t xml:space="preserve"> </w:t>
      </w:r>
      <w:r>
        <w:t xml:space="preserve">standard</w:t>
      </w:r>
      <w:r>
        <w:t xml:space="preserve"> </w:t>
      </w:r>
      <w:r>
        <w:t xml:space="preserve">“</w:t>
      </w:r>
      <w:r>
        <w:t xml:space="preserve">is intended to encompass all circumstances that a reasonable person would consider relevant in evaluating an arbitrator’s ability to render a fair and unbiased determination.</w:t>
      </w:r>
      <w:r>
        <w:t xml:space="preserve">”</w:t>
      </w:r>
      <w:r>
        <w:t xml:space="preserve"> </w:t>
      </w:r>
      <w:r>
        <w:t xml:space="preserve">Rule R-17(a) enumerates four disclosure categories:</w:t>
      </w:r>
    </w:p>
    <w:p>
      <w:pPr>
        <w:pStyle w:val="Compact"/>
        <w:numPr>
          <w:ilvl w:val="0"/>
          <w:numId w:val="1002"/>
        </w:numPr>
      </w:pPr>
      <w:r>
        <w:rPr>
          <w:b/>
          <w:bCs/>
        </w:rPr>
        <w:t xml:space="preserve">(i)</w:t>
      </w:r>
      <w:r>
        <w:t xml:space="preserve"> </w:t>
      </w:r>
      <w:r>
        <w:t xml:space="preserve">Any known direct or indirect financial or personal interest in the outcome, including any interest</w:t>
      </w:r>
      <w:r>
        <w:t xml:space="preserve"> </w:t>
      </w:r>
      <w:r>
        <w:t xml:space="preserve">“</w:t>
      </w:r>
      <w:r>
        <w:t xml:space="preserve">in any entity that may be affected by the result of the proceeding</w:t>
      </w:r>
      <w:r>
        <w:t xml:space="preserve">”</w:t>
      </w:r>
      <w:r>
        <w:t xml:space="preserve">;</w:t>
      </w:r>
    </w:p>
    <w:p>
      <w:pPr>
        <w:pStyle w:val="Compact"/>
        <w:numPr>
          <w:ilvl w:val="0"/>
          <w:numId w:val="1002"/>
        </w:numPr>
      </w:pPr>
      <w:r>
        <w:rPr>
          <w:b/>
          <w:bCs/>
        </w:rPr>
        <w:t xml:space="preserve">(ii)</w:t>
      </w:r>
      <w:r>
        <w:t xml:space="preserve"> </w:t>
      </w:r>
      <w:r>
        <w:t xml:space="preserve">Any existing or past financial, business, professional, family, or social relationship with any party, counsel, representative, or witness likely to affect impartiality or that might</w:t>
      </w:r>
      <w:r>
        <w:t xml:space="preserve"> </w:t>
      </w:r>
      <w:r>
        <w:t xml:space="preserve">“</w:t>
      </w:r>
      <w:r>
        <w:t xml:space="preserve">reasonably create an appearance of partiality or bias,</w:t>
      </w:r>
      <w:r>
        <w:t xml:space="preserve">”</w:t>
      </w:r>
      <w:r>
        <w:t xml:space="preserve"> </w:t>
      </w:r>
      <w:r>
        <w:t xml:space="preserve">expressly including relationships arising from</w:t>
      </w:r>
      <w:r>
        <w:t xml:space="preserve"> </w:t>
      </w:r>
      <w:r>
        <w:t xml:space="preserve">“</w:t>
      </w:r>
      <w:r>
        <w:t xml:space="preserve">professional association, joint ventures, board memberships, academic collaboration, or regular social contact</w:t>
      </w:r>
      <w:r>
        <w:t xml:space="preserve">”</w:t>
      </w:r>
      <w:r>
        <w:t xml:space="preserve">;</w:t>
      </w:r>
    </w:p>
    <w:p>
      <w:pPr>
        <w:pStyle w:val="Compact"/>
        <w:numPr>
          <w:ilvl w:val="0"/>
          <w:numId w:val="1002"/>
        </w:numPr>
      </w:pPr>
      <w:r>
        <w:rPr>
          <w:b/>
          <w:bCs/>
        </w:rPr>
        <w:t xml:space="preserve">(iii)</w:t>
      </w:r>
      <w:r>
        <w:t xml:space="preserve"> </w:t>
      </w:r>
      <w:r>
        <w:t xml:space="preserve">Any prior or pending cases in which the arbitrator has been involved with any party, counsel, or representative, in any capacity and before any institution; and</w:t>
      </w:r>
    </w:p>
    <w:p>
      <w:pPr>
        <w:pStyle w:val="Compact"/>
        <w:numPr>
          <w:ilvl w:val="0"/>
          <w:numId w:val="1002"/>
        </w:numPr>
      </w:pPr>
      <w:r>
        <w:rPr>
          <w:b/>
          <w:bCs/>
        </w:rPr>
        <w:t xml:space="preserve">(iv)</w:t>
      </w:r>
      <w:r>
        <w:t xml:space="preserve"> </w:t>
      </w:r>
      <w:r>
        <w:t xml:space="preserve">A broad catch-all for</w:t>
      </w:r>
      <w:r>
        <w:t xml:space="preserve"> </w:t>
      </w:r>
      <w:r>
        <w:t xml:space="preserve">“</w:t>
      </w:r>
      <w:r>
        <w:t xml:space="preserve">any other circumstances that might cause a reasonable party to question the arbitrator’s ability to render a fair and impartial determination,</w:t>
      </w:r>
      <w:r>
        <w:t xml:space="preserve">”</w:t>
      </w:r>
      <w:r>
        <w:t xml:space="preserve"> </w:t>
      </w:r>
      <w:r>
        <w:t xml:space="preserve">including</w:t>
      </w:r>
      <w:r>
        <w:t xml:space="preserve"> </w:t>
      </w:r>
      <w:r>
        <w:t xml:space="preserve">“</w:t>
      </w:r>
      <w:r>
        <w:t xml:space="preserve">prior publications, public statements, or expressed views on legal or factual issues relevant to the dispute.</w:t>
      </w:r>
      <w:r>
        <w:t xml:space="preserve">”</w:t>
      </w:r>
    </w:p>
    <w:p>
      <w:pPr>
        <w:pStyle w:val="FirstParagraph"/>
      </w:pPr>
      <w:r>
        <w:rPr>
          <w:b/>
          <w:bCs/>
        </w:rPr>
        <w:t xml:space="preserve">C. Continuing duty and consequences of non-disclosure.</w:t>
      </w:r>
      <w:r>
        <w:t xml:space="preserve"> </w:t>
      </w:r>
      <w:r>
        <w:t xml:space="preserve">Rule R-17(b) makes disclosure a continuing obligation. Rule R-17(d) provides that failure to make complete and timely disclosures</w:t>
      </w:r>
      <w:r>
        <w:t xml:space="preserve"> </w:t>
      </w:r>
      <w:r>
        <w:t xml:space="preserve">“</w:t>
      </w:r>
      <w:r>
        <w:t xml:space="preserve">may result in the arbitrator’s removal</w:t>
      </w:r>
      <w:r>
        <w:t xml:space="preserve">”</w:t>
      </w:r>
      <w:r>
        <w:t xml:space="preserve"> </w:t>
      </w:r>
      <w:r>
        <w:t xml:space="preserve">under R-18 and</w:t>
      </w:r>
      <w:r>
        <w:t xml:space="preserve"> </w:t>
      </w:r>
      <w:r>
        <w:t xml:space="preserve">“</w:t>
      </w:r>
      <w:r>
        <w:t xml:space="preserve">may constitute grounds for vacatur of any resulting award under applicable law, including but not limited to Section 10 of the Federal Arbitration Act (9 U.S.C. § 10).</w:t>
      </w:r>
      <w:r>
        <w:t xml:space="preserve">”</w:t>
      </w:r>
      <w:r>
        <w:t xml:space="preserve"> </w:t>
      </w:r>
      <w:r>
        <w:t xml:space="preserve">The AAA may, in its discretion, request supplemental disclosure before acting on a challenge.</w:t>
      </w:r>
    </w:p>
    <w:p>
      <w:pPr>
        <w:pStyle w:val="BodyText"/>
      </w:pPr>
      <w:r>
        <w:rPr>
          <w:b/>
          <w:bCs/>
        </w:rPr>
        <w:t xml:space="preserve">D. The challenge procedure.</w:t>
      </w:r>
      <w:r>
        <w:t xml:space="preserve"> </w:t>
      </w:r>
      <w:r>
        <w:t xml:space="preserve">Rule R-18(a)–(e) governs challenges. If the other party does not agree and the arbitrator does not voluntarily withdraw, the AAA decides the challenge on an administrative basis, considering</w:t>
      </w:r>
      <w:r>
        <w:t xml:space="preserve"> </w:t>
      </w:r>
      <w:r>
        <w:t xml:space="preserve">“</w:t>
      </w:r>
      <w:r>
        <w:t xml:space="preserve">the circumstances disclosed by the arbitrator, the disclosures required but not made, the grounds stated in the challenge, any responses received,</w:t>
      </w:r>
      <w:r>
        <w:t xml:space="preserve">”</w:t>
      </w:r>
      <w:r>
        <w:t xml:space="preserve"> </w:t>
      </w:r>
      <w:r>
        <w:t xml:space="preserve">and other relevant information. The AAA’s decision is not appealable within the AAA process, but Rule R-18(e) preserves a party’s right to seek vacatur under FAA § 10 or applicable state law on grounds of</w:t>
      </w:r>
      <w:r>
        <w:t xml:space="preserve"> </w:t>
      </w:r>
      <w:r>
        <w:t xml:space="preserve">“</w:t>
      </w:r>
      <w:r>
        <w:t xml:space="preserve">evident partiality.</w:t>
      </w:r>
      <w:r>
        <w:t xml:space="preserve">”</w:t>
      </w:r>
      <w:r>
        <w:t xml:space="preserve"> </w:t>
      </w:r>
      <w:r>
        <w:t xml:space="preserve">Rule R-18(f) provides that a party that fails to make a timely challenge waives grounds then known, but does</w:t>
      </w:r>
      <w:r>
        <w:t xml:space="preserve"> </w:t>
      </w:r>
      <w:r>
        <w:rPr>
          <w:b/>
          <w:bCs/>
        </w:rPr>
        <w:t xml:space="preserve">not</w:t>
      </w:r>
      <w:r>
        <w:t xml:space="preserve"> </w:t>
      </w:r>
      <w:r>
        <w:t xml:space="preserve">waive grounds that</w:t>
      </w:r>
      <w:r>
        <w:t xml:space="preserve"> </w:t>
      </w:r>
      <w:r>
        <w:t xml:space="preserve">“</w:t>
      </w:r>
      <w:r>
        <w:t xml:space="preserve">were not and could not reasonably have been known at the time of the deadline.</w:t>
      </w:r>
      <w:r>
        <w:t xml:space="preserve">”</w:t>
      </w:r>
    </w:p>
    <w:p>
      <w:pPr>
        <w:pStyle w:val="BodyText"/>
      </w:pPr>
      <w:r>
        <w:rPr>
          <w:b/>
          <w:bCs/>
        </w:rPr>
        <w:t xml:space="preserve">E. Supplementary authorities.</w:t>
      </w:r>
      <w:r>
        <w:t xml:space="preserve"> </w:t>
      </w:r>
      <w:r>
        <w:t xml:space="preserve">The rules excerpts’ Editor’s Note directs attention to the AAA/ABA Code of Ethics for Arbitrators in Commercial Disputes (Canon II — disclosure obligations), the IBA Guidelines on Conflicts of Interest in International Arbitration (General Standards; Non-Waivable Red List, Waivable Red List, Orange List, and Green List), and FAA § 10(a)(2) (vacatur for</w:t>
      </w:r>
      <w:r>
        <w:t xml:space="preserve"> </w:t>
      </w:r>
      <w:r>
        <w:t xml:space="preserve">“</w:t>
      </w:r>
      <w:r>
        <w:t xml:space="preserve">evident partiality or corruption</w:t>
      </w:r>
      <w:r>
        <w:t xml:space="preserve">”</w:t>
      </w:r>
      <w:r>
        <w:t xml:space="preserve">). The IBA Guidelines are a useful analytical framework: the Non-Waivable Red List captures disqualifying financial interests and managerial roles; the Waivable Red List and Orange List capture relationships (including repeat appointments, social and professional contacts, and family relationships) that require disclosure and party waiver; the Green List captures trivial matters not requiring disclosure. Under IBA General Standard 6, the arbitrator’s family relationships are imputed to the arbitrator.</w:t>
      </w:r>
    </w:p>
    <w:bookmarkEnd w:id="21"/>
    <w:bookmarkStart w:id="22" w:name="iii.-executive-summary"/>
    <w:p>
      <w:pPr>
        <w:pStyle w:val="Heading2"/>
      </w:pPr>
      <w:r>
        <w:t xml:space="preserve">III. Executive Summary</w:t>
      </w:r>
    </w:p>
    <w:p>
      <w:pPr>
        <w:pStyle w:val="FirstParagraph"/>
      </w:pPr>
      <w:r>
        <w:t xml:space="preserve">Cross-referencing the disclosure against the entity-relationship research and the appointment dataset identifies</w:t>
      </w:r>
      <w:r>
        <w:t xml:space="preserve"> </w:t>
      </w:r>
      <w:r>
        <w:rPr>
          <w:b/>
          <w:bCs/>
        </w:rPr>
        <w:t xml:space="preserve">five categories of connection that were not disclosed</w:t>
      </w:r>
      <w:r>
        <w:t xml:space="preserve">,</w:t>
      </w:r>
      <w:r>
        <w:t xml:space="preserve"> </w:t>
      </w:r>
      <w:r>
        <w:rPr>
          <w:b/>
          <w:bCs/>
        </w:rPr>
        <w:t xml:space="preserve">one disclosed connection that appears incomplete</w:t>
      </w:r>
      <w:r>
        <w:t xml:space="preserve">, and a</w:t>
      </w:r>
      <w:r>
        <w:t xml:space="preserve"> </w:t>
      </w:r>
      <w:r>
        <w:rPr>
          <w:b/>
          <w:bCs/>
        </w:rPr>
        <w:t xml:space="preserve">pattern of non-disclosure</w:t>
      </w:r>
      <w:r>
        <w:t xml:space="preserve"> </w:t>
      </w:r>
      <w:r>
        <w:t xml:space="preserve">with respect to prior arbitrations involving the parties’ counsel. The principal findings are:</w:t>
      </w:r>
    </w:p>
    <w:p>
      <w:pPr>
        <w:numPr>
          <w:ilvl w:val="0"/>
          <w:numId w:val="1003"/>
        </w:numPr>
      </w:pPr>
      <w:r>
        <w:rPr>
          <w:b/>
          <w:bCs/>
        </w:rPr>
        <w:t xml:space="preserve">Indirect financial interest (undisclosed).</w:t>
      </w:r>
      <w:r>
        <w:t xml:space="preserve"> </w:t>
      </w:r>
      <w:r>
        <w:t xml:space="preserve">The arbitrator’s portfolio is managed by Northbridge Wealth Advisors, which also manages the Northbridge Select Alternatives Fund — a fund-of-funds that, per its March 2024 filing, holds a 2.3% limited partner interest in Whitmore Fund II LP. Whitmore Fund II LP owns Volaris Manufacturing Group LLC, the direct beneficiary of the disputed below-market license. The arbitrator’s statement that she holds</w:t>
      </w:r>
      <w:r>
        <w:t xml:space="preserve"> </w:t>
      </w:r>
      <w:r>
        <w:t xml:space="preserve">“</w:t>
      </w:r>
      <w:r>
        <w:t xml:space="preserve">no direct equity positions in any party</w:t>
      </w:r>
      <w:r>
        <w:t xml:space="preserve">”</w:t>
      </w:r>
      <w:r>
        <w:t xml:space="preserve"> </w:t>
      </w:r>
      <w:r>
        <w:t xml:space="preserve">does not address this indirect, fund-of-funds exposure.</w:t>
      </w:r>
    </w:p>
    <w:p>
      <w:pPr>
        <w:numPr>
          <w:ilvl w:val="0"/>
          <w:numId w:val="1003"/>
        </w:numPr>
      </w:pPr>
      <w:r>
        <w:rPr>
          <w:b/>
          <w:bCs/>
        </w:rPr>
        <w:t xml:space="preserve">Spouse’s co-authorship with the claimant’s key expert witness (undisclosed).</w:t>
      </w:r>
      <w:r>
        <w:t xml:space="preserve"> </w:t>
      </w:r>
      <w:r>
        <w:t xml:space="preserve">The arbitrator’s husband, Dr. Alan Fairhaven, co-authored a peer-reviewed paper with Dr. Rita Peshkov — Cascade’s VP of R&amp;D and the claimant’s anticipated key expert witness — published in the</w:t>
      </w:r>
      <w:r>
        <w:t xml:space="preserve"> </w:t>
      </w:r>
      <w:r>
        <w:rPr>
          <w:i/>
          <w:iCs/>
        </w:rPr>
        <w:t xml:space="preserve">Journal of Advanced Thermal Engineering</w:t>
      </w:r>
      <w:r>
        <w:t xml:space="preserve"> </w:t>
      </w:r>
      <w:r>
        <w:t xml:space="preserve">(Vol. 42, Issue 3, September 2022), on a topic (phase-change heat exchangers in industrial applications) directly relevant to the ThermalCore technology at issue.</w:t>
      </w:r>
    </w:p>
    <w:p>
      <w:pPr>
        <w:numPr>
          <w:ilvl w:val="0"/>
          <w:numId w:val="1003"/>
        </w:numPr>
      </w:pPr>
      <w:r>
        <w:rPr>
          <w:b/>
          <w:bCs/>
        </w:rPr>
        <w:t xml:space="preserve">Co-panelist relationship with the respondent’s lead counsel (undisclosed).</w:t>
      </w:r>
      <w:r>
        <w:t xml:space="preserve"> </w:t>
      </w:r>
      <w:r>
        <w:t xml:space="preserve">On October 14, 2023, the arbitrator and Dominic Hargrave (lead counsel for respondent Whitmore) served as co-panelists at a Lakeview Dispute Resolution Center CLE titled</w:t>
      </w:r>
      <w:r>
        <w:t xml:space="preserve"> </w:t>
      </w:r>
      <w:r>
        <w:t xml:space="preserve">“</w:t>
      </w:r>
      <w:r>
        <w:t xml:space="preserve">Arbitrating Complex IP Licensing Disputes</w:t>
      </w:r>
      <w:r>
        <w:t xml:space="preserve">”</w:t>
      </w:r>
      <w:r>
        <w:t xml:space="preserve"> </w:t>
      </w:r>
      <w:r>
        <w:t xml:space="preserve">— a topic directly germane to this arbitration.</w:t>
      </w:r>
    </w:p>
    <w:p>
      <w:pPr>
        <w:numPr>
          <w:ilvl w:val="0"/>
          <w:numId w:val="1003"/>
        </w:numPr>
      </w:pPr>
      <w:r>
        <w:rPr>
          <w:b/>
          <w:bCs/>
        </w:rPr>
        <w:t xml:space="preserve">Shared organizational service with the respondent’s principal (undisclosed).</w:t>
      </w:r>
      <w:r>
        <w:t xml:space="preserve"> </w:t>
      </w:r>
      <w:r>
        <w:t xml:space="preserve">The arbitrator serves on the advisory board of the Minnesota ADR Ethics Institute; the respondent’s founder and managing partner, Garrett T. Whitmore, serves on the Institute’s Board of Trustees (per IRS Form 990, FY 2023). The arbitrator disclosed her own and Ellen Wu’s advisory board service, but not Mr. Whitmore’s trustee role.</w:t>
      </w:r>
    </w:p>
    <w:p>
      <w:pPr>
        <w:numPr>
          <w:ilvl w:val="0"/>
          <w:numId w:val="1003"/>
        </w:numPr>
      </w:pPr>
      <w:r>
        <w:rPr>
          <w:b/>
          <w:bCs/>
        </w:rPr>
        <w:t xml:space="preserve">Omission of a pending arbitration (undisclosed).</w:t>
      </w:r>
      <w:r>
        <w:t xml:space="preserve"> </w:t>
      </w:r>
      <w:r>
        <w:t xml:space="preserve">The arbitrator is currently serving as sole arbitrator in</w:t>
      </w:r>
      <w:r>
        <w:t xml:space="preserve"> </w:t>
      </w:r>
      <w:r>
        <w:rPr>
          <w:i/>
          <w:iCs/>
        </w:rPr>
        <w:t xml:space="preserve">Halcyon Biotech v. Stonewall Partners</w:t>
      </w:r>
      <w:r>
        <w:t xml:space="preserve"> </w:t>
      </w:r>
      <w:r>
        <w:t xml:space="preserve">(AAA Case No. 01-24-0003105), in which Barrow &amp; Thistlewood LLP represents a party. This third concurrent pending matter does not appear in the disclosure.</w:t>
      </w:r>
    </w:p>
    <w:p>
      <w:pPr>
        <w:numPr>
          <w:ilvl w:val="0"/>
          <w:numId w:val="1003"/>
        </w:numPr>
      </w:pPr>
      <w:r>
        <w:rPr>
          <w:b/>
          <w:bCs/>
        </w:rPr>
        <w:t xml:space="preserve">Omission of multiple prior arbitrations (undisclosed).</w:t>
      </w:r>
      <w:r>
        <w:t xml:space="preserve"> </w:t>
      </w:r>
      <w:r>
        <w:t xml:space="preserve">The appointment dataset identifies seven completed arbitrations (2021–2024) involving Barrow &amp; Thistlewood LLP or Fielding Marsh &amp; Collier LLP that do not appear in the disclosure, including one (</w:t>
      </w:r>
      <w:r>
        <w:rPr>
          <w:i/>
          <w:iCs/>
        </w:rPr>
        <w:t xml:space="preserve">Westbrook Partners v. Arcadian Ventures</w:t>
      </w:r>
      <w:r>
        <w:t xml:space="preserve">) in which both firms appeared.</w:t>
      </w:r>
    </w:p>
    <w:p>
      <w:pPr>
        <w:numPr>
          <w:ilvl w:val="0"/>
          <w:numId w:val="1003"/>
        </w:numPr>
      </w:pPr>
      <w:r>
        <w:rPr>
          <w:b/>
          <w:bCs/>
        </w:rPr>
        <w:t xml:space="preserve">Incomplete disclosure of the Lakeview affiliation.</w:t>
      </w:r>
      <w:r>
        <w:t xml:space="preserve"> </w:t>
      </w:r>
      <w:r>
        <w:t xml:space="preserve">The arbitrator disclosed her Lakeview affiliation and that Lakeview receives referrals from both firms, but did not address the financial terms of that affiliation (e.g., whether Lakeview takes a percentage of the arbitrator’s fees or depends on firm referrals for revenue).</w:t>
      </w:r>
    </w:p>
    <w:p>
      <w:pPr>
        <w:numPr>
          <w:ilvl w:val="0"/>
          <w:numId w:val="1003"/>
        </w:numPr>
      </w:pPr>
      <w:r>
        <w:rPr>
          <w:b/>
          <w:bCs/>
        </w:rPr>
        <w:t xml:space="preserve">Repeat-player and economic-dependency indicators.</w:t>
      </w:r>
      <w:r>
        <w:t xml:space="preserve"> </w:t>
      </w:r>
      <w:r>
        <w:t xml:space="preserve">Even setting non-disclosure aside, the appointment data show that Barrow &amp; Thistlewood LLP appeared in 9 of the arbitrator’s last 20 completed arbitrations (45%), generated an estimated 48% of her arbitration income over the past 36 months (~$1,020,000 of ~$2,125,000), and prevailed in 7 of 9 (77.8%). The arbitrator currently has three concurrent pending matters involving B&amp;T (including this case). These figures bear on the appearance of partiality and the incentive to preserve a lucrative repeat relationship.</w:t>
      </w:r>
    </w:p>
    <w:p>
      <w:pPr>
        <w:pStyle w:val="FirstParagraph"/>
      </w:pPr>
      <w:r>
        <w:t xml:space="preserve">The grounds do not all point in the same direction. The connections to the respondent’s side — the indirect interest in Whitmore Fund II; the co-panelist relationship with Mr. Hargrave; the shared Institute service with Mr. Whitmore; and the concentration of B&amp;T appointments and B&amp;T’s high prevailing rate — would support a</w:t>
      </w:r>
      <w:r>
        <w:t xml:space="preserve"> </w:t>
      </w:r>
      <w:r>
        <w:rPr>
          <w:b/>
          <w:bCs/>
        </w:rPr>
        <w:t xml:space="preserve">challenge by the claimant</w:t>
      </w:r>
      <w:r>
        <w:t xml:space="preserve">. The connection to the claimant’s expert witness (the spouse–Peshkov co-authorship) would support a</w:t>
      </w:r>
      <w:r>
        <w:t xml:space="preserve"> </w:t>
      </w:r>
      <w:r>
        <w:rPr>
          <w:b/>
          <w:bCs/>
        </w:rPr>
        <w:t xml:space="preserve">challenge by the respondent</w:t>
      </w:r>
      <w:r>
        <w:t xml:space="preserve">. Several grounds (the omitted pending and prior arbitrations; the incomplete Lakeview disclosure) are neutral as to direction but bear on the adequacy and completeness of the disclosure overall.</w:t>
      </w:r>
    </w:p>
    <w:bookmarkEnd w:id="22"/>
    <w:bookmarkStart w:id="23" w:name="iv.-the-arbitrators-disclosures"/>
    <w:p>
      <w:pPr>
        <w:pStyle w:val="Heading2"/>
      </w:pPr>
      <w:r>
        <w:t xml:space="preserve">IV. The Arbitrator’s Disclosures</w:t>
      </w:r>
    </w:p>
    <w:p>
      <w:pPr>
        <w:pStyle w:val="FirstParagraph"/>
      </w:pPr>
      <w:r>
        <w:t xml:space="preserve">For context, the disclosure statement affirmatively disclosed the following:</w:t>
      </w:r>
    </w:p>
    <w:p>
      <w:pPr>
        <w:pStyle w:val="Compact"/>
        <w:numPr>
          <w:ilvl w:val="0"/>
          <w:numId w:val="1004"/>
        </w:numPr>
      </w:pPr>
      <w:r>
        <w:rPr>
          <w:b/>
          <w:bCs/>
        </w:rPr>
        <w:t xml:space="preserve">Professional background:</w:t>
      </w:r>
      <w:r>
        <w:t xml:space="preserve"> </w:t>
      </w:r>
      <w:r>
        <w:t xml:space="preserve">J.D., University of Wisconsin, 1989; LL.M. in Intellectual Property, Franklin Pierce Center, 1994; commercial litigator and IP attorney in Minneapolis; Hennepin County District Court judge, 2004–2020; full-time arbitrator/mediator since 2020; approximately 85 arbitrations; AAA Large Complex Case and Technology Case Management panels.</w:t>
      </w:r>
    </w:p>
    <w:p>
      <w:pPr>
        <w:pStyle w:val="Compact"/>
        <w:numPr>
          <w:ilvl w:val="0"/>
          <w:numId w:val="1004"/>
        </w:numPr>
      </w:pPr>
      <w:r>
        <w:rPr>
          <w:b/>
          <w:bCs/>
        </w:rPr>
        <w:t xml:space="preserve">Seven prior/pending arbitrations</w:t>
      </w:r>
      <w:r>
        <w:t xml:space="preserve"> </w:t>
      </w:r>
      <w:r>
        <w:t xml:space="preserve">involving B&amp;T or FM (</w:t>
      </w:r>
      <w:r>
        <w:rPr>
          <w:i/>
          <w:iCs/>
        </w:rPr>
        <w:t xml:space="preserve">NorthPoint; Meridian;</w:t>
      </w:r>
      <w:r>
        <w:t xml:space="preserve"> </w:t>
      </w:r>
      <w:r>
        <w:t xml:space="preserve">an unnamed settled FM matter;</w:t>
      </w:r>
      <w:r>
        <w:t xml:space="preserve"> </w:t>
      </w:r>
      <w:r>
        <w:rPr>
          <w:i/>
          <w:iCs/>
        </w:rPr>
        <w:t xml:space="preserve">Clearwater; Braddock; Orion</w:t>
      </w:r>
      <w:r>
        <w:t xml:space="preserve"> </w:t>
      </w:r>
      <w:r>
        <w:t xml:space="preserve">[pending];</w:t>
      </w:r>
      <w:r>
        <w:t xml:space="preserve"> </w:t>
      </w:r>
      <w:r>
        <w:rPr>
          <w:i/>
          <w:iCs/>
        </w:rPr>
        <w:t xml:space="preserve">DataSync</w:t>
      </w:r>
      <w:r>
        <w:t xml:space="preserve">), with outcomes noted.</w:t>
      </w:r>
    </w:p>
    <w:p>
      <w:pPr>
        <w:pStyle w:val="Compact"/>
        <w:numPr>
          <w:ilvl w:val="0"/>
          <w:numId w:val="1004"/>
        </w:numPr>
      </w:pPr>
      <w:r>
        <w:rPr>
          <w:b/>
          <w:bCs/>
        </w:rPr>
        <w:t xml:space="preserve">Financial interests:</w:t>
      </w:r>
      <w:r>
        <w:t xml:space="preserve"> </w:t>
      </w:r>
      <w:r>
        <w:t xml:space="preserve">portfolio managed on a discretionary basis by Northbridge Wealth Advisors;</w:t>
      </w:r>
      <w:r>
        <w:t xml:space="preserve"> </w:t>
      </w:r>
      <w:r>
        <w:t xml:space="preserve">“</w:t>
      </w:r>
      <w:r>
        <w:t xml:space="preserve">no direct equity positions in any party</w:t>
      </w:r>
      <w:r>
        <w:t xml:space="preserve">”</w:t>
      </w:r>
      <w:r>
        <w:t xml:space="preserve">; no position-by-position review of pooled vehicles; reliance on the manager.</w:t>
      </w:r>
    </w:p>
    <w:p>
      <w:pPr>
        <w:pStyle w:val="Compact"/>
        <w:numPr>
          <w:ilvl w:val="0"/>
          <w:numId w:val="1004"/>
        </w:numPr>
      </w:pPr>
      <w:r>
        <w:rPr>
          <w:b/>
          <w:bCs/>
        </w:rPr>
        <w:t xml:space="preserve">Family:</w:t>
      </w:r>
      <w:r>
        <w:t xml:space="preserve"> </w:t>
      </w:r>
      <w:r>
        <w:t xml:space="preserve">husband Dr. Alan Fairhaven, retired University of Minnesota mechanical engineering professor (emeritus since 2019), with</w:t>
      </w:r>
      <w:r>
        <w:t xml:space="preserve"> </w:t>
      </w:r>
      <w:r>
        <w:t xml:space="preserve">“</w:t>
      </w:r>
      <w:r>
        <w:t xml:space="preserve">no financial or professional relationship</w:t>
      </w:r>
      <w:r>
        <w:t xml:space="preserve">”</w:t>
      </w:r>
      <w:r>
        <w:t xml:space="preserve"> </w:t>
      </w:r>
      <w:r>
        <w:t xml:space="preserve">with the parties; two adult children with no relevant relationships.</w:t>
      </w:r>
    </w:p>
    <w:p>
      <w:pPr>
        <w:pStyle w:val="Compact"/>
        <w:numPr>
          <w:ilvl w:val="0"/>
          <w:numId w:val="1004"/>
        </w:numPr>
      </w:pPr>
      <w:r>
        <w:rPr>
          <w:b/>
          <w:bCs/>
        </w:rPr>
        <w:t xml:space="preserve">Professional associations:</w:t>
      </w:r>
      <w:r>
        <w:t xml:space="preserve"> </w:t>
      </w:r>
      <w:r>
        <w:t xml:space="preserve">advisory board, Minnesota ADR Ethics Institute, since 2021; Ellen Wu (B&amp;T) also on the advisory board; no social relationship with Ms. Wu.</w:t>
      </w:r>
    </w:p>
    <w:p>
      <w:pPr>
        <w:pStyle w:val="Compact"/>
        <w:numPr>
          <w:ilvl w:val="0"/>
          <w:numId w:val="1004"/>
        </w:numPr>
      </w:pPr>
      <w:r>
        <w:rPr>
          <w:b/>
          <w:bCs/>
        </w:rPr>
        <w:t xml:space="preserve">Lakeview affiliation:</w:t>
      </w:r>
      <w:r>
        <w:t xml:space="preserve"> </w:t>
      </w:r>
      <w:r>
        <w:t xml:space="preserve">affiliated neutral; Lakeview receives referrals from both B&amp;T and FM; this matter was administered by the AAA, not Lakeview.</w:t>
      </w:r>
    </w:p>
    <w:p>
      <w:pPr>
        <w:pStyle w:val="Compact"/>
        <w:numPr>
          <w:ilvl w:val="0"/>
          <w:numId w:val="1004"/>
        </w:numPr>
      </w:pPr>
      <w:r>
        <w:rPr>
          <w:b/>
          <w:bCs/>
        </w:rPr>
        <w:t xml:space="preserve">Subject-matter experience; fee arrangement ($850/hr; ~$340,000 total; ~$170,000 per party); and availability.</w:t>
      </w:r>
    </w:p>
    <w:p>
      <w:pPr>
        <w:pStyle w:val="FirstParagraph"/>
      </w:pPr>
      <w:r>
        <w:t xml:space="preserve">The disclosure closes with a certification that,</w:t>
      </w:r>
      <w:r>
        <w:t xml:space="preserve"> </w:t>
      </w:r>
      <w:r>
        <w:t xml:space="preserve">“</w:t>
      </w:r>
      <w:r>
        <w:t xml:space="preserve">based on a diligent inquiry, the foregoing represents all circumstances known to me that might give rise to justifiable doubt as to my impartiality or independence,</w:t>
      </w:r>
      <w:r>
        <w:t xml:space="preserve">”</w:t>
      </w:r>
      <w:r>
        <w:t xml:space="preserve"> </w:t>
      </w:r>
      <w:r>
        <w:t xml:space="preserve">and that the arbitrator has</w:t>
      </w:r>
      <w:r>
        <w:t xml:space="preserve"> </w:t>
      </w:r>
      <w:r>
        <w:t xml:space="preserve">“</w:t>
      </w:r>
      <w:r>
        <w:t xml:space="preserve">not knowingly withheld any information.</w:t>
      </w:r>
      <w:r>
        <w:t xml:space="preserve">”</w:t>
      </w:r>
    </w:p>
    <w:bookmarkEnd w:id="23"/>
    <w:bookmarkStart w:id="24" w:name="X2b36e0bac4fc87eda780a72297e9acd9d4cb06f"/>
    <w:p>
      <w:pPr>
        <w:pStyle w:val="Heading2"/>
      </w:pPr>
      <w:r>
        <w:t xml:space="preserve">V. Undisclosed and Incompletely Disclosed Connections</w:t>
      </w:r>
    </w:p>
    <w:p>
      <w:pPr>
        <w:pStyle w:val="FirstParagraph"/>
      </w:pPr>
      <w:r>
        <w:t xml:space="preserve">The following table summarizes the connections identified in the entity-relationship research and appointment data, and whether each was disclosed.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Connection</w:t>
            </w:r>
          </w:p>
        </w:tc>
        <w:tc>
          <w:tcPr/>
          <w:p>
            <w:pPr>
              <w:pStyle w:val="Compact"/>
              <w:jc w:val="left"/>
            </w:pPr>
            <w:r>
              <w:t xml:space="preserve">Nature</w:t>
            </w:r>
          </w:p>
        </w:tc>
        <w:tc>
          <w:tcPr/>
          <w:p>
            <w:pPr>
              <w:pStyle w:val="Compact"/>
              <w:jc w:val="left"/>
            </w:pPr>
            <w:r>
              <w:t xml:space="preserve">Disclosed?</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Arbitrator → Whitmore Fund II LP (indirect, via Northbridge Select Alternatives Fund’s 2.3% LP interest)</w:t>
            </w:r>
          </w:p>
        </w:tc>
        <w:tc>
          <w:tcPr/>
          <w:p>
            <w:pPr>
              <w:pStyle w:val="Compact"/>
              <w:jc w:val="left"/>
            </w:pPr>
            <w:r>
              <w:t xml:space="preserve">Indirect financial interest</w:t>
            </w:r>
          </w:p>
        </w:tc>
        <w:tc>
          <w:tcPr/>
          <w:p>
            <w:pPr>
              <w:pStyle w:val="Compact"/>
              <w:jc w:val="left"/>
            </w:pPr>
            <w:r>
              <w:t xml:space="preserve">No (statement says</w:t>
            </w:r>
            <w:r>
              <w:t xml:space="preserve"> </w:t>
            </w:r>
            <w:r>
              <w:t xml:space="preserve">“</w:t>
            </w:r>
            <w:r>
              <w:t xml:space="preserve">no direct equity positions</w:t>
            </w:r>
            <w:r>
              <w:t xml:space="preserve">”</w:t>
            </w:r>
            <w:r>
              <w:t xml:space="preserve">)</w:t>
            </w:r>
          </w:p>
        </w:tc>
        <w:tc>
          <w:tcPr/>
          <w:p>
            <w:pPr>
              <w:pStyle w:val="Compact"/>
              <w:jc w:val="left"/>
            </w:pPr>
            <w:r>
              <w:t xml:space="preserve">SEC/fund filings (Mar. 2024)</w:t>
            </w:r>
          </w:p>
        </w:tc>
      </w:tr>
      <w:tr>
        <w:tc>
          <w:tcPr/>
          <w:p>
            <w:pPr>
              <w:pStyle w:val="Compact"/>
              <w:jc w:val="left"/>
            </w:pPr>
            <w:r>
              <w:t xml:space="preserve">2</w:t>
            </w:r>
          </w:p>
        </w:tc>
        <w:tc>
          <w:tcPr/>
          <w:p>
            <w:pPr>
              <w:pStyle w:val="Compact"/>
              <w:jc w:val="left"/>
            </w:pPr>
            <w:r>
              <w:t xml:space="preserve">Dr. Alan Fairhaven (spouse) → Dr. Rita Peshkov (claimant’s expert witness) — co-authored paper, Sept. 2022</w:t>
            </w:r>
          </w:p>
        </w:tc>
        <w:tc>
          <w:tcPr/>
          <w:p>
            <w:pPr>
              <w:pStyle w:val="Compact"/>
              <w:jc w:val="left"/>
            </w:pPr>
            <w:r>
              <w:t xml:space="preserve">Professional/personal (family-imputed)</w:t>
            </w:r>
          </w:p>
        </w:tc>
        <w:tc>
          <w:tcPr/>
          <w:p>
            <w:pPr>
              <w:pStyle w:val="Compact"/>
              <w:jc w:val="left"/>
            </w:pPr>
            <w:r>
              <w:t xml:space="preserve">No</w:t>
            </w:r>
          </w:p>
        </w:tc>
        <w:tc>
          <w:tcPr/>
          <w:p>
            <w:pPr>
              <w:pStyle w:val="Compact"/>
              <w:jc w:val="left"/>
            </w:pPr>
            <w:r>
              <w:t xml:space="preserve">Academic publication database</w:t>
            </w:r>
          </w:p>
        </w:tc>
      </w:tr>
      <w:tr>
        <w:tc>
          <w:tcPr/>
          <w:p>
            <w:pPr>
              <w:pStyle w:val="Compact"/>
              <w:jc w:val="left"/>
            </w:pPr>
            <w:r>
              <w:t xml:space="preserve">3</w:t>
            </w:r>
          </w:p>
        </w:tc>
        <w:tc>
          <w:tcPr/>
          <w:p>
            <w:pPr>
              <w:pStyle w:val="Compact"/>
              <w:jc w:val="left"/>
            </w:pPr>
            <w:r>
              <w:t xml:space="preserve">Arbitrator → Dominic Hargrave (respondent’s lead counsel) — CLE co-panelists, Oct. 14, 2023</w:t>
            </w:r>
          </w:p>
        </w:tc>
        <w:tc>
          <w:tcPr/>
          <w:p>
            <w:pPr>
              <w:pStyle w:val="Compact"/>
              <w:jc w:val="left"/>
            </w:pPr>
            <w:r>
              <w:t xml:space="preserve">Professional (directly germane topic)</w:t>
            </w:r>
          </w:p>
        </w:tc>
        <w:tc>
          <w:tcPr/>
          <w:p>
            <w:pPr>
              <w:pStyle w:val="Compact"/>
              <w:jc w:val="left"/>
            </w:pPr>
            <w:r>
              <w:t xml:space="preserve">No</w:t>
            </w:r>
          </w:p>
        </w:tc>
        <w:tc>
          <w:tcPr/>
          <w:p>
            <w:pPr>
              <w:pStyle w:val="Compact"/>
              <w:jc w:val="left"/>
            </w:pPr>
            <w:r>
              <w:t xml:space="preserve">CLE archives (Lakeview/MSBA)</w:t>
            </w:r>
          </w:p>
        </w:tc>
      </w:tr>
      <w:tr>
        <w:tc>
          <w:tcPr/>
          <w:p>
            <w:pPr>
              <w:pStyle w:val="Compact"/>
              <w:jc w:val="left"/>
            </w:pPr>
            <w:r>
              <w:t xml:space="preserve">4</w:t>
            </w:r>
          </w:p>
        </w:tc>
        <w:tc>
          <w:tcPr/>
          <w:p>
            <w:pPr>
              <w:pStyle w:val="Compact"/>
              <w:jc w:val="left"/>
            </w:pPr>
            <w:r>
              <w:t xml:space="preserve">Arbitrator → Garrett T. Whitmore (respondent’s principal) — shared service, Minnesota ADR Ethics Institute</w:t>
            </w:r>
          </w:p>
        </w:tc>
        <w:tc>
          <w:tcPr/>
          <w:p>
            <w:pPr>
              <w:pStyle w:val="Compact"/>
              <w:jc w:val="left"/>
            </w:pPr>
            <w:r>
              <w:t xml:space="preserve">Professional (shared organization)</w:t>
            </w:r>
          </w:p>
        </w:tc>
        <w:tc>
          <w:tcPr/>
          <w:p>
            <w:pPr>
              <w:pStyle w:val="Compact"/>
              <w:jc w:val="left"/>
            </w:pPr>
            <w:r>
              <w:t xml:space="preserve">No</w:t>
            </w:r>
          </w:p>
        </w:tc>
        <w:tc>
          <w:tcPr/>
          <w:p>
            <w:pPr>
              <w:pStyle w:val="Compact"/>
              <w:jc w:val="left"/>
            </w:pPr>
            <w:r>
              <w:t xml:space="preserve">IRS Form 990 (FY 2023)</w:t>
            </w:r>
          </w:p>
        </w:tc>
      </w:tr>
      <w:tr>
        <w:tc>
          <w:tcPr/>
          <w:p>
            <w:pPr>
              <w:pStyle w:val="Compact"/>
              <w:jc w:val="left"/>
            </w:pPr>
            <w:r>
              <w:t xml:space="preserve">5</w:t>
            </w:r>
          </w:p>
        </w:tc>
        <w:tc>
          <w:tcPr/>
          <w:p>
            <w:pPr>
              <w:pStyle w:val="Compact"/>
              <w:jc w:val="left"/>
            </w:pPr>
            <w:r>
              <w:t xml:space="preserve">Arbitrator → B&amp;T —</w:t>
            </w:r>
            <w:r>
              <w:t xml:space="preserve"> </w:t>
            </w:r>
            <w:r>
              <w:rPr>
                <w:i/>
                <w:iCs/>
              </w:rPr>
              <w:t xml:space="preserve">Halcyon Biotech v. Stonewall Partners</w:t>
            </w:r>
            <w:r>
              <w:t xml:space="preserve"> </w:t>
            </w:r>
            <w:r>
              <w:t xml:space="preserve">(pending)</w:t>
            </w:r>
          </w:p>
        </w:tc>
        <w:tc>
          <w:tcPr/>
          <w:p>
            <w:pPr>
              <w:pStyle w:val="Compact"/>
              <w:jc w:val="left"/>
            </w:pPr>
            <w:r>
              <w:t xml:space="preserve">Professional (pending matter)</w:t>
            </w:r>
          </w:p>
        </w:tc>
        <w:tc>
          <w:tcPr/>
          <w:p>
            <w:pPr>
              <w:pStyle w:val="Compact"/>
              <w:jc w:val="left"/>
            </w:pPr>
            <w:r>
              <w:t xml:space="preserve">No</w:t>
            </w:r>
          </w:p>
        </w:tc>
        <w:tc>
          <w:tcPr/>
          <w:p>
            <w:pPr>
              <w:pStyle w:val="Compact"/>
              <w:jc w:val="left"/>
            </w:pPr>
            <w:r>
              <w:t xml:space="preserve">AAA records</w:t>
            </w:r>
          </w:p>
        </w:tc>
      </w:tr>
      <w:tr>
        <w:tc>
          <w:tcPr/>
          <w:p>
            <w:pPr>
              <w:pStyle w:val="Compact"/>
              <w:jc w:val="left"/>
            </w:pPr>
            <w:r>
              <w:t xml:space="preserve">6</w:t>
            </w:r>
          </w:p>
        </w:tc>
        <w:tc>
          <w:tcPr/>
          <w:p>
            <w:pPr>
              <w:pStyle w:val="Compact"/>
              <w:jc w:val="left"/>
            </w:pPr>
            <w:r>
              <w:t xml:space="preserve">Arbitrator → B&amp;T/FM — 7 completed arbitrations not listed</w:t>
            </w:r>
          </w:p>
        </w:tc>
        <w:tc>
          <w:tcPr/>
          <w:p>
            <w:pPr>
              <w:pStyle w:val="Compact"/>
              <w:jc w:val="left"/>
            </w:pPr>
            <w:r>
              <w:t xml:space="preserve">Professional (prior matters)</w:t>
            </w:r>
          </w:p>
        </w:tc>
        <w:tc>
          <w:tcPr/>
          <w:p>
            <w:pPr>
              <w:pStyle w:val="Compact"/>
              <w:jc w:val="left"/>
            </w:pPr>
            <w:r>
              <w:t xml:space="preserve">No</w:t>
            </w:r>
          </w:p>
        </w:tc>
        <w:tc>
          <w:tcPr/>
          <w:p>
            <w:pPr>
              <w:pStyle w:val="Compact"/>
              <w:jc w:val="left"/>
            </w:pPr>
            <w:r>
              <w:t xml:space="preserve">Appointment dataset</w:t>
            </w:r>
          </w:p>
        </w:tc>
      </w:tr>
      <w:tr>
        <w:tc>
          <w:tcPr/>
          <w:p>
            <w:pPr>
              <w:pStyle w:val="Compact"/>
              <w:jc w:val="left"/>
            </w:pPr>
            <w:r>
              <w:t xml:space="preserve">7</w:t>
            </w:r>
          </w:p>
        </w:tc>
        <w:tc>
          <w:tcPr/>
          <w:p>
            <w:pPr>
              <w:pStyle w:val="Compact"/>
              <w:jc w:val="left"/>
            </w:pPr>
            <w:r>
              <w:t xml:space="preserve">Arbitrator → Lakeview (financial terms of affiliation)</w:t>
            </w:r>
          </w:p>
        </w:tc>
        <w:tc>
          <w:tcPr/>
          <w:p>
            <w:pPr>
              <w:pStyle w:val="Compact"/>
              <w:jc w:val="left"/>
            </w:pPr>
            <w:r>
              <w:t xml:space="preserve">Financial/institutional</w:t>
            </w:r>
          </w:p>
        </w:tc>
        <w:tc>
          <w:tcPr/>
          <w:p>
            <w:pPr>
              <w:pStyle w:val="Compact"/>
              <w:jc w:val="left"/>
            </w:pPr>
            <w:r>
              <w:t xml:space="preserve">Partial</w:t>
            </w:r>
          </w:p>
        </w:tc>
        <w:tc>
          <w:tcPr/>
          <w:p>
            <w:pPr>
              <w:pStyle w:val="Compact"/>
              <w:jc w:val="left"/>
            </w:pPr>
            <w:r>
              <w:t xml:space="preserve">Public records (terms not public)</w:t>
            </w:r>
          </w:p>
        </w:tc>
      </w:tr>
      <w:tr>
        <w:tc>
          <w:tcPr/>
          <w:p>
            <w:pPr>
              <w:pStyle w:val="Compact"/>
              <w:jc w:val="left"/>
            </w:pPr>
            <w:r>
              <w:t xml:space="preserve">8</w:t>
            </w:r>
          </w:p>
        </w:tc>
        <w:tc>
          <w:tcPr/>
          <w:p>
            <w:pPr>
              <w:pStyle w:val="Compact"/>
              <w:jc w:val="left"/>
            </w:pPr>
            <w:r>
              <w:t xml:space="preserve">Arbitrator → Ellen Wu (B&amp;T) — shared advisory board</w:t>
            </w:r>
          </w:p>
        </w:tc>
        <w:tc>
          <w:tcPr/>
          <w:p>
            <w:pPr>
              <w:pStyle w:val="Compact"/>
              <w:jc w:val="left"/>
            </w:pPr>
            <w:r>
              <w:t xml:space="preserve">Professional (shared board)</w:t>
            </w:r>
          </w:p>
        </w:tc>
        <w:tc>
          <w:tcPr/>
          <w:p>
            <w:pPr>
              <w:pStyle w:val="Compact"/>
              <w:jc w:val="left"/>
            </w:pPr>
            <w:r>
              <w:t xml:space="preserve">Yes</w:t>
            </w:r>
          </w:p>
        </w:tc>
        <w:tc>
          <w:tcPr/>
          <w:p>
            <w:pPr>
              <w:pStyle w:val="Compact"/>
              <w:jc w:val="left"/>
            </w:pPr>
            <w:r>
              <w:t xml:space="preserve">Disclosure</w:t>
            </w:r>
          </w:p>
        </w:tc>
      </w:tr>
      <w:tr>
        <w:tc>
          <w:tcPr/>
          <w:p>
            <w:pPr>
              <w:pStyle w:val="Compact"/>
              <w:jc w:val="left"/>
            </w:pPr>
            <w:r>
              <w:t xml:space="preserve">9</w:t>
            </w:r>
          </w:p>
        </w:tc>
        <w:tc>
          <w:tcPr/>
          <w:p>
            <w:pPr>
              <w:pStyle w:val="Compact"/>
              <w:jc w:val="left"/>
            </w:pPr>
            <w:r>
              <w:t xml:space="preserve">Arbitrator → B&amp;T/FM — 7 disclosed prior/pending arbitrations</w:t>
            </w:r>
          </w:p>
        </w:tc>
        <w:tc>
          <w:tcPr/>
          <w:p>
            <w:pPr>
              <w:pStyle w:val="Compact"/>
              <w:jc w:val="left"/>
            </w:pPr>
            <w:r>
              <w:t xml:space="preserve">Professional (repeat appointments)</w:t>
            </w:r>
          </w:p>
        </w:tc>
        <w:tc>
          <w:tcPr/>
          <w:p>
            <w:pPr>
              <w:pStyle w:val="Compact"/>
              <w:jc w:val="left"/>
            </w:pPr>
            <w:r>
              <w:t xml:space="preserve">Yes</w:t>
            </w:r>
          </w:p>
        </w:tc>
        <w:tc>
          <w:tcPr/>
          <w:p>
            <w:pPr>
              <w:pStyle w:val="Compact"/>
              <w:jc w:val="left"/>
            </w:pPr>
            <w:r>
              <w:t xml:space="preserve">Disclosure</w:t>
            </w:r>
          </w:p>
        </w:tc>
      </w:tr>
    </w:tbl>
    <w:bookmarkEnd w:id="24"/>
    <w:bookmarkStart w:id="33" w:name="vi.-analysis-of-grounds-for-challenge"/>
    <w:p>
      <w:pPr>
        <w:pStyle w:val="Heading2"/>
      </w:pPr>
      <w:r>
        <w:t xml:space="preserve">VI. Analysis of Grounds for Challenge</w:t>
      </w:r>
    </w:p>
    <w:bookmarkStart w:id="25" w:name="X541ccb9d29f84de7de5d2da32024a2322663427"/>
    <w:p>
      <w:pPr>
        <w:pStyle w:val="Heading3"/>
      </w:pPr>
      <w:r>
        <w:t xml:space="preserve">A. Indirect Financial Interest via the Northbridge Select Alternatives Fund</w:t>
      </w:r>
    </w:p>
    <w:p>
      <w:pPr>
        <w:pStyle w:val="FirstParagraph"/>
      </w:pPr>
      <w:r>
        <w:rPr>
          <w:b/>
          <w:bCs/>
        </w:rPr>
        <w:t xml:space="preserve">Facts.</w:t>
      </w:r>
      <w:r>
        <w:t xml:space="preserve"> </w:t>
      </w:r>
      <w:r>
        <w:t xml:space="preserve">The arbitrator’s portfolio is managed by Northbridge Wealth Advisors. Northbridge also manages the Northbridge Select Alternatives Fund, a fund-of-funds. Per the fund’s March 2024 public filing, the fund holds a 2.3% limited partner interest in Whitmore Fund II LP. Whitmore Fund II LP owns Volaris Manufacturing Group LLC, the licensee and direct beneficiary of the disputed ThermalCore license. The economic outcome of this arbitration — rescission, renegotiation, repricing, or damages against Whitmore — could affect the value of Whitmore Fund II LP’s portfolio and, derivatively, the value of the fund-of-funds’ LP interest.</w:t>
      </w:r>
    </w:p>
    <w:p>
      <w:pPr>
        <w:pStyle w:val="BodyText"/>
      </w:pPr>
      <w:r>
        <w:rPr>
          <w:b/>
          <w:bCs/>
        </w:rPr>
        <w:t xml:space="preserve">Standard.</w:t>
      </w:r>
      <w:r>
        <w:t xml:space="preserve"> </w:t>
      </w:r>
      <w:r>
        <w:t xml:space="preserve">Rule R-17(a)(i) requires disclosure of</w:t>
      </w:r>
      <w:r>
        <w:t xml:space="preserve"> </w:t>
      </w:r>
      <w:r>
        <w:t xml:space="preserve">“</w:t>
      </w:r>
      <w:r>
        <w:t xml:space="preserve">any known direct or indirect financial or personal interest in the outcome of the arbitration, including any interest, whether legal or beneficial, in the subject matter of the dispute, in any party, or in any entity that may be affected by the result of the proceeding.</w:t>
      </w:r>
      <w:r>
        <w:t xml:space="preserve">”</w:t>
      </w:r>
      <w:r>
        <w:t xml:space="preserve"> </w:t>
      </w:r>
      <w:r>
        <w:t xml:space="preserve">The rule expressly reaches</w:t>
      </w:r>
      <w:r>
        <w:t xml:space="preserve"> </w:t>
      </w:r>
      <w:r>
        <w:rPr>
          <w:i/>
          <w:iCs/>
        </w:rPr>
        <w:t xml:space="preserve">indirect</w:t>
      </w:r>
      <w:r>
        <w:t xml:space="preserve"> </w:t>
      </w:r>
      <w:r>
        <w:t xml:space="preserve">interests and interests in entities</w:t>
      </w:r>
      <w:r>
        <w:t xml:space="preserve"> </w:t>
      </w:r>
      <w:r>
        <w:rPr>
          <w:i/>
          <w:iCs/>
        </w:rPr>
        <w:t xml:space="preserve">affected by the result</w:t>
      </w:r>
      <w:r>
        <w:t xml:space="preserve">, not merely direct equity in a named party.</w:t>
      </w:r>
    </w:p>
    <w:p>
      <w:pPr>
        <w:pStyle w:val="BodyText"/>
      </w:pPr>
      <w:r>
        <w:rPr>
          <w:b/>
          <w:bCs/>
        </w:rPr>
        <w:t xml:space="preserve">Analysis.</w:t>
      </w:r>
      <w:r>
        <w:t xml:space="preserve"> </w:t>
      </w:r>
      <w:r>
        <w:t xml:space="preserve">The arbitrator’s statement that she holds</w:t>
      </w:r>
      <w:r>
        <w:t xml:space="preserve"> </w:t>
      </w:r>
      <w:r>
        <w:t xml:space="preserve">“</w:t>
      </w:r>
      <w:r>
        <w:t xml:space="preserve">no direct equity positions in any party</w:t>
      </w:r>
      <w:r>
        <w:t xml:space="preserve">”</w:t>
      </w:r>
      <w:r>
        <w:t xml:space="preserve"> </w:t>
      </w:r>
      <w:r>
        <w:t xml:space="preserve">is, on its face, narrowly accurate: a fund-of-funds LP interest is not a direct equity position in Cascade or Whitmore Capital Partners. But the disclosure does not address indirect interests, fund-of-funds exposure, or the specific holdings of the Northbridge Select Alternatives Fund. The disclosure’s acknowledgment that the arbitrator has</w:t>
      </w:r>
      <w:r>
        <w:t xml:space="preserve"> </w:t>
      </w:r>
      <w:r>
        <w:t xml:space="preserve">“</w:t>
      </w:r>
      <w:r>
        <w:t xml:space="preserve">not undertaken a position-by-position review of each fund or sub-investment,</w:t>
      </w:r>
      <w:r>
        <w:t xml:space="preserve">”</w:t>
      </w:r>
      <w:r>
        <w:t xml:space="preserve"> </w:t>
      </w:r>
      <w:r>
        <w:t xml:space="preserve">and her reliance on the manager, do not discharge the duty where a specific, identifiable chain of indirect exposure exists and is publicly discoverable. The public record does not confirm that the arbitrator’s personal portfolio includes an allocation to the Select Alternatives Fund; but the duty to disclose turns on circumstances</w:t>
      </w:r>
      <w:r>
        <w:t xml:space="preserve"> </w:t>
      </w:r>
      <w:r>
        <w:t xml:space="preserve">“</w:t>
      </w:r>
      <w:r>
        <w:t xml:space="preserve">known</w:t>
      </w:r>
      <w:r>
        <w:t xml:space="preserve">”</w:t>
      </w:r>
      <w:r>
        <w:t xml:space="preserve"> </w:t>
      </w:r>
      <w:r>
        <w:t xml:space="preserve">to the arbitrator, and the arbitrator is uniquely positioned to confirm or refute the allocation by inquiring of her manager. The failure to address the Northbridge relationship at all — given that the manager of her portfolio and the manager of the fund-of-funds are the same firm — leaves a material gap.</w:t>
      </w:r>
    </w:p>
    <w:p>
      <w:pPr>
        <w:pStyle w:val="BodyText"/>
      </w:pPr>
      <w:r>
        <w:rPr>
          <w:b/>
          <w:bCs/>
        </w:rPr>
        <w:t xml:space="preserve">Strength: Moderate to strong.</w:t>
      </w:r>
      <w:r>
        <w:t xml:space="preserve"> </w:t>
      </w:r>
      <w:r>
        <w:t xml:space="preserve">The interest is indirect and its existence in the arbitrator’s own portfolio is unconfirmed, which tempers the showing. But the duty is to disclose the</w:t>
      </w:r>
      <w:r>
        <w:t xml:space="preserve"> </w:t>
      </w:r>
      <w:r>
        <w:rPr>
          <w:i/>
          <w:iCs/>
        </w:rPr>
        <w:t xml:space="preserve">potential</w:t>
      </w:r>
      <w:r>
        <w:t xml:space="preserve"> </w:t>
      </w:r>
      <w:r>
        <w:t xml:space="preserve">indirect interest and the manager relationship so the parties can inquire; the disclosure did neither. Under the IBA framework, an indirect financial interest in an entity affected by the award, layered through a fund-of-funds, is at minimum an Orange/Waivable Red List item requiring disclosure and party consideration. The</w:t>
      </w:r>
      <w:r>
        <w:t xml:space="preserve"> </w:t>
      </w:r>
      <w:r>
        <w:t xml:space="preserve">“</w:t>
      </w:r>
      <w:r>
        <w:t xml:space="preserve">no direct equity positions</w:t>
      </w:r>
      <w:r>
        <w:t xml:space="preserve">”</w:t>
      </w:r>
      <w:r>
        <w:t xml:space="preserve"> </w:t>
      </w:r>
      <w:r>
        <w:t xml:space="preserve">formulation, while literally true, is the kind of technically-accurate-but-evasive disclosure that the broad construction mandate of Rule R-16 is meant to discourage.</w:t>
      </w:r>
    </w:p>
    <w:p>
      <w:pPr>
        <w:pStyle w:val="BodyText"/>
      </w:pPr>
      <w:r>
        <w:rPr>
          <w:b/>
          <w:bCs/>
        </w:rPr>
        <w:t xml:space="preserve">Direction.</w:t>
      </w:r>
      <w:r>
        <w:t xml:space="preserve"> </w:t>
      </w:r>
      <w:r>
        <w:t xml:space="preserve">Favors a challenge by the</w:t>
      </w:r>
      <w:r>
        <w:t xml:space="preserve"> </w:t>
      </w:r>
      <w:r>
        <w:rPr>
          <w:b/>
          <w:bCs/>
        </w:rPr>
        <w:t xml:space="preserve">claimant</w:t>
      </w:r>
      <w:r>
        <w:t xml:space="preserve">: an adverse award against Whitmore could diminish Fund II’s portfolio value, in which the arbitrator may hold an indirect stake.</w:t>
      </w:r>
    </w:p>
    <w:bookmarkEnd w:id="25"/>
    <w:bookmarkStart w:id="26" w:name="Xb895eba0a30d967df3769d5396c8dd9eb33f8be"/>
    <w:p>
      <w:pPr>
        <w:pStyle w:val="Heading3"/>
      </w:pPr>
      <w:r>
        <w:t xml:space="preserve">B. Spouse’s Co-Authorship with the Claimant’s Key Expert Witness</w:t>
      </w:r>
    </w:p>
    <w:p>
      <w:pPr>
        <w:pStyle w:val="FirstParagraph"/>
      </w:pPr>
      <w:r>
        <w:rPr>
          <w:b/>
          <w:bCs/>
        </w:rPr>
        <w:t xml:space="preserve">Facts.</w:t>
      </w:r>
      <w:r>
        <w:t xml:space="preserve"> </w:t>
      </w:r>
      <w:r>
        <w:t xml:space="preserve">The arbitrator’s husband, Dr. Alan Fairhaven, co-authored a peer-reviewed article with Dr. Rita Peshkov —</w:t>
      </w:r>
      <w:r>
        <w:t xml:space="preserve"> </w:t>
      </w:r>
      <w:r>
        <w:t xml:space="preserve">“</w:t>
      </w:r>
      <w:r>
        <w:t xml:space="preserve">Optimization of Phase-Change Heat Exchangers in High-Load Industrial Applications,</w:t>
      </w:r>
      <w:r>
        <w:t xml:space="preserve">”</w:t>
      </w:r>
      <w:r>
        <w:t xml:space="preserve"> </w:t>
      </w:r>
      <w:r>
        <w:rPr>
          <w:i/>
          <w:iCs/>
        </w:rPr>
        <w:t xml:space="preserve">Journal of Advanced Thermal Engineering</w:t>
      </w:r>
      <w:r>
        <w:t xml:space="preserve">, Vol. 42, Issue 3 (September 2022). Dr. Peshkov is Cascade’s VP of R&amp;D and the claimant’s anticipated key expert witness on the technical specifications, uniqueness, and value of the ThermalCore technology. The article’s subject matter — phase-change heat exchangers in high-load industrial applications — is directly relevant to the ThermalCore technology at the center of this arbitration.</w:t>
      </w:r>
    </w:p>
    <w:p>
      <w:pPr>
        <w:pStyle w:val="BodyText"/>
      </w:pPr>
      <w:r>
        <w:rPr>
          <w:b/>
          <w:bCs/>
        </w:rPr>
        <w:t xml:space="preserve">Standard.</w:t>
      </w:r>
      <w:r>
        <w:t xml:space="preserve"> </w:t>
      </w:r>
      <w:r>
        <w:t xml:space="preserve">Rule R-17(a)(ii) requires disclosure of relationships with</w:t>
      </w:r>
      <w:r>
        <w:t xml:space="preserve"> </w:t>
      </w:r>
      <w:r>
        <w:t xml:space="preserve">“</w:t>
      </w:r>
      <w:r>
        <w:t xml:space="preserve">witnesses</w:t>
      </w:r>
      <w:r>
        <w:t xml:space="preserve">”</w:t>
      </w:r>
      <w:r>
        <w:t xml:space="preserve"> </w:t>
      </w:r>
      <w:r>
        <w:t xml:space="preserve">that might</w:t>
      </w:r>
      <w:r>
        <w:t xml:space="preserve"> </w:t>
      </w:r>
      <w:r>
        <w:t xml:space="preserve">“</w:t>
      </w:r>
      <w:r>
        <w:t xml:space="preserve">reasonably create an appearance of partiality or bias,</w:t>
      </w:r>
      <w:r>
        <w:t xml:space="preserve">”</w:t>
      </w:r>
      <w:r>
        <w:t xml:space="preserve"> </w:t>
      </w:r>
      <w:r>
        <w:t xml:space="preserve">expressly including relationships arising from</w:t>
      </w:r>
      <w:r>
        <w:t xml:space="preserve"> </w:t>
      </w:r>
      <w:r>
        <w:t xml:space="preserve">“</w:t>
      </w:r>
      <w:r>
        <w:t xml:space="preserve">academic collaboration.</w:t>
      </w:r>
      <w:r>
        <w:t xml:space="preserve">”</w:t>
      </w:r>
      <w:r>
        <w:t xml:space="preserve"> </w:t>
      </w:r>
      <w:r>
        <w:t xml:space="preserve">Under IBA General Standard 6, a relationship of the arbitrator’s spouse is treated as the arbitrator’s own. The disclosure statement itself identifies Dr. Alan Fairhaven as the arbitrator’s spouse and asserts that he</w:t>
      </w:r>
      <w:r>
        <w:t xml:space="preserve"> </w:t>
      </w:r>
      <w:r>
        <w:t xml:space="preserve">“</w:t>
      </w:r>
      <w:r>
        <w:t xml:space="preserve">has no financial or professional relationship with Cascade Thermal Systems Inc., Whitmore Capital Partners LLC, or any of their officers, directors, or employees</w:t>
      </w:r>
      <w:r>
        <w:t xml:space="preserve">”</w:t>
      </w:r>
      <w:r>
        <w:t xml:space="preserve"> </w:t>
      </w:r>
      <w:r>
        <w:t xml:space="preserve">— an assertion that, on the public record, is incomplete insofar as it omits his relationship with Dr. Peshkov (a Cascade officer and the designated expert witness).</w:t>
      </w:r>
    </w:p>
    <w:p>
      <w:pPr>
        <w:pStyle w:val="BodyText"/>
      </w:pPr>
      <w:r>
        <w:rPr>
          <w:b/>
          <w:bCs/>
        </w:rPr>
        <w:t xml:space="preserve">Analysis.</w:t>
      </w:r>
      <w:r>
        <w:t xml:space="preserve"> </w:t>
      </w:r>
      <w:r>
        <w:t xml:space="preserve">Co-authorship of a peer-reviewed article in a specialized field ordinarily reflects a sustained professional collaboration — joint research design, data collection, drafting, and revision over many months — and supports a reasonable inference of a professional and possibly personal relationship. The September 2022 publication postdates Dr. Peshkov’s tenure at Cascade (she joined in 2017) and predates this arbitration, placing the collaboration squarely within the relevant period. The subject-matter overlap is not incidental: the article concerns the very type of technology (phase-change heat exchangers for high-load industrial use) whose valuation is the central question in this arbitration, and Dr. Peshkov is expected to opine on that technology’s uniqueness and value. The arbitrator disclosed her husband but affirmatively represented that he has no professional relationship with the parties’ personnel; the co-authorship with the claimant’s lead expert witness was not disclosed and is in tension with that representation.</w:t>
      </w:r>
    </w:p>
    <w:p>
      <w:pPr>
        <w:pStyle w:val="BodyText"/>
      </w:pPr>
      <w:r>
        <w:rPr>
          <w:b/>
          <w:bCs/>
        </w:rPr>
        <w:t xml:space="preserve">Strength: Strong.</w:t>
      </w:r>
      <w:r>
        <w:t xml:space="preserve"> </w:t>
      </w:r>
      <w:r>
        <w:t xml:space="preserve">This is the most direct undisclosed relationship in the record: a family-imputed, subject-matter-relevant, academic collaboration between the arbitrator’s spouse and a party’s designated key expert witness, on a topic central to the dispute. It squarely implicates Rule R-17(a)(ii)’s witness-relationship and academic-collaboration provisions and would, under the IBA Guidelines, fall at least within the Orange List (and arguably the Waivable Red List) as a relationship requiring disclosure and waiver. The arbitrator’s affirmative (and apparently incomplete) statement about her husband’s lack of professional relationships heightens the concern.</w:t>
      </w:r>
    </w:p>
    <w:p>
      <w:pPr>
        <w:pStyle w:val="BodyText"/>
      </w:pPr>
      <w:r>
        <w:rPr>
          <w:b/>
          <w:bCs/>
        </w:rPr>
        <w:t xml:space="preserve">Direction.</w:t>
      </w:r>
      <w:r>
        <w:t xml:space="preserve"> </w:t>
      </w:r>
      <w:r>
        <w:t xml:space="preserve">Favors a challenge by the</w:t>
      </w:r>
      <w:r>
        <w:t xml:space="preserve"> </w:t>
      </w:r>
      <w:r>
        <w:rPr>
          <w:b/>
          <w:bCs/>
        </w:rPr>
        <w:t xml:space="preserve">respondent</w:t>
      </w:r>
      <w:r>
        <w:t xml:space="preserve">: the connection runs to the claimant’s expert witness.</w:t>
      </w:r>
    </w:p>
    <w:bookmarkEnd w:id="26"/>
    <w:bookmarkStart w:id="27" w:name="X45cd01b0b69c03a9fdbb84871ad2321afa5dfab"/>
    <w:p>
      <w:pPr>
        <w:pStyle w:val="Heading3"/>
      </w:pPr>
      <w:r>
        <w:t xml:space="preserve">C. Co-Panelist Relationship with the Respondent’s Lead Counsel</w:t>
      </w:r>
    </w:p>
    <w:p>
      <w:pPr>
        <w:pStyle w:val="FirstParagraph"/>
      </w:pPr>
      <w:r>
        <w:rPr>
          <w:b/>
          <w:bCs/>
        </w:rPr>
        <w:t xml:space="preserve">Facts.</w:t>
      </w:r>
      <w:r>
        <w:t xml:space="preserve"> </w:t>
      </w:r>
      <w:r>
        <w:t xml:space="preserve">On October 14, 2023, the arbitrator and Dominic Hargrave — lead partner for respondent Whitmore — served as co-panelists at a Lakeview Dispute Resolution Center CLE,</w:t>
      </w:r>
      <w:r>
        <w:t xml:space="preserve"> </w:t>
      </w:r>
      <w:r>
        <w:t xml:space="preserve">“</w:t>
      </w:r>
      <w:r>
        <w:t xml:space="preserve">Arbitrating Complex IP Licensing Disputes,</w:t>
      </w:r>
      <w:r>
        <w:t xml:space="preserve">”</w:t>
      </w:r>
      <w:r>
        <w:t xml:space="preserve"> </w:t>
      </w:r>
      <w:r>
        <w:t xml:space="preserve">alongside Professor Naomi Strickland and Marcus DelVecchio. The panel addressed valuation methodologies, arbitrator selection in technology-intensive cases, and the management of expert testimony — topics directly germane to this arbitration. The event occurred approximately five months before the demand was filed and eight months before the arbitrator’s appointment was confirmed.</w:t>
      </w:r>
    </w:p>
    <w:p>
      <w:pPr>
        <w:pStyle w:val="BodyText"/>
      </w:pPr>
      <w:r>
        <w:rPr>
          <w:b/>
          <w:bCs/>
        </w:rPr>
        <w:t xml:space="preserve">Standard.</w:t>
      </w:r>
      <w:r>
        <w:t xml:space="preserve"> </w:t>
      </w:r>
      <w:r>
        <w:t xml:space="preserve">Rule R-17(a)(ii) reaches</w:t>
      </w:r>
      <w:r>
        <w:t xml:space="preserve"> </w:t>
      </w:r>
      <w:r>
        <w:t xml:space="preserve">“</w:t>
      </w:r>
      <w:r>
        <w:t xml:space="preserve">social</w:t>
      </w:r>
      <w:r>
        <w:t xml:space="preserve">”</w:t>
      </w:r>
      <w:r>
        <w:t xml:space="preserve"> </w:t>
      </w:r>
      <w:r>
        <w:t xml:space="preserve">and professional relationships with counsel that might create an appearance of partiality; Rule R-17(a)(iv) (catch-all) reaches</w:t>
      </w:r>
      <w:r>
        <w:t xml:space="preserve"> </w:t>
      </w:r>
      <w:r>
        <w:t xml:space="preserve">“</w:t>
      </w:r>
      <w:r>
        <w:t xml:space="preserve">public statements, or expressed views on legal or factual issues relevant to the dispute.</w:t>
      </w:r>
      <w:r>
        <w:t xml:space="preserve">”</w:t>
      </w:r>
      <w:r>
        <w:t xml:space="preserve"> </w:t>
      </w:r>
      <w:r>
        <w:t xml:space="preserve">Co-panelist service involves shared preparation, coordinated materials, and informal professional interaction before and after the event.</w:t>
      </w:r>
    </w:p>
    <w:p>
      <w:pPr>
        <w:pStyle w:val="BodyText"/>
      </w:pPr>
      <w:r>
        <w:rPr>
          <w:b/>
          <w:bCs/>
        </w:rPr>
        <w:t xml:space="preserve">Analysis.</w:t>
      </w:r>
      <w:r>
        <w:t xml:space="preserve"> </w:t>
      </w:r>
      <w:r>
        <w:t xml:space="preserve">The CLE topic is not merely adjacent to this dispute; it is substantially the same subject — arbitrating complex IP licensing disputes, including license valuation and expert testimony, which are the core issues here. The arbitrator and Mr. Hargrave appeared together on a panel devoted to that topic roughly half a year before the demand. The disclosure lists seven arbitrations in which B&amp;T appeared as counsel but does not reference any non-arbitration professional relationship with Mr. Hargrave or any other B&amp;T lawyer. The combination of (i) a recent, collaborative professional engagement, (ii) on a directly germane topic, (iii) with the lawyer who now leads the opposing party’s defense, is the kind of circumstance a reasonable party would consider relevant to evaluating the arbitrator’s ability to be impartial — particularly where the arbitrator may have expressed views on the panel about valuation methodology or expert testimony that could bear on her approach to this case.</w:t>
      </w:r>
    </w:p>
    <w:p>
      <w:pPr>
        <w:pStyle w:val="BodyText"/>
      </w:pPr>
      <w:r>
        <w:rPr>
          <w:b/>
          <w:bCs/>
        </w:rPr>
        <w:t xml:space="preserve">Strength: Moderate to strong.</w:t>
      </w:r>
      <w:r>
        <w:t xml:space="preserve"> </w:t>
      </w:r>
      <w:r>
        <w:t xml:space="preserve">A single CLE co-panelist appearance is, in isolation, a relatively common professional contact that might fall at the Green/Orange boundary under the IBA Guidelines. Two features elevate it here: the topic is directly germane to the dispute (implicating the catch-all’s</w:t>
      </w:r>
      <w:r>
        <w:t xml:space="preserve"> </w:t>
      </w:r>
      <w:r>
        <w:t xml:space="preserve">“</w:t>
      </w:r>
      <w:r>
        <w:t xml:space="preserve">expressed views</w:t>
      </w:r>
      <w:r>
        <w:t xml:space="preserve">”</w:t>
      </w:r>
      <w:r>
        <w:t xml:space="preserve"> </w:t>
      </w:r>
      <w:r>
        <w:t xml:space="preserve">prong), and it was not disclosed despite the arbitrator’s general certification of completeness. The non-disclosure is itself a problem because it deprives the parties of the opportunity to evaluate and, if they chose, waive the contact.</w:t>
      </w:r>
    </w:p>
    <w:p>
      <w:pPr>
        <w:pStyle w:val="BodyText"/>
      </w:pPr>
      <w:r>
        <w:rPr>
          <w:b/>
          <w:bCs/>
        </w:rPr>
        <w:t xml:space="preserve">Direction.</w:t>
      </w:r>
      <w:r>
        <w:t xml:space="preserve"> </w:t>
      </w:r>
      <w:r>
        <w:t xml:space="preserve">Favors a challenge by the</w:t>
      </w:r>
      <w:r>
        <w:t xml:space="preserve"> </w:t>
      </w:r>
      <w:r>
        <w:rPr>
          <w:b/>
          <w:bCs/>
        </w:rPr>
        <w:t xml:space="preserve">claimant</w:t>
      </w:r>
      <w:r>
        <w:t xml:space="preserve">: the connection runs to the respondent’s lead counsel.</w:t>
      </w:r>
    </w:p>
    <w:bookmarkEnd w:id="27"/>
    <w:bookmarkStart w:id="28" w:name="Xbb796f73d5746018159feb7c6fa5db3c2647c38"/>
    <w:p>
      <w:pPr>
        <w:pStyle w:val="Heading3"/>
      </w:pPr>
      <w:r>
        <w:t xml:space="preserve">D. Shared Organizational Service with the Respondent’s Principal</w:t>
      </w:r>
    </w:p>
    <w:p>
      <w:pPr>
        <w:pStyle w:val="FirstParagraph"/>
      </w:pPr>
      <w:r>
        <w:rPr>
          <w:b/>
          <w:bCs/>
        </w:rPr>
        <w:t xml:space="preserve">Facts.</w:t>
      </w:r>
      <w:r>
        <w:t xml:space="preserve"> </w:t>
      </w:r>
      <w:r>
        <w:t xml:space="preserve">The arbitrator has served on the advisory board of the Minnesota ADR Ethics Institute since 2021 (disclosed). Ellen Wu, head of B&amp;T’s arbitration practice, also serves on the advisory board (disclosed). Public IRS Form 990 filings (FY 2023) show that Garrett T. Whitmore — founder, managing partner, and principal of respondent Whitmore Capital Partners — serves on the Institute’s Board of Trustees. The Board of Trustees is the Institute’s governing body, responsible for strategic direction, budgetary oversight, and appointments (including to the advisory board). The Institute is described as a small nonprofit; its bylaws and posted minutes indicate joint sessions between the two bodies and annual meetings attended by both.</w:t>
      </w:r>
    </w:p>
    <w:p>
      <w:pPr>
        <w:pStyle w:val="BodyText"/>
      </w:pPr>
      <w:r>
        <w:rPr>
          <w:b/>
          <w:bCs/>
        </w:rPr>
        <w:t xml:space="preserve">Standard.</w:t>
      </w:r>
      <w:r>
        <w:t xml:space="preserve"> </w:t>
      </w:r>
      <w:r>
        <w:t xml:space="preserve">Rule R-17(a)(ii) reaches relationships with</w:t>
      </w:r>
      <w:r>
        <w:t xml:space="preserve"> </w:t>
      </w:r>
      <w:r>
        <w:t xml:space="preserve">“</w:t>
      </w:r>
      <w:r>
        <w:t xml:space="preserve">any party</w:t>
      </w:r>
      <w:r>
        <w:t xml:space="preserve">”</w:t>
      </w:r>
      <w:r>
        <w:t xml:space="preserve"> </w:t>
      </w:r>
      <w:r>
        <w:t xml:space="preserve">arising from</w:t>
      </w:r>
      <w:r>
        <w:t xml:space="preserve"> </w:t>
      </w:r>
      <w:r>
        <w:t xml:space="preserve">“</w:t>
      </w:r>
      <w:r>
        <w:t xml:space="preserve">board memberships</w:t>
      </w:r>
      <w:r>
        <w:t xml:space="preserve">”</w:t>
      </w:r>
      <w:r>
        <w:t xml:space="preserve"> </w:t>
      </w:r>
      <w:r>
        <w:t xml:space="preserve">and</w:t>
      </w:r>
      <w:r>
        <w:t xml:space="preserve"> </w:t>
      </w:r>
      <w:r>
        <w:t xml:space="preserve">“</w:t>
      </w:r>
      <w:r>
        <w:t xml:space="preserve">professional association.</w:t>
      </w:r>
      <w:r>
        <w:t xml:space="preserve">”</w:t>
      </w:r>
      <w:r>
        <w:t xml:space="preserve"> </w:t>
      </w:r>
      <w:r>
        <w:t xml:space="preserve">The disclosure obligation extends to party principals, not only counsel.</w:t>
      </w:r>
    </w:p>
    <w:p>
      <w:pPr>
        <w:pStyle w:val="BodyText"/>
      </w:pPr>
      <w:r>
        <w:rPr>
          <w:b/>
          <w:bCs/>
        </w:rPr>
        <w:t xml:space="preserve">Analysis.</w:t>
      </w:r>
      <w:r>
        <w:t xml:space="preserve"> </w:t>
      </w:r>
      <w:r>
        <w:t xml:space="preserve">The arbitrator disclosed her own advisory board service and Ms. Wu’s, but did not disclose that the respondent’s principal sits on the governing body of the same organization. The formal distinction between the advisory board and the Board of Trustees does not eliminate the concern: the Trustees appoint (and can remove) advisory board members, both bodies serve the same small organization, and the record supports a reasonable inference of direct personal interaction at joint sessions and annual meetings. A reasonable party would want to know that the arbitrator and the opposing party’s principal serve the same nonprofit in roles that place them in recurring, coordinated contact. The disclosure’s silence on Mr. Whitmore’s role is a gap, particularly given that the arbitrator took care to disclose Ms. Wu’s advisory board service — suggesting awareness that Institute affiliations are disclosure-relevant — but stopped short of identifying the party principal’s role.</w:t>
      </w:r>
    </w:p>
    <w:p>
      <w:pPr>
        <w:pStyle w:val="BodyText"/>
      </w:pPr>
      <w:r>
        <w:rPr>
          <w:b/>
          <w:bCs/>
        </w:rPr>
        <w:t xml:space="preserve">Strength: Moderate to strong.</w:t>
      </w:r>
      <w:r>
        <w:t xml:space="preserve"> </w:t>
      </w:r>
      <w:r>
        <w:t xml:space="preserve">Shared service on the governing and advisory bodies of a small nonprofit, where one body appoints the other and the two meet jointly, is more than a trivial Green-List overlap. It is at least an Orange-List relationship requiring disclosure. The fact that the arbitrator disclosed a parallel (and lesser) connection (Ms. Wu) but omitted the party principal’s connection makes the omission harder to characterize as inadvertent.</w:t>
      </w:r>
    </w:p>
    <w:p>
      <w:pPr>
        <w:pStyle w:val="BodyText"/>
      </w:pPr>
      <w:r>
        <w:rPr>
          <w:b/>
          <w:bCs/>
        </w:rPr>
        <w:t xml:space="preserve">Direction.</w:t>
      </w:r>
      <w:r>
        <w:t xml:space="preserve"> </w:t>
      </w:r>
      <w:r>
        <w:t xml:space="preserve">Favors a challenge by the</w:t>
      </w:r>
      <w:r>
        <w:t xml:space="preserve"> </w:t>
      </w:r>
      <w:r>
        <w:rPr>
          <w:b/>
          <w:bCs/>
        </w:rPr>
        <w:t xml:space="preserve">claimant</w:t>
      </w:r>
      <w:r>
        <w:t xml:space="preserve">: the connection runs to the respondent’s principal.</w:t>
      </w:r>
    </w:p>
    <w:bookmarkEnd w:id="28"/>
    <w:bookmarkStart w:id="29" w:name="Xe3175e225defc2ff331169f66a64d793658368b"/>
    <w:p>
      <w:pPr>
        <w:pStyle w:val="Heading3"/>
      </w:pPr>
      <w:r>
        <w:t xml:space="preserve">E. Omission of a Pending Arbitration (</w:t>
      </w:r>
      <w:r>
        <w:rPr>
          <w:i/>
          <w:iCs/>
        </w:rPr>
        <w:t xml:space="preserve">Halcyon Biotech v. Stonewall Partners</w:t>
      </w:r>
      <w:r>
        <w:t xml:space="preserve">)</w:t>
      </w:r>
    </w:p>
    <w:p>
      <w:pPr>
        <w:pStyle w:val="FirstParagraph"/>
      </w:pPr>
      <w:r>
        <w:rPr>
          <w:b/>
          <w:bCs/>
        </w:rPr>
        <w:t xml:space="preserve">Facts.</w:t>
      </w:r>
      <w:r>
        <w:t xml:space="preserve"> </w:t>
      </w:r>
      <w:r>
        <w:t xml:space="preserve">The arbitrator is currently serving as sole arbitrator in</w:t>
      </w:r>
      <w:r>
        <w:t xml:space="preserve"> </w:t>
      </w:r>
      <w:r>
        <w:rPr>
          <w:i/>
          <w:iCs/>
        </w:rPr>
        <w:t xml:space="preserve">Halcyon Biotech v. Stonewall Partners</w:t>
      </w:r>
      <w:r>
        <w:t xml:space="preserve"> </w:t>
      </w:r>
      <w:r>
        <w:t xml:space="preserve">(AAA Case No. 01-24-0003105), appointed April 22, 2024, in which Barrow &amp; Thistlewood LLP represents a party; the matter is in the pre-hearing phase with an estimated $175,000 in remaining fees. The disclosure lists only two pending matters involving B&amp;T (this case and</w:t>
      </w:r>
      <w:r>
        <w:t xml:space="preserve"> </w:t>
      </w:r>
      <w:r>
        <w:rPr>
          <w:i/>
          <w:iCs/>
        </w:rPr>
        <w:t xml:space="preserve">Orion Fabrication</w:t>
      </w:r>
      <w:r>
        <w:t xml:space="preserve">).</w:t>
      </w:r>
    </w:p>
    <w:p>
      <w:pPr>
        <w:pStyle w:val="BodyText"/>
      </w:pPr>
      <w:r>
        <w:rPr>
          <w:b/>
          <w:bCs/>
        </w:rPr>
        <w:t xml:space="preserve">Standard.</w:t>
      </w:r>
      <w:r>
        <w:t xml:space="preserve"> </w:t>
      </w:r>
      <w:r>
        <w:t xml:space="preserve">Rule R-17(a)(iii) requires disclosure of</w:t>
      </w:r>
      <w:r>
        <w:t xml:space="preserve"> </w:t>
      </w:r>
      <w:r>
        <w:t xml:space="preserve">“</w:t>
      </w:r>
      <w:r>
        <w:t xml:space="preserve">any prior or pending cases in which the arbitrator has been or is involved … with any party to the arbitration, its counsel, or representatives,</w:t>
      </w:r>
      <w:r>
        <w:t xml:space="preserve">”</w:t>
      </w:r>
      <w:r>
        <w:t xml:space="preserve"> </w:t>
      </w:r>
      <w:r>
        <w:t xml:space="preserve">before any institution and in any capacity.</w:t>
      </w:r>
    </w:p>
    <w:p>
      <w:pPr>
        <w:pStyle w:val="BodyText"/>
      </w:pPr>
      <w:r>
        <w:rPr>
          <w:b/>
          <w:bCs/>
        </w:rPr>
        <w:t xml:space="preserve">Analysis.</w:t>
      </w:r>
      <w:r>
        <w:t xml:space="preserve"> </w:t>
      </w:r>
      <w:r>
        <w:t xml:space="preserve">The omission of a third concurrent pending matter involving the respondent’s counsel understates the extent of the arbitrator’s ongoing, simultaneous engagement with B&amp;T. Whether inadvertent or deliberate, the effect is the same: the parties were not informed of the full scope of the arbitrator’s concurrent B&amp;T caseload, which bears on the repeat-player and economic-dependency analysis below. The matter was appointed approximately two months before the disclosure, so it was within the arbitrator’s knowledge.</w:t>
      </w:r>
    </w:p>
    <w:p>
      <w:pPr>
        <w:pStyle w:val="BodyText"/>
      </w:pPr>
      <w:r>
        <w:rPr>
          <w:b/>
          <w:bCs/>
        </w:rPr>
        <w:t xml:space="preserve">Strength: Moderate.</w:t>
      </w:r>
      <w:r>
        <w:t xml:space="preserve"> </w:t>
      </w:r>
      <w:r>
        <w:t xml:space="preserve">A single omitted pending matter may be an oversight, and the AAA may treat it as curable by supplemental disclosure. But it is a clear, itemized non-disclosure of a category the rules expressly require, and it compounds the broader pattern.</w:t>
      </w:r>
    </w:p>
    <w:p>
      <w:pPr>
        <w:pStyle w:val="BodyText"/>
      </w:pPr>
      <w:r>
        <w:rPr>
          <w:b/>
          <w:bCs/>
        </w:rPr>
        <w:t xml:space="preserve">Direction.</w:t>
      </w:r>
      <w:r>
        <w:t xml:space="preserve"> </w:t>
      </w:r>
      <w:r>
        <w:t xml:space="preserve">Favors a challenge by the</w:t>
      </w:r>
      <w:r>
        <w:t xml:space="preserve"> </w:t>
      </w:r>
      <w:r>
        <w:rPr>
          <w:b/>
          <w:bCs/>
        </w:rPr>
        <w:t xml:space="preserve">claimant</w:t>
      </w:r>
      <w:r>
        <w:t xml:space="preserve"> </w:t>
      </w:r>
      <w:r>
        <w:t xml:space="preserve">(additional concurrent B&amp;T engagement).</w:t>
      </w:r>
    </w:p>
    <w:bookmarkEnd w:id="29"/>
    <w:bookmarkStart w:id="30" w:name="Xd008e687cddc9c2286b8a6c5aba521ceeb1388c"/>
    <w:p>
      <w:pPr>
        <w:pStyle w:val="Heading3"/>
      </w:pPr>
      <w:r>
        <w:t xml:space="preserve">F. Omission of Multiple Prior Arbitrations Involving the Parties’ Counsel</w:t>
      </w:r>
    </w:p>
    <w:p>
      <w:pPr>
        <w:pStyle w:val="FirstParagraph"/>
      </w:pPr>
      <w:r>
        <w:rPr>
          <w:b/>
          <w:bCs/>
        </w:rPr>
        <w:t xml:space="preserve">Facts.</w:t>
      </w:r>
      <w:r>
        <w:t xml:space="preserve"> </w:t>
      </w:r>
      <w:r>
        <w:t xml:space="preserve">The appointment dataset (20 completed arbitrations, 2021–2024) identifies the following completed matters involving B&amp;T or FM that do not appear in the disclosure: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Case</w:t>
            </w:r>
          </w:p>
        </w:tc>
        <w:tc>
          <w:tcPr/>
          <w:p>
            <w:pPr>
              <w:pStyle w:val="Compact"/>
              <w:jc w:val="left"/>
            </w:pPr>
            <w:r>
              <w:t xml:space="preserve">Year</w:t>
            </w:r>
          </w:p>
        </w:tc>
        <w:tc>
          <w:tcPr/>
          <w:p>
            <w:pPr>
              <w:pStyle w:val="Compact"/>
              <w:jc w:val="left"/>
            </w:pPr>
            <w:r>
              <w:t xml:space="preserve">Counsel</w:t>
            </w:r>
          </w:p>
        </w:tc>
        <w:tc>
          <w:tcPr/>
          <w:p>
            <w:pPr>
              <w:pStyle w:val="Compact"/>
              <w:jc w:val="left"/>
            </w:pPr>
            <w:r>
              <w:t xml:space="preserve">Fees</w:t>
            </w:r>
          </w:p>
        </w:tc>
        <w:tc>
          <w:tcPr/>
          <w:p>
            <w:pPr>
              <w:pStyle w:val="Compact"/>
              <w:jc w:val="left"/>
            </w:pPr>
            <w:r>
              <w:t xml:space="preserve">Outcome</w:t>
            </w:r>
          </w:p>
        </w:tc>
      </w:tr>
      <w:tr>
        <w:tc>
          <w:tcPr/>
          <w:p>
            <w:pPr>
              <w:pStyle w:val="Compact"/>
              <w:jc w:val="left"/>
            </w:pPr>
            <w:r>
              <w:rPr>
                <w:i/>
                <w:iCs/>
              </w:rPr>
              <w:t xml:space="preserve">Crestfield Energy v. Loran Industrial</w:t>
            </w:r>
          </w:p>
        </w:tc>
        <w:tc>
          <w:tcPr/>
          <w:p>
            <w:pPr>
              <w:pStyle w:val="Compact"/>
              <w:jc w:val="left"/>
            </w:pPr>
            <w:r>
              <w:t xml:space="preserve">2022</w:t>
            </w:r>
          </w:p>
        </w:tc>
        <w:tc>
          <w:tcPr/>
          <w:p>
            <w:pPr>
              <w:pStyle w:val="Compact"/>
              <w:jc w:val="left"/>
            </w:pPr>
            <w:r>
              <w:t xml:space="preserve">B&amp;T (claimant)</w:t>
            </w:r>
          </w:p>
        </w:tc>
        <w:tc>
          <w:tcPr/>
          <w:p>
            <w:pPr>
              <w:pStyle w:val="Compact"/>
              <w:jc w:val="left"/>
            </w:pPr>
            <w:r>
              <w:t xml:space="preserve">$110,000</w:t>
            </w:r>
          </w:p>
        </w:tc>
        <w:tc>
          <w:tcPr/>
          <w:p>
            <w:pPr>
              <w:pStyle w:val="Compact"/>
              <w:jc w:val="left"/>
            </w:pPr>
            <w:r>
              <w:t xml:space="preserve">B&amp;T client prevailed</w:t>
            </w:r>
          </w:p>
        </w:tc>
      </w:tr>
      <w:tr>
        <w:tc>
          <w:tcPr/>
          <w:p>
            <w:pPr>
              <w:pStyle w:val="Compact"/>
              <w:jc w:val="left"/>
            </w:pPr>
            <w:r>
              <w:rPr>
                <w:i/>
                <w:iCs/>
              </w:rPr>
              <w:t xml:space="preserve">Ashford Medical Devices v. Greenway Therapeutics</w:t>
            </w:r>
          </w:p>
        </w:tc>
        <w:tc>
          <w:tcPr/>
          <w:p>
            <w:pPr>
              <w:pStyle w:val="Compact"/>
              <w:jc w:val="left"/>
            </w:pPr>
            <w:r>
              <w:t xml:space="preserve">2022</w:t>
            </w:r>
          </w:p>
        </w:tc>
        <w:tc>
          <w:tcPr/>
          <w:p>
            <w:pPr>
              <w:pStyle w:val="Compact"/>
              <w:jc w:val="left"/>
            </w:pPr>
            <w:r>
              <w:t xml:space="preserve">B&amp;T (respondent)</w:t>
            </w:r>
          </w:p>
        </w:tc>
        <w:tc>
          <w:tcPr/>
          <w:p>
            <w:pPr>
              <w:pStyle w:val="Compact"/>
              <w:jc w:val="left"/>
            </w:pPr>
            <w:r>
              <w:t xml:space="preserve">$92,000</w:t>
            </w:r>
          </w:p>
        </w:tc>
        <w:tc>
          <w:tcPr/>
          <w:p>
            <w:pPr>
              <w:pStyle w:val="Compact"/>
              <w:jc w:val="left"/>
            </w:pPr>
            <w:r>
              <w:t xml:space="preserve">B&amp;T client prevailed</w:t>
            </w:r>
          </w:p>
        </w:tc>
      </w:tr>
      <w:tr>
        <w:tc>
          <w:tcPr/>
          <w:p>
            <w:pPr>
              <w:pStyle w:val="Compact"/>
              <w:jc w:val="left"/>
            </w:pPr>
            <w:r>
              <w:rPr>
                <w:i/>
                <w:iCs/>
              </w:rPr>
              <w:t xml:space="preserve">Westbrook Partners v. Arcadian Ventures</w:t>
            </w:r>
          </w:p>
        </w:tc>
        <w:tc>
          <w:tcPr/>
          <w:p>
            <w:pPr>
              <w:pStyle w:val="Compact"/>
              <w:jc w:val="left"/>
            </w:pPr>
            <w:r>
              <w:t xml:space="preserve">2022</w:t>
            </w:r>
          </w:p>
        </w:tc>
        <w:tc>
          <w:tcPr/>
          <w:p>
            <w:pPr>
              <w:pStyle w:val="Compact"/>
              <w:jc w:val="left"/>
            </w:pPr>
            <w:r>
              <w:t xml:space="preserve">FM (claimant) &amp; B&amp;T (respondent)</w:t>
            </w:r>
          </w:p>
        </w:tc>
        <w:tc>
          <w:tcPr/>
          <w:p>
            <w:pPr>
              <w:pStyle w:val="Compact"/>
              <w:jc w:val="left"/>
            </w:pPr>
            <w:r>
              <w:t xml:space="preserve">$130,000</w:t>
            </w:r>
          </w:p>
        </w:tc>
        <w:tc>
          <w:tcPr/>
          <w:p>
            <w:pPr>
              <w:pStyle w:val="Compact"/>
              <w:jc w:val="left"/>
            </w:pPr>
            <w:r>
              <w:t xml:space="preserve">B&amp;T client prevailed</w:t>
            </w:r>
          </w:p>
        </w:tc>
      </w:tr>
      <w:tr>
        <w:tc>
          <w:tcPr/>
          <w:p>
            <w:pPr>
              <w:pStyle w:val="Compact"/>
              <w:jc w:val="left"/>
            </w:pPr>
            <w:r>
              <w:rPr>
                <w:i/>
                <w:iCs/>
              </w:rPr>
              <w:t xml:space="preserve">Trident Coatings v. Bayshore Chemical</w:t>
            </w:r>
          </w:p>
        </w:tc>
        <w:tc>
          <w:tcPr/>
          <w:p>
            <w:pPr>
              <w:pStyle w:val="Compact"/>
              <w:jc w:val="left"/>
            </w:pPr>
            <w:r>
              <w:t xml:space="preserve">2023</w:t>
            </w:r>
          </w:p>
        </w:tc>
        <w:tc>
          <w:tcPr/>
          <w:p>
            <w:pPr>
              <w:pStyle w:val="Compact"/>
              <w:jc w:val="left"/>
            </w:pPr>
            <w:r>
              <w:t xml:space="preserve">B&amp;T (claimant)</w:t>
            </w:r>
          </w:p>
        </w:tc>
        <w:tc>
          <w:tcPr/>
          <w:p>
            <w:pPr>
              <w:pStyle w:val="Compact"/>
              <w:jc w:val="left"/>
            </w:pPr>
            <w:r>
              <w:t xml:space="preserve">$105,000</w:t>
            </w:r>
          </w:p>
        </w:tc>
        <w:tc>
          <w:tcPr/>
          <w:p>
            <w:pPr>
              <w:pStyle w:val="Compact"/>
              <w:jc w:val="left"/>
            </w:pPr>
            <w:r>
              <w:t xml:space="preserve">B&amp;T client did not prevail</w:t>
            </w:r>
          </w:p>
        </w:tc>
      </w:tr>
      <w:tr>
        <w:tc>
          <w:tcPr/>
          <w:p>
            <w:pPr>
              <w:pStyle w:val="Compact"/>
              <w:jc w:val="left"/>
            </w:pPr>
            <w:r>
              <w:rPr>
                <w:i/>
                <w:iCs/>
              </w:rPr>
              <w:t xml:space="preserve">Redstone Logistics v. Fairfield Transport</w:t>
            </w:r>
          </w:p>
        </w:tc>
        <w:tc>
          <w:tcPr/>
          <w:p>
            <w:pPr>
              <w:pStyle w:val="Compact"/>
              <w:jc w:val="left"/>
            </w:pPr>
            <w:r>
              <w:t xml:space="preserve">2023</w:t>
            </w:r>
          </w:p>
        </w:tc>
        <w:tc>
          <w:tcPr/>
          <w:p>
            <w:pPr>
              <w:pStyle w:val="Compact"/>
              <w:jc w:val="left"/>
            </w:pPr>
            <w:r>
              <w:t xml:space="preserve">B&amp;T (respondent)</w:t>
            </w:r>
          </w:p>
        </w:tc>
        <w:tc>
          <w:tcPr/>
          <w:p>
            <w:pPr>
              <w:pStyle w:val="Compact"/>
              <w:jc w:val="left"/>
            </w:pPr>
            <w:r>
              <w:t xml:space="preserve">$118,000</w:t>
            </w:r>
          </w:p>
        </w:tc>
        <w:tc>
          <w:tcPr/>
          <w:p>
            <w:pPr>
              <w:pStyle w:val="Compact"/>
              <w:jc w:val="left"/>
            </w:pPr>
            <w:r>
              <w:t xml:space="preserve">B&amp;T client prevailed</w:t>
            </w:r>
          </w:p>
        </w:tc>
      </w:tr>
      <w:tr>
        <w:tc>
          <w:tcPr/>
          <w:p>
            <w:pPr>
              <w:pStyle w:val="Compact"/>
              <w:jc w:val="left"/>
            </w:pPr>
            <w:r>
              <w:rPr>
                <w:i/>
                <w:iCs/>
              </w:rPr>
              <w:t xml:space="preserve">Thornwall Systems v. Kessler Automation</w:t>
            </w:r>
          </w:p>
        </w:tc>
        <w:tc>
          <w:tcPr/>
          <w:p>
            <w:pPr>
              <w:pStyle w:val="Compact"/>
              <w:jc w:val="left"/>
            </w:pPr>
            <w:r>
              <w:t xml:space="preserve">2023</w:t>
            </w:r>
          </w:p>
        </w:tc>
        <w:tc>
          <w:tcPr/>
          <w:p>
            <w:pPr>
              <w:pStyle w:val="Compact"/>
              <w:jc w:val="left"/>
            </w:pPr>
            <w:r>
              <w:t xml:space="preserve">FM (respondent)</w:t>
            </w:r>
          </w:p>
        </w:tc>
        <w:tc>
          <w:tcPr/>
          <w:p>
            <w:pPr>
              <w:pStyle w:val="Compact"/>
              <w:jc w:val="left"/>
            </w:pPr>
            <w:r>
              <w:t xml:space="preserve">$82,000</w:t>
            </w:r>
          </w:p>
        </w:tc>
        <w:tc>
          <w:tcPr/>
          <w:p>
            <w:pPr>
              <w:pStyle w:val="Compact"/>
              <w:jc w:val="left"/>
            </w:pPr>
            <w:r>
              <w:t xml:space="preserve">FM client did not prevail</w:t>
            </w:r>
          </w:p>
        </w:tc>
      </w:tr>
      <w:tr>
        <w:tc>
          <w:tcPr/>
          <w:p>
            <w:pPr>
              <w:pStyle w:val="Compact"/>
              <w:jc w:val="left"/>
            </w:pPr>
            <w:r>
              <w:rPr>
                <w:i/>
                <w:iCs/>
              </w:rPr>
              <w:t xml:space="preserve">Warwick Technologies v. Cypress Digital</w:t>
            </w:r>
          </w:p>
        </w:tc>
        <w:tc>
          <w:tcPr/>
          <w:p>
            <w:pPr>
              <w:pStyle w:val="Compact"/>
              <w:jc w:val="left"/>
            </w:pPr>
            <w:r>
              <w:t xml:space="preserve">2023</w:t>
            </w:r>
          </w:p>
        </w:tc>
        <w:tc>
          <w:tcPr/>
          <w:p>
            <w:pPr>
              <w:pStyle w:val="Compact"/>
              <w:jc w:val="left"/>
            </w:pPr>
            <w:r>
              <w:t xml:space="preserve">B&amp;T (claimant)</w:t>
            </w:r>
          </w:p>
        </w:tc>
        <w:tc>
          <w:tcPr/>
          <w:p>
            <w:pPr>
              <w:pStyle w:val="Compact"/>
              <w:jc w:val="left"/>
            </w:pPr>
            <w:r>
              <w:t xml:space="preserve">$97,000</w:t>
            </w:r>
          </w:p>
        </w:tc>
        <w:tc>
          <w:tcPr/>
          <w:p>
            <w:pPr>
              <w:pStyle w:val="Compact"/>
              <w:jc w:val="left"/>
            </w:pPr>
            <w:r>
              <w:t xml:space="preserve">B&amp;T client prevailed</w:t>
            </w:r>
          </w:p>
        </w:tc>
      </w:tr>
    </w:tbl>
    <w:p>
      <w:pPr>
        <w:pStyle w:val="BodyText"/>
      </w:pPr>
      <w:r>
        <w:t xml:space="preserve">That is seven completed matters (six flagged</w:t>
      </w:r>
      <w:r>
        <w:t xml:space="preserve"> </w:t>
      </w:r>
      <w:r>
        <w:t xml:space="preserve">“</w:t>
      </w:r>
      <w:r>
        <w:t xml:space="preserve">Not disclosed by arbitrator</w:t>
      </w:r>
      <w:r>
        <w:t xml:space="preserve">”</w:t>
      </w:r>
      <w:r>
        <w:t xml:space="preserve"> </w:t>
      </w:r>
      <w:r>
        <w:t xml:space="preserve">in the dataset’s notes, plus</w:t>
      </w:r>
      <w:r>
        <w:t xml:space="preserve"> </w:t>
      </w:r>
      <w:r>
        <w:rPr>
          <w:i/>
          <w:iCs/>
        </w:rPr>
        <w:t xml:space="preserve">Thornwall</w:t>
      </w:r>
      <w:r>
        <w:t xml:space="preserve">, which is absent from the disclosure though its note omits the flag). The aggregate fees associated with these omitted matters approximate $734,000. The dataset’s summary line states</w:t>
      </w:r>
      <w:r>
        <w:t xml:space="preserve"> </w:t>
      </w:r>
      <w:r>
        <w:t xml:space="preserve">“</w:t>
      </w:r>
      <w:r>
        <w:t xml:space="preserve">Undisclosed matters involving B&amp;T or FM: 5,</w:t>
      </w:r>
      <w:r>
        <w:t xml:space="preserve">”</w:t>
      </w:r>
      <w:r>
        <w:t xml:space="preserve"> </w:t>
      </w:r>
      <w:r>
        <w:t xml:space="preserve">which is internally inconsistent with the line-item data; the line-item data control and show seven. (See Section VIII.)</w:t>
      </w:r>
    </w:p>
    <w:p>
      <w:pPr>
        <w:pStyle w:val="BodyText"/>
      </w:pPr>
      <w:r>
        <w:rPr>
          <w:b/>
          <w:bCs/>
        </w:rPr>
        <w:t xml:space="preserve">Standard.</w:t>
      </w:r>
      <w:r>
        <w:t xml:space="preserve"> </w:t>
      </w:r>
      <w:r>
        <w:t xml:space="preserve">Rule R-17(a)(iii); the arbitrator’s certification that the seven listed matters</w:t>
      </w:r>
      <w:r>
        <w:t xml:space="preserve"> </w:t>
      </w:r>
      <w:r>
        <w:t xml:space="preserve">“</w:t>
      </w:r>
      <w:r>
        <w:t xml:space="preserve">represents a complete list.</w:t>
      </w:r>
      <w:r>
        <w:t xml:space="preserve">”</w:t>
      </w:r>
    </w:p>
    <w:p>
      <w:pPr>
        <w:pStyle w:val="BodyText"/>
      </w:pPr>
      <w:r>
        <w:rPr>
          <w:b/>
          <w:bCs/>
        </w:rPr>
        <w:t xml:space="preserve">Analysis.</w:t>
      </w:r>
      <w:r>
        <w:t xml:space="preserve"> </w:t>
      </w:r>
      <w:r>
        <w:t xml:space="preserve">The disclosure asserts that the seven listed arbitrations</w:t>
      </w:r>
      <w:r>
        <w:t xml:space="preserve"> </w:t>
      </w:r>
      <w:r>
        <w:t xml:space="preserve">“</w:t>
      </w:r>
      <w:r>
        <w:t xml:space="preserve">represents a complete list of arbitrations in which I have served alongside counsel from either Barrow &amp; Thistlewood LLP or Fielding Marsh &amp; Collier LLP.</w:t>
      </w:r>
      <w:r>
        <w:t xml:space="preserve">”</w:t>
      </w:r>
      <w:r>
        <w:t xml:space="preserve"> </w:t>
      </w:r>
      <w:r>
        <w:t xml:space="preserve">The dataset shows that assertion to be incorrect: at least seven additional completed matters involving those firms were omitted, including one in which both firms appeared. The omitted matters are not trivial in aggregate — they represent an estimated $734,000 in fees and include several in which the B&amp;T client prevailed. The pattern of omission undermines the reliability of the disclosure as a whole and bears directly on the repeat-player analysis.</w:t>
      </w:r>
    </w:p>
    <w:p>
      <w:pPr>
        <w:pStyle w:val="BodyText"/>
      </w:pPr>
      <w:r>
        <w:rPr>
          <w:b/>
          <w:bCs/>
        </w:rPr>
        <w:t xml:space="preserve">Strength: Moderate to strong.</w:t>
      </w:r>
      <w:r>
        <w:t xml:space="preserve"> </w:t>
      </w:r>
      <w:r>
        <w:t xml:space="preserve">The volume and consistency of the omissions (seven matters across three years) make it difficult to attribute to isolated oversight, though that remains possible. Even if each omission were innocent, the cumulative effect is a disclosure that materially understates the arbitrator’s history with the parties’ counsel — the very category Rule R-17(a)(iii) targets.</w:t>
      </w:r>
    </w:p>
    <w:p>
      <w:pPr>
        <w:pStyle w:val="BodyText"/>
      </w:pPr>
      <w:r>
        <w:rPr>
          <w:b/>
          <w:bCs/>
        </w:rPr>
        <w:t xml:space="preserve">Direction.</w:t>
      </w:r>
      <w:r>
        <w:t xml:space="preserve"> </w:t>
      </w:r>
      <w:r>
        <w:t xml:space="preserve">Favors a challenge by the</w:t>
      </w:r>
      <w:r>
        <w:t xml:space="preserve"> </w:t>
      </w:r>
      <w:r>
        <w:rPr>
          <w:b/>
          <w:bCs/>
        </w:rPr>
        <w:t xml:space="preserve">claimant</w:t>
      </w:r>
      <w:r>
        <w:t xml:space="preserve"> </w:t>
      </w:r>
      <w:r>
        <w:t xml:space="preserve">(the omitted matters predominantly involve B&amp;T, the respondent’s counsel).</w:t>
      </w:r>
    </w:p>
    <w:bookmarkEnd w:id="30"/>
    <w:bookmarkStart w:id="31" w:name="Xecc50e63bfa369a9aa0ce70a8d9e47eb40dda08"/>
    <w:p>
      <w:pPr>
        <w:pStyle w:val="Heading3"/>
      </w:pPr>
      <w:r>
        <w:t xml:space="preserve">G. Repeat-Player and Economic-Dependency Indicators</w:t>
      </w:r>
    </w:p>
    <w:p>
      <w:pPr>
        <w:pStyle w:val="FirstParagraph"/>
      </w:pPr>
      <w:r>
        <w:rPr>
          <w:b/>
          <w:bCs/>
        </w:rPr>
        <w:t xml:space="preserve">Facts.</w:t>
      </w:r>
      <w:r>
        <w:t xml:space="preserve"> </w:t>
      </w:r>
      <w:r>
        <w:t xml:space="preserve">Across the arbitrator’s last 20 completed arbitrations (2021–2024), Barrow &amp; Thistlewood LLP appeared in 9 (45%) and generated an estimated $1,020,000 in fees — approximately 48% of the arbitrator’s estimated $2,125,000 in total arbitration income over the past 36 months. The B&amp;T client prevailed in 7 of 9 completed matters (77.8%). The arbitrator currently has three concurrent pending matters involving B&amp;T (this case,</w:t>
      </w:r>
      <w:r>
        <w:t xml:space="preserve"> </w:t>
      </w:r>
      <w:r>
        <w:rPr>
          <w:i/>
          <w:iCs/>
        </w:rPr>
        <w:t xml:space="preserve">Orion Fabrication</w:t>
      </w:r>
      <w:r>
        <w:t xml:space="preserve">, and</w:t>
      </w:r>
      <w:r>
        <w:t xml:space="preserve"> </w:t>
      </w:r>
      <w:r>
        <w:rPr>
          <w:i/>
          <w:iCs/>
        </w:rPr>
        <w:t xml:space="preserve">Halcyon Biotech</w:t>
      </w:r>
      <w:r>
        <w:t xml:space="preserve">), with B&amp;T-related pending fees estimated at $560,000 (67.1% of pending fees). Fielding Marsh &amp; Collier LLP appeared in 5 matters (per the dataset’s Fee Summary), generating an estimated $410,000 (19.3% of income), with the FM client prevailing in 1 of 4 adjudicated matters (25.0%).</w:t>
      </w:r>
    </w:p>
    <w:p>
      <w:pPr>
        <w:pStyle w:val="BodyText"/>
      </w:pPr>
      <w:r>
        <w:rPr>
          <w:b/>
          <w:bCs/>
        </w:rPr>
        <w:t xml:space="preserve">Standard.</w:t>
      </w:r>
      <w:r>
        <w:t xml:space="preserve"> </w:t>
      </w:r>
      <w:r>
        <w:t xml:space="preserve">Rule R-16’s broad construction mandate; Rule R-17(a)(iv) catch-all; IBA Orange List (repeat appointments) and the general</w:t>
      </w:r>
      <w:r>
        <w:t xml:space="preserve"> </w:t>
      </w:r>
      <w:r>
        <w:t xml:space="preserve">“</w:t>
      </w:r>
      <w:r>
        <w:t xml:space="preserve">justifiable doubt</w:t>
      </w:r>
      <w:r>
        <w:t xml:space="preserve">”</w:t>
      </w:r>
      <w:r>
        <w:t xml:space="preserve"> </w:t>
      </w:r>
      <w:r>
        <w:t xml:space="preserve">standard.</w:t>
      </w:r>
    </w:p>
    <w:p>
      <w:pPr>
        <w:pStyle w:val="BodyText"/>
      </w:pPr>
      <w:r>
        <w:rPr>
          <w:b/>
          <w:bCs/>
        </w:rPr>
        <w:t xml:space="preserve">Analysis.</w:t>
      </w:r>
      <w:r>
        <w:t xml:space="preserve"> </w:t>
      </w:r>
      <w:r>
        <w:t xml:space="preserve">No single prior appointment is disqualifying, and repeat appointments are common and often unobjectionable. But the concentration here is notable: nearly half of the arbitrator’s recent arbitration income derives from one firm — the respondent’s counsel — and that firm’s clients have prevailed at a 77.8% rate. Combined with three concurrent pending B&amp;T matters, a reasonable party could question whether the arbitrator has an economic incentive to preserve a lucrative repeat relationship, and whether the appearance of partiality is affected. These figures are drawn from estimates and public data and should be presented with appropriate caveats, but they are sufficiently grounded to support an appearance-of-partiality argument, particularly when paired with the non-disclosure of several of the underlying matters.</w:t>
      </w:r>
    </w:p>
    <w:p>
      <w:pPr>
        <w:pStyle w:val="BodyText"/>
      </w:pPr>
      <w:r>
        <w:rPr>
          <w:b/>
          <w:bCs/>
        </w:rPr>
        <w:t xml:space="preserve">Strength: Moderate.</w:t>
      </w:r>
      <w:r>
        <w:t xml:space="preserve"> </w:t>
      </w:r>
      <w:r>
        <w:t xml:space="preserve">Standing alone, repeat-appointment statistics are generally insufficient to establish justifiable doubt; the IBA Guidelines treat repeat appointments as Orange-List (disclose-and-waive) rather than disqualifying. The force of this ground is largely derivative — it amplifies the non-disclosure grounds (E and F) and the connections to the respondent’s side (A, C, D). It is most powerful as context, not as a standalone basis.</w:t>
      </w:r>
    </w:p>
    <w:p>
      <w:pPr>
        <w:pStyle w:val="BodyText"/>
      </w:pPr>
      <w:r>
        <w:rPr>
          <w:b/>
          <w:bCs/>
        </w:rPr>
        <w:t xml:space="preserve">Direction.</w:t>
      </w:r>
      <w:r>
        <w:t xml:space="preserve"> </w:t>
      </w:r>
      <w:r>
        <w:t xml:space="preserve">Favors a challenge by the</w:t>
      </w:r>
      <w:r>
        <w:t xml:space="preserve"> </w:t>
      </w:r>
      <w:r>
        <w:rPr>
          <w:b/>
          <w:bCs/>
        </w:rPr>
        <w:t xml:space="preserve">claimant</w:t>
      </w:r>
      <w:r>
        <w:t xml:space="preserve">.</w:t>
      </w:r>
    </w:p>
    <w:bookmarkEnd w:id="31"/>
    <w:bookmarkStart w:id="32" w:name="X15f1b0aaacb753fccfe9330d7a327754b12cd3d"/>
    <w:p>
      <w:pPr>
        <w:pStyle w:val="Heading3"/>
      </w:pPr>
      <w:r>
        <w:t xml:space="preserve">H. Incomplete Disclosure of the Lakeview Affiliation</w:t>
      </w:r>
    </w:p>
    <w:p>
      <w:pPr>
        <w:pStyle w:val="FirstParagraph"/>
      </w:pPr>
      <w:r>
        <w:rPr>
          <w:b/>
          <w:bCs/>
        </w:rPr>
        <w:t xml:space="preserve">Facts.</w:t>
      </w:r>
      <w:r>
        <w:t xml:space="preserve"> </w:t>
      </w:r>
      <w:r>
        <w:t xml:space="preserve">The arbitrator disclosed her Lakeview affiliation and that Lakeview receives referrals from both B&amp;T and FM, and noted that this matter was administered by the AAA (not Lakeview). The disclosure did not address the financial terms of the affiliation — e.g., whether Lakeview takes a percentage of the arbitrator’s fees for referred matters, whether Lakeview’s revenue depends on maintaining referral relationships with the firms, or whether the arbitrator is an employee, independent contractor, or equity-holder/member of Lakeview. Lakeview also hosted the October 14, 2023 CLE at which the arbitrator and Mr. Hargrave co-presented.</w:t>
      </w:r>
    </w:p>
    <w:p>
      <w:pPr>
        <w:pStyle w:val="BodyText"/>
      </w:pPr>
      <w:r>
        <w:rPr>
          <w:b/>
          <w:bCs/>
        </w:rPr>
        <w:t xml:space="preserve">Standard.</w:t>
      </w:r>
      <w:r>
        <w:t xml:space="preserve"> </w:t>
      </w:r>
      <w:r>
        <w:t xml:space="preserve">Rule R-17(a)(i) (financial interest) and (a)(ii) (business/professional relationships).</w:t>
      </w:r>
    </w:p>
    <w:p>
      <w:pPr>
        <w:pStyle w:val="BodyText"/>
      </w:pPr>
      <w:r>
        <w:rPr>
          <w:b/>
          <w:bCs/>
        </w:rPr>
        <w:t xml:space="preserve">Analysis.</w:t>
      </w:r>
      <w:r>
        <w:t xml:space="preserve"> </w:t>
      </w:r>
      <w:r>
        <w:t xml:space="preserve">The arbitrator’s affiliation with an institution that depends on referrals from the parties’ counsel is a recognized source of potential conflict, particularly where the institution’s revenue model ties the arbitrator’s economic interests to the goodwill of counsel who appear before her. The disclosure acknowledged the referral relationships but did not characterize their financial significance or the arbitrator’s economic stake in Lakeview. The public record does not reveal the financial terms, so this is primarily a matter of incomplete disclosure rather than an established conflict — but the incompleteness is itself a disclosure deficiency, and the terms are within the arbitrator’s knowledge.</w:t>
      </w:r>
    </w:p>
    <w:p>
      <w:pPr>
        <w:pStyle w:val="BodyText"/>
      </w:pPr>
      <w:r>
        <w:rPr>
          <w:b/>
          <w:bCs/>
        </w:rPr>
        <w:t xml:space="preserve">Strength: Moderate.</w:t>
      </w:r>
      <w:r>
        <w:t xml:space="preserve"> </w:t>
      </w:r>
      <w:r>
        <w:t xml:space="preserve">The referral relationship was disclosed in general terms; what is missing is the financial characterization. This ground is best raised as a request for supplemental disclosure rather than a standalone challenge, but it contributes to the overall picture of a disclosure that is broad in narrative but thin on the financial specifics most relevant to impartiality.</w:t>
      </w:r>
    </w:p>
    <w:p>
      <w:pPr>
        <w:pStyle w:val="BodyText"/>
      </w:pPr>
      <w:r>
        <w:rPr>
          <w:b/>
          <w:bCs/>
        </w:rPr>
        <w:t xml:space="preserve">Direction.</w:t>
      </w:r>
      <w:r>
        <w:t xml:space="preserve"> </w:t>
      </w:r>
      <w:r>
        <w:t xml:space="preserve">Neutral; relevant to either party.</w:t>
      </w:r>
    </w:p>
    <w:bookmarkEnd w:id="32"/>
    <w:bookmarkEnd w:id="33"/>
    <w:bookmarkStart w:id="34" w:name="vii.-procedural-considerations"/>
    <w:p>
      <w:pPr>
        <w:pStyle w:val="Heading2"/>
      </w:pPr>
      <w:r>
        <w:t xml:space="preserve">VII. Procedural Considerations</w:t>
      </w:r>
    </w:p>
    <w:p>
      <w:pPr>
        <w:pStyle w:val="FirstParagraph"/>
      </w:pPr>
      <w:r>
        <w:rPr>
          <w:b/>
          <w:bCs/>
        </w:rPr>
        <w:t xml:space="preserve">A. Deadline and timeliness.</w:t>
      </w:r>
      <w:r>
        <w:t xml:space="preserve"> </w:t>
      </w:r>
      <w:r>
        <w:t xml:space="preserve">The seven-day challenge deadline runs from June 17, 2024, yielding June 24, 2024 as the date stated in the disclosure. For the grounds that depend on information not contained in the disclosure (the indirect financial interest, the spouse–Peshkov co-authorship, the Hargrave CLE, the Whitmore trustee role, the Halcyon omission, and the omitted prior arbitrations), Rule R-18(a) measures the deadline from when the circumstances</w:t>
      </w:r>
      <w:r>
        <w:t xml:space="preserve"> </w:t>
      </w:r>
      <w:r>
        <w:t xml:space="preserve">“</w:t>
      </w:r>
      <w:r>
        <w:t xml:space="preserve">became known or should reasonably have become known to the challenging party, whichever is later.</w:t>
      </w:r>
      <w:r>
        <w:t xml:space="preserve">”</w:t>
      </w:r>
      <w:r>
        <w:t xml:space="preserve"> </w:t>
      </w:r>
      <w:r>
        <w:t xml:space="preserve">The entity-relationship research memorializing these findings is dated June 19, 2024. A challenge filed on or before June 24, 2024 would be timely under either measure. To be safe, any challenge should be filed promptly and well within the June 24 date.</w:t>
      </w:r>
    </w:p>
    <w:p>
      <w:pPr>
        <w:pStyle w:val="BodyText"/>
      </w:pPr>
      <w:r>
        <w:rPr>
          <w:b/>
          <w:bCs/>
        </w:rPr>
        <w:t xml:space="preserve">B. Waiver.</w:t>
      </w:r>
      <w:r>
        <w:t xml:space="preserve"> </w:t>
      </w:r>
      <w:r>
        <w:t xml:space="preserve">Rule R-18(f) deems a party to have waived grounds</w:t>
      </w:r>
      <w:r>
        <w:t xml:space="preserve"> </w:t>
      </w:r>
      <w:r>
        <w:t xml:space="preserve">“</w:t>
      </w:r>
      <w:r>
        <w:t xml:space="preserve">then known</w:t>
      </w:r>
      <w:r>
        <w:t xml:space="preserve">”</w:t>
      </w:r>
      <w:r>
        <w:t xml:space="preserve"> </w:t>
      </w:r>
      <w:r>
        <w:t xml:space="preserve">if it fails to challenge timely, but expressly preserves grounds</w:t>
      </w:r>
      <w:r>
        <w:t xml:space="preserve"> </w:t>
      </w:r>
      <w:r>
        <w:t xml:space="preserve">“</w:t>
      </w:r>
      <w:r>
        <w:t xml:space="preserve">that were not and could not reasonably have been known at the time of the deadline.</w:t>
      </w:r>
      <w:r>
        <w:t xml:space="preserve">”</w:t>
      </w:r>
      <w:r>
        <w:t xml:space="preserve"> </w:t>
      </w:r>
      <w:r>
        <w:t xml:space="preserve">The undisclosed grounds were not reasonably knowable from the disclosure statement itself; they came to light only through independent research. A timely challenge to those grounds should therefore not be deemed waived. The disclosed grounds (e.g., the seven listed arbitrations, the Ellen Wu advisory board service, the Lakeview referral relationship) are knowable from the disclosure and would be waived if not challenged by June 24.</w:t>
      </w:r>
    </w:p>
    <w:p>
      <w:pPr>
        <w:pStyle w:val="BodyText"/>
      </w:pPr>
      <w:r>
        <w:rPr>
          <w:b/>
          <w:bCs/>
        </w:rPr>
        <w:t xml:space="preserve">C. Practical first step — supplemental disclosure.</w:t>
      </w:r>
      <w:r>
        <w:t xml:space="preserve"> </w:t>
      </w:r>
      <w:r>
        <w:t xml:space="preserve">Rule R-17(d) authorizes the AAA to</w:t>
      </w:r>
      <w:r>
        <w:t xml:space="preserve"> </w:t>
      </w:r>
      <w:r>
        <w:t xml:space="preserve">“</w:t>
      </w:r>
      <w:r>
        <w:t xml:space="preserve">bring any disclosure deficiency to the attention of the arbitrator and request supplemental disclosure before acting on any challenge.</w:t>
      </w:r>
      <w:r>
        <w:t xml:space="preserve">”</w:t>
      </w:r>
      <w:r>
        <w:t xml:space="preserve"> </w:t>
      </w:r>
      <w:r>
        <w:t xml:space="preserve">Before or alongside filing a formal challenge, counsel may request that the AAA ask the arbitrator to supplement her disclosure on the specific points identified above (the Northbridge/Select Alternatives Fund holdings; the spouse–Peshkov co-authorship; the Whitmore trustee role; the Hargrave CLE; the Halcyon and other omitted prior/pending matters; and the financial terms of the Lakeview affiliation). The arbitrator’s responses would either cure the deficiencies or crystallize the record for a challenge.</w:t>
      </w:r>
    </w:p>
    <w:p>
      <w:pPr>
        <w:pStyle w:val="BodyText"/>
      </w:pPr>
      <w:r>
        <w:rPr>
          <w:b/>
          <w:bCs/>
        </w:rPr>
        <w:t xml:space="preserve">D. FAA § 10(a)(2) preservation.</w:t>
      </w:r>
      <w:r>
        <w:t xml:space="preserve"> </w:t>
      </w:r>
      <w:r>
        <w:t xml:space="preserve">Rule R-18(e) and (f) preserve the right to seek vacatur under FAA § 10(a)(2) for</w:t>
      </w:r>
      <w:r>
        <w:t xml:space="preserve"> </w:t>
      </w:r>
      <w:r>
        <w:t xml:space="preserve">“</w:t>
      </w:r>
      <w:r>
        <w:t xml:space="preserve">evident partiality,</w:t>
      </w:r>
      <w:r>
        <w:t xml:space="preserve">”</w:t>
      </w:r>
      <w:r>
        <w:t xml:space="preserve"> </w:t>
      </w:r>
      <w:r>
        <w:t xml:space="preserve">and the AAA rules expressly acknowledge that disclosure failures</w:t>
      </w:r>
      <w:r>
        <w:t xml:space="preserve"> </w:t>
      </w:r>
      <w:r>
        <w:t xml:space="preserve">“</w:t>
      </w:r>
      <w:r>
        <w:t xml:space="preserve">may constitute grounds for vacatur.</w:t>
      </w:r>
      <w:r>
        <w:t xml:space="preserve">”</w:t>
      </w:r>
      <w:r>
        <w:t xml:space="preserve"> </w:t>
      </w:r>
      <w:r>
        <w:t xml:space="preserve">Even if a challenge is denied by the AAA (or not pursued), the undisclosed connections — particularly the indirect financial interest and the spouse–witness co-authorship — should be documented now to preserve an evident-partiality argument should an adverse award later issue. The</w:t>
      </w:r>
      <w:r>
        <w:t xml:space="preserve"> </w:t>
      </w:r>
      <w:r>
        <w:t xml:space="preserve">“</w:t>
      </w:r>
      <w:r>
        <w:t xml:space="preserve">evident partiality</w:t>
      </w:r>
      <w:r>
        <w:t xml:space="preserve">”</w:t>
      </w:r>
      <w:r>
        <w:t xml:space="preserve"> </w:t>
      </w:r>
      <w:r>
        <w:t xml:space="preserve">standard is generally understood to require more than a mere appearance of bias, but to be satisfied by undisclosed relationships of the kind at issue here.</w:t>
      </w:r>
    </w:p>
    <w:p>
      <w:pPr>
        <w:pStyle w:val="BodyText"/>
      </w:pPr>
      <w:r>
        <w:rPr>
          <w:b/>
          <w:bCs/>
        </w:rPr>
        <w:t xml:space="preserve">E. Specificity.</w:t>
      </w:r>
      <w:r>
        <w:t xml:space="preserve"> </w:t>
      </w:r>
      <w:r>
        <w:t xml:space="preserve">Rule R-18(a) requires the challenge to state the grounds</w:t>
      </w:r>
      <w:r>
        <w:t xml:space="preserve"> </w:t>
      </w:r>
      <w:r>
        <w:t xml:space="preserve">“</w:t>
      </w:r>
      <w:r>
        <w:t xml:space="preserve">with specificity.</w:t>
      </w:r>
      <w:r>
        <w:t xml:space="preserve">”</w:t>
      </w:r>
      <w:r>
        <w:t xml:space="preserve"> </w:t>
      </w:r>
      <w:r>
        <w:t xml:space="preserve">The findings above are sufficiently specific (named individuals, dated events, documentable sources) to satisfy that requirement.</w:t>
      </w:r>
    </w:p>
    <w:bookmarkEnd w:id="34"/>
    <w:bookmarkStart w:id="35" w:name="Xd08abb467e0c36ea2170fdef53ced220c3c6329"/>
    <w:p>
      <w:pPr>
        <w:pStyle w:val="Heading2"/>
      </w:pPr>
      <w:r>
        <w:t xml:space="preserve">VIII. Internal Inconsistencies in the Source Data</w:t>
      </w:r>
    </w:p>
    <w:p>
      <w:pPr>
        <w:pStyle w:val="FirstParagraph"/>
      </w:pPr>
      <w:r>
        <w:t xml:space="preserve">Two inconsistencies in the source documents should be reconciled before any challenge is filed, so that the challenge is not undermined by its own data:</w:t>
      </w:r>
    </w:p>
    <w:p>
      <w:pPr>
        <w:numPr>
          <w:ilvl w:val="0"/>
          <w:numId w:val="1005"/>
        </w:numPr>
      </w:pPr>
      <w:r>
        <w:rPr>
          <w:b/>
          <w:bCs/>
        </w:rPr>
        <w:t xml:space="preserve">FM appearance count and fee share.</w:t>
      </w:r>
      <w:r>
        <w:t xml:space="preserve"> </w:t>
      </w:r>
      <w:r>
        <w:t xml:space="preserve">The entity-relationship memorandum (Section III.5) states that Fielding Marsh &amp; Collier LLP appeared in 4 of 20 completed matters, generating ~$280,000 (13.2% of income). The appointment dataset’s Fee Summary states FM appeared in 5 matters, generating ~$410,000 (19.3%). The difference is attributable to the treatment of</w:t>
      </w:r>
      <w:r>
        <w:t xml:space="preserve"> </w:t>
      </w:r>
      <w:r>
        <w:rPr>
          <w:i/>
          <w:iCs/>
        </w:rPr>
        <w:t xml:space="preserve">Westbrook Partners v. Arcadian Ventures</w:t>
      </w:r>
      <w:r>
        <w:t xml:space="preserve"> </w:t>
      </w:r>
      <w:r>
        <w:t xml:space="preserve">(2022), in which both FM (claimant) and B&amp;T (respondent) appeared; the dataset counts it under both firms, while the memorandum appears to count it only under B&amp;T. The B&amp;T figures (9 matters; ~$1,020,000; 48.0%; 77.8% prevailing rate) are consistent across both sources and can be relied upon. The FM figures should be presented with the caveat, or reconciled, before use.</w:t>
      </w:r>
    </w:p>
    <w:p>
      <w:pPr>
        <w:numPr>
          <w:ilvl w:val="0"/>
          <w:numId w:val="1005"/>
        </w:numPr>
      </w:pPr>
      <w:r>
        <w:rPr>
          <w:b/>
          <w:bCs/>
        </w:rPr>
        <w:t xml:space="preserve">Count of undisclosed completed matters.</w:t>
      </w:r>
      <w:r>
        <w:t xml:space="preserve"> </w:t>
      </w:r>
      <w:r>
        <w:t xml:space="preserve">The dataset’s Case List summary states</w:t>
      </w:r>
      <w:r>
        <w:t xml:space="preserve"> </w:t>
      </w:r>
      <w:r>
        <w:t xml:space="preserve">“</w:t>
      </w:r>
      <w:r>
        <w:t xml:space="preserve">Undisclosed matters involving B&amp;T or FM: 5,</w:t>
      </w:r>
      <w:r>
        <w:t xml:space="preserve">”</w:t>
      </w:r>
      <w:r>
        <w:t xml:space="preserve"> </w:t>
      </w:r>
      <w:r>
        <w:t xml:space="preserve">but the line-item data identify seven such matters (six explicitly flagged</w:t>
      </w:r>
      <w:r>
        <w:t xml:space="preserve"> </w:t>
      </w:r>
      <w:r>
        <w:t xml:space="preserve">“</w:t>
      </w:r>
      <w:r>
        <w:t xml:space="preserve">Not disclosed by arbitrator,</w:t>
      </w:r>
      <w:r>
        <w:t xml:space="preserve">”</w:t>
      </w:r>
      <w:r>
        <w:t xml:space="preserve"> </w:t>
      </w:r>
      <w:r>
        <w:t xml:space="preserve">plus</w:t>
      </w:r>
      <w:r>
        <w:t xml:space="preserve"> </w:t>
      </w:r>
      <w:r>
        <w:rPr>
          <w:i/>
          <w:iCs/>
        </w:rPr>
        <w:t xml:space="preserve">Thornwall Systems v. Kessler Automation</w:t>
      </w:r>
      <w:r>
        <w:t xml:space="preserve">, which is absent from the disclosure though its note omits the</w:t>
      </w:r>
      <w:r>
        <w:t xml:space="preserve"> </w:t>
      </w:r>
      <w:r>
        <w:t xml:space="preserve">“</w:t>
      </w:r>
      <w:r>
        <w:t xml:space="preserve">not disclosed</w:t>
      </w:r>
      <w:r>
        <w:t xml:space="preserve">”</w:t>
      </w:r>
      <w:r>
        <w:t xml:space="preserve"> </w:t>
      </w:r>
      <w:r>
        <w:t xml:space="preserve">flag). The line-item data control; the challenge should refer to the seven specific matters rather than the summary’s</w:t>
      </w:r>
      <w:r>
        <w:t xml:space="preserve"> </w:t>
      </w:r>
      <w:r>
        <w:t xml:space="preserve">“</w:t>
      </w:r>
      <w:r>
        <w:t xml:space="preserve">5.</w:t>
      </w:r>
      <w:r>
        <w:t xml:space="preserve">”</w:t>
      </w:r>
    </w:p>
    <w:p>
      <w:pPr>
        <w:pStyle w:val="FirstParagraph"/>
      </w:pPr>
      <w:r>
        <w:t xml:space="preserve">Neither inconsistency affects the B&amp;T-centric grounds, which are the strongest for a claimant’s challenge. They should be cleaned up so the challenge’s own exhibits are internally consistent.</w:t>
      </w:r>
    </w:p>
    <w:bookmarkEnd w:id="35"/>
    <w:bookmarkStart w:id="36" w:name="ix.-recommendation"/>
    <w:p>
      <w:pPr>
        <w:pStyle w:val="Heading2"/>
      </w:pPr>
      <w:r>
        <w:t xml:space="preserve">IX. Recommendation</w:t>
      </w:r>
    </w:p>
    <w:p>
      <w:pPr>
        <w:numPr>
          <w:ilvl w:val="0"/>
          <w:numId w:val="1006"/>
        </w:numPr>
      </w:pPr>
      <w:r>
        <w:rPr>
          <w:b/>
          <w:bCs/>
        </w:rPr>
        <w:t xml:space="preserve">The record supports a challenge.</w:t>
      </w:r>
      <w:r>
        <w:t xml:space="preserve"> </w:t>
      </w:r>
      <w:r>
        <w:t xml:space="preserve">Multiple grounds — most notably the spouse–Peshkov co-authorship (Ground B), the indirect financial interest in Whitmore Fund II (Ground A), the shared Institute service with the respondent’s principal (Ground D), and the pattern of omitted prior/pending arbitrations (Grounds E–F) — satisfy the</w:t>
      </w:r>
      <w:r>
        <w:t xml:space="preserve"> </w:t>
      </w:r>
      <w:r>
        <w:t xml:space="preserve">“</w:t>
      </w:r>
      <w:r>
        <w:t xml:space="preserve">justifiable doubt</w:t>
      </w:r>
      <w:r>
        <w:t xml:space="preserve">”</w:t>
      </w:r>
      <w:r>
        <w:t xml:space="preserve"> </w:t>
      </w:r>
      <w:r>
        <w:t xml:space="preserve">standard of Rules R-16/R-17 and implicate specific enumerated disclosure categories. The grounds do not all favor the same party: the claimant has the stronger overall case (connections to the respondent’s counsel, principal, and a fund in which the arbitrator may hold an indirect stake, plus the repeat-player concentration), while the respondent has a strong standalone ground in the spouse–expert-witness co-authorship.</w:t>
      </w:r>
    </w:p>
    <w:p>
      <w:pPr>
        <w:numPr>
          <w:ilvl w:val="0"/>
          <w:numId w:val="1006"/>
        </w:numPr>
      </w:pPr>
      <w:r>
        <w:rPr>
          <w:b/>
          <w:bCs/>
        </w:rPr>
        <w:t xml:space="preserve">Request supplemental disclosure first.</w:t>
      </w:r>
      <w:r>
        <w:t xml:space="preserve"> </w:t>
      </w:r>
      <w:r>
        <w:t xml:space="preserve">Before filing, request that the AAA ask the arbitrator to supplement her disclosure on the six specific points (Northbridge/Select Alternatives Fund; spouse–Peshkov; Whitmore trustee role; Hargrave CLE; Halcyon and the seven omitted prior matters; Lakeview financial terms). This is authorized by Rule R-17(d), is low-cost, and will either cure the deficiencies or produce a record that strengthens any challenge. It also clarifies the timeliness analysis for any newly confirmed facts.</w:t>
      </w:r>
    </w:p>
    <w:p>
      <w:pPr>
        <w:numPr>
          <w:ilvl w:val="0"/>
          <w:numId w:val="1006"/>
        </w:numPr>
      </w:pPr>
      <w:r>
        <w:rPr>
          <w:b/>
          <w:bCs/>
        </w:rPr>
        <w:t xml:space="preserve">File a written challenge by June 24, 2024 if the supplemental disclosure is not forthcoming or is unsatisfactory.</w:t>
      </w:r>
      <w:r>
        <w:t xml:space="preserve"> </w:t>
      </w:r>
      <w:r>
        <w:t xml:space="preserve">The challenge should state the grounds with specificity (Rule R-18(a)), identify the documentary support for each, and be served on the AAA and opposing counsel. Given that the grounds cut both ways, the parties should consider whether a joint request for the arbitrator’s withdrawal — or a stipulated substitution under Rule R-19 — is preferable to a contested challenge, particularly where the arbitrator’s own certification of completeness has been called into question by the omissions.</w:t>
      </w:r>
    </w:p>
    <w:p>
      <w:pPr>
        <w:numPr>
          <w:ilvl w:val="0"/>
          <w:numId w:val="1006"/>
        </w:numPr>
      </w:pPr>
      <w:r>
        <w:rPr>
          <w:b/>
          <w:bCs/>
        </w:rPr>
        <w:t xml:space="preserve">Preserve the FAA § 10(a)(2) record.</w:t>
      </w:r>
      <w:r>
        <w:t xml:space="preserve"> </w:t>
      </w:r>
      <w:r>
        <w:t xml:space="preserve">Regardless of the AAA’s disposition, memorialize the undisclosed connections now to preserve an evident-partiality argument should an adverse award issue. The indirect financial interest and the spouse–witness co-authorship are the most likely to support a later vacatur motion.</w:t>
      </w:r>
    </w:p>
    <w:p>
      <w:pPr>
        <w:numPr>
          <w:ilvl w:val="0"/>
          <w:numId w:val="1006"/>
        </w:numPr>
      </w:pPr>
      <w:r>
        <w:rPr>
          <w:b/>
          <w:bCs/>
        </w:rPr>
        <w:t xml:space="preserve">Reconcile the source-data inconsistencies</w:t>
      </w:r>
      <w:r>
        <w:t xml:space="preserve"> </w:t>
      </w:r>
      <w:r>
        <w:t xml:space="preserve">(Section VIII) before filing, so the challenge’s exhibits are internally consistent.</w:t>
      </w:r>
    </w:p>
    <w:p>
      <w:pPr>
        <w:pStyle w:val="FirstParagraph"/>
      </w:pPr>
      <w:r>
        <w:t xml:space="preserve">In sum, the arbitrator’s disclosure, while extensive in narrative, is materially incomplete in several respects that the governing rules expressly require to be disclosed. The combination of an undisclosed indirect financial interest in a fund affected by the award, an undisclosed family-imputed academic collaboration with a party’s key expert witness on the central subject matter, undisclosed professional contacts with the respondent’s lead counsel and principal, and a pattern of omitted prior and pending arbitrations involving the respondent’s counsel, collectively give rise to justifiable doubt as to the arbitrator’s impartiality and independence and provide a substantive basis for challenge under AAA Rules R-16 through R-18, with corresponding exposure to vacatur under FAA § 10(a)(2).</w:t>
      </w:r>
    </w:p>
    <w:p>
      <w:r>
        <w:pict>
          <v:rect style="width:0;height:1.5pt" o:hralign="center" o:hrstd="t" o:hr="t"/>
        </w:pict>
      </w:r>
    </w:p>
    <w:p>
      <w:pPr>
        <w:pStyle w:val="FirstParagraph"/>
      </w:pPr>
      <w:r>
        <w:rPr>
          <w:i/>
          <w:iCs/>
        </w:rPr>
        <w:t xml:space="preserve">This memorandum is privileged and confidential, prepared in anticipation of litigation, and constitutes attorney work product. It should not be disclosed to any person outside the legal team except as required by law or as agreed by the parties.</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2026-06-28T21:36:05Z</dcterms:created>
  <dcterms:modified xsi:type="dcterms:W3CDTF">2026-06-28T21:36:05Z</dcterms:modified>
</cp:coreProperties>
</file>

<file path=docProps/custom.xml><?xml version="1.0" encoding="utf-8"?>
<Properties xmlns="http://schemas.openxmlformats.org/officeDocument/2006/custom-properties" xmlns:vt="http://schemas.openxmlformats.org/officeDocument/2006/docPropsVTypes"/>
</file>