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emorandum"/>
    <w:p>
      <w:pPr>
        <w:pStyle w:val="Heading1"/>
      </w:pPr>
      <w:r>
        <w:t xml:space="preserve">MEMORANDUM</w:t>
      </w:r>
    </w:p>
    <w:p>
      <w:pPr>
        <w:pStyle w:val="FirstParagraph"/>
      </w:pPr>
      <w:r>
        <w:rPr>
          <w:b/>
          <w:bCs/>
        </w:rPr>
        <w:t xml:space="preserve">PRIVILEGED AND CONFIDENTIAL — ATTORNEY WORK PRODUCT / PREPARED IN ANTICIPATION OF LITIGATION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Dominic Hargrave, Lead Partner, and the Whitmore Capital Partners Engagement Team, Barrow &amp; Thistlewood LLP</w:t>
            </w:r>
          </w:p>
        </w:tc>
      </w:tr>
      <w:tr>
        <w:tc>
          <w:tcPr/>
          <w:p>
            <w:pPr>
              <w:pStyle w:val="Compact"/>
              <w:jc w:val="left"/>
            </w:pPr>
            <w:r>
              <w:rPr>
                <w:b/>
                <w:bCs/>
              </w:rPr>
              <w:t xml:space="preserve">FROM:</w:t>
            </w:r>
          </w:p>
        </w:tc>
        <w:tc>
          <w:tcPr/>
          <w:p>
            <w:pPr>
              <w:pStyle w:val="Compact"/>
              <w:jc w:val="left"/>
            </w:pPr>
            <w:r>
              <w:t xml:space="preserve">Arbitration Challenge Evaluation Team</w:t>
            </w:r>
          </w:p>
        </w:tc>
      </w:tr>
      <w:tr>
        <w:tc>
          <w:tcPr/>
          <w:p>
            <w:pPr>
              <w:pStyle w:val="Compact"/>
              <w:jc w:val="left"/>
            </w:pPr>
            <w:r>
              <w:rPr>
                <w:b/>
                <w:bCs/>
              </w:rPr>
              <w:t xml:space="preserve">DATE:</w:t>
            </w:r>
          </w:p>
        </w:tc>
        <w:tc>
          <w:tcPr/>
          <w:p>
            <w:pPr>
              <w:pStyle w:val="Compact"/>
              <w:jc w:val="left"/>
            </w:pPr>
            <w:r>
              <w:t xml:space="preserve">June 20, 2024</w:t>
            </w:r>
          </w:p>
        </w:tc>
      </w:tr>
      <w:tr>
        <w:tc>
          <w:tcPr/>
          <w:p>
            <w:pPr>
              <w:pStyle w:val="Compact"/>
              <w:jc w:val="left"/>
            </w:pPr>
            <w:r>
              <w:rPr>
                <w:b/>
                <w:bCs/>
              </w:rPr>
              <w:t xml:space="preserve">RE:</w:t>
            </w:r>
          </w:p>
        </w:tc>
        <w:tc>
          <w:tcPr/>
          <w:p>
            <w:pPr>
              <w:pStyle w:val="Compact"/>
              <w:jc w:val="left"/>
            </w:pPr>
            <w:r>
              <w:t xml:space="preserve">Assessment of Grounds for Challenge to the Appointment of Hon. Margaret R. Fairhaven (Ret.) as Sole Arbitrator — AAA Case No. 01-24-0003217,</w:t>
            </w:r>
            <w:r>
              <w:t xml:space="preserve"> </w:t>
            </w:r>
            <w:r>
              <w:rPr>
                <w:i/>
                <w:iCs/>
              </w:rPr>
              <w:t xml:space="preserve">Cascade Thermal Systems Inc. v. Whitmore Capital Partners LLC</w:t>
            </w:r>
          </w:p>
        </w:tc>
      </w:tr>
    </w:tbl>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assesses the grounds available to challenge the appointment of Hon. Margaret R. Fairhaven (Ret.) as Sole Arbitrator in the above-captioned matter. It is prepared by cross-referencing the arbitrator’s June 17, 2024 Arbitrator Disclosure Statement (the</w:t>
      </w:r>
      <w:r>
        <w:t xml:space="preserve"> </w:t>
      </w:r>
      <w:r>
        <w:t xml:space="preserve">“</w:t>
      </w:r>
      <w:r>
        <w:t xml:space="preserve">Disclosure</w:t>
      </w:r>
      <w:r>
        <w:t xml:space="preserve">”</w:t>
      </w:r>
      <w:r>
        <w:t xml:space="preserve">) against the Arbitration Demand and Statement of Claims dated March 15, 2024, the AAA Commercial Arbitration Rules excerpts, the Entity and Relationship Profiles memorandum dated June 19, 2024 (the</w:t>
      </w:r>
      <w:r>
        <w:t xml:space="preserve"> </w:t>
      </w:r>
      <w:r>
        <w:t xml:space="preserve">“</w:t>
      </w:r>
      <w:r>
        <w:t xml:space="preserve">Profiles Memo</w:t>
      </w:r>
      <w:r>
        <w:t xml:space="preserve">”</w:t>
      </w:r>
      <w:r>
        <w:t xml:space="preserve">), and the arbitrator appointment data workbook (the</w:t>
      </w:r>
      <w:r>
        <w:t xml:space="preserve"> </w:t>
      </w:r>
      <w:r>
        <w:t xml:space="preserve">“</w:t>
      </w:r>
      <w:r>
        <w:t xml:space="preserve">Appointment Data</w:t>
      </w:r>
      <w:r>
        <w:t xml:space="preserve">”</w:t>
      </w:r>
      <w:r>
        <w:t xml:space="preserve">).</w:t>
      </w:r>
    </w:p>
    <w:p>
      <w:pPr>
        <w:pStyle w:val="BodyText"/>
      </w:pPr>
      <w:r>
        <w:t xml:space="preserve">The analysis is objective and identifies grounds that may be raised by</w:t>
      </w:r>
      <w:r>
        <w:t xml:space="preserve"> </w:t>
      </w:r>
      <w:r>
        <w:rPr>
          <w:b/>
          <w:bCs/>
        </w:rPr>
        <w:t xml:space="preserve">either</w:t>
      </w:r>
      <w:r>
        <w:t xml:space="preserve"> </w:t>
      </w:r>
      <w:r>
        <w:t xml:space="preserve">party. As discussed in Part VII, the undisclosed relationships do not all point in the same direction: several create an appearance of partiality toward the Respondent and its counsel, while one creates an appearance of partiality toward the Claimant’s principal expert witness. Both sides therefore have potential standing to challenge, and both should weigh the vacatur risk that the disclosure deficiencies create regardless of who ultimately prevails on the merits.</w:t>
      </w:r>
    </w:p>
    <w:p>
      <w:pPr>
        <w:pStyle w:val="BodyText"/>
      </w:pPr>
      <w:r>
        <w:rPr>
          <w:b/>
          <w:bCs/>
        </w:rPr>
        <w:t xml:space="preserve">Bottom line.</w:t>
      </w:r>
      <w:r>
        <w:t xml:space="preserve"> </w:t>
      </w:r>
      <w:r>
        <w:t xml:space="preserve">The Disclosure is materially incomplete. Our cross-check identifies at least five categories of information required to be disclosed under AAA Commercial Arbitration Rule R-17 that were omitted or misstated, including (1) a research collaboration between the arbitrator’s spouse and the Claimant’s key expert witness on a topic identical to the technology in dispute; (2) the Respondent’s principal’s service on the governing board of the same nonprofit on which the arbitrator serves; (3) a recent CLE co-panelist relationship with the Respondent’s lead counsel on a topic directly germane to this arbitration; (4) a potential indirect financial interest in a fund managed by the Respondent; and (5) the omission of at least eight prior or pending arbitrations involving the parties’ counsel, contradicting the Disclosure’s express certification of completeness. We recommend (a) immediately requesting a supplemental disclosure, (b) preparing a Rule R-18 challenge to be filed on or before the June 24, 2024 deadline, and (c) preserving the evident-partiality record for any post-award proceeding under Section 10 of the Federal Arbitration Act.</w:t>
      </w:r>
    </w:p>
    <w:bookmarkEnd w:id="20"/>
    <w:bookmarkStart w:id="21" w:name="ii.-procedural-posture-and-deadline"/>
    <w:p>
      <w:pPr>
        <w:pStyle w:val="Heading2"/>
      </w:pPr>
      <w:r>
        <w:t xml:space="preserve">II. Procedural Posture and Deadline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15, 2024</w:t>
            </w:r>
          </w:p>
        </w:tc>
        <w:tc>
          <w:tcPr/>
          <w:p>
            <w:pPr>
              <w:pStyle w:val="Compact"/>
              <w:jc w:val="left"/>
            </w:pPr>
            <w:r>
              <w:t xml:space="preserve">Arbitration Demand filed (Claimant, Fielding Marsh &amp; Collier LLP)</w:t>
            </w:r>
          </w:p>
        </w:tc>
      </w:tr>
      <w:tr>
        <w:tc>
          <w:tcPr/>
          <w:p>
            <w:pPr>
              <w:pStyle w:val="Compact"/>
              <w:jc w:val="left"/>
            </w:pPr>
            <w:r>
              <w:t xml:space="preserve">June 3, 2024</w:t>
            </w:r>
          </w:p>
        </w:tc>
        <w:tc>
          <w:tcPr/>
          <w:p>
            <w:pPr>
              <w:pStyle w:val="Compact"/>
              <w:jc w:val="left"/>
            </w:pPr>
            <w:r>
              <w:t xml:space="preserve">Parties selected Judge Fairhaven (Whitmore ranked #1; Cascade ranked #3)</w:t>
            </w:r>
          </w:p>
        </w:tc>
      </w:tr>
      <w:tr>
        <w:tc>
          <w:tcPr/>
          <w:p>
            <w:pPr>
              <w:pStyle w:val="Compact"/>
              <w:jc w:val="left"/>
            </w:pPr>
            <w:r>
              <w:t xml:space="preserve">June 10, 2024</w:t>
            </w:r>
          </w:p>
        </w:tc>
        <w:tc>
          <w:tcPr/>
          <w:p>
            <w:pPr>
              <w:pStyle w:val="Compact"/>
              <w:jc w:val="left"/>
            </w:pPr>
            <w:r>
              <w:t xml:space="preserve">AAA confirmed appointment</w:t>
            </w:r>
          </w:p>
        </w:tc>
      </w:tr>
      <w:tr>
        <w:tc>
          <w:tcPr/>
          <w:p>
            <w:pPr>
              <w:pStyle w:val="Compact"/>
              <w:jc w:val="left"/>
            </w:pPr>
            <w:r>
              <w:t xml:space="preserve">June 17, 2024</w:t>
            </w:r>
          </w:p>
        </w:tc>
        <w:tc>
          <w:tcPr/>
          <w:p>
            <w:pPr>
              <w:pStyle w:val="Compact"/>
              <w:jc w:val="left"/>
            </w:pPr>
            <w:r>
              <w:t xml:space="preserve">Disclosure Statement submitted</w:t>
            </w:r>
          </w:p>
        </w:tc>
      </w:tr>
      <w:tr>
        <w:tc>
          <w:tcPr/>
          <w:p>
            <w:pPr>
              <w:pStyle w:val="Compact"/>
              <w:jc w:val="left"/>
            </w:pPr>
            <w:r>
              <w:rPr>
                <w:b/>
                <w:bCs/>
              </w:rPr>
              <w:t xml:space="preserve">June 24, 2024</w:t>
            </w:r>
          </w:p>
        </w:tc>
        <w:tc>
          <w:tcPr/>
          <w:p>
            <w:pPr>
              <w:pStyle w:val="Compact"/>
              <w:jc w:val="left"/>
            </w:pPr>
            <w:r>
              <w:rPr>
                <w:b/>
                <w:bCs/>
              </w:rPr>
              <w:t xml:space="preserve">Deadline to challenge under Rule R-18(a) — seven calendar days from the Disclosure</w:t>
            </w:r>
          </w:p>
        </w:tc>
      </w:tr>
      <w:tr>
        <w:tc>
          <w:tcPr/>
          <w:p>
            <w:pPr>
              <w:pStyle w:val="Compact"/>
              <w:jc w:val="left"/>
            </w:pPr>
            <w:r>
              <w:t xml:space="preserve">August 5, 2024</w:t>
            </w:r>
          </w:p>
        </w:tc>
        <w:tc>
          <w:tcPr/>
          <w:p>
            <w:pPr>
              <w:pStyle w:val="Compact"/>
              <w:jc w:val="left"/>
            </w:pPr>
            <w:r>
              <w:t xml:space="preserve">Preliminary hearing (scheduled)</w:t>
            </w:r>
          </w:p>
        </w:tc>
      </w:tr>
      <w:tr>
        <w:tc>
          <w:tcPr/>
          <w:p>
            <w:pPr>
              <w:pStyle w:val="Compact"/>
              <w:jc w:val="left"/>
            </w:pPr>
            <w:r>
              <w:t xml:space="preserve">Jan. 13 – Feb. 7, 2025</w:t>
            </w:r>
          </w:p>
        </w:tc>
        <w:tc>
          <w:tcPr/>
          <w:p>
            <w:pPr>
              <w:pStyle w:val="Compact"/>
              <w:jc w:val="left"/>
            </w:pPr>
            <w:r>
              <w:t xml:space="preserve">Evidentiary hearing — 15 hearing days (scheduled)</w:t>
            </w:r>
          </w:p>
        </w:tc>
      </w:tr>
    </w:tbl>
    <w:p>
      <w:pPr>
        <w:pStyle w:val="BodyText"/>
      </w:pPr>
      <w:r>
        <w:t xml:space="preserve">The seven-day clock of Rule R-18(a) runs from the later of (i) communication of the appointment or (ii) when the challenging party knew or should have known of the challenge grounds. The grounds analyzed below were not disclosed and were ascertainable only through independent public-records research (the Profiles Memo is dated June 19, 2024). To avoid any waiver argument under Rule R-18(f), any challenge should be filed on or before</w:t>
      </w:r>
      <w:r>
        <w:t xml:space="preserve"> </w:t>
      </w:r>
      <w:r>
        <w:rPr>
          <w:b/>
          <w:bCs/>
        </w:rPr>
        <w:t xml:space="preserve">June 24, 2024</w:t>
      </w:r>
      <w:r>
        <w:t xml:space="preserve">.</w:t>
      </w:r>
    </w:p>
    <w:bookmarkEnd w:id="21"/>
    <w:bookmarkStart w:id="22" w:name="iii.-governing-legal-framework"/>
    <w:p>
      <w:pPr>
        <w:pStyle w:val="Heading2"/>
      </w:pPr>
      <w:r>
        <w:t xml:space="preserve">III. Governing Legal Framework</w:t>
      </w:r>
    </w:p>
    <w:p>
      <w:pPr>
        <w:pStyle w:val="FirstParagraph"/>
      </w:pPr>
      <w:r>
        <w:rPr>
          <w:b/>
          <w:bCs/>
        </w:rPr>
        <w:t xml:space="preserve">Rule R-16 (Disclosure — General).</w:t>
      </w:r>
      <w:r>
        <w:t xml:space="preserve"> </w:t>
      </w:r>
      <w:r>
        <w:t xml:space="preserve">The disclosure obligation is to be</w:t>
      </w:r>
      <w:r>
        <w:t xml:space="preserve"> </w:t>
      </w:r>
      <w:r>
        <w:t xml:space="preserve">“</w:t>
      </w:r>
      <w:r>
        <w:t xml:space="preserve">construed broadly to further the goal of ensuring that arbitrators are and remain impartial and independent.</w:t>
      </w:r>
      <w:r>
        <w:t xml:space="preserve">”</w:t>
      </w:r>
      <w:r>
        <w:t xml:space="preserve"> </w:t>
      </w:r>
      <w:r>
        <w:t xml:space="preserve">The</w:t>
      </w:r>
      <w:r>
        <w:t xml:space="preserve"> </w:t>
      </w:r>
      <w:r>
        <w:t xml:space="preserve">“</w:t>
      </w:r>
      <w:r>
        <w:t xml:space="preserve">justifiable doubt</w:t>
      </w:r>
      <w:r>
        <w:t xml:space="preserve">”</w:t>
      </w:r>
      <w:r>
        <w:t xml:space="preserve"> </w:t>
      </w:r>
      <w:r>
        <w:t xml:space="preserve">standard</w:t>
      </w:r>
      <w:r>
        <w:t xml:space="preserve"> </w:t>
      </w:r>
      <w:r>
        <w:t xml:space="preserve">“</w:t>
      </w:r>
      <w:r>
        <w:t xml:space="preserve">is intended to encompass all circumstances that a reasonable person would consider relevant in evaluating an arbitrator’s ability to render a fair and unbiased determination.</w:t>
      </w:r>
      <w:r>
        <w:t xml:space="preserve">”</w:t>
      </w:r>
    </w:p>
    <w:p>
      <w:pPr>
        <w:pStyle w:val="BodyText"/>
      </w:pPr>
      <w:r>
        <w:rPr>
          <w:b/>
          <w:bCs/>
        </w:rPr>
        <w:t xml:space="preserve">Rule R-17(a) (Disclosure — Categories).</w:t>
      </w:r>
      <w:r>
        <w:t xml:space="preserve"> </w:t>
      </w:r>
      <w:r>
        <w:t xml:space="preserve">The duty extends to, without limitation:</w:t>
      </w:r>
    </w:p>
    <w:p>
      <w:pPr>
        <w:pStyle w:val="Compact"/>
        <w:numPr>
          <w:ilvl w:val="0"/>
          <w:numId w:val="1001"/>
        </w:numPr>
      </w:pPr>
      <w:r>
        <w:rPr>
          <w:b/>
          <w:bCs/>
        </w:rPr>
        <w:t xml:space="preserve">(i)</w:t>
      </w:r>
      <w:r>
        <w:t xml:space="preserve"> </w:t>
      </w:r>
      <w:r>
        <w:t xml:space="preserve">Any known</w:t>
      </w:r>
      <w:r>
        <w:t xml:space="preserve"> </w:t>
      </w:r>
      <w:r>
        <w:rPr>
          <w:i/>
          <w:iCs/>
        </w:rPr>
        <w:t xml:space="preserve">direct or indirect</w:t>
      </w:r>
      <w:r>
        <w:t xml:space="preserve"> </w:t>
      </w:r>
      <w:r>
        <w:t xml:space="preserve">financial or personal interest in the outcome,</w:t>
      </w:r>
      <w:r>
        <w:t xml:space="preserve"> </w:t>
      </w:r>
      <w:r>
        <w:t xml:space="preserve">“</w:t>
      </w:r>
      <w:r>
        <w:t xml:space="preserve">including any interest, whether legal or beneficial, in the subject matter of the dispute, in any party, or in any entity that may be affected by the result of the proceeding</w:t>
      </w:r>
      <w:r>
        <w:t xml:space="preserve">”</w:t>
      </w:r>
      <w:r>
        <w:t xml:space="preserve">;</w:t>
      </w:r>
    </w:p>
    <w:p>
      <w:pPr>
        <w:pStyle w:val="Compact"/>
        <w:numPr>
          <w:ilvl w:val="0"/>
          <w:numId w:val="1001"/>
        </w:numPr>
      </w:pPr>
      <w:r>
        <w:rPr>
          <w:b/>
          <w:bCs/>
        </w:rPr>
        <w:t xml:space="preserve">(ii)</w:t>
      </w:r>
      <w:r>
        <w:t xml:space="preserve"> </w:t>
      </w:r>
      <w:r>
        <w:t xml:space="preserve">Any known existing or past financial, business, professional, family, or social relationships with any</w:t>
      </w:r>
      <w:r>
        <w:t xml:space="preserve"> </w:t>
      </w:r>
      <w:r>
        <w:rPr>
          <w:i/>
          <w:iCs/>
        </w:rPr>
        <w:t xml:space="preserve">party, its counsel, representatives, or witnesses</w:t>
      </w:r>
      <w:r>
        <w:t xml:space="preserve"> </w:t>
      </w:r>
      <w:r>
        <w:t xml:space="preserve">likely to affect impartiality or create an appearance of partiality —</w:t>
      </w:r>
      <w:r>
        <w:t xml:space="preserve"> </w:t>
      </w:r>
      <w:r>
        <w:t xml:space="preserve">“</w:t>
      </w:r>
      <w:r>
        <w:t xml:space="preserve">including, without limitation, relationships arising from employment, professional association, joint ventures, board memberships, academic collaboration, or regular social contact</w:t>
      </w:r>
      <w:r>
        <w:t xml:space="preserve">”</w:t>
      </w:r>
      <w:r>
        <w:t xml:space="preserve">;</w:t>
      </w:r>
    </w:p>
    <w:p>
      <w:pPr>
        <w:pStyle w:val="Compact"/>
        <w:numPr>
          <w:ilvl w:val="0"/>
          <w:numId w:val="1001"/>
        </w:numPr>
      </w:pPr>
      <w:r>
        <w:rPr>
          <w:b/>
          <w:bCs/>
        </w:rPr>
        <w:t xml:space="preserve">(iii)</w:t>
      </w:r>
      <w:r>
        <w:t xml:space="preserve"> </w:t>
      </w:r>
      <w:r>
        <w:t xml:space="preserve">Any</w:t>
      </w:r>
      <w:r>
        <w:t xml:space="preserve"> </w:t>
      </w:r>
      <w:r>
        <w:rPr>
          <w:i/>
          <w:iCs/>
        </w:rPr>
        <w:t xml:space="preserve">prior or pending cases</w:t>
      </w:r>
      <w:r>
        <w:t xml:space="preserve"> </w:t>
      </w:r>
      <w:r>
        <w:t xml:space="preserve">in which the arbitrator has been involved</w:t>
      </w:r>
      <w:r>
        <w:t xml:space="preserve"> </w:t>
      </w:r>
      <w:r>
        <w:t xml:space="preserve">“</w:t>
      </w:r>
      <w:r>
        <w:t xml:space="preserve">with any party to the arbitration, its counsel, or representatives,</w:t>
      </w:r>
      <w:r>
        <w:t xml:space="preserve">”</w:t>
      </w:r>
      <w:r>
        <w:t xml:space="preserve"> </w:t>
      </w:r>
      <w:r>
        <w:t xml:space="preserve">in any capacity, before the AAA or any other institution; and</w:t>
      </w:r>
    </w:p>
    <w:p>
      <w:pPr>
        <w:pStyle w:val="Compact"/>
        <w:numPr>
          <w:ilvl w:val="0"/>
          <w:numId w:val="1001"/>
        </w:numPr>
      </w:pPr>
      <w:r>
        <w:rPr>
          <w:b/>
          <w:bCs/>
        </w:rPr>
        <w:t xml:space="preserve">(iv)</w:t>
      </w:r>
      <w:r>
        <w:t xml:space="preserve"> </w:t>
      </w:r>
      <w:r>
        <w:t xml:space="preserve">A catch-all for</w:t>
      </w:r>
      <w:r>
        <w:t xml:space="preserve"> </w:t>
      </w:r>
      <w:r>
        <w:t xml:space="preserve">“</w:t>
      </w:r>
      <w:r>
        <w:t xml:space="preserve">any other circumstances that might cause a reasonable party to question the arbitrator’s ability to render a fair and impartial determination,</w:t>
      </w:r>
      <w:r>
        <w:t xml:space="preserve">”</w:t>
      </w:r>
      <w:r>
        <w:t xml:space="preserve"> </w:t>
      </w:r>
      <w:r>
        <w:t xml:space="preserve">expressly including</w:t>
      </w:r>
      <w:r>
        <w:t xml:space="preserve"> </w:t>
      </w:r>
      <w:r>
        <w:t xml:space="preserve">“</w:t>
      </w:r>
      <w:r>
        <w:t xml:space="preserve">the arbitrator’s prior publications, public statements, or expressed views on legal or factual issues relevant to the dispute.</w:t>
      </w:r>
      <w:r>
        <w:t xml:space="preserve">”</w:t>
      </w:r>
    </w:p>
    <w:p>
      <w:pPr>
        <w:pStyle w:val="FirstParagraph"/>
      </w:pPr>
      <w:r>
        <w:rPr>
          <w:b/>
          <w:bCs/>
        </w:rPr>
        <w:t xml:space="preserve">Rule R-17(b)–(d).</w:t>
      </w:r>
      <w:r>
        <w:t xml:space="preserve"> </w:t>
      </w:r>
      <w:r>
        <w:t xml:space="preserve">The duty is continuing; the arbitrator</w:t>
      </w:r>
      <w:r>
        <w:t xml:space="preserve"> </w:t>
      </w:r>
      <w:r>
        <w:t xml:space="preserve">“</w:t>
      </w:r>
      <w:r>
        <w:t xml:space="preserve">shall not await inquiry by a party</w:t>
      </w:r>
      <w:r>
        <w:t xml:space="preserve">”</w:t>
      </w:r>
      <w:r>
        <w:t xml:space="preserve"> </w:t>
      </w:r>
      <w:r>
        <w:t xml:space="preserve">before supplementing. Critically,</w:t>
      </w:r>
      <w:r>
        <w:t xml:space="preserve"> </w:t>
      </w:r>
      <w:r>
        <w:rPr>
          <w:b/>
          <w:bCs/>
        </w:rPr>
        <w:t xml:space="preserve">Rule R-17(d)</w:t>
      </w:r>
      <w:r>
        <w:t xml:space="preserve"> </w:t>
      </w:r>
      <w:r>
        <w:t xml:space="preserve">provides that</w:t>
      </w:r>
      <w:r>
        <w:t xml:space="preserve"> </w:t>
      </w:r>
      <w:r>
        <w:t xml:space="preserve">“</w:t>
      </w:r>
      <w:r>
        <w:t xml:space="preserve">[t]he failure of an arbitrator to make complete and timely disclosures as required by this Rule may result in the arbitrator’s removal in accordance with Rule R-18, and may constitute grounds for vacatur of any resulting award under applicable law, including but not limited to Section 10 of the Federal Arbitration Act (9 U.S.C. § 10).</w:t>
      </w:r>
      <w:r>
        <w:t xml:space="preserve">”</w:t>
      </w:r>
    </w:p>
    <w:p>
      <w:pPr>
        <w:pStyle w:val="BodyText"/>
      </w:pPr>
      <w:r>
        <w:rPr>
          <w:b/>
          <w:bCs/>
        </w:rPr>
        <w:t xml:space="preserve">Rule R-18(a)–(f).</w:t>
      </w:r>
      <w:r>
        <w:t xml:space="preserve"> </w:t>
      </w:r>
      <w:r>
        <w:t xml:space="preserve">A challenge must state the grounds</w:t>
      </w:r>
      <w:r>
        <w:t xml:space="preserve"> </w:t>
      </w:r>
      <w:r>
        <w:t xml:space="preserve">“</w:t>
      </w:r>
      <w:r>
        <w:t xml:space="preserve">with specificity</w:t>
      </w:r>
      <w:r>
        <w:t xml:space="preserve">”</w:t>
      </w:r>
      <w:r>
        <w:t xml:space="preserve"> </w:t>
      </w:r>
      <w:r>
        <w:t xml:space="preserve">within seven calendar days. If the other party does not agree and the arbitrator does not withdraw, the AAA decides.</w:t>
      </w:r>
      <w:r>
        <w:t xml:space="preserve"> </w:t>
      </w:r>
      <w:r>
        <w:rPr>
          <w:b/>
          <w:bCs/>
        </w:rPr>
        <w:t xml:space="preserve">Rule R-18(f)</w:t>
      </w:r>
      <w:r>
        <w:t xml:space="preserve"> </w:t>
      </w:r>
      <w:r>
        <w:t xml:space="preserve">deems a party to have waived grounds</w:t>
      </w:r>
      <w:r>
        <w:t xml:space="preserve"> </w:t>
      </w:r>
      <w:r>
        <w:t xml:space="preserve">“</w:t>
      </w:r>
      <w:r>
        <w:t xml:space="preserve">then known</w:t>
      </w:r>
      <w:r>
        <w:t xml:space="preserve">”</w:t>
      </w:r>
      <w:r>
        <w:t xml:space="preserve"> </w:t>
      </w:r>
      <w:r>
        <w:t xml:space="preserve">if no timely challenge is made,</w:t>
      </w:r>
      <w:r>
        <w:t xml:space="preserve"> </w:t>
      </w:r>
      <w:r>
        <w:rPr>
          <w:i/>
          <w:iCs/>
        </w:rPr>
        <w:t xml:space="preserve">except</w:t>
      </w:r>
      <w:r>
        <w:t xml:space="preserve"> </w:t>
      </w:r>
      <w:r>
        <w:t xml:space="preserve">for</w:t>
      </w:r>
      <w:r>
        <w:t xml:space="preserve"> </w:t>
      </w:r>
      <w:r>
        <w:t xml:space="preserve">“</w:t>
      </w:r>
      <w:r>
        <w:t xml:space="preserve">grounds that were not and could not reasonably have been known at the time,</w:t>
      </w:r>
      <w:r>
        <w:t xml:space="preserve">”</w:t>
      </w:r>
      <w:r>
        <w:t xml:space="preserve"> </w:t>
      </w:r>
      <w:r>
        <w:t xml:space="preserve">and it preserves the right to raise</w:t>
      </w:r>
      <w:r>
        <w:t xml:space="preserve"> </w:t>
      </w:r>
      <w:r>
        <w:t xml:space="preserve">“</w:t>
      </w:r>
      <w:r>
        <w:t xml:space="preserve">evident partiality</w:t>
      </w:r>
      <w:r>
        <w:t xml:space="preserve">”</w:t>
      </w:r>
      <w:r>
        <w:t xml:space="preserve"> </w:t>
      </w:r>
      <w:r>
        <w:t xml:space="preserve">in a later proceeding to confirm, modify, or vacate an award.</w:t>
      </w:r>
    </w:p>
    <w:p>
      <w:pPr>
        <w:pStyle w:val="BodyText"/>
      </w:pPr>
      <w:r>
        <w:rPr>
          <w:b/>
          <w:bCs/>
        </w:rPr>
        <w:t xml:space="preserve">Federal Arbitration Act § 10(a)(2).</w:t>
      </w:r>
      <w:r>
        <w:t xml:space="preserve"> </w:t>
      </w:r>
      <w:r>
        <w:t xml:space="preserve">An award may be vacated</w:t>
      </w:r>
      <w:r>
        <w:t xml:space="preserve"> </w:t>
      </w:r>
      <w:r>
        <w:t xml:space="preserve">“</w:t>
      </w:r>
      <w:r>
        <w:t xml:space="preserve">where there was evident partiality or corruption in the arbitrators.</w:t>
      </w:r>
      <w:r>
        <w:t xml:space="preserve">”</w:t>
      </w:r>
      <w:r>
        <w:t xml:space="preserve"> </w:t>
      </w:r>
      <w:r>
        <w:t xml:space="preserve">The Supreme Court has long held that arbitrators must avoid even the</w:t>
      </w:r>
      <w:r>
        <w:t xml:space="preserve"> </w:t>
      </w:r>
      <w:r>
        <w:rPr>
          <w:i/>
          <w:iCs/>
        </w:rPr>
        <w:t xml:space="preserve">appearance</w:t>
      </w:r>
      <w:r>
        <w:t xml:space="preserve"> </w:t>
      </w:r>
      <w:r>
        <w:t xml:space="preserve">of bias and must disclose business or professional dealings with a party that a reasonable person might suppose would influence the arbitrator.</w:t>
      </w:r>
      <w:r>
        <w:t xml:space="preserve"> </w:t>
      </w:r>
      <w:r>
        <w:rPr>
          <w:i/>
          <w:iCs/>
        </w:rPr>
        <w:t xml:space="preserve">CommonWealth Coatings Corp. v. Continental Casualty Co.</w:t>
      </w:r>
      <w:r>
        <w:t xml:space="preserve">, 393 U.S. 65 (1969). The AAA Rules expressly incorporate this standard.</w:t>
      </w:r>
      <w:r>
        <w:t xml:space="preserve"> </w:t>
      </w:r>
      <w:r>
        <w:rPr>
          <w:i/>
          <w:iCs/>
        </w:rPr>
        <w:t xml:space="preserve">See</w:t>
      </w:r>
      <w:r>
        <w:t xml:space="preserve"> </w:t>
      </w:r>
      <w:r>
        <w:t xml:space="preserve">R-17(d); R-18(e).</w:t>
      </w:r>
    </w:p>
    <w:p>
      <w:pPr>
        <w:pStyle w:val="BodyText"/>
      </w:pPr>
      <w:r>
        <w:rPr>
          <w:b/>
          <w:bCs/>
        </w:rPr>
        <w:t xml:space="preserve">Additional authorities referenced in the Rules excerpts.</w:t>
      </w:r>
      <w:r>
        <w:t xml:space="preserve"> </w:t>
      </w:r>
      <w:r>
        <w:t xml:space="preserve">The AAA/ABA Code of Ethics for Arbitrators in Commercial Disputes (Canon II — disclosure) and the IBA Guidelines on Conflicts of Interest in International Arbitration (Non-Waivable Red List, Waivable Red List, Orange List, Green List). The IBA Waivable Red List treats repeat appointments — more than three from the same law firm within three years coupled with a substantial financial contribution — as a circumstance requiring specific disclosure and party waiver. The IBA Orange List treats current shared board or committee service as a waivable circumstance requiring disclosure.</w:t>
      </w:r>
    </w:p>
    <w:bookmarkEnd w:id="22"/>
    <w:bookmarkStart w:id="23" w:name="iv.-summary-of-findings"/>
    <w:p>
      <w:pPr>
        <w:pStyle w:val="Heading2"/>
      </w:pPr>
      <w:r>
        <w:t xml:space="preserve">IV. Summary of Findings</w:t>
      </w:r>
    </w:p>
    <w:p>
      <w:pPr>
        <w:pStyle w:val="FirstParagraph"/>
      </w:pPr>
      <w:r>
        <w:t xml:space="preserve">The following table maps each identified issue to its treatment in the Disclosure, the governing Rule, and a preliminary strength assessment. Detailed analysis follows in Part V.</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Treatment in Disclosure</w:t>
            </w:r>
          </w:p>
        </w:tc>
        <w:tc>
          <w:tcPr/>
          <w:p>
            <w:pPr>
              <w:pStyle w:val="Compact"/>
              <w:jc w:val="left"/>
            </w:pPr>
            <w:r>
              <w:t xml:space="preserve">Primary Rule</w:t>
            </w:r>
          </w:p>
        </w:tc>
        <w:tc>
          <w:tcPr/>
          <w:p>
            <w:pPr>
              <w:pStyle w:val="Compact"/>
              <w:jc w:val="left"/>
            </w:pPr>
            <w:r>
              <w:t xml:space="preserve">Strength</w:t>
            </w:r>
          </w:p>
        </w:tc>
      </w:tr>
      <w:tr>
        <w:tc>
          <w:tcPr/>
          <w:p>
            <w:pPr>
              <w:pStyle w:val="Compact"/>
              <w:jc w:val="left"/>
            </w:pPr>
            <w:r>
              <w:t xml:space="preserve">A</w:t>
            </w:r>
          </w:p>
        </w:tc>
        <w:tc>
          <w:tcPr/>
          <w:p>
            <w:pPr>
              <w:pStyle w:val="Compact"/>
              <w:jc w:val="left"/>
            </w:pPr>
            <w:r>
              <w:t xml:space="preserve">Spouse (Dr. Alan Fairhaven) co-authored a peer-reviewed paper with Dr. Rita Peshkov (Cascade VP R&amp;D; Claimant’s key expert witness) on phase-change heat exchangers — identical subject matter to the ThermalCore technology in dispute (Sept. 2022)</w:t>
            </w:r>
          </w:p>
        </w:tc>
        <w:tc>
          <w:tcPr/>
          <w:p>
            <w:pPr>
              <w:pStyle w:val="Compact"/>
              <w:jc w:val="left"/>
            </w:pPr>
            <w:r>
              <w:rPr>
                <w:b/>
                <w:bCs/>
              </w:rPr>
              <w:t xml:space="preserve">Misstated.</w:t>
            </w:r>
            <w:r>
              <w:t xml:space="preserve"> </w:t>
            </w:r>
            <w:r>
              <w:t xml:space="preserve">Disclosure § V states the spouse</w:t>
            </w:r>
            <w:r>
              <w:t xml:space="preserve"> </w:t>
            </w:r>
            <w:r>
              <w:t xml:space="preserve">“</w:t>
            </w:r>
            <w:r>
              <w:t xml:space="preserve">has no financial or professional relationship with Cascade … or any of their officers, directors, or employees.</w:t>
            </w:r>
            <w:r>
              <w:t xml:space="preserve">”</w:t>
            </w:r>
            <w:r>
              <w:t xml:space="preserve"> </w:t>
            </w:r>
            <w:r>
              <w:t xml:space="preserve">Dr. Peshkov is an officer of Cascade and an identified witness.</w:t>
            </w:r>
          </w:p>
        </w:tc>
        <w:tc>
          <w:tcPr/>
          <w:p>
            <w:pPr>
              <w:pStyle w:val="Compact"/>
              <w:jc w:val="left"/>
            </w:pPr>
            <w:r>
              <w:t xml:space="preserve">R-17(a)(ii) (family/academic collaboration with a witness); R-17(a)(iv)</w:t>
            </w:r>
          </w:p>
        </w:tc>
        <w:tc>
          <w:tcPr/>
          <w:p>
            <w:pPr>
              <w:pStyle w:val="Compact"/>
              <w:jc w:val="left"/>
            </w:pPr>
            <w:r>
              <w:rPr>
                <w:b/>
                <w:bCs/>
              </w:rPr>
              <w:t xml:space="preserve">Strong</w:t>
            </w:r>
          </w:p>
        </w:tc>
      </w:tr>
      <w:tr>
        <w:tc>
          <w:tcPr/>
          <w:p>
            <w:pPr>
              <w:pStyle w:val="Compact"/>
              <w:jc w:val="left"/>
            </w:pPr>
            <w:r>
              <w:t xml:space="preserve">B</w:t>
            </w:r>
          </w:p>
        </w:tc>
        <w:tc>
          <w:tcPr/>
          <w:p>
            <w:pPr>
              <w:pStyle w:val="Compact"/>
              <w:jc w:val="left"/>
            </w:pPr>
            <w:r>
              <w:t xml:space="preserve">Respondent’s principal, Garrett T. Whitmore, serves on the Board of Trustees (governing body) of the Minnesota ADR Ethics Institute, the same nonprofit on which the arbitrator serves on the advisory board</w:t>
            </w:r>
          </w:p>
        </w:tc>
        <w:tc>
          <w:tcPr/>
          <w:p>
            <w:pPr>
              <w:pStyle w:val="Compact"/>
              <w:jc w:val="left"/>
            </w:pPr>
            <w:r>
              <w:rPr>
                <w:b/>
                <w:bCs/>
              </w:rPr>
              <w:t xml:space="preserve">Omitted.</w:t>
            </w:r>
            <w:r>
              <w:t xml:space="preserve"> </w:t>
            </w:r>
            <w:r>
              <w:t xml:space="preserve">Disclosure § VI discloses the arbitrator’s and Ellen Wu’s advisory-board service but not Whitmore’s trustee role</w:t>
            </w:r>
          </w:p>
        </w:tc>
        <w:tc>
          <w:tcPr/>
          <w:p>
            <w:pPr>
              <w:pStyle w:val="Compact"/>
              <w:jc w:val="left"/>
            </w:pPr>
            <w:r>
              <w:t xml:space="preserve">R-17(a)(ii) (board membership with a party/representative); R-17(a)(iv)</w:t>
            </w:r>
          </w:p>
        </w:tc>
        <w:tc>
          <w:tcPr/>
          <w:p>
            <w:pPr>
              <w:pStyle w:val="Compact"/>
              <w:jc w:val="left"/>
            </w:pPr>
            <w:r>
              <w:rPr>
                <w:b/>
                <w:bCs/>
              </w:rPr>
              <w:t xml:space="preserve">Strong</w:t>
            </w:r>
          </w:p>
        </w:tc>
      </w:tr>
      <w:tr>
        <w:tc>
          <w:tcPr/>
          <w:p>
            <w:pPr>
              <w:pStyle w:val="Compact"/>
              <w:jc w:val="left"/>
            </w:pPr>
            <w:r>
              <w:t xml:space="preserve">C</w:t>
            </w:r>
          </w:p>
        </w:tc>
        <w:tc>
          <w:tcPr/>
          <w:p>
            <w:pPr>
              <w:pStyle w:val="Compact"/>
              <w:jc w:val="left"/>
            </w:pPr>
            <w:r>
              <w:t xml:space="preserve">Arbitrator and Dominic Hargrave (Respondent’s lead counsel) were co-panelists at a CLE,</w:t>
            </w:r>
            <w:r>
              <w:t xml:space="preserve"> </w:t>
            </w:r>
            <w:r>
              <w:t xml:space="preserve">“</w:t>
            </w:r>
            <w:r>
              <w:t xml:space="preserve">Arbitrating Complex IP Licensing Disputes,</w:t>
            </w:r>
            <w:r>
              <w:t xml:space="preserve">”</w:t>
            </w:r>
            <w:r>
              <w:t xml:space="preserve"> </w:t>
            </w:r>
            <w:r>
              <w:t xml:space="preserve">Oct. 14, 2023 — topic directly germane to this arbitration</w:t>
            </w:r>
          </w:p>
        </w:tc>
        <w:tc>
          <w:tcPr/>
          <w:p>
            <w:pPr>
              <w:pStyle w:val="Compact"/>
              <w:jc w:val="left"/>
            </w:pPr>
            <w:r>
              <w:rPr>
                <w:b/>
                <w:bCs/>
              </w:rPr>
              <w:t xml:space="preserve">Omitted.</w:t>
            </w:r>
            <w:r>
              <w:t xml:space="preserve"> </w:t>
            </w:r>
            <w:r>
              <w:t xml:space="preserve">Disclosure’s discussion of counsel relationships is limited to arbitration appearances</w:t>
            </w:r>
          </w:p>
        </w:tc>
        <w:tc>
          <w:tcPr/>
          <w:p>
            <w:pPr>
              <w:pStyle w:val="Compact"/>
              <w:jc w:val="left"/>
            </w:pPr>
            <w:r>
              <w:t xml:space="preserve">R-17(a)(ii) (professional relationship with counsel); R-17(a)(iv) (public statements/views on relevant issues)</w:t>
            </w:r>
          </w:p>
        </w:tc>
        <w:tc>
          <w:tcPr/>
          <w:p>
            <w:pPr>
              <w:pStyle w:val="Compact"/>
              <w:jc w:val="left"/>
            </w:pPr>
            <w:r>
              <w:rPr>
                <w:b/>
                <w:bCs/>
              </w:rPr>
              <w:t xml:space="preserve">Moderate–Strong</w:t>
            </w:r>
          </w:p>
        </w:tc>
      </w:tr>
      <w:tr>
        <w:tc>
          <w:tcPr/>
          <w:p>
            <w:pPr>
              <w:pStyle w:val="Compact"/>
              <w:jc w:val="left"/>
            </w:pPr>
            <w:r>
              <w:t xml:space="preserve">D</w:t>
            </w:r>
          </w:p>
        </w:tc>
        <w:tc>
          <w:tcPr/>
          <w:p>
            <w:pPr>
              <w:pStyle w:val="Compact"/>
              <w:jc w:val="left"/>
            </w:pPr>
            <w:r>
              <w:t xml:space="preserve">Potential indirect financial interest in Whitmore Fund II LP (which owns Volaris, the beneficiary of the disputed license) via the Northbridge Select Alternatives Fund, managed by the same firm that manages the arbitrator’s portfolio</w:t>
            </w:r>
          </w:p>
        </w:tc>
        <w:tc>
          <w:tcPr/>
          <w:p>
            <w:pPr>
              <w:pStyle w:val="Compact"/>
              <w:jc w:val="left"/>
            </w:pPr>
            <w:r>
              <w:rPr>
                <w:b/>
                <w:bCs/>
              </w:rPr>
              <w:t xml:space="preserve">Evasive / incomplete.</w:t>
            </w:r>
            <w:r>
              <w:t xml:space="preserve"> </w:t>
            </w:r>
            <w:r>
              <w:t xml:space="preserve">Disclosure § IV states</w:t>
            </w:r>
            <w:r>
              <w:t xml:space="preserve"> </w:t>
            </w:r>
            <w:r>
              <w:t xml:space="preserve">“</w:t>
            </w:r>
            <w:r>
              <w:t xml:space="preserve">no direct equity positions</w:t>
            </w:r>
            <w:r>
              <w:t xml:space="preserve">”</w:t>
            </w:r>
            <w:r>
              <w:t xml:space="preserve"> </w:t>
            </w:r>
            <w:r>
              <w:t xml:space="preserve">and expressly declines a position-by-position review of pooled vehicles; does not address</w:t>
            </w:r>
            <w:r>
              <w:t xml:space="preserve"> </w:t>
            </w:r>
            <w:r>
              <w:rPr>
                <w:i/>
                <w:iCs/>
              </w:rPr>
              <w:t xml:space="preserve">indirect</w:t>
            </w:r>
            <w:r>
              <w:t xml:space="preserve"> </w:t>
            </w:r>
            <w:r>
              <w:t xml:space="preserve">interests</w:t>
            </w:r>
          </w:p>
        </w:tc>
        <w:tc>
          <w:tcPr/>
          <w:p>
            <w:pPr>
              <w:pStyle w:val="Compact"/>
              <w:jc w:val="left"/>
            </w:pPr>
            <w:r>
              <w:t xml:space="preserve">R-17(a)(i) (direct</w:t>
            </w:r>
            <w:r>
              <w:t xml:space="preserve"> </w:t>
            </w:r>
            <w:r>
              <w:rPr>
                <w:i/>
                <w:iCs/>
              </w:rPr>
              <w:t xml:space="preserve">or indirect</w:t>
            </w:r>
            <w:r>
              <w:t xml:space="preserve"> </w:t>
            </w:r>
            <w:r>
              <w:t xml:space="preserve">financial interest; interest in any entity affected by the result)</w:t>
            </w:r>
          </w:p>
        </w:tc>
        <w:tc>
          <w:tcPr/>
          <w:p>
            <w:pPr>
              <w:pStyle w:val="Compact"/>
              <w:jc w:val="left"/>
            </w:pPr>
            <w:r>
              <w:rPr>
                <w:b/>
                <w:bCs/>
              </w:rPr>
              <w:t xml:space="preserve">Moderate–Strong</w:t>
            </w:r>
          </w:p>
        </w:tc>
      </w:tr>
      <w:tr>
        <w:tc>
          <w:tcPr/>
          <w:p>
            <w:pPr>
              <w:pStyle w:val="Compact"/>
              <w:jc w:val="left"/>
            </w:pPr>
            <w:r>
              <w:t xml:space="preserve">E</w:t>
            </w:r>
          </w:p>
        </w:tc>
        <w:tc>
          <w:tcPr/>
          <w:p>
            <w:pPr>
              <w:pStyle w:val="Compact"/>
              <w:jc w:val="left"/>
            </w:pPr>
            <w:r>
              <w:t xml:space="preserve">At least eight prior or pending arbitrations involving the parties’ counsel were omitted (7 completed + 1 pending), contradicting the Disclosure’s certification of a</w:t>
            </w:r>
            <w:r>
              <w:t xml:space="preserve"> </w:t>
            </w:r>
            <w:r>
              <w:t xml:space="preserve">“</w:t>
            </w:r>
            <w:r>
              <w:t xml:space="preserve">complete list</w:t>
            </w:r>
            <w:r>
              <w:t xml:space="preserve">”</w:t>
            </w:r>
          </w:p>
        </w:tc>
        <w:tc>
          <w:tcPr/>
          <w:p>
            <w:pPr>
              <w:pStyle w:val="Compact"/>
              <w:jc w:val="left"/>
            </w:pPr>
            <w:r>
              <w:rPr>
                <w:b/>
                <w:bCs/>
              </w:rPr>
              <w:t xml:space="preserve">Omitted / false certification.</w:t>
            </w:r>
            <w:r>
              <w:t xml:space="preserve"> </w:t>
            </w:r>
            <w:r>
              <w:t xml:space="preserve">Disclosure § III certifies the listed matters</w:t>
            </w:r>
            <w:r>
              <w:t xml:space="preserve"> </w:t>
            </w:r>
            <w:r>
              <w:t xml:space="preserve">“</w:t>
            </w:r>
            <w:r>
              <w:t xml:space="preserve">represent[] a complete list</w:t>
            </w:r>
            <w:r>
              <w:t xml:space="preserve">”</w:t>
            </w:r>
          </w:p>
        </w:tc>
        <w:tc>
          <w:tcPr/>
          <w:p>
            <w:pPr>
              <w:pStyle w:val="Compact"/>
              <w:jc w:val="left"/>
            </w:pPr>
            <w:r>
              <w:t xml:space="preserve">R-17(a)(iii) (all prior/pending cases with counsel)</w:t>
            </w:r>
          </w:p>
        </w:tc>
        <w:tc>
          <w:tcPr/>
          <w:p>
            <w:pPr>
              <w:pStyle w:val="Compact"/>
              <w:jc w:val="left"/>
            </w:pPr>
            <w:r>
              <w:rPr>
                <w:b/>
                <w:bCs/>
              </w:rPr>
              <w:t xml:space="preserve">Strong</w:t>
            </w:r>
            <w:r>
              <w:t xml:space="preserve"> </w:t>
            </w:r>
            <w:r>
              <w:t xml:space="preserve">(as to the omission)</w:t>
            </w:r>
          </w:p>
        </w:tc>
      </w:tr>
      <w:tr>
        <w:tc>
          <w:tcPr/>
          <w:p>
            <w:pPr>
              <w:pStyle w:val="Compact"/>
              <w:jc w:val="left"/>
            </w:pPr>
            <w:r>
              <w:t xml:space="preserve">F</w:t>
            </w:r>
          </w:p>
        </w:tc>
        <w:tc>
          <w:tcPr/>
          <w:p>
            <w:pPr>
              <w:pStyle w:val="Compact"/>
              <w:jc w:val="left"/>
            </w:pPr>
            <w:r>
              <w:t xml:space="preserve">Economic concentration and outcome asymmetry: Barrow &amp; Thistlewood LLP accounts for ~48% of the arbitrator’s recent arbitration income (9 of 20 completed matters) with a 77.8% client win rate; Fielding Marsh &amp; Collier LLP accounts for ~19.3% with a 25% win rate</w:t>
            </w:r>
          </w:p>
        </w:tc>
        <w:tc>
          <w:tcPr/>
          <w:p>
            <w:pPr>
              <w:pStyle w:val="Compact"/>
              <w:jc w:val="left"/>
            </w:pPr>
            <w:r>
              <w:rPr>
                <w:b/>
                <w:bCs/>
              </w:rPr>
              <w:t xml:space="preserve">Partially disclosed.</w:t>
            </w:r>
            <w:r>
              <w:t xml:space="preserve"> </w:t>
            </w:r>
            <w:r>
              <w:t xml:space="preserve">Repeat appointments are disclosed in part; the income concentration, the win-rate asymmetry, and the majority of the appointments are not</w:t>
            </w:r>
          </w:p>
        </w:tc>
        <w:tc>
          <w:tcPr/>
          <w:p>
            <w:pPr>
              <w:pStyle w:val="Compact"/>
              <w:jc w:val="left"/>
            </w:pPr>
            <w:r>
              <w:t xml:space="preserve">R-17(a)(ii), (iv); IBA Waivable Red List (repeat appointments + substantial financial contribution)</w:t>
            </w:r>
          </w:p>
        </w:tc>
        <w:tc>
          <w:tcPr/>
          <w:p>
            <w:pPr>
              <w:pStyle w:val="Compact"/>
              <w:jc w:val="left"/>
            </w:pPr>
            <w:r>
              <w:rPr>
                <w:b/>
                <w:bCs/>
              </w:rPr>
              <w:t xml:space="preserve">Moderate</w:t>
            </w:r>
            <w:r>
              <w:t xml:space="preserve"> </w:t>
            </w:r>
            <w:r>
              <w:t xml:space="preserve">standalone;</w:t>
            </w:r>
            <w:r>
              <w:t xml:space="preserve"> </w:t>
            </w:r>
            <w:r>
              <w:rPr>
                <w:b/>
                <w:bCs/>
              </w:rPr>
              <w:t xml:space="preserve">Strong</w:t>
            </w:r>
            <w:r>
              <w:t xml:space="preserve"> </w:t>
            </w:r>
            <w:r>
              <w:t xml:space="preserve">as aggravator</w:t>
            </w:r>
          </w:p>
        </w:tc>
      </w:tr>
      <w:tr>
        <w:tc>
          <w:tcPr/>
          <w:p>
            <w:pPr>
              <w:pStyle w:val="Compact"/>
              <w:jc w:val="left"/>
            </w:pPr>
            <w:r>
              <w:t xml:space="preserve">G</w:t>
            </w:r>
          </w:p>
        </w:tc>
        <w:tc>
          <w:tcPr/>
          <w:p>
            <w:pPr>
              <w:pStyle w:val="Compact"/>
              <w:jc w:val="left"/>
            </w:pPr>
            <w:r>
              <w:t xml:space="preserve">Lakeview Dispute Resolution Center affiliation: financial structure and referral dependency not disclosed; Lakeview hosted the undisclosed CLE</w:t>
            </w:r>
          </w:p>
        </w:tc>
        <w:tc>
          <w:tcPr/>
          <w:p>
            <w:pPr>
              <w:pStyle w:val="Compact"/>
              <w:jc w:val="left"/>
            </w:pPr>
            <w:r>
              <w:rPr>
                <w:b/>
                <w:bCs/>
              </w:rPr>
              <w:t xml:space="preserve">Partially disclosed.</w:t>
            </w:r>
            <w:r>
              <w:t xml:space="preserve"> </w:t>
            </w:r>
            <w:r>
              <w:t xml:space="preserve">Affiliation and referrals disclosed; financial terms and the CLE hosting are not</w:t>
            </w:r>
          </w:p>
        </w:tc>
        <w:tc>
          <w:tcPr/>
          <w:p>
            <w:pPr>
              <w:pStyle w:val="Compact"/>
              <w:jc w:val="left"/>
            </w:pPr>
            <w:r>
              <w:t xml:space="preserve">R-17(a)(ii)</w:t>
            </w:r>
          </w:p>
        </w:tc>
        <w:tc>
          <w:tcPr/>
          <w:p>
            <w:pPr>
              <w:pStyle w:val="Compact"/>
              <w:jc w:val="left"/>
            </w:pPr>
            <w:r>
              <w:rPr>
                <w:b/>
                <w:bCs/>
              </w:rPr>
              <w:t xml:space="preserve">Moderate</w:t>
            </w:r>
            <w:r>
              <w:t xml:space="preserve"> </w:t>
            </w:r>
            <w:r>
              <w:t xml:space="preserve">(compounding)</w:t>
            </w:r>
          </w:p>
        </w:tc>
      </w:tr>
    </w:tbl>
    <w:bookmarkEnd w:id="23"/>
    <w:bookmarkStart w:id="31" w:name="v.-analysis-of-specific-grounds"/>
    <w:p>
      <w:pPr>
        <w:pStyle w:val="Heading2"/>
      </w:pPr>
      <w:r>
        <w:t xml:space="preserve">V. Analysis of Specific Grounds</w:t>
      </w:r>
    </w:p>
    <w:bookmarkStart w:id="24" w:name="X1ac0bcfa1531362dde3d4e791f590db76991688"/>
    <w:p>
      <w:pPr>
        <w:pStyle w:val="Heading3"/>
      </w:pPr>
      <w:r>
        <w:t xml:space="preserve">A. Undisclosed research collaboration between the arbitrator’s spouse and the Claimant’s key expert witness</w:t>
      </w:r>
    </w:p>
    <w:p>
      <w:pPr>
        <w:pStyle w:val="FirstParagraph"/>
      </w:pPr>
      <w:r>
        <w:rPr>
          <w:b/>
          <w:bCs/>
        </w:rPr>
        <w:t xml:space="preserve">Facts.</w:t>
      </w:r>
      <w:r>
        <w:t xml:space="preserve"> </w:t>
      </w:r>
      <w:r>
        <w:t xml:space="preserve">The Profiles Memo (§ III.2) identifies a peer-reviewed article co-authored by Dr. Alan R. Fairhaven, Ph.D. (the arbitrator’s husband) and Dr. Rita S. Peshkov, Ph.D. (Cascade’s Vice President of Research &amp; Development):</w:t>
      </w:r>
      <w:r>
        <w:t xml:space="preserve"> </w:t>
      </w:r>
      <w:r>
        <w:t xml:space="preserve">“</w:t>
      </w:r>
      <w:r>
        <w:t xml:space="preserve">Optimization of Phase-Change Heat Exchangers in High-Load Industrial Applications,</w:t>
      </w:r>
      <w:r>
        <w:t xml:space="preserve">”</w:t>
      </w:r>
      <w:r>
        <w:t xml:space="preserve"> </w:t>
      </w:r>
      <w:r>
        <w:rPr>
          <w:i/>
          <w:iCs/>
        </w:rPr>
        <w:t xml:space="preserve">Journal of Advanced Thermal Engineering</w:t>
      </w:r>
      <w:r>
        <w:t xml:space="preserve">, Vol. 42, Issue 3 (September 2022). The Arbitration Demand (§ V.B, § VIII.B) identifies Dr. Peshkov as the named inventor or co-inventor on the majority of Cascade’s fourteen ThermalCore patents and as the Claimant’s anticipated key expert witness on (a) the technical specifications and uniqueness of ThermalCore technology, (b) the absence of commercially viable substitutes, and (c) the technical basis for the Ridgeline fair-market-value methodology. The article’s subject — optimization of phase-change heat exchangers in high-load industrial applications — is the same technology at the center of this arbitration.</w:t>
      </w:r>
    </w:p>
    <w:p>
      <w:pPr>
        <w:pStyle w:val="BodyText"/>
      </w:pPr>
      <w:r>
        <w:rPr>
          <w:b/>
          <w:bCs/>
        </w:rPr>
        <w:t xml:space="preserve">Treatment in the Disclosure.</w:t>
      </w:r>
      <w:r>
        <w:t xml:space="preserve"> </w:t>
      </w:r>
      <w:r>
        <w:t xml:space="preserve">Section V of the Disclosure identifies Dr. Alan Fairhaven as the arbitrator’s spouse and states that</w:t>
      </w:r>
      <w:r>
        <w:t xml:space="preserve"> </w:t>
      </w:r>
      <w:r>
        <w:t xml:space="preserve">“</w:t>
      </w:r>
      <w:r>
        <w:t xml:space="preserve">to the best of my knowledge, he has no financial or professional relationship with Cascade Thermal Systems Inc., Whitmore Capital Partners LLC, or any of their officers, directors, or employees.</w:t>
      </w:r>
      <w:r>
        <w:t xml:space="preserve">”</w:t>
      </w:r>
      <w:r>
        <w:t xml:space="preserve"> </w:t>
      </w:r>
      <w:r>
        <w:t xml:space="preserve">Dr. Peshkov is an officer of Cascade (its VP of R&amp;D) and an identified witness. The co-authorship is therefore directly inconsistent with the Disclosure’s affirmative representation. The Disclosure also states that neither the arbitrator nor any immediate family member has a relationship with</w:t>
      </w:r>
      <w:r>
        <w:t xml:space="preserve"> </w:t>
      </w:r>
      <w:r>
        <w:t xml:space="preserve">“</w:t>
      </w:r>
      <w:r>
        <w:t xml:space="preserve">any individual identified in the arbitration demand</w:t>
      </w:r>
      <w:r>
        <w:t xml:space="preserve">”</w:t>
      </w:r>
      <w:r>
        <w:t xml:space="preserve"> </w:t>
      </w:r>
      <w:r>
        <w:t xml:space="preserve">— Dr. Peshkov is so identified.</w:t>
      </w:r>
    </w:p>
    <w:p>
      <w:pPr>
        <w:pStyle w:val="BodyText"/>
      </w:pPr>
      <w:r>
        <w:rPr>
          <w:b/>
          <w:bCs/>
        </w:rPr>
        <w:t xml:space="preserve">Analysis.</w:t>
      </w:r>
      <w:r>
        <w:t xml:space="preserve"> </w:t>
      </w:r>
      <w:r>
        <w:t xml:space="preserve">This is the most clear-cut deficiency. Rule R-17(a)(ii) expressly reaches</w:t>
      </w:r>
      <w:r>
        <w:t xml:space="preserve"> </w:t>
      </w:r>
      <w:r>
        <w:t xml:space="preserve">“</w:t>
      </w:r>
      <w:r>
        <w:t xml:space="preserve">family … relationships</w:t>
      </w:r>
      <w:r>
        <w:t xml:space="preserve">”</w:t>
      </w:r>
      <w:r>
        <w:t xml:space="preserve"> </w:t>
      </w:r>
      <w:r>
        <w:t xml:space="preserve">and</w:t>
      </w:r>
      <w:r>
        <w:t xml:space="preserve"> </w:t>
      </w:r>
      <w:r>
        <w:t xml:space="preserve">“</w:t>
      </w:r>
      <w:r>
        <w:t xml:space="preserve">academic collaboration</w:t>
      </w:r>
      <w:r>
        <w:t xml:space="preserve">”</w:t>
      </w:r>
      <w:r>
        <w:t xml:space="preserve"> </w:t>
      </w:r>
      <w:r>
        <w:t xml:space="preserve">with</w:t>
      </w:r>
      <w:r>
        <w:t xml:space="preserve"> </w:t>
      </w:r>
      <w:r>
        <w:t xml:space="preserve">“</w:t>
      </w:r>
      <w:r>
        <w:t xml:space="preserve">witnesses.</w:t>
      </w:r>
      <w:r>
        <w:t xml:space="preserve">”</w:t>
      </w:r>
      <w:r>
        <w:t xml:space="preserve"> </w:t>
      </w:r>
      <w:r>
        <w:t xml:space="preserve">The IBA Guidelines treat a family member’s significant professional relationship with a witness or party as a serious conflict. Three features compound the concern: (1) the relationship is through the arbitrator’s</w:t>
      </w:r>
      <w:r>
        <w:t xml:space="preserve"> </w:t>
      </w:r>
      <w:r>
        <w:rPr>
          <w:i/>
          <w:iCs/>
        </w:rPr>
        <w:t xml:space="preserve">spouse</w:t>
      </w:r>
      <w:r>
        <w:t xml:space="preserve">, not a distant relative; (2) the collaborator is not a peripheral witness but the Claimant’s</w:t>
      </w:r>
      <w:r>
        <w:t xml:space="preserve"> </w:t>
      </w:r>
      <w:r>
        <w:rPr>
          <w:i/>
          <w:iCs/>
        </w:rPr>
        <w:t xml:space="preserve">principal</w:t>
      </w:r>
      <w:r>
        <w:t xml:space="preserve"> </w:t>
      </w:r>
      <w:r>
        <w:t xml:space="preserve">expert on the very technology whose valuation drives the $46.9 million damages model; and (3) the collaboration’s subject matter is identical to the disputed technology, so the witness’s credibility and the arbitrator’s spouse’s professional reputation are intertwined. A reasonable party evaluating the arbitrator’s fitness would unquestionably consider this material. The affirmative misstatement (as opposed to a mere omission) elevates the concern because it suggests the arbitrator did not meaningfully investigate her spouse’s relationships before certifying the Disclosure.</w:t>
      </w:r>
    </w:p>
    <w:p>
      <w:pPr>
        <w:pStyle w:val="BodyText"/>
      </w:pPr>
      <w:r>
        <w:rPr>
          <w:b/>
          <w:bCs/>
        </w:rPr>
        <w:t xml:space="preserve">Assessment: Strong.</w:t>
      </w:r>
      <w:r>
        <w:t xml:space="preserve"> </w:t>
      </w:r>
      <w:r>
        <w:t xml:space="preserve">This ground independently supports a challenge and, if not cured, supports an evident-partiality argument under FAA § 10(a)(2). Note that this ground creates an appearance of partiality</w:t>
      </w:r>
      <w:r>
        <w:t xml:space="preserve"> </w:t>
      </w:r>
      <w:r>
        <w:rPr>
          <w:i/>
          <w:iCs/>
        </w:rPr>
        <w:t xml:space="preserve">toward the Claimant</w:t>
      </w:r>
      <w:r>
        <w:t xml:space="preserve"> </w:t>
      </w:r>
      <w:r>
        <w:t xml:space="preserve">(by potentially enhancing the credibility of the Claimant’s lead expert), and is therefore the ground most naturally available to the Respondent.</w:t>
      </w:r>
    </w:p>
    <w:bookmarkEnd w:id="24"/>
    <w:bookmarkStart w:id="25" w:name="X16360daaf21b5b83b0acd6b95e1cd34c854397f"/>
    <w:p>
      <w:pPr>
        <w:pStyle w:val="Heading3"/>
      </w:pPr>
      <w:r>
        <w:t xml:space="preserve">B. Undisclosed shared organizational service with the Respondent’s principal</w:t>
      </w:r>
    </w:p>
    <w:p>
      <w:pPr>
        <w:pStyle w:val="FirstParagraph"/>
      </w:pPr>
      <w:r>
        <w:rPr>
          <w:b/>
          <w:bCs/>
        </w:rPr>
        <w:t xml:space="preserve">Facts.</w:t>
      </w:r>
      <w:r>
        <w:t xml:space="preserve"> </w:t>
      </w:r>
      <w:r>
        <w:t xml:space="preserve">The Profiles Memo (§ III.3; § 4.2) reports, on the basis of IRS Form 990 filings for fiscal year 2023, that Garrett T. Whitmore — the founder, Managing Partner, and ultimate decision-maker of the Respondent, who personally directed the challenged license transaction (Demand § V.C) — serves on the</w:t>
      </w:r>
      <w:r>
        <w:t xml:space="preserve"> </w:t>
      </w:r>
      <w:r>
        <w:rPr>
          <w:b/>
          <w:bCs/>
        </w:rPr>
        <w:t xml:space="preserve">Board of Trustees</w:t>
      </w:r>
      <w:r>
        <w:t xml:space="preserve"> </w:t>
      </w:r>
      <w:r>
        <w:t xml:space="preserve">of the Minnesota ADR Ethics Institute. The Board of Trustees is the Institute’s governing body, responsible for strategic direction, budgetary oversight, and appointments to leadership positions, including the advisory board. The arbitrator has served on the Institute’s</w:t>
      </w:r>
      <w:r>
        <w:t xml:space="preserve"> </w:t>
      </w:r>
      <w:r>
        <w:rPr>
          <w:b/>
          <w:bCs/>
        </w:rPr>
        <w:t xml:space="preserve">advisory board</w:t>
      </w:r>
      <w:r>
        <w:t xml:space="preserve"> </w:t>
      </w:r>
      <w:r>
        <w:t xml:space="preserve">since 2021. The Institute is described as a small nonprofit; its bylaws and posted minutes indicate that the Board of Trustees and the advisory board hold joint sessions and attend annual meetings together, making direct personal interaction between the arbitrator and Mr. Whitmore reasonably likely.</w:t>
      </w:r>
    </w:p>
    <w:p>
      <w:pPr>
        <w:pStyle w:val="BodyText"/>
      </w:pPr>
      <w:r>
        <w:rPr>
          <w:b/>
          <w:bCs/>
        </w:rPr>
        <w:t xml:space="preserve">Treatment in the Disclosure.</w:t>
      </w:r>
      <w:r>
        <w:t xml:space="preserve"> </w:t>
      </w:r>
      <w:r>
        <w:t xml:space="preserve">Section VI of the Disclosure discloses the arbitrator’s own advisory-board service and discloses that Ellen Wu (a Barrow &amp; Thistlewood partner) also serves on that advisory board. The Disclosure does</w:t>
      </w:r>
      <w:r>
        <w:t xml:space="preserve"> </w:t>
      </w:r>
      <w:r>
        <w:rPr>
          <w:b/>
          <w:bCs/>
        </w:rPr>
        <w:t xml:space="preserve">not</w:t>
      </w:r>
      <w:r>
        <w:t xml:space="preserve"> </w:t>
      </w:r>
      <w:r>
        <w:t xml:space="preserve">mention that the Respondent’s principal sits on the Institute’s governing board.</w:t>
      </w:r>
    </w:p>
    <w:p>
      <w:pPr>
        <w:pStyle w:val="BodyText"/>
      </w:pPr>
      <w:r>
        <w:rPr>
          <w:b/>
          <w:bCs/>
        </w:rPr>
        <w:t xml:space="preserve">Analysis.</w:t>
      </w:r>
      <w:r>
        <w:t xml:space="preserve"> </w:t>
      </w:r>
      <w:r>
        <w:t xml:space="preserve">Rule R-17(a)(ii) reaches relationships arising from</w:t>
      </w:r>
      <w:r>
        <w:t xml:space="preserve"> </w:t>
      </w:r>
      <w:r>
        <w:t xml:space="preserve">“</w:t>
      </w:r>
      <w:r>
        <w:t xml:space="preserve">board memberships</w:t>
      </w:r>
      <w:r>
        <w:t xml:space="preserve">”</w:t>
      </w:r>
      <w:r>
        <w:t xml:space="preserve"> </w:t>
      </w:r>
      <w:r>
        <w:t xml:space="preserve">with</w:t>
      </w:r>
      <w:r>
        <w:t xml:space="preserve"> </w:t>
      </w:r>
      <w:r>
        <w:t xml:space="preserve">“</w:t>
      </w:r>
      <w:r>
        <w:t xml:space="preserve">any party … [or] its … representatives.</w:t>
      </w:r>
      <w:r>
        <w:t xml:space="preserve">”</w:t>
      </w:r>
      <w:r>
        <w:t xml:space="preserve"> </w:t>
      </w:r>
      <w:r>
        <w:t xml:space="preserve">Mr. Whitmore is the Respondent’s controlling principal and a named anticipated witness (Demand § VIII.A.2). The arbitrator disclosed the</w:t>
      </w:r>
      <w:r>
        <w:t xml:space="preserve"> </w:t>
      </w:r>
      <w:r>
        <w:rPr>
          <w:i/>
          <w:iCs/>
        </w:rPr>
        <w:t xml:space="preserve">advisory board</w:t>
      </w:r>
      <w:r>
        <w:t xml:space="preserve"> </w:t>
      </w:r>
      <w:r>
        <w:t xml:space="preserve">overlap with Ms. Wu but omitted the</w:t>
      </w:r>
      <w:r>
        <w:t xml:space="preserve"> </w:t>
      </w:r>
      <w:r>
        <w:rPr>
          <w:i/>
          <w:iCs/>
        </w:rPr>
        <w:t xml:space="preserve">governing-board</w:t>
      </w:r>
      <w:r>
        <w:t xml:space="preserve"> </w:t>
      </w:r>
      <w:r>
        <w:t xml:space="preserve">overlap with the Respondent’s principal at the same organization. The asymmetry is notable: having opened the door on the Institute affiliation, the arbitrator was obliged to disclose the full picture, including that a party principal sits on the body that appoints and oversees her own board. The IBA Orange List treats current shared board or committee service as a waivable circumstance requiring disclosure; the governing-board/advisory-board hierarchy and the small size of the organization push this toward the more serious end. A reasonable party would want to know that the person who personally engineered the challenged transaction helps govern the nonprofit on which the arbitrator serves.</w:t>
      </w:r>
    </w:p>
    <w:p>
      <w:pPr>
        <w:pStyle w:val="BodyText"/>
      </w:pPr>
      <w:r>
        <w:rPr>
          <w:b/>
          <w:bCs/>
        </w:rPr>
        <w:t xml:space="preserve">Assessment: Strong.</w:t>
      </w:r>
      <w:r>
        <w:t xml:space="preserve"> </w:t>
      </w:r>
      <w:r>
        <w:t xml:space="preserve">This ground creates an appearance of partiality</w:t>
      </w:r>
      <w:r>
        <w:t xml:space="preserve"> </w:t>
      </w:r>
      <w:r>
        <w:rPr>
          <w:i/>
          <w:iCs/>
        </w:rPr>
        <w:t xml:space="preserve">toward the Respondent</w:t>
      </w:r>
      <w:r>
        <w:t xml:space="preserve"> </w:t>
      </w:r>
      <w:r>
        <w:t xml:space="preserve">and is most naturally available to the Claimant. It also illustrates a pattern of selective disclosure within a single section of the Disclosure.</w:t>
      </w:r>
    </w:p>
    <w:bookmarkEnd w:id="25"/>
    <w:bookmarkStart w:id="26" w:name="X64518f3af52dbf4c5d4f80637153261fe08940b"/>
    <w:p>
      <w:pPr>
        <w:pStyle w:val="Heading3"/>
      </w:pPr>
      <w:r>
        <w:t xml:space="preserve">C. Undisclosed CLE co-panelist relationship with the Respondent’s lead counsel</w:t>
      </w:r>
    </w:p>
    <w:p>
      <w:pPr>
        <w:pStyle w:val="FirstParagraph"/>
      </w:pPr>
      <w:r>
        <w:rPr>
          <w:b/>
          <w:bCs/>
        </w:rPr>
        <w:t xml:space="preserve">Facts.</w:t>
      </w:r>
      <w:r>
        <w:t xml:space="preserve"> </w:t>
      </w:r>
      <w:r>
        <w:t xml:space="preserve">The Profiles Memo (§ III.6; § 4.1) reports that on October 14, 2023 — approximately five months before the Demand and eight months before the arbitrator’s appointment — the Lakeview Dispute Resolution Center hosted a CLE titled</w:t>
      </w:r>
      <w:r>
        <w:t xml:space="preserve"> </w:t>
      </w:r>
      <w:r>
        <w:t xml:space="preserve">“</w:t>
      </w:r>
      <w:r>
        <w:t xml:space="preserve">Arbitrating Complex IP Licensing Disputes.</w:t>
      </w:r>
      <w:r>
        <w:t xml:space="preserve">”</w:t>
      </w:r>
      <w:r>
        <w:t xml:space="preserve"> </w:t>
      </w:r>
      <w:r>
        <w:t xml:space="preserve">The listed panelists were Judge Fairhaven; Dominic Hargrave (lead counsel for the Respondent in this matter); Professor Naomi Strickland; and Marcus DelVecchio. The topic — arbitrating complex IP licensing disputes, including valuation methodologies, arbitrator selection in technology-intensive cases, and management of expert testimony — is directly germane to this arbitration, which turns on the valuation and enforceability of a technology license.</w:t>
      </w:r>
    </w:p>
    <w:p>
      <w:pPr>
        <w:pStyle w:val="BodyText"/>
      </w:pPr>
      <w:r>
        <w:rPr>
          <w:b/>
          <w:bCs/>
        </w:rPr>
        <w:t xml:space="preserve">Treatment in the Disclosure.</w:t>
      </w:r>
      <w:r>
        <w:t xml:space="preserve"> </w:t>
      </w:r>
      <w:r>
        <w:t xml:space="preserve">The Disclosure does not mention the CLE. Section III limits its discussion of counsel relationships to arbitration appearances; Section VII discusses the Lakeview affiliation and its receipt of referrals from both firms but does not mention that Lakeview hosted a CLE at which the arbitrator and Mr. Hargrave co-presented.</w:t>
      </w:r>
    </w:p>
    <w:p>
      <w:pPr>
        <w:pStyle w:val="BodyText"/>
      </w:pPr>
      <w:r>
        <w:rPr>
          <w:b/>
          <w:bCs/>
        </w:rPr>
        <w:t xml:space="preserve">Analysis.</w:t>
      </w:r>
      <w:r>
        <w:t xml:space="preserve"> </w:t>
      </w:r>
      <w:r>
        <w:t xml:space="preserve">Rule R-17(a)(ii) reaches</w:t>
      </w:r>
      <w:r>
        <w:t xml:space="preserve"> </w:t>
      </w:r>
      <w:r>
        <w:t xml:space="preserve">“</w:t>
      </w:r>
      <w:r>
        <w:t xml:space="preserve">professional association</w:t>
      </w:r>
      <w:r>
        <w:t xml:space="preserve">”</w:t>
      </w:r>
      <w:r>
        <w:t xml:space="preserve"> </w:t>
      </w:r>
      <w:r>
        <w:t xml:space="preserve">relationships with counsel, and Rule R-17(a)(iv) reaches</w:t>
      </w:r>
      <w:r>
        <w:t xml:space="preserve"> </w:t>
      </w:r>
      <w:r>
        <w:t xml:space="preserve">“</w:t>
      </w:r>
      <w:r>
        <w:t xml:space="preserve">public statements, or expressed views on legal or factual issues relevant to the dispute</w:t>
      </w:r>
      <w:r>
        <w:t xml:space="preserve">”</w:t>
      </w:r>
      <w:r>
        <w:t xml:space="preserve"> </w:t>
      </w:r>
      <w:r>
        <w:t xml:space="preserve">— a CLE panel on IP licensing valuation is precisely such a public expression of views on issues central to this case. Co-panelist service ordinarily involves shared preparation, coordinated materials, and collegial interaction. Standing alone, a single CLE co-paneling is often non-disqualifying. Four features elevate it here: (1) the topic is</w:t>
      </w:r>
      <w:r>
        <w:t xml:space="preserve"> </w:t>
      </w:r>
      <w:r>
        <w:rPr>
          <w:i/>
          <w:iCs/>
        </w:rPr>
        <w:t xml:space="preserve">directly</w:t>
      </w:r>
      <w:r>
        <w:t xml:space="preserve"> </w:t>
      </w:r>
      <w:r>
        <w:t xml:space="preserve">germane; (2) the event was recent (eight months before appointment); (3) it occurred at Lakeview, the arbitrator’s own affiliated institution, which itself receives referrals from Mr. Hargrave’s firm; and (4) it was undisclosed and compounds the other Hargrave/Barrow &amp; Thistlewood connections. The arbitrator’s public expression of views on IP licensing valuation methodology is also relevant to the parties’ evaluation of any predisposition on the central valuation question.</w:t>
      </w:r>
    </w:p>
    <w:p>
      <w:pPr>
        <w:pStyle w:val="BodyText"/>
      </w:pPr>
      <w:r>
        <w:rPr>
          <w:b/>
          <w:bCs/>
        </w:rPr>
        <w:t xml:space="preserve">Assessment: Moderate–Strong.</w:t>
      </w:r>
      <w:r>
        <w:t xml:space="preserve"> </w:t>
      </w:r>
      <w:r>
        <w:t xml:space="preserve">Not dispositive alone, but a meaningful disclosure omission that materially strengthens the cumulative case and the appearance-of-partiality analysis. This ground creates an appearance of partiality</w:t>
      </w:r>
      <w:r>
        <w:t xml:space="preserve"> </w:t>
      </w:r>
      <w:r>
        <w:rPr>
          <w:i/>
          <w:iCs/>
        </w:rPr>
        <w:t xml:space="preserve">toward the Respondent</w:t>
      </w:r>
      <w:r>
        <w:t xml:space="preserve"> </w:t>
      </w:r>
      <w:r>
        <w:t xml:space="preserve">and is most naturally available to the Claimant.</w:t>
      </w:r>
    </w:p>
    <w:bookmarkEnd w:id="26"/>
    <w:bookmarkStart w:id="27" w:name="X0f63f1b29b0bd09a16a30dda953105e5e60de5e"/>
    <w:p>
      <w:pPr>
        <w:pStyle w:val="Heading3"/>
      </w:pPr>
      <w:r>
        <w:t xml:space="preserve">D. Potential indirect financial interest in a fund managed by the Respondent</w:t>
      </w:r>
    </w:p>
    <w:p>
      <w:pPr>
        <w:pStyle w:val="FirstParagraph"/>
      </w:pPr>
      <w:r>
        <w:rPr>
          <w:b/>
          <w:bCs/>
        </w:rPr>
        <w:t xml:space="preserve">Facts.</w:t>
      </w:r>
      <w:r>
        <w:t xml:space="preserve"> </w:t>
      </w:r>
      <w:r>
        <w:t xml:space="preserve">The Profiles Memo (§ III.4; § 4.3) reports that the arbitrator’s portfolio is managed on a discretionary basis by Northbridge Wealth Advisors, and that Northbridge also manages the</w:t>
      </w:r>
      <w:r>
        <w:t xml:space="preserve"> </w:t>
      </w:r>
      <w:r>
        <w:rPr>
          <w:b/>
          <w:bCs/>
        </w:rPr>
        <w:t xml:space="preserve">Northbridge Select Alternatives Fund</w:t>
      </w:r>
      <w:r>
        <w:t xml:space="preserve">, a fund-of-funds vehicle. Per the fund’s most recent public filing (March 2024), the Northbridge Select Alternatives Fund holds a</w:t>
      </w:r>
      <w:r>
        <w:t xml:space="preserve"> </w:t>
      </w:r>
      <w:r>
        <w:rPr>
          <w:b/>
          <w:bCs/>
        </w:rPr>
        <w:t xml:space="preserve">2.3% limited partner interest in Whitmore Fund II LP</w:t>
      </w:r>
      <w:r>
        <w:t xml:space="preserve">. Whitmore Fund II LP owns Volaris Manufacturing Group LLC (Demand § III.C), which is the direct beneficiary of the disputed below-market ThermalCore license. The economic outcome of this arbitration — any award rescinding, renegotiating, or repricing the Volaris license, or imposing damages on Whitmore — could affect the value of Whitmore Fund II LP and, by extension, any limited partner interest in that fund. The chain is: arbitrator’s portfolio (managed by Northbridge) → potential allocation to the Northbridge Select Alternatives Fund (managed by the same firm) → 2.3% LP interest in Whitmore Fund II LP → Volaris → the disputed license.</w:t>
      </w:r>
    </w:p>
    <w:p>
      <w:pPr>
        <w:pStyle w:val="BodyText"/>
      </w:pPr>
      <w:r>
        <w:rPr>
          <w:b/>
          <w:bCs/>
        </w:rPr>
        <w:t xml:space="preserve">Treatment in the Disclosure.</w:t>
      </w:r>
      <w:r>
        <w:t xml:space="preserve"> </w:t>
      </w:r>
      <w:r>
        <w:t xml:space="preserve">Section IV states that the arbitrator holds</w:t>
      </w:r>
      <w:r>
        <w:t xml:space="preserve"> </w:t>
      </w:r>
      <w:r>
        <w:t xml:space="preserve">“</w:t>
      </w:r>
      <w:r>
        <w:t xml:space="preserve">no direct equity positions in any party to this arbitration</w:t>
      </w:r>
      <w:r>
        <w:t xml:space="preserve">”</w:t>
      </w:r>
      <w:r>
        <w:t xml:space="preserve"> </w:t>
      </w:r>
      <w:r>
        <w:t xml:space="preserve">and has not transacted in the securities of Cascade, Whitmore,</w:t>
      </w:r>
      <w:r>
        <w:t xml:space="preserve"> </w:t>
      </w:r>
      <w:r>
        <w:t xml:space="preserve">“</w:t>
      </w:r>
      <w:r>
        <w:t xml:space="preserve">or any entity that I understand to be a direct subsidiary or affiliate of either party.</w:t>
      </w:r>
      <w:r>
        <w:t xml:space="preserve">”</w:t>
      </w:r>
      <w:r>
        <w:t xml:space="preserve"> </w:t>
      </w:r>
      <w:r>
        <w:t xml:space="preserve">The Disclosure expressly acknowledges that the arbitrator</w:t>
      </w:r>
      <w:r>
        <w:t xml:space="preserve"> </w:t>
      </w:r>
      <w:r>
        <w:t xml:space="preserve">“</w:t>
      </w:r>
      <w:r>
        <w:t xml:space="preserve">ha[s] not undertaken a position-by-position review of each fund or sub-investment held within my managed accounts,</w:t>
      </w:r>
      <w:r>
        <w:t xml:space="preserve">”</w:t>
      </w:r>
      <w:r>
        <w:t xml:space="preserve"> </w:t>
      </w:r>
      <w:r>
        <w:t xml:space="preserve">and states she is</w:t>
      </w:r>
      <w:r>
        <w:t xml:space="preserve"> </w:t>
      </w:r>
      <w:r>
        <w:t xml:space="preserve">“</w:t>
      </w:r>
      <w:r>
        <w:t xml:space="preserve">not aware of any … investment that would constitute a material financial interest.</w:t>
      </w:r>
      <w:r>
        <w:t xml:space="preserve">”</w:t>
      </w:r>
      <w:r>
        <w:t xml:space="preserve"> </w:t>
      </w:r>
      <w:r>
        <w:t xml:space="preserve">The</w:t>
      </w:r>
      <w:r>
        <w:t xml:space="preserve"> </w:t>
      </w:r>
      <w:r>
        <w:t xml:space="preserve">“</w:t>
      </w:r>
      <w:r>
        <w:t xml:space="preserve">no direct equity positions</w:t>
      </w:r>
      <w:r>
        <w:t xml:space="preserve">”</w:t>
      </w:r>
      <w:r>
        <w:t xml:space="preserve"> </w:t>
      </w:r>
      <w:r>
        <w:t xml:space="preserve">formulation is technically accurate but does not address</w:t>
      </w:r>
      <w:r>
        <w:t xml:space="preserve"> </w:t>
      </w:r>
      <w:r>
        <w:rPr>
          <w:i/>
          <w:iCs/>
        </w:rPr>
        <w:t xml:space="preserve">indirect</w:t>
      </w:r>
      <w:r>
        <w:t xml:space="preserve"> </w:t>
      </w:r>
      <w:r>
        <w:t xml:space="preserve">interests, which Rule R-17(a)(i) expressly reaches.</w:t>
      </w:r>
    </w:p>
    <w:p>
      <w:pPr>
        <w:pStyle w:val="BodyText"/>
      </w:pPr>
      <w:r>
        <w:rPr>
          <w:b/>
          <w:bCs/>
        </w:rPr>
        <w:t xml:space="preserve">Analysis.</w:t>
      </w:r>
      <w:r>
        <w:t xml:space="preserve"> </w:t>
      </w:r>
      <w:r>
        <w:t xml:space="preserve">Rule R-17(a)(i) requires disclosure of any</w:t>
      </w:r>
      <w:r>
        <w:t xml:space="preserve"> </w:t>
      </w:r>
      <w:r>
        <w:t xml:space="preserve">“</w:t>
      </w:r>
      <w:r>
        <w:t xml:space="preserve">direct</w:t>
      </w:r>
      <w:r>
        <w:t xml:space="preserve"> </w:t>
      </w:r>
      <w:r>
        <w:rPr>
          <w:i/>
          <w:iCs/>
        </w:rPr>
        <w:t xml:space="preserve">or indirect</w:t>
      </w:r>
      <w:r>
        <w:t xml:space="preserve"> </w:t>
      </w:r>
      <w:r>
        <w:t xml:space="preserve">financial or personal interest in the outcome,</w:t>
      </w:r>
      <w:r>
        <w:t xml:space="preserve">”</w:t>
      </w:r>
      <w:r>
        <w:t xml:space="preserve"> </w:t>
      </w:r>
      <w:r>
        <w:t xml:space="preserve">including</w:t>
      </w:r>
      <w:r>
        <w:t xml:space="preserve"> </w:t>
      </w:r>
      <w:r>
        <w:t xml:space="preserve">“</w:t>
      </w:r>
      <w:r>
        <w:t xml:space="preserve">any interest … in any entity that may be affected by the result of the proceeding.</w:t>
      </w:r>
      <w:r>
        <w:t xml:space="preserve">”</w:t>
      </w:r>
      <w:r>
        <w:t xml:space="preserve"> </w:t>
      </w:r>
      <w:r>
        <w:t xml:space="preserve">Whitmore Fund II LP is an entity that may be affected by the result: it owns Volaris, the licensee whose license is the subject of the rescission and damages claims. Two points bear emphasis. First, the arbitrator’s own Disclosure concedes she did not investigate the holdings of the pooled vehicles in which she participates — yet Rule R-17(a)(i) imposes the duty to disclose</w:t>
      </w:r>
      <w:r>
        <w:t xml:space="preserve"> </w:t>
      </w:r>
      <w:r>
        <w:rPr>
          <w:i/>
          <w:iCs/>
        </w:rPr>
        <w:t xml:space="preserve">indirect</w:t>
      </w:r>
      <w:r>
        <w:t xml:space="preserve"> </w:t>
      </w:r>
      <w:r>
        <w:t xml:space="preserve">interests, which can be satisfied only by such inquiry. The failure to inquire is itself a disclosure deficiency, independent of whether the arbitrator is in fact allocated to the Select Alternatives Fund. Second, the</w:t>
      </w:r>
      <w:r>
        <w:t xml:space="preserve"> </w:t>
      </w:r>
      <w:r>
        <w:t xml:space="preserve">“</w:t>
      </w:r>
      <w:r>
        <w:t xml:space="preserve">no direct equity positions</w:t>
      </w:r>
      <w:r>
        <w:t xml:space="preserve">”</w:t>
      </w:r>
      <w:r>
        <w:t xml:space="preserve"> </w:t>
      </w:r>
      <w:r>
        <w:t xml:space="preserve">framing, while literally true, is the kind of formulation that</w:t>
      </w:r>
      <w:r>
        <w:t xml:space="preserve"> </w:t>
      </w:r>
      <w:r>
        <w:rPr>
          <w:i/>
          <w:iCs/>
        </w:rPr>
        <w:t xml:space="preserve">CommonWealth Coatings</w:t>
      </w:r>
      <w:r>
        <w:t xml:space="preserve"> </w:t>
      </w:r>
      <w:r>
        <w:t xml:space="preserve">and the evident-partiality case law treat with skepticism: a technically accurate statement that obscures a potentially material indirect exposure. The materiality of a 2.3% LP interest layered through a fund-of-funds is debatable, and the public record does not confirm that the arbitrator’s personal portfolio includes the Select Alternatives Fund. But the duty to investigate and the appearance created by the chain of relationships are sufficient to require disclosure and supplementation.</w:t>
      </w:r>
    </w:p>
    <w:p>
      <w:pPr>
        <w:pStyle w:val="BodyText"/>
      </w:pPr>
      <w:r>
        <w:rPr>
          <w:b/>
          <w:bCs/>
        </w:rPr>
        <w:t xml:space="preserve">Assessment: Moderate–Strong.</w:t>
      </w:r>
      <w:r>
        <w:t xml:space="preserve"> </w:t>
      </w:r>
      <w:r>
        <w:t xml:space="preserve">The arbitrator should be asked, in a supplemental-disclosure request, to confirm whether her managed accounts hold any interest in the Northbridge Select Alternatives Fund or any other vehicle with exposure to Whitmore Fund II LP, Whitmore Fund III LP, Cascade, or Volaris. This ground creates an appearance of partiality</w:t>
      </w:r>
      <w:r>
        <w:t xml:space="preserve"> </w:t>
      </w:r>
      <w:r>
        <w:rPr>
          <w:i/>
          <w:iCs/>
        </w:rPr>
        <w:t xml:space="preserve">toward the Respondent</w:t>
      </w:r>
      <w:r>
        <w:t xml:space="preserve"> </w:t>
      </w:r>
      <w:r>
        <w:t xml:space="preserve">and is most naturally available to the Claimant; it also supplies a clean FAA § 10(a)(2) evident-partiality theory if an indirect interest is confirmed and was not disclosed.</w:t>
      </w:r>
    </w:p>
    <w:bookmarkEnd w:id="27"/>
    <w:bookmarkStart w:id="28" w:name="Xb5d5cef13699b44717b5e0fb8112b4e9d05836e"/>
    <w:p>
      <w:pPr>
        <w:pStyle w:val="Heading3"/>
      </w:pPr>
      <w:r>
        <w:t xml:space="preserve">E. Omission of prior and pending arbitrations involving the parties’ counsel</w:t>
      </w:r>
    </w:p>
    <w:p>
      <w:pPr>
        <w:pStyle w:val="FirstParagraph"/>
      </w:pPr>
      <w:r>
        <w:rPr>
          <w:b/>
          <w:bCs/>
        </w:rPr>
        <w:t xml:space="preserve">Facts.</w:t>
      </w:r>
      <w:r>
        <w:t xml:space="preserve"> </w:t>
      </w:r>
      <w:r>
        <w:t xml:space="preserve">The Appointment Data (Case List and Pending Matters sheets) and the Profiles Memo (§ III.5) show that the arbitrator’s Disclosure listed seven matters involving Barrow &amp; Thistlewood LLP or Fielding Marsh &amp; Collier LLP, but that at least</w:t>
      </w:r>
      <w:r>
        <w:t xml:space="preserve"> </w:t>
      </w:r>
      <w:r>
        <w:rPr>
          <w:b/>
          <w:bCs/>
        </w:rPr>
        <w:t xml:space="preserve">eight additional matters</w:t>
      </w:r>
      <w:r>
        <w:t xml:space="preserve"> </w:t>
      </w:r>
      <w:r>
        <w:t xml:space="preserve">involving one or both firms were omitted:</w:t>
      </w:r>
    </w:p>
    <w:p>
      <w:pPr>
        <w:pStyle w:val="BodyText"/>
      </w:pPr>
      <w:r>
        <w:rPr>
          <w:i/>
          <w:iCs/>
        </w:rPr>
        <w:t xml:space="preserve">Completed matters omitted from the Disclosure (each involving B&amp;T and/or FM):</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Case (AAA No.)</w:t>
            </w:r>
          </w:p>
        </w:tc>
        <w:tc>
          <w:tcPr/>
          <w:p>
            <w:pPr>
              <w:pStyle w:val="Compact"/>
              <w:jc w:val="left"/>
            </w:pPr>
            <w:r>
              <w:t xml:space="preserve">Year</w:t>
            </w:r>
          </w:p>
        </w:tc>
        <w:tc>
          <w:tcPr/>
          <w:p>
            <w:pPr>
              <w:pStyle w:val="Compact"/>
              <w:jc w:val="left"/>
            </w:pPr>
            <w:r>
              <w:t xml:space="preserve">Counsel firm(s) / role</w:t>
            </w:r>
          </w:p>
        </w:tc>
        <w:tc>
          <w:tcPr/>
          <w:p>
            <w:pPr>
              <w:pStyle w:val="Compact"/>
              <w:jc w:val="left"/>
            </w:pPr>
            <w:r>
              <w:t xml:space="preserve">Firm’s client result</w:t>
            </w:r>
          </w:p>
        </w:tc>
        <w:tc>
          <w:tcPr/>
          <w:p>
            <w:pPr>
              <w:pStyle w:val="Compact"/>
              <w:jc w:val="left"/>
            </w:pPr>
            <w:r>
              <w:t xml:space="preserve">Est. fees</w:t>
            </w:r>
          </w:p>
        </w:tc>
      </w:tr>
      <w:tr>
        <w:tc>
          <w:tcPr/>
          <w:p>
            <w:pPr>
              <w:pStyle w:val="Compact"/>
              <w:jc w:val="left"/>
            </w:pPr>
            <w:r>
              <w:rPr>
                <w:i/>
                <w:iCs/>
              </w:rPr>
              <w:t xml:space="preserve">Crestfield Energy v. Loran Industrial</w:t>
            </w:r>
            <w:r>
              <w:t xml:space="preserve"> </w:t>
            </w:r>
            <w:r>
              <w:t xml:space="preserve">(01-22-0002015)</w:t>
            </w:r>
          </w:p>
        </w:tc>
        <w:tc>
          <w:tcPr/>
          <w:p>
            <w:pPr>
              <w:pStyle w:val="Compact"/>
              <w:jc w:val="left"/>
            </w:pPr>
            <w:r>
              <w:t xml:space="preserve">2022</w:t>
            </w:r>
          </w:p>
        </w:tc>
        <w:tc>
          <w:tcPr/>
          <w:p>
            <w:pPr>
              <w:pStyle w:val="Compact"/>
              <w:jc w:val="left"/>
            </w:pPr>
            <w:r>
              <w:t xml:space="preserve">B&amp;T (claimant)</w:t>
            </w:r>
          </w:p>
        </w:tc>
        <w:tc>
          <w:tcPr/>
          <w:p>
            <w:pPr>
              <w:pStyle w:val="Compact"/>
              <w:jc w:val="left"/>
            </w:pPr>
            <w:r>
              <w:t xml:space="preserve">Prevailed</w:t>
            </w:r>
          </w:p>
        </w:tc>
        <w:tc>
          <w:tcPr/>
          <w:p>
            <w:pPr>
              <w:pStyle w:val="Compact"/>
              <w:jc w:val="left"/>
            </w:pPr>
            <w:r>
              <w:t xml:space="preserve">$110,000</w:t>
            </w:r>
          </w:p>
        </w:tc>
      </w:tr>
      <w:tr>
        <w:tc>
          <w:tcPr/>
          <w:p>
            <w:pPr>
              <w:pStyle w:val="Compact"/>
              <w:jc w:val="left"/>
            </w:pPr>
            <w:r>
              <w:rPr>
                <w:i/>
                <w:iCs/>
              </w:rPr>
              <w:t xml:space="preserve">Ashford Medical Devices v. Greenway Therapeutics</w:t>
            </w:r>
            <w:r>
              <w:t xml:space="preserve"> </w:t>
            </w:r>
            <w:r>
              <w:t xml:space="preserve">(01-22-0002089)</w:t>
            </w:r>
          </w:p>
        </w:tc>
        <w:tc>
          <w:tcPr/>
          <w:p>
            <w:pPr>
              <w:pStyle w:val="Compact"/>
              <w:jc w:val="left"/>
            </w:pPr>
            <w:r>
              <w:t xml:space="preserve">2022</w:t>
            </w:r>
          </w:p>
        </w:tc>
        <w:tc>
          <w:tcPr/>
          <w:p>
            <w:pPr>
              <w:pStyle w:val="Compact"/>
              <w:jc w:val="left"/>
            </w:pPr>
            <w:r>
              <w:t xml:space="preserve">B&amp;T (respondent)</w:t>
            </w:r>
          </w:p>
        </w:tc>
        <w:tc>
          <w:tcPr/>
          <w:p>
            <w:pPr>
              <w:pStyle w:val="Compact"/>
              <w:jc w:val="left"/>
            </w:pPr>
            <w:r>
              <w:t xml:space="preserve">Prevailed</w:t>
            </w:r>
          </w:p>
        </w:tc>
        <w:tc>
          <w:tcPr/>
          <w:p>
            <w:pPr>
              <w:pStyle w:val="Compact"/>
              <w:jc w:val="left"/>
            </w:pPr>
            <w:r>
              <w:t xml:space="preserve">$92,000</w:t>
            </w:r>
          </w:p>
        </w:tc>
      </w:tr>
      <w:tr>
        <w:tc>
          <w:tcPr/>
          <w:p>
            <w:pPr>
              <w:pStyle w:val="Compact"/>
              <w:jc w:val="left"/>
            </w:pPr>
            <w:r>
              <w:rPr>
                <w:i/>
                <w:iCs/>
              </w:rPr>
              <w:t xml:space="preserve">Westbrook Partners v. Arcadian Ventures</w:t>
            </w:r>
            <w:r>
              <w:t xml:space="preserve"> </w:t>
            </w:r>
            <w:r>
              <w:t xml:space="preserve">(01-22-0002134)</w:t>
            </w:r>
          </w:p>
        </w:tc>
        <w:tc>
          <w:tcPr/>
          <w:p>
            <w:pPr>
              <w:pStyle w:val="Compact"/>
              <w:jc w:val="left"/>
            </w:pPr>
            <w:r>
              <w:t xml:space="preserve">2022</w:t>
            </w:r>
          </w:p>
        </w:tc>
        <w:tc>
          <w:tcPr/>
          <w:p>
            <w:pPr>
              <w:pStyle w:val="Compact"/>
              <w:jc w:val="left"/>
            </w:pPr>
            <w:r>
              <w:t xml:space="preserve">FM (claimant) + B&amp;T (respondent)</w:t>
            </w:r>
          </w:p>
        </w:tc>
        <w:tc>
          <w:tcPr/>
          <w:p>
            <w:pPr>
              <w:pStyle w:val="Compact"/>
              <w:jc w:val="left"/>
            </w:pPr>
            <w:r>
              <w:t xml:space="preserve">B&amp;T prevailed; FM did not</w:t>
            </w:r>
          </w:p>
        </w:tc>
        <w:tc>
          <w:tcPr/>
          <w:p>
            <w:pPr>
              <w:pStyle w:val="Compact"/>
              <w:jc w:val="left"/>
            </w:pPr>
            <w:r>
              <w:t xml:space="preserve">$130,000</w:t>
            </w:r>
          </w:p>
        </w:tc>
      </w:tr>
      <w:tr>
        <w:tc>
          <w:tcPr/>
          <w:p>
            <w:pPr>
              <w:pStyle w:val="Compact"/>
              <w:jc w:val="left"/>
            </w:pPr>
            <w:r>
              <w:rPr>
                <w:i/>
                <w:iCs/>
              </w:rPr>
              <w:t xml:space="preserve">Trident Coatings v. Bayshore Chemical</w:t>
            </w:r>
            <w:r>
              <w:t xml:space="preserve"> </w:t>
            </w:r>
            <w:r>
              <w:t xml:space="preserve">(01-23-0002445)</w:t>
            </w:r>
          </w:p>
        </w:tc>
        <w:tc>
          <w:tcPr/>
          <w:p>
            <w:pPr>
              <w:pStyle w:val="Compact"/>
              <w:jc w:val="left"/>
            </w:pPr>
            <w:r>
              <w:t xml:space="preserve">2023</w:t>
            </w:r>
          </w:p>
        </w:tc>
        <w:tc>
          <w:tcPr/>
          <w:p>
            <w:pPr>
              <w:pStyle w:val="Compact"/>
              <w:jc w:val="left"/>
            </w:pPr>
            <w:r>
              <w:t xml:space="preserve">B&amp;T (claimant)</w:t>
            </w:r>
          </w:p>
        </w:tc>
        <w:tc>
          <w:tcPr/>
          <w:p>
            <w:pPr>
              <w:pStyle w:val="Compact"/>
              <w:jc w:val="left"/>
            </w:pPr>
            <w:r>
              <w:t xml:space="preserve">Did not prevail</w:t>
            </w:r>
          </w:p>
        </w:tc>
        <w:tc>
          <w:tcPr/>
          <w:p>
            <w:pPr>
              <w:pStyle w:val="Compact"/>
              <w:jc w:val="left"/>
            </w:pPr>
            <w:r>
              <w:t xml:space="preserve">$105,000</w:t>
            </w:r>
          </w:p>
        </w:tc>
      </w:tr>
      <w:tr>
        <w:tc>
          <w:tcPr/>
          <w:p>
            <w:pPr>
              <w:pStyle w:val="Compact"/>
              <w:jc w:val="left"/>
            </w:pPr>
            <w:r>
              <w:rPr>
                <w:i/>
                <w:iCs/>
              </w:rPr>
              <w:t xml:space="preserve">Redstone Logistics v. Fairfield Transport</w:t>
            </w:r>
            <w:r>
              <w:t xml:space="preserve"> </w:t>
            </w:r>
            <w:r>
              <w:t xml:space="preserve">(01-23-0002578)</w:t>
            </w:r>
          </w:p>
        </w:tc>
        <w:tc>
          <w:tcPr/>
          <w:p>
            <w:pPr>
              <w:pStyle w:val="Compact"/>
              <w:jc w:val="left"/>
            </w:pPr>
            <w:r>
              <w:t xml:space="preserve">2023</w:t>
            </w:r>
          </w:p>
        </w:tc>
        <w:tc>
          <w:tcPr/>
          <w:p>
            <w:pPr>
              <w:pStyle w:val="Compact"/>
              <w:jc w:val="left"/>
            </w:pPr>
            <w:r>
              <w:t xml:space="preserve">B&amp;T (respondent)</w:t>
            </w:r>
          </w:p>
        </w:tc>
        <w:tc>
          <w:tcPr/>
          <w:p>
            <w:pPr>
              <w:pStyle w:val="Compact"/>
              <w:jc w:val="left"/>
            </w:pPr>
            <w:r>
              <w:t xml:space="preserve">Prevailed</w:t>
            </w:r>
          </w:p>
        </w:tc>
        <w:tc>
          <w:tcPr/>
          <w:p>
            <w:pPr>
              <w:pStyle w:val="Compact"/>
              <w:jc w:val="left"/>
            </w:pPr>
            <w:r>
              <w:t xml:space="preserve">$118,000</w:t>
            </w:r>
          </w:p>
        </w:tc>
      </w:tr>
      <w:tr>
        <w:tc>
          <w:tcPr/>
          <w:p>
            <w:pPr>
              <w:pStyle w:val="Compact"/>
              <w:jc w:val="left"/>
            </w:pPr>
            <w:r>
              <w:rPr>
                <w:i/>
                <w:iCs/>
              </w:rPr>
              <w:t xml:space="preserve">Thornwall Systems v. Kessler Automation</w:t>
            </w:r>
            <w:r>
              <w:t xml:space="preserve"> </w:t>
            </w:r>
            <w:r>
              <w:t xml:space="preserve">(01-23-0002643)</w:t>
            </w:r>
          </w:p>
        </w:tc>
        <w:tc>
          <w:tcPr/>
          <w:p>
            <w:pPr>
              <w:pStyle w:val="Compact"/>
              <w:jc w:val="left"/>
            </w:pPr>
            <w:r>
              <w:t xml:space="preserve">2023</w:t>
            </w:r>
          </w:p>
        </w:tc>
        <w:tc>
          <w:tcPr/>
          <w:p>
            <w:pPr>
              <w:pStyle w:val="Compact"/>
              <w:jc w:val="left"/>
            </w:pPr>
            <w:r>
              <w:t xml:space="preserve">FM (respondent)</w:t>
            </w:r>
          </w:p>
        </w:tc>
        <w:tc>
          <w:tcPr/>
          <w:p>
            <w:pPr>
              <w:pStyle w:val="Compact"/>
              <w:jc w:val="left"/>
            </w:pPr>
            <w:r>
              <w:t xml:space="preserve">Did not prevail</w:t>
            </w:r>
          </w:p>
        </w:tc>
        <w:tc>
          <w:tcPr/>
          <w:p>
            <w:pPr>
              <w:pStyle w:val="Compact"/>
              <w:jc w:val="left"/>
            </w:pPr>
            <w:r>
              <w:t xml:space="preserve">$82,000</w:t>
            </w:r>
          </w:p>
        </w:tc>
      </w:tr>
      <w:tr>
        <w:tc>
          <w:tcPr/>
          <w:p>
            <w:pPr>
              <w:pStyle w:val="Compact"/>
              <w:jc w:val="left"/>
            </w:pPr>
            <w:r>
              <w:rPr>
                <w:i/>
                <w:iCs/>
              </w:rPr>
              <w:t xml:space="preserve">Warwick Technologies v. Cypress Digital</w:t>
            </w:r>
            <w:r>
              <w:t xml:space="preserve"> </w:t>
            </w:r>
            <w:r>
              <w:t xml:space="preserve">(01-23-0002789)</w:t>
            </w:r>
          </w:p>
        </w:tc>
        <w:tc>
          <w:tcPr/>
          <w:p>
            <w:pPr>
              <w:pStyle w:val="Compact"/>
              <w:jc w:val="left"/>
            </w:pPr>
            <w:r>
              <w:t xml:space="preserve">2023</w:t>
            </w:r>
          </w:p>
        </w:tc>
        <w:tc>
          <w:tcPr/>
          <w:p>
            <w:pPr>
              <w:pStyle w:val="Compact"/>
              <w:jc w:val="left"/>
            </w:pPr>
            <w:r>
              <w:t xml:space="preserve">B&amp;T (claimant)</w:t>
            </w:r>
          </w:p>
        </w:tc>
        <w:tc>
          <w:tcPr/>
          <w:p>
            <w:pPr>
              <w:pStyle w:val="Compact"/>
              <w:jc w:val="left"/>
            </w:pPr>
            <w:r>
              <w:t xml:space="preserve">Prevailed</w:t>
            </w:r>
          </w:p>
        </w:tc>
        <w:tc>
          <w:tcPr/>
          <w:p>
            <w:pPr>
              <w:pStyle w:val="Compact"/>
              <w:jc w:val="left"/>
            </w:pPr>
            <w:r>
              <w:t xml:space="preserve">$97,000</w:t>
            </w:r>
          </w:p>
        </w:tc>
      </w:tr>
    </w:tbl>
    <w:p>
      <w:pPr>
        <w:pStyle w:val="BodyText"/>
      </w:pPr>
      <w:r>
        <w:rPr>
          <w:i/>
          <w:iCs/>
        </w:rPr>
        <w:t xml:space="preserve">Pending matter omitted from the Disclosure: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Case (AAA No.)</w:t>
            </w:r>
          </w:p>
        </w:tc>
        <w:tc>
          <w:tcPr/>
          <w:p>
            <w:pPr>
              <w:pStyle w:val="Compact"/>
              <w:jc w:val="left"/>
            </w:pPr>
            <w:r>
              <w:t xml:space="preserve">Appointed</w:t>
            </w:r>
          </w:p>
        </w:tc>
        <w:tc>
          <w:tcPr/>
          <w:p>
            <w:pPr>
              <w:pStyle w:val="Compact"/>
              <w:jc w:val="left"/>
            </w:pPr>
            <w:r>
              <w:t xml:space="preserve">Counsel firm / role</w:t>
            </w:r>
          </w:p>
        </w:tc>
        <w:tc>
          <w:tcPr/>
          <w:p>
            <w:pPr>
              <w:pStyle w:val="Compact"/>
              <w:jc w:val="left"/>
            </w:pPr>
            <w:r>
              <w:t xml:space="preserve">Status</w:t>
            </w:r>
          </w:p>
        </w:tc>
        <w:tc>
          <w:tcPr/>
          <w:p>
            <w:pPr>
              <w:pStyle w:val="Compact"/>
              <w:jc w:val="left"/>
            </w:pPr>
            <w:r>
              <w:t xml:space="preserve">Est. remaining fees</w:t>
            </w:r>
          </w:p>
        </w:tc>
      </w:tr>
      <w:tr>
        <w:tc>
          <w:tcPr/>
          <w:p>
            <w:pPr>
              <w:pStyle w:val="Compact"/>
              <w:jc w:val="left"/>
            </w:pPr>
            <w:r>
              <w:rPr>
                <w:i/>
                <w:iCs/>
              </w:rPr>
              <w:t xml:space="preserve">Halcyon Biotech v. Stonewall Partners</w:t>
            </w:r>
            <w:r>
              <w:t xml:space="preserve"> </w:t>
            </w:r>
            <w:r>
              <w:t xml:space="preserve">(01-24-0003105)</w:t>
            </w:r>
          </w:p>
        </w:tc>
        <w:tc>
          <w:tcPr/>
          <w:p>
            <w:pPr>
              <w:pStyle w:val="Compact"/>
              <w:jc w:val="left"/>
            </w:pPr>
            <w:r>
              <w:t xml:space="preserve">Apr. 22, 2024</w:t>
            </w:r>
          </w:p>
        </w:tc>
        <w:tc>
          <w:tcPr/>
          <w:p>
            <w:pPr>
              <w:pStyle w:val="Compact"/>
              <w:jc w:val="left"/>
            </w:pPr>
            <w:r>
              <w:t xml:space="preserve">B&amp;T</w:t>
            </w:r>
          </w:p>
        </w:tc>
        <w:tc>
          <w:tcPr/>
          <w:p>
            <w:pPr>
              <w:pStyle w:val="Compact"/>
              <w:jc w:val="left"/>
            </w:pPr>
            <w:r>
              <w:t xml:space="preserve">Pre-hearing</w:t>
            </w:r>
          </w:p>
        </w:tc>
        <w:tc>
          <w:tcPr/>
          <w:p>
            <w:pPr>
              <w:pStyle w:val="Compact"/>
              <w:jc w:val="left"/>
            </w:pPr>
            <w:r>
              <w:t xml:space="preserve">$175,000</w:t>
            </w:r>
          </w:p>
        </w:tc>
      </w:tr>
    </w:tbl>
    <w:p>
      <w:pPr>
        <w:pStyle w:val="BodyText"/>
      </w:pPr>
      <w:r>
        <w:rPr>
          <w:b/>
          <w:bCs/>
        </w:rPr>
        <w:t xml:space="preserve">Treatment in the Disclosure.</w:t>
      </w:r>
      <w:r>
        <w:t xml:space="preserve"> </w:t>
      </w:r>
      <w:r>
        <w:t xml:space="preserve">Section III lists seven matters and states:</w:t>
      </w:r>
      <w:r>
        <w:t xml:space="preserve"> </w:t>
      </w:r>
      <w:r>
        <w:t xml:space="preserve">“</w:t>
      </w:r>
      <w:r>
        <w:t xml:space="preserve">To the best of my recollection, the foregoing represents a complete list of arbitrations in which I have served alongside counsel from either Barrow &amp; Thistlewood LLP or Fielding Marsh &amp; Collier LLP.</w:t>
      </w:r>
      <w:r>
        <w:t xml:space="preserve">”</w:t>
      </w:r>
      <w:r>
        <w:t xml:space="preserve"> </w:t>
      </w:r>
      <w:r>
        <w:t xml:space="preserve">Section X reiterates that</w:t>
      </w:r>
      <w:r>
        <w:t xml:space="preserve"> </w:t>
      </w:r>
      <w:r>
        <w:t xml:space="preserve">“</w:t>
      </w:r>
      <w:r>
        <w:t xml:space="preserve">the foregoing represents all circumstances known to me.</w:t>
      </w:r>
      <w:r>
        <w:t xml:space="preserve">”</w:t>
      </w:r>
      <w:r>
        <w:t xml:space="preserve"> </w:t>
      </w:r>
      <w:r>
        <w:t xml:space="preserve">The omitted matters contradict this certification.</w:t>
      </w:r>
    </w:p>
    <w:p>
      <w:pPr>
        <w:pStyle w:val="BodyText"/>
      </w:pPr>
      <w:r>
        <w:rPr>
          <w:b/>
          <w:bCs/>
        </w:rPr>
        <w:t xml:space="preserve">Analysis.</w:t>
      </w:r>
      <w:r>
        <w:t xml:space="preserve"> </w:t>
      </w:r>
      <w:r>
        <w:t xml:space="preserve">Rule R-17(a)(iii) requires disclosure of</w:t>
      </w:r>
      <w:r>
        <w:t xml:space="preserve"> </w:t>
      </w:r>
      <w:r>
        <w:t xml:space="preserve">“</w:t>
      </w:r>
      <w:r>
        <w:t xml:space="preserve">any prior or pending cases in which the arbitrator has been or is involved … with any party to the arbitration, its counsel, or representatives,</w:t>
      </w:r>
      <w:r>
        <w:t xml:space="preserve">”</w:t>
      </w:r>
      <w:r>
        <w:t xml:space="preserve"> </w:t>
      </w:r>
      <w:r>
        <w:t xml:space="preserve">in any capacity, before the AAA or any other institution. The duty is unqualified as to volume. The omission is significant in both number and economics. Of the arbitrator’s estimated $1,020,000 in completed fees from Barrow &amp; Thistlewood matters over the past 36 months, approximately $652,000 (roughly 64%) came from the</w:t>
      </w:r>
      <w:r>
        <w:t xml:space="preserve"> </w:t>
      </w:r>
      <w:r>
        <w:rPr>
          <w:i/>
          <w:iCs/>
        </w:rPr>
        <w:t xml:space="preserve">undisclosed</w:t>
      </w:r>
      <w:r>
        <w:t xml:space="preserve"> </w:t>
      </w:r>
      <w:r>
        <w:t xml:space="preserve">matters, while only about $368,000 (36%) came from the disclosed ones. Of the estimated $410,000 in completed fees from Fielding Marsh matters, approximately $212,000 (roughly 52%) came from undisclosed matters. In other words, the arbitrator disclosed the smaller portion of her appointment history with the parties’ counsel and omitted the larger portion. The omission of the pending</w:t>
      </w:r>
      <w:r>
        <w:t xml:space="preserve"> </w:t>
      </w:r>
      <w:r>
        <w:rPr>
          <w:i/>
          <w:iCs/>
        </w:rPr>
        <w:t xml:space="preserve">Halcyon Biotech</w:t>
      </w:r>
      <w:r>
        <w:t xml:space="preserve"> </w:t>
      </w:r>
      <w:r>
        <w:t xml:space="preserve">matter is especially notable because it means the arbitrator is currently simultaneously engaged in</w:t>
      </w:r>
      <w:r>
        <w:t xml:space="preserve"> </w:t>
      </w:r>
      <w:r>
        <w:rPr>
          <w:i/>
          <w:iCs/>
        </w:rPr>
        <w:t xml:space="preserve">three</w:t>
      </w:r>
      <w:r>
        <w:t xml:space="preserve"> </w:t>
      </w:r>
      <w:r>
        <w:t xml:space="preserve">pending matters with Barrow &amp; Thistlewood (this case,</w:t>
      </w:r>
      <w:r>
        <w:t xml:space="preserve"> </w:t>
      </w:r>
      <w:r>
        <w:rPr>
          <w:i/>
          <w:iCs/>
        </w:rPr>
        <w:t xml:space="preserve">Orion Fabrication</w:t>
      </w:r>
      <w:r>
        <w:t xml:space="preserve">, and</w:t>
      </w:r>
      <w:r>
        <w:t xml:space="preserve"> </w:t>
      </w:r>
      <w:r>
        <w:rPr>
          <w:i/>
          <w:iCs/>
        </w:rPr>
        <w:t xml:space="preserve">Halcyon Biotech</w:t>
      </w:r>
      <w:r>
        <w:t xml:space="preserve">), yet disclosed only two.</w:t>
      </w:r>
    </w:p>
    <w:p>
      <w:pPr>
        <w:pStyle w:val="BodyText"/>
      </w:pPr>
      <w:r>
        <w:rPr>
          <w:b/>
          <w:bCs/>
        </w:rPr>
        <w:t xml:space="preserve">Assessment: Strong (as to the omission).</w:t>
      </w:r>
      <w:r>
        <w:t xml:space="preserve"> </w:t>
      </w:r>
      <w:r>
        <w:t xml:space="preserve">This is a clear Rule R-17(a)(iii) violation compounded by a false certification of completeness. The omission is directionally neutral (it understates engagement with both firms), but it independently supports a challenge and, if uncorrected, an evident-partiality/vacatur argument grounded in nondisclosure. The</w:t>
      </w:r>
      <w:r>
        <w:t xml:space="preserve"> </w:t>
      </w:r>
      <w:r>
        <w:t xml:space="preserve">“</w:t>
      </w:r>
      <w:r>
        <w:t xml:space="preserve">best of my recollection</w:t>
      </w:r>
      <w:r>
        <w:t xml:space="preserve">”</w:t>
      </w:r>
      <w:r>
        <w:t xml:space="preserve"> </w:t>
      </w:r>
      <w:r>
        <w:t xml:space="preserve">qualifier does not cure the deficiency: Rule R-17 imposes a duty of diligent inquiry, and the arbitrator’s own AAA case records would reveal these appointments.</w:t>
      </w:r>
    </w:p>
    <w:bookmarkEnd w:id="28"/>
    <w:bookmarkStart w:id="29" w:name="X1990b60e23e2b10dc2ca2e254633d3a87315b09"/>
    <w:p>
      <w:pPr>
        <w:pStyle w:val="Heading3"/>
      </w:pPr>
      <w:r>
        <w:t xml:space="preserve">F. Economic concentration and outcome asymmetry (repeat-player effect)</w:t>
      </w:r>
    </w:p>
    <w:p>
      <w:pPr>
        <w:pStyle w:val="FirstParagraph"/>
      </w:pPr>
      <w:r>
        <w:rPr>
          <w:b/>
          <w:bCs/>
        </w:rPr>
        <w:t xml:space="preserve">Facts.</w:t>
      </w:r>
      <w:r>
        <w:t xml:space="preserve"> </w:t>
      </w:r>
      <w:r>
        <w:t xml:space="preserve">The Appointment Data (Fee Summary) and the Profiles Memo (§ III.5) show that, over the past 36 months:</w:t>
      </w:r>
    </w:p>
    <w:p>
      <w:pPr>
        <w:pStyle w:val="Compact"/>
        <w:numPr>
          <w:ilvl w:val="0"/>
          <w:numId w:val="1002"/>
        </w:numPr>
      </w:pPr>
      <w:r>
        <w:rPr>
          <w:b/>
          <w:bCs/>
        </w:rPr>
        <w:t xml:space="preserve">Barrow &amp; Thistlewood LLP</w:t>
      </w:r>
      <w:r>
        <w:t xml:space="preserve"> </w:t>
      </w:r>
      <w:r>
        <w:t xml:space="preserve">appeared in 9 of the arbitrator’s 20 completed matters (45%), generating an estimated $1,020,000 in fees — approximately</w:t>
      </w:r>
      <w:r>
        <w:t xml:space="preserve"> </w:t>
      </w:r>
      <w:r>
        <w:rPr>
          <w:b/>
          <w:bCs/>
        </w:rPr>
        <w:t xml:space="preserve">48.0%</w:t>
      </w:r>
      <w:r>
        <w:t xml:space="preserve"> </w:t>
      </w:r>
      <w:r>
        <w:t xml:space="preserve">of the arbitrator’s total estimated arbitration income of $2,125,000. The Barrow &amp; Thistlewood client prevailed in 7 of 9 matters (a</w:t>
      </w:r>
      <w:r>
        <w:t xml:space="preserve"> </w:t>
      </w:r>
      <w:r>
        <w:rPr>
          <w:b/>
          <w:bCs/>
        </w:rPr>
        <w:t xml:space="preserve">77.8%</w:t>
      </w:r>
      <w:r>
        <w:t xml:space="preserve"> </w:t>
      </w:r>
      <w:r>
        <w:t xml:space="preserve">win rate).</w:t>
      </w:r>
    </w:p>
    <w:p>
      <w:pPr>
        <w:pStyle w:val="Compact"/>
        <w:numPr>
          <w:ilvl w:val="0"/>
          <w:numId w:val="1002"/>
        </w:numPr>
      </w:pPr>
      <w:r>
        <w:rPr>
          <w:b/>
          <w:bCs/>
        </w:rPr>
        <w:t xml:space="preserve">Fielding Marsh &amp; Collier LLP</w:t>
      </w:r>
      <w:r>
        <w:t xml:space="preserve"> </w:t>
      </w:r>
      <w:r>
        <w:t xml:space="preserve">appeared in 5 of 20 completed matters (25%), generating an estimated $410,000 (approximately</w:t>
      </w:r>
      <w:r>
        <w:t xml:space="preserve"> </w:t>
      </w:r>
      <w:r>
        <w:rPr>
          <w:b/>
          <w:bCs/>
        </w:rPr>
        <w:t xml:space="preserve">19.3%</w:t>
      </w:r>
      <w:r>
        <w:t xml:space="preserve"> </w:t>
      </w:r>
      <w:r>
        <w:t xml:space="preserve">of total income). The Fielding Marsh client prevailed in 1 of 4 adjudicated matters (a</w:t>
      </w:r>
      <w:r>
        <w:t xml:space="preserve"> </w:t>
      </w:r>
      <w:r>
        <w:rPr>
          <w:b/>
          <w:bCs/>
        </w:rPr>
        <w:t xml:space="preserve">25.0%</w:t>
      </w:r>
      <w:r>
        <w:t xml:space="preserve"> </w:t>
      </w:r>
      <w:r>
        <w:t xml:space="preserve">win rate), with one matter settling.</w:t>
      </w:r>
    </w:p>
    <w:p>
      <w:pPr>
        <w:pStyle w:val="FirstParagraph"/>
      </w:pPr>
      <w:r>
        <w:t xml:space="preserve">The Respondent (Whitmore) ranked the arbitrator as its first choice in the selection process; the Claimant (Cascade) ranked her third.</w:t>
      </w:r>
    </w:p>
    <w:p>
      <w:pPr>
        <w:pStyle w:val="BodyText"/>
      </w:pPr>
      <w:r>
        <w:rPr>
          <w:b/>
          <w:bCs/>
        </w:rPr>
        <w:t xml:space="preserve">Treatment in the Disclosure.</w:t>
      </w:r>
      <w:r>
        <w:t xml:space="preserve"> </w:t>
      </w:r>
      <w:r>
        <w:t xml:space="preserve">The Disclosure discloses the</w:t>
      </w:r>
      <w:r>
        <w:t xml:space="preserve"> </w:t>
      </w:r>
      <w:r>
        <w:rPr>
          <w:i/>
          <w:iCs/>
        </w:rPr>
        <w:t xml:space="preserve">existence</w:t>
      </w:r>
      <w:r>
        <w:t xml:space="preserve"> </w:t>
      </w:r>
      <w:r>
        <w:t xml:space="preserve">of repeat appointments with both firms (in part — see Part V.E) but does not disclose the income concentration, the win-rate asymmetry, or the majority of the appointments.</w:t>
      </w:r>
    </w:p>
    <w:p>
      <w:pPr>
        <w:pStyle w:val="BodyText"/>
      </w:pPr>
      <w:r>
        <w:rPr>
          <w:b/>
          <w:bCs/>
        </w:rPr>
        <w:t xml:space="preserve">Analysis.</w:t>
      </w:r>
      <w:r>
        <w:t xml:space="preserve"> </w:t>
      </w:r>
      <w:r>
        <w:t xml:space="preserve">Outcome statistics alone rarely support disqualification, and we do not rest the challenge on them. But three points matter. First, the IBA Waivable Red List treats more than three appointments from the same law firm within three years, coupled with a substantial financial contribution, as a circumstance requiring specific disclosure and informed waiver. With nine Barrow &amp; Thistlewood appointments in three years and that firm furnishing nearly half of the arbitrator’s income, this circumstance is squarely presented and was not specifically disclosed. Second, the economic dependency creates a structural incentive: an arbitrator whose livelihood depends heavily on repeat business from one firm has an interest, conscious or unconscious, in preserving that relationship. Third, the win-rate asymmetry (77.8% versus 25.0%) and the Respondent’s first-choice ranking, while not conclusive, reinforce the appearance concern when viewed alongside the undisclosed Whitmore-trustee, CLE, and Fund II connections — all of which point in the same direction (toward the Respondent).</w:t>
      </w:r>
    </w:p>
    <w:p>
      <w:pPr>
        <w:pStyle w:val="BodyText"/>
      </w:pPr>
      <w:r>
        <w:rPr>
          <w:b/>
          <w:bCs/>
        </w:rPr>
        <w:t xml:space="preserve">Assessment: Moderate standalone; Strong as an aggravator.</w:t>
      </w:r>
      <w:r>
        <w:t xml:space="preserve"> </w:t>
      </w:r>
      <w:r>
        <w:t xml:space="preserve">This ground does not stand alone but materially strengthens the cumulative case. It is most naturally available to the Claimant.</w:t>
      </w:r>
    </w:p>
    <w:bookmarkEnd w:id="29"/>
    <w:bookmarkStart w:id="30" w:name="X07946dd5ada48ee5631a82545a87d3826cb451a"/>
    <w:p>
      <w:pPr>
        <w:pStyle w:val="Heading3"/>
      </w:pPr>
      <w:r>
        <w:t xml:space="preserve">G. Lakeview Dispute Resolution Center affiliation — incomplete disclosure</w:t>
      </w:r>
    </w:p>
    <w:p>
      <w:pPr>
        <w:pStyle w:val="FirstParagraph"/>
      </w:pPr>
      <w:r>
        <w:rPr>
          <w:b/>
          <w:bCs/>
        </w:rPr>
        <w:t xml:space="preserve">Facts.</w:t>
      </w:r>
      <w:r>
        <w:t xml:space="preserve"> </w:t>
      </w:r>
      <w:r>
        <w:t xml:space="preserve">The arbitrator is affiliated with Lakeview as a neutral (Disclosure § VII; Profiles Memo § 4.1). Lakeview receives case referrals from both Barrow &amp; Thistlewood and Fielding Marsh &amp; Collier. Lakeview hosted the October 14, 2023 CLE at which the arbitrator and Mr. Hargrave co-presented (Part V.C). The public record does not reveal the financial structure of the affiliation — whether Lakeview takes a percentage of the arbitrator’s fees, whether its revenue model depends on maintaining referral relationships with the firms, or whether the arbitrator has an ownership or member interest.</w:t>
      </w:r>
    </w:p>
    <w:p>
      <w:pPr>
        <w:pStyle w:val="BodyText"/>
      </w:pPr>
      <w:r>
        <w:rPr>
          <w:b/>
          <w:bCs/>
        </w:rPr>
        <w:t xml:space="preserve">Treatment in the Disclosure.</w:t>
      </w:r>
      <w:r>
        <w:t xml:space="preserve"> </w:t>
      </w:r>
      <w:r>
        <w:t xml:space="preserve">Section VII discloses the affiliation and the receipt of referrals from both firms, and asserts that the present matter was administered by the AAA (not Lakeview). It does not describe the financial terms or structural nature of the affiliation, and it does not mention the CLE.</w:t>
      </w:r>
    </w:p>
    <w:p>
      <w:pPr>
        <w:pStyle w:val="BodyText"/>
      </w:pPr>
      <w:r>
        <w:rPr>
          <w:b/>
          <w:bCs/>
        </w:rPr>
        <w:t xml:space="preserve">Analysis.</w:t>
      </w:r>
      <w:r>
        <w:t xml:space="preserve"> </w:t>
      </w:r>
      <w:r>
        <w:t xml:space="preserve">The affiliation was disclosed, so this is a completeness issue rather than a total omission. The deficiency is the absence of financial detail that bears on whether the arbitrator has an indirect economic interest in maintaining referral flow from the parties’ counsel — a question Rule R-17(a)(ii) reaches. The point compounds the CLE co-panelist issue (same institution) and the referral-dependency concern.</w:t>
      </w:r>
    </w:p>
    <w:p>
      <w:pPr>
        <w:pStyle w:val="BodyText"/>
      </w:pPr>
      <w:r>
        <w:rPr>
          <w:b/>
          <w:bCs/>
        </w:rPr>
        <w:t xml:space="preserve">Assessment: Moderate (compounding).</w:t>
      </w:r>
      <w:r>
        <w:t xml:space="preserve"> </w:t>
      </w:r>
      <w:r>
        <w:t xml:space="preserve">Standing alone, weak; in combination with Parts V.C and V.F, it contributes to the overall appearance analysis.</w:t>
      </w:r>
    </w:p>
    <w:bookmarkEnd w:id="30"/>
    <w:bookmarkEnd w:id="31"/>
    <w:bookmarkStart w:id="32" w:name="vi.-cumulative-assessment"/>
    <w:p>
      <w:pPr>
        <w:pStyle w:val="Heading2"/>
      </w:pPr>
      <w:r>
        <w:t xml:space="preserve">VI. Cumulative Assessment</w:t>
      </w:r>
    </w:p>
    <w:p>
      <w:pPr>
        <w:pStyle w:val="FirstParagraph"/>
      </w:pPr>
      <w:r>
        <w:t xml:space="preserve">No single omitted fact (with the possible exception of Part V.A) may be individually dispositive. But the governing standard is not whether any one fact compels disqualification; it is whether the</w:t>
      </w:r>
      <w:r>
        <w:t xml:space="preserve"> </w:t>
      </w:r>
      <w:r>
        <w:rPr>
          <w:i/>
          <w:iCs/>
        </w:rPr>
        <w:t xml:space="preserve">circumstances</w:t>
      </w:r>
      <w:r>
        <w:t xml:space="preserve"> </w:t>
      </w:r>
      <w:r>
        <w:t xml:space="preserve">give rise to</w:t>
      </w:r>
      <w:r>
        <w:t xml:space="preserve"> </w:t>
      </w:r>
      <w:r>
        <w:t xml:space="preserve">“</w:t>
      </w:r>
      <w:r>
        <w:t xml:space="preserve">justifiable doubt</w:t>
      </w:r>
      <w:r>
        <w:t xml:space="preserve">”</w:t>
      </w:r>
      <w:r>
        <w:t xml:space="preserve"> </w:t>
      </w:r>
      <w:r>
        <w:t xml:space="preserve">— a standard the Rules instruct us to construe broadly and that</w:t>
      </w:r>
      <w:r>
        <w:t xml:space="preserve"> </w:t>
      </w:r>
      <w:r>
        <w:t xml:space="preserve">“</w:t>
      </w:r>
      <w:r>
        <w:t xml:space="preserve">encompass[es] all circumstances that a reasonable person would consider relevant.</w:t>
      </w:r>
      <w:r>
        <w:t xml:space="preserve">”</w:t>
      </w:r>
      <w:r>
        <w:t xml:space="preserve"> </w:t>
      </w:r>
      <w:r>
        <w:t xml:space="preserve">R-16. The cumulative picture here is compelling:</w:t>
      </w:r>
    </w:p>
    <w:p>
      <w:pPr>
        <w:numPr>
          <w:ilvl w:val="0"/>
          <w:numId w:val="1003"/>
        </w:numPr>
      </w:pPr>
      <w:r>
        <w:rPr>
          <w:b/>
          <w:bCs/>
        </w:rPr>
        <w:t xml:space="preserve">A direct misstatement.</w:t>
      </w:r>
      <w:r>
        <w:t xml:space="preserve"> </w:t>
      </w:r>
      <w:r>
        <w:t xml:space="preserve">The arbitrator affirmatively represented that her spouse has no professional relationship with any Cascade officer, when in fact he co-authored a paper with Cascade’s VP of R&amp;D — the Claimant’s lead expert — on the very technology in dispute. (Part V.A.)</w:t>
      </w:r>
    </w:p>
    <w:p>
      <w:pPr>
        <w:numPr>
          <w:ilvl w:val="0"/>
          <w:numId w:val="1003"/>
        </w:numPr>
      </w:pPr>
      <w:r>
        <w:rPr>
          <w:b/>
          <w:bCs/>
        </w:rPr>
        <w:t xml:space="preserve">Selective disclosure within a single section.</w:t>
      </w:r>
      <w:r>
        <w:t xml:space="preserve"> </w:t>
      </w:r>
      <w:r>
        <w:t xml:space="preserve">Having disclosed the advisory-board overlap with Ellen Wu, the arbitrator omitted that the Respondent’s principal sits on the governing board of the same organization. (Part V.B.)</w:t>
      </w:r>
    </w:p>
    <w:p>
      <w:pPr>
        <w:numPr>
          <w:ilvl w:val="0"/>
          <w:numId w:val="1003"/>
        </w:numPr>
      </w:pPr>
      <w:r>
        <w:rPr>
          <w:b/>
          <w:bCs/>
        </w:rPr>
        <w:t xml:space="preserve">An evasive financial disclosure.</w:t>
      </w:r>
      <w:r>
        <w:t xml:space="preserve"> </w:t>
      </w:r>
      <w:r>
        <w:t xml:space="preserve">The</w:t>
      </w:r>
      <w:r>
        <w:t xml:space="preserve"> </w:t>
      </w:r>
      <w:r>
        <w:t xml:space="preserve">“</w:t>
      </w:r>
      <w:r>
        <w:t xml:space="preserve">no direct equity positions</w:t>
      </w:r>
      <w:r>
        <w:t xml:space="preserve">”</w:t>
      </w:r>
      <w:r>
        <w:t xml:space="preserve"> </w:t>
      </w:r>
      <w:r>
        <w:t xml:space="preserve">formulation sidesteps the Rule’s express coverage of</w:t>
      </w:r>
      <w:r>
        <w:t xml:space="preserve"> </w:t>
      </w:r>
      <w:r>
        <w:rPr>
          <w:i/>
          <w:iCs/>
        </w:rPr>
        <w:t xml:space="preserve">indirect</w:t>
      </w:r>
      <w:r>
        <w:t xml:space="preserve"> </w:t>
      </w:r>
      <w:r>
        <w:t xml:space="preserve">interests, and the arbitrator concedes she did not investigate her pooled-vehicle holdings — the very place an indirect interest in a Respondent-affiliated fund would reside. (Part V.D.)</w:t>
      </w:r>
    </w:p>
    <w:p>
      <w:pPr>
        <w:numPr>
          <w:ilvl w:val="0"/>
          <w:numId w:val="1003"/>
        </w:numPr>
      </w:pPr>
      <w:r>
        <w:rPr>
          <w:b/>
          <w:bCs/>
        </w:rPr>
        <w:t xml:space="preserve">A false certification of completeness.</w:t>
      </w:r>
      <w:r>
        <w:t xml:space="preserve"> </w:t>
      </w:r>
      <w:r>
        <w:t xml:space="preserve">The arbitrator certified a</w:t>
      </w:r>
      <w:r>
        <w:t xml:space="preserve"> </w:t>
      </w:r>
      <w:r>
        <w:t xml:space="preserve">“</w:t>
      </w:r>
      <w:r>
        <w:t xml:space="preserve">complete list</w:t>
      </w:r>
      <w:r>
        <w:t xml:space="preserve">”</w:t>
      </w:r>
      <w:r>
        <w:t xml:space="preserve"> </w:t>
      </w:r>
      <w:r>
        <w:t xml:space="preserve">of counsel matters while omitting at least eight, including a pending matter that would have revealed three concurrent Barrow &amp; Thistlewood engagements. (Part V.E.)</w:t>
      </w:r>
    </w:p>
    <w:p>
      <w:pPr>
        <w:numPr>
          <w:ilvl w:val="0"/>
          <w:numId w:val="1003"/>
        </w:numPr>
      </w:pPr>
      <w:r>
        <w:rPr>
          <w:b/>
          <w:bCs/>
        </w:rPr>
        <w:t xml:space="preserve">Concentrated economic dependency.</w:t>
      </w:r>
      <w:r>
        <w:t xml:space="preserve"> </w:t>
      </w:r>
      <w:r>
        <w:t xml:space="preserve">Nearly half of the arbitrator’s recent income derives from one of the parties’ counsel, whose clients prevail before her at a markedly higher rate, and whose client here ranked her first. (Part V.F.)</w:t>
      </w:r>
    </w:p>
    <w:p>
      <w:pPr>
        <w:numPr>
          <w:ilvl w:val="0"/>
          <w:numId w:val="1003"/>
        </w:numPr>
      </w:pPr>
      <w:r>
        <w:rPr>
          <w:b/>
          <w:bCs/>
        </w:rPr>
        <w:t xml:space="preserve">An undisclosed recent professional collaboration with lead counsel on the central topic.</w:t>
      </w:r>
      <w:r>
        <w:t xml:space="preserve"> </w:t>
      </w:r>
      <w:r>
        <w:t xml:space="preserve">(Part V.C.)</w:t>
      </w:r>
    </w:p>
    <w:p>
      <w:pPr>
        <w:pStyle w:val="FirstParagraph"/>
      </w:pPr>
      <w:r>
        <w:t xml:space="preserve">Considered together, these circumstances would cause a reasonable, informed party to entertain justifiable doubt about the arbitrator’s impartiality and independence. They also satisfy the</w:t>
      </w:r>
      <w:r>
        <w:t xml:space="preserve"> </w:t>
      </w:r>
      <w:r>
        <w:t xml:space="preserve">“</w:t>
      </w:r>
      <w:r>
        <w:t xml:space="preserve">appearance</w:t>
      </w:r>
      <w:r>
        <w:t xml:space="preserve">”</w:t>
      </w:r>
      <w:r>
        <w:t xml:space="preserve"> </w:t>
      </w:r>
      <w:r>
        <w:t xml:space="preserve">dimension of the FAA evident-partiality standard articulated in</w:t>
      </w:r>
      <w:r>
        <w:t xml:space="preserve"> </w:t>
      </w:r>
      <w:r>
        <w:rPr>
          <w:i/>
          <w:iCs/>
        </w:rPr>
        <w:t xml:space="preserve">CommonWealth Coatings</w:t>
      </w:r>
      <w:r>
        <w:t xml:space="preserve"> </w:t>
      </w:r>
      <w:r>
        <w:t xml:space="preserve">and incorporated by Rule R-17(d). The fact that the undisclosed relationships point in</w:t>
      </w:r>
      <w:r>
        <w:t xml:space="preserve"> </w:t>
      </w:r>
      <w:r>
        <w:rPr>
          <w:i/>
          <w:iCs/>
        </w:rPr>
        <w:t xml:space="preserve">different</w:t>
      </w:r>
      <w:r>
        <w:t xml:space="preserve"> </w:t>
      </w:r>
      <w:r>
        <w:t xml:space="preserve">directions (Part V.A toward the Claimant; Parts V.B–V.F toward the Respondent) does not neutralize them — it means both parties have independent reasons to doubt the arbitrator’s neutrality, and it underscores that the Disclosure did not provide the complete picture the Rules require.</w:t>
      </w:r>
    </w:p>
    <w:bookmarkEnd w:id="32"/>
    <w:bookmarkStart w:id="33" w:name="X11e50ef2a4c63b5e71c6affe4a62e6d30331129"/>
    <w:p>
      <w:pPr>
        <w:pStyle w:val="Heading2"/>
      </w:pPr>
      <w:r>
        <w:t xml:space="preserve">VII. Procedural and Strategic Considerations</w:t>
      </w:r>
    </w:p>
    <w:p>
      <w:pPr>
        <w:pStyle w:val="FirstParagraph"/>
      </w:pPr>
      <w:r>
        <w:rPr>
          <w:b/>
          <w:bCs/>
        </w:rPr>
        <w:t xml:space="preserve">Deadline and waiver.</w:t>
      </w:r>
      <w:r>
        <w:t xml:space="preserve"> </w:t>
      </w:r>
      <w:r>
        <w:t xml:space="preserve">The seven-day challenge deadline (June 24, 2024) is firm. Rule R-18(f) deems a party to have waived grounds</w:t>
      </w:r>
      <w:r>
        <w:t xml:space="preserve"> </w:t>
      </w:r>
      <w:r>
        <w:t xml:space="preserve">“</w:t>
      </w:r>
      <w:r>
        <w:t xml:space="preserve">then known</w:t>
      </w:r>
      <w:r>
        <w:t xml:space="preserve">”</w:t>
      </w:r>
      <w:r>
        <w:t xml:space="preserve"> </w:t>
      </w:r>
      <w:r>
        <w:t xml:space="preserve">if no timely challenge is made, but preserves (i) grounds</w:t>
      </w:r>
      <w:r>
        <w:t xml:space="preserve"> </w:t>
      </w:r>
      <w:r>
        <w:t xml:space="preserve">“</w:t>
      </w:r>
      <w:r>
        <w:t xml:space="preserve">that were not and could not reasonably have been known</w:t>
      </w:r>
      <w:r>
        <w:t xml:space="preserve">”</w:t>
      </w:r>
      <w:r>
        <w:t xml:space="preserve"> </w:t>
      </w:r>
      <w:r>
        <w:t xml:space="preserve">and (ii) the right to raise</w:t>
      </w:r>
      <w:r>
        <w:t xml:space="preserve"> </w:t>
      </w:r>
      <w:r>
        <w:t xml:space="preserve">“</w:t>
      </w:r>
      <w:r>
        <w:t xml:space="preserve">evident partiality</w:t>
      </w:r>
      <w:r>
        <w:t xml:space="preserve">”</w:t>
      </w:r>
      <w:r>
        <w:t xml:space="preserve"> </w:t>
      </w:r>
      <w:r>
        <w:t xml:space="preserve">in a later confirmation/vacatur proceeding. The undisclosed facts were not in the Disclosure and were ascertainable only through independent research; a strong argument exists that they were not</w:t>
      </w:r>
      <w:r>
        <w:t xml:space="preserve"> </w:t>
      </w:r>
      <w:r>
        <w:t xml:space="preserve">“</w:t>
      </w:r>
      <w:r>
        <w:t xml:space="preserve">known</w:t>
      </w:r>
      <w:r>
        <w:t xml:space="preserve">”</w:t>
      </w:r>
      <w:r>
        <w:t xml:space="preserve"> </w:t>
      </w:r>
      <w:r>
        <w:t xml:space="preserve">and could not reasonably have been known before the Profiles Memo and Appointment Data were compiled (June 19–20, 2024). Nonetheless, the safest course is to file any challenge by June 24, 2024, to foreclose a waiver argument and to preserve all grounds.</w:t>
      </w:r>
    </w:p>
    <w:p>
      <w:pPr>
        <w:pStyle w:val="BodyText"/>
      </w:pPr>
      <w:r>
        <w:rPr>
          <w:b/>
          <w:bCs/>
        </w:rPr>
        <w:t xml:space="preserve">Supplemental disclosure.</w:t>
      </w:r>
      <w:r>
        <w:t xml:space="preserve"> </w:t>
      </w:r>
      <w:r>
        <w:t xml:space="preserve">Rule R-17(b) imposes a continuing duty, and Rule R-17(d) authorizes the AAA to</w:t>
      </w:r>
      <w:r>
        <w:t xml:space="preserve"> </w:t>
      </w:r>
      <w:r>
        <w:t xml:space="preserve">“</w:t>
      </w:r>
      <w:r>
        <w:t xml:space="preserve">bring any disclosure deficiency to the attention of the arbitrator and request supplemental disclosure before acting on any challenge.</w:t>
      </w:r>
      <w:r>
        <w:t xml:space="preserve">”</w:t>
      </w:r>
      <w:r>
        <w:t xml:space="preserve"> </w:t>
      </w:r>
      <w:r>
        <w:t xml:space="preserve">A written request for supplementation — directed to the arbitrator (with copies to the AAA and opposing counsel, per Rule R-20) and identifying each of the items in Part IV — is appropriate and may itself prompt withdrawal or a fuller record. A supplementation request does</w:t>
      </w:r>
      <w:r>
        <w:t xml:space="preserve"> </w:t>
      </w:r>
      <w:r>
        <w:rPr>
          <w:b/>
          <w:bCs/>
        </w:rPr>
        <w:t xml:space="preserve">not</w:t>
      </w:r>
      <w:r>
        <w:t xml:space="preserve"> </w:t>
      </w:r>
      <w:r>
        <w:t xml:space="preserve">toll the seven-day deadline; the challenge should be filed regardless.</w:t>
      </w:r>
    </w:p>
    <w:p>
      <w:pPr>
        <w:pStyle w:val="BodyText"/>
      </w:pPr>
      <w:r>
        <w:rPr>
          <w:b/>
          <w:bCs/>
        </w:rPr>
        <w:t xml:space="preserve">Which party raises which ground.</w:t>
      </w:r>
      <w:r>
        <w:t xml:space="preserve"> </w:t>
      </w:r>
      <w:r>
        <w:t xml:space="preserve">The grounds are not symmetrical:</w:t>
      </w:r>
    </w:p>
    <w:p>
      <w:pPr>
        <w:pStyle w:val="Compact"/>
        <w:numPr>
          <w:ilvl w:val="0"/>
          <w:numId w:val="1004"/>
        </w:numPr>
      </w:pPr>
      <w:r>
        <w:rPr>
          <w:b/>
          <w:bCs/>
        </w:rPr>
        <w:t xml:space="preserve">Grounds most naturally available to the Claimant (Cascade / Fielding Marsh):</w:t>
      </w:r>
      <w:r>
        <w:t xml:space="preserve"> </w:t>
      </w:r>
      <w:r>
        <w:t xml:space="preserve">Part V.B (Whitmore trustee), Part V.C (CLE with Hargrave), Part V.D (Fund II indirect interest), Part V.F (B&amp;T income concentration and win-rate asymmetry), and the Part V.E omissions insofar as they concern Barrow &amp; Thistlewood. These create an appearance of partiality toward the Respondent.</w:t>
      </w:r>
    </w:p>
    <w:p>
      <w:pPr>
        <w:pStyle w:val="Compact"/>
        <w:numPr>
          <w:ilvl w:val="0"/>
          <w:numId w:val="1004"/>
        </w:numPr>
      </w:pPr>
      <w:r>
        <w:rPr>
          <w:b/>
          <w:bCs/>
        </w:rPr>
        <w:t xml:space="preserve">Grounds most naturally available to the Respondent (Whitmore / Barrow &amp; Thistlewood):</w:t>
      </w:r>
      <w:r>
        <w:t xml:space="preserve"> </w:t>
      </w:r>
      <w:r>
        <w:t xml:space="preserve">Part V.A (spouse–Peshkov co-authorship), which creates an appearance of partiality toward the Claimant’s lead expert, and the Part V.E omissions insofar as they concern Fielding Marsh.</w:t>
      </w:r>
    </w:p>
    <w:p>
      <w:pPr>
        <w:pStyle w:val="Compact"/>
        <w:numPr>
          <w:ilvl w:val="0"/>
          <w:numId w:val="1004"/>
        </w:numPr>
      </w:pPr>
      <w:r>
        <w:rPr>
          <w:b/>
          <w:bCs/>
        </w:rPr>
        <w:t xml:space="preserve">Directionally neutral:</w:t>
      </w:r>
      <w:r>
        <w:t xml:space="preserve"> </w:t>
      </w:r>
      <w:r>
        <w:t xml:space="preserve">Part V.E (the completeness-certification failure) and Part V.G (Lakeview) are available to either party.</w:t>
      </w:r>
    </w:p>
    <w:p>
      <w:pPr>
        <w:pStyle w:val="FirstParagraph"/>
      </w:pPr>
      <w:r>
        <w:rPr>
          <w:b/>
          <w:bCs/>
        </w:rPr>
        <w:t xml:space="preserve">Strategic posture for the Respondent.</w:t>
      </w:r>
      <w:r>
        <w:t xml:space="preserve"> </w:t>
      </w:r>
      <w:r>
        <w:t xml:space="preserve">The Respondent ranked the arbitrator first and may be reluctant to challenge. That reluctance should be weighed against two risks. First, if the arbitrator issues an award</w:t>
      </w:r>
      <w:r>
        <w:t xml:space="preserve"> </w:t>
      </w:r>
      <w:r>
        <w:rPr>
          <w:i/>
          <w:iCs/>
        </w:rPr>
        <w:t xml:space="preserve">in favor of</w:t>
      </w:r>
      <w:r>
        <w:t xml:space="preserve"> </w:t>
      </w:r>
      <w:r>
        <w:t xml:space="preserve">the Respondent, the Claimant is well positioned to seek vacatur under FAA § 10(a)(2) on the basis of the undisclosed Whitmore-trustee, CLE, Fund II, and B&amp;T-income connections — connections the Respondent now knows about and that, if not surfaced now, may be held against the Respondent as having been known and not raised. Second, the spouse–Peshkov co-authorship (Part V.A) is a genuine, independent ground that favors the Respondent and that the Respondent is uniquely positioned to raise. A clean record — achieved by requesting supplementation and, if necessary, a measured challenge — protects any eventual award and the integrity of the proceeding.</w:t>
      </w:r>
    </w:p>
    <w:p>
      <w:pPr>
        <w:pStyle w:val="BodyText"/>
      </w:pPr>
      <w:r>
        <w:rPr>
          <w:b/>
          <w:bCs/>
        </w:rPr>
        <w:t xml:space="preserve">Voluntary withdrawal.</w:t>
      </w:r>
      <w:r>
        <w:t xml:space="preserve"> </w:t>
      </w:r>
      <w:r>
        <w:t xml:space="preserve">Given the cumulative effect, the arbitrator may conclude that voluntary withdrawal (Rule R-18(c)) is the cleanest resolution. A withdrawal does not imply acceptance of the challenge’s validity and would trigger replacement under Rule R-19. The parties should be prepared for that contingency, including the possibility that a replacement arbitrator repeats some prior proceedings.</w:t>
      </w:r>
    </w:p>
    <w:p>
      <w:pPr>
        <w:pStyle w:val="BodyText"/>
      </w:pPr>
      <w:r>
        <w:rPr>
          <w:b/>
          <w:bCs/>
        </w:rPr>
        <w:t xml:space="preserve">Post-award preservation.</w:t>
      </w:r>
      <w:r>
        <w:t xml:space="preserve"> </w:t>
      </w:r>
      <w:r>
        <w:t xml:space="preserve">Regardless of the AAA’s ruling on any challenge, the disclosure record should be preserved to support a motion to vacate under FAA § 10(a)(2) if an award is later issued and the undisclosed circumstances remain material. Rule R-18(e) expressly preserves that right.</w:t>
      </w:r>
    </w:p>
    <w:bookmarkEnd w:id="33"/>
    <w:bookmarkStart w:id="34" w:name="viii.-recommendations"/>
    <w:p>
      <w:pPr>
        <w:pStyle w:val="Heading2"/>
      </w:pPr>
      <w:r>
        <w:t xml:space="preserve">VIII. Recommendations</w:t>
      </w:r>
    </w:p>
    <w:p>
      <w:pPr>
        <w:numPr>
          <w:ilvl w:val="0"/>
          <w:numId w:val="1005"/>
        </w:numPr>
      </w:pPr>
      <w:r>
        <w:rPr>
          <w:b/>
          <w:bCs/>
        </w:rPr>
        <w:t xml:space="preserve">Immediately request a supplemental disclosure</w:t>
      </w:r>
      <w:r>
        <w:t xml:space="preserve"> </w:t>
      </w:r>
      <w:r>
        <w:t xml:space="preserve">from the arbitrator under Rule R-17(b) and (d), in writing, copied to the AAA and opposing counsel, identifying each of the seven items in Part IV and requesting that the arbitrator (a) confirm or deny the spouse–Peshkov co-authorship and any other collaboration with identified witnesses; (b) disclose any party principal’s or counsel’s service on the Minnesota ADR Ethics Institute Board of Trustees; (c) disclose the October 14, 2023 CLE and any other co-presentation with counsel; (d) confirm whether her managed accounts hold any interest in the Northbridge Select Alternatives Fund or any other vehicle with exposure to Whitmore Fund II LP, Whitmore Fund III LP, Cascade, or Volaris; (e) supplement the list of prior and pending matters involving the parties’ counsel; and (f) describe the financial structure of her Lakeview affiliation.</w:t>
      </w:r>
    </w:p>
    <w:p>
      <w:pPr>
        <w:numPr>
          <w:ilvl w:val="0"/>
          <w:numId w:val="1005"/>
        </w:numPr>
      </w:pPr>
      <w:r>
        <w:rPr>
          <w:b/>
          <w:bCs/>
        </w:rPr>
        <w:t xml:space="preserve">Prepare and be prepared to file a Rule R-18 challenge on or before June 24, 2024.</w:t>
      </w:r>
      <w:r>
        <w:t xml:space="preserve"> </w:t>
      </w:r>
      <w:r>
        <w:t xml:space="preserve">The challenge should state the grounds</w:t>
      </w:r>
      <w:r>
        <w:t xml:space="preserve"> </w:t>
      </w:r>
      <w:r>
        <w:t xml:space="preserve">“</w:t>
      </w:r>
      <w:r>
        <w:t xml:space="preserve">with specificity</w:t>
      </w:r>
      <w:r>
        <w:t xml:space="preserve">”</w:t>
      </w:r>
      <w:r>
        <w:t xml:space="preserve"> </w:t>
      </w:r>
      <w:r>
        <w:t xml:space="preserve">(Rule R-18(a)), organize the grounds by category, and attach or reference the supporting public records. The decision whether to file should follow receipt of the arbitrator’s supplemental disclosure, if any is provided before the deadline; if no supplementation is received, the challenge should be filed to preserve the grounds.</w:t>
      </w:r>
    </w:p>
    <w:p>
      <w:pPr>
        <w:numPr>
          <w:ilvl w:val="0"/>
          <w:numId w:val="1005"/>
        </w:numPr>
      </w:pPr>
      <w:r>
        <w:rPr>
          <w:b/>
          <w:bCs/>
        </w:rPr>
        <w:t xml:space="preserve">Evaluate, in light of the supplemental disclosure, whether to seek the arbitrator’s voluntary withdrawal</w:t>
      </w:r>
      <w:r>
        <w:t xml:space="preserve"> </w:t>
      </w:r>
      <w:r>
        <w:t xml:space="preserve">under Rule R-18(c) as an alternative to a contested challenge — particularly given the cumulative effect described in Part VI.</w:t>
      </w:r>
    </w:p>
    <w:p>
      <w:pPr>
        <w:numPr>
          <w:ilvl w:val="0"/>
          <w:numId w:val="1005"/>
        </w:numPr>
      </w:pPr>
      <w:r>
        <w:rPr>
          <w:b/>
          <w:bCs/>
        </w:rPr>
        <w:t xml:space="preserve">Preserve the evident-partiality record</w:t>
      </w:r>
      <w:r>
        <w:t xml:space="preserve"> </w:t>
      </w:r>
      <w:r>
        <w:t xml:space="preserve">for any post-award proceeding under FAA § 10(a)(2), consistent with Rule R-18(e) and (f).</w:t>
      </w:r>
    </w:p>
    <w:p>
      <w:pPr>
        <w:numPr>
          <w:ilvl w:val="0"/>
          <w:numId w:val="1005"/>
        </w:numPr>
      </w:pPr>
      <w:r>
        <w:rPr>
          <w:b/>
          <w:bCs/>
        </w:rPr>
        <w:t xml:space="preserve">Coordinate with the client on posture.</w:t>
      </w:r>
      <w:r>
        <w:t xml:space="preserve"> </w:t>
      </w:r>
      <w:r>
        <w:t xml:space="preserve">Because the grounds cut in different directions, the Respondent should make a deliberate, documented decision about whether to raise the spouse–Peshkov ground (Part V.A) and whether to join or stand neutral on any Claimant challenge based on the Respondent-favoring grounds. A decision</w:t>
      </w:r>
      <w:r>
        <w:t xml:space="preserve"> </w:t>
      </w:r>
      <w:r>
        <w:rPr>
          <w:i/>
          <w:iCs/>
        </w:rPr>
        <w:t xml:space="preserve">not</w:t>
      </w:r>
      <w:r>
        <w:t xml:space="preserve"> </w:t>
      </w:r>
      <w:r>
        <w:t xml:space="preserve">to challenge should be documented to address any later argument that the Respondent knowingly acquiesced in a partial arbitrator.</w:t>
      </w:r>
    </w:p>
    <w:bookmarkEnd w:id="34"/>
    <w:bookmarkStart w:id="35" w:name="ix.-sources-reviewed"/>
    <w:p>
      <w:pPr>
        <w:pStyle w:val="Heading2"/>
      </w:pPr>
      <w:r>
        <w:t xml:space="preserve">IX. Sources Reviewed</w:t>
      </w:r>
    </w:p>
    <w:p>
      <w:pPr>
        <w:pStyle w:val="Compact"/>
        <w:numPr>
          <w:ilvl w:val="0"/>
          <w:numId w:val="1006"/>
        </w:numPr>
      </w:pPr>
      <w:r>
        <w:t xml:space="preserve">Arbitrator Disclosure Statement of Hon. Margaret R. Fairhaven (Ret.), dated June 17, 2024 (AAA Case No. 01-24-0003217).</w:t>
      </w:r>
    </w:p>
    <w:p>
      <w:pPr>
        <w:pStyle w:val="Compact"/>
        <w:numPr>
          <w:ilvl w:val="0"/>
          <w:numId w:val="1006"/>
        </w:numPr>
      </w:pPr>
      <w:r>
        <w:t xml:space="preserve">Arbitration Demand and Statement of Claims,</w:t>
      </w:r>
      <w:r>
        <w:t xml:space="preserve"> </w:t>
      </w:r>
      <w:r>
        <w:rPr>
          <w:i/>
          <w:iCs/>
        </w:rPr>
        <w:t xml:space="preserve">Cascade Thermal Systems Inc. v. Whitmore Capital Partners LLC</w:t>
      </w:r>
      <w:r>
        <w:t xml:space="preserve">, dated March 15, 2024.</w:t>
      </w:r>
    </w:p>
    <w:p>
      <w:pPr>
        <w:pStyle w:val="Compact"/>
        <w:numPr>
          <w:ilvl w:val="0"/>
          <w:numId w:val="1006"/>
        </w:numPr>
      </w:pPr>
      <w:r>
        <w:t xml:space="preserve">AAA Commercial Arbitration Rules and Mediation Procedures — Selected Excerpts (Rules R-1, R-12, R-16, R-17, R-18, R-19, R-20, R-24, R-35, R-48; Editor’s Note re Code of Ethics, IBA Guidelines, FAA § 10).</w:t>
      </w:r>
    </w:p>
    <w:p>
      <w:pPr>
        <w:pStyle w:val="Compact"/>
        <w:numPr>
          <w:ilvl w:val="0"/>
          <w:numId w:val="1006"/>
        </w:numPr>
      </w:pPr>
      <w:r>
        <w:t xml:space="preserve">Entity and Relationship Profiles — Internal Research Memorandum, Barrow &amp; Thistlewood LLP, dated June 19, 2024 (attorney work product).</w:t>
      </w:r>
    </w:p>
    <w:p>
      <w:pPr>
        <w:pStyle w:val="Compact"/>
        <w:numPr>
          <w:ilvl w:val="0"/>
          <w:numId w:val="1006"/>
        </w:numPr>
      </w:pPr>
      <w:r>
        <w:t xml:space="preserve">Arbitrator Appointment Data workbook (Case List; Fee Summary; Pending Matters), covering 2021–2024.</w:t>
      </w:r>
    </w:p>
    <w:p>
      <w:pPr>
        <w:pStyle w:val="FirstParagraph"/>
      </w:pPr>
      <w:r>
        <w:rPr>
          <w:i/>
          <w:iCs/>
        </w:rPr>
        <w:t xml:space="preserve">This memorandum is privileged and confidential, prepared in anticipation of litigation and for the purpose of providing legal advice. It should not be disclosed to any person outside the engagement team except as required or as directed by counsel of record.</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2026-06-29T00:39:16Z</dcterms:created>
  <dcterms:modified xsi:type="dcterms:W3CDTF">2026-06-29T00:39:16Z</dcterms:modified>
</cp:coreProperties>
</file>

<file path=docProps/custom.xml><?xml version="1.0" encoding="utf-8"?>
<Properties xmlns="http://schemas.openxmlformats.org/officeDocument/2006/custom-properties" xmlns:vt="http://schemas.openxmlformats.org/officeDocument/2006/docPropsVTypes"/>
</file>