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p>
    <w:p>
      <w:pPr>
        <w:pStyle w:val="Subtitle"/>
      </w:pPr>
      <w:r>
        <w:t xml:space="preserve">Crestline</w:t>
      </w:r>
      <w:r>
        <w:t xml:space="preserve"> </w:t>
      </w:r>
      <w:r>
        <w:t xml:space="preserve">Software,</w:t>
      </w:r>
      <w:r>
        <w:t xml:space="preserve"> </w:t>
      </w:r>
      <w:r>
        <w:t xml:space="preserve">Inc. —</w:t>
      </w:r>
      <w:r>
        <w:t xml:space="preserve"> </w:t>
      </w:r>
      <w:r>
        <w:t xml:space="preserve">Proposed</w:t>
      </w:r>
      <w:r>
        <w:t xml:space="preserve"> </w:t>
      </w:r>
      <w:r>
        <w:t xml:space="preserve">IPO</w:t>
      </w:r>
    </w:p>
    <w:bookmarkStart w:id="64" w:name="memorandum"/>
    <w:p>
      <w:pPr>
        <w:pStyle w:val="Heading1"/>
      </w:pPr>
      <w:r>
        <w:t xml:space="preserve">MEMORANDUM</w:t>
      </w:r>
    </w:p>
    <w:p>
      <w:pPr>
        <w:pStyle w:val="FirstParagraph"/>
      </w:pPr>
      <w:r>
        <w:rPr>
          <w:b/>
          <w:bCs/>
        </w:rPr>
        <w:t xml:space="preserve">TO:</w:t>
      </w:r>
      <w:r>
        <w:t xml:space="preserve"> </w:t>
      </w:r>
      <w:r>
        <w:t xml:space="preserve">Sarah K. Norden, Esq., Lead Partner, Thorncroft &amp; Wexler LLP; Michael D. Hartwell, Chief Financial Officer; Sandra Y. Chen, General Counsel and Corporate Secretary</w:t>
      </w:r>
    </w:p>
    <w:p>
      <w:pPr>
        <w:pStyle w:val="BodyText"/>
      </w:pPr>
      <w:r>
        <w:rPr>
          <w:b/>
          <w:bCs/>
        </w:rPr>
        <w:t xml:space="preserve">FROM:</w:t>
      </w:r>
      <w:r>
        <w:t xml:space="preserve"> </w:t>
      </w:r>
      <w:r>
        <w:t xml:space="preserve">IPO Working Group — Drafting Team</w:t>
      </w:r>
    </w:p>
    <w:p>
      <w:pPr>
        <w:pStyle w:val="BodyText"/>
      </w:pPr>
      <w:r>
        <w:rPr>
          <w:b/>
          <w:bCs/>
        </w:rPr>
        <w:t xml:space="preserve">DATE:</w:t>
      </w:r>
      <w:r>
        <w:t xml:space="preserve"> </w:t>
      </w:r>
      <w:r>
        <w:t xml:space="preserve">February [●], 2025</w:t>
      </w:r>
    </w:p>
    <w:p>
      <w:pPr>
        <w:pStyle w:val="BodyText"/>
      </w:pPr>
      <w:r>
        <w:rPr>
          <w:b/>
          <w:bCs/>
        </w:rPr>
        <w:t xml:space="preserve">RE:</w:t>
      </w:r>
      <w:r>
        <w:t xml:space="preserve"> </w:t>
      </w:r>
      <w:r>
        <w:t xml:space="preserve">Inconsistencies, Disclosure Gaps, and Risks Identified in Connection with the Drafting of the Form S-1 Registration Statement for the Proposed Initial Public Offering of Crestline Software, Inc.</w:t>
      </w:r>
    </w:p>
    <w:p>
      <w:pPr>
        <w:pStyle w:val="BodyText"/>
      </w:pPr>
      <w:r>
        <w:rPr>
          <w:b/>
          <w:bCs/>
        </w:rPr>
        <w:t xml:space="preserve">CLASSIFICATION:</w:t>
      </w:r>
      <w:r>
        <w:t xml:space="preserve"> </w:t>
      </w:r>
      <w:r>
        <w:t xml:space="preserve">PRIVILEGED AND CONFIDENTIAL — PREPARED AT THE DIRECTION OF COUNSEL — ATTORNEY WORK PRODUCT</w:t>
      </w:r>
    </w:p>
    <w:bookmarkStart w:id="20" w:name="i.-introduction-and-scope"/>
    <w:p>
      <w:pPr>
        <w:pStyle w:val="Heading2"/>
      </w:pPr>
      <w:r>
        <w:t xml:space="preserve">I. Introduction and Scope</w:t>
      </w:r>
    </w:p>
    <w:p>
      <w:pPr>
        <w:pStyle w:val="FirstParagraph"/>
      </w:pPr>
      <w:r>
        <w:t xml:space="preserve">This memorandum summarizes the inconsistencies, disclosure gaps, and risks identified during our review of the source documents provided in connection with the preparation of the draft Registration Statement on Form S-1 (the</w:t>
      </w:r>
      <w:r>
        <w:t xml:space="preserve"> </w:t>
      </w:r>
      <w:r>
        <w:t xml:space="preserve">“</w:t>
      </w:r>
      <w:r>
        <w:t xml:space="preserve">Form S-1</w:t>
      </w:r>
      <w:r>
        <w:t xml:space="preserve">”</w:t>
      </w:r>
      <w:r>
        <w:t xml:space="preserve"> </w:t>
      </w:r>
      <w:r>
        <w:t xml:space="preserve">or</w:t>
      </w:r>
      <w:r>
        <w:t xml:space="preserve"> </w:t>
      </w:r>
      <w:r>
        <w:t xml:space="preserve">“</w:t>
      </w:r>
      <w:r>
        <w:t xml:space="preserve">Registration Statement</w:t>
      </w:r>
      <w:r>
        <w:t xml:space="preserve">”</w:t>
      </w:r>
      <w:r>
        <w:t xml:space="preserve">) for the proposed initial public offering (the</w:t>
      </w:r>
      <w:r>
        <w:t xml:space="preserve"> </w:t>
      </w:r>
      <w:r>
        <w:t xml:space="preserve">“</w:t>
      </w:r>
      <w:r>
        <w:t xml:space="preserve">IPO</w:t>
      </w:r>
      <w:r>
        <w:t xml:space="preserve">”</w:t>
      </w:r>
      <w:r>
        <w:t xml:space="preserve">) of Crestline Software, Inc. (the</w:t>
      </w:r>
      <w:r>
        <w:t xml:space="preserve"> </w:t>
      </w:r>
      <w:r>
        <w:t xml:space="preserve">“</w:t>
      </w:r>
      <w:r>
        <w:t xml:space="preserve">Company</w:t>
      </w:r>
      <w:r>
        <w:t xml:space="preserve">”</w:t>
      </w:r>
      <w:r>
        <w:t xml:space="preserve">). The source documents reviewed include: (i) the audited consolidated financial statements for fiscal years 2023 and 2024; (ii) the CFO’s IPO readiness memorandum; (iii) the amended and restated certificate of incorporation and bylaws; (iv) the equity plan summary and grant records; (v) the management questionnaire responses; (vi) the term loan summary; (vii) the underwriting term sheet and lock-up form; and (viii) the draft roadshow presentation.</w:t>
      </w:r>
    </w:p>
    <w:p>
      <w:pPr>
        <w:pStyle w:val="BodyText"/>
      </w:pPr>
      <w:r>
        <w:t xml:space="preserve">The issues are organized by severity and category.</w:t>
      </w:r>
      <w:r>
        <w:t xml:space="preserve"> </w:t>
      </w:r>
      <w:r>
        <w:rPr>
          <w:b/>
          <w:bCs/>
        </w:rPr>
        <w:t xml:space="preserve">Critical</w:t>
      </w:r>
      <w:r>
        <w:t xml:space="preserve"> </w:t>
      </w:r>
      <w:r>
        <w:t xml:space="preserve">items must be resolved before the Form S-1 is filed because they affect the accuracy of the financial statements or could result in material misstatements.</w:t>
      </w:r>
      <w:r>
        <w:t xml:space="preserve"> </w:t>
      </w:r>
      <w:r>
        <w:rPr>
          <w:b/>
          <w:bCs/>
        </w:rPr>
        <w:t xml:space="preserve">High</w:t>
      </w:r>
      <w:r>
        <w:t xml:space="preserve"> </w:t>
      </w:r>
      <w:r>
        <w:t xml:space="preserve">items require resolution before filing but are disclosure or consistency matters.</w:t>
      </w:r>
      <w:r>
        <w:t xml:space="preserve"> </w:t>
      </w:r>
      <w:r>
        <w:rPr>
          <w:b/>
          <w:bCs/>
        </w:rPr>
        <w:t xml:space="preserve">Medium</w:t>
      </w:r>
      <w:r>
        <w:t xml:space="preserve"> </w:t>
      </w:r>
      <w:r>
        <w:t xml:space="preserve">items are open items or risks that should be addressed during the drafting and review process. Each item includes a recommended action.</w:t>
      </w:r>
    </w:p>
    <w:p>
      <w:pPr>
        <w:pStyle w:val="BodyText"/>
      </w:pPr>
      <w:r>
        <w:t xml:space="preserve">A companion draft Form S-1 has been prepared using the audited financial statements as the authoritative source for all financial figures. Where the source documents conflict, the audited figures have been used in the draft Form S-1, and the conflicts are flagged below.</w:t>
      </w:r>
    </w:p>
    <w:bookmarkEnd w:id="20"/>
    <w:bookmarkStart w:id="21" w:name="ii.-executive-summary"/>
    <w:p>
      <w:pPr>
        <w:pStyle w:val="Heading2"/>
      </w:pPr>
      <w:r>
        <w:t xml:space="preserve">II. Executive Summary</w:t>
      </w:r>
    </w:p>
    <w:p>
      <w:pPr>
        <w:pStyle w:val="FirstParagraph"/>
      </w:pPr>
      <w:r>
        <w:t xml:space="preserve">We identified</w:t>
      </w:r>
      <w:r>
        <w:t xml:space="preserve"> </w:t>
      </w:r>
      <w:r>
        <w:rPr>
          <w:b/>
          <w:bCs/>
        </w:rPr>
        <w:t xml:space="preserve">33 discrete issues</w:t>
      </w:r>
      <w:r>
        <w:t xml:space="preserve">, including:</w:t>
      </w:r>
    </w:p>
    <w:p>
      <w:pPr>
        <w:pStyle w:val="Compact"/>
        <w:numPr>
          <w:ilvl w:val="0"/>
          <w:numId w:val="1001"/>
        </w:numPr>
      </w:pPr>
      <w:r>
        <w:rPr>
          <w:b/>
          <w:bCs/>
        </w:rPr>
        <w:t xml:space="preserve">Three internal reconciliation errors in the audited financial statements</w:t>
      </w:r>
      <w:r>
        <w:t xml:space="preserve"> </w:t>
      </w:r>
      <w:r>
        <w:t xml:space="preserve">(cash roll-forward, term loan roll-forward, and short-term investment activity) that must be resolved with Archer Pryce LLP before the Form S-1 is filed, because the Form S-1 incorporates the audited financial statements and the SEC reviews for internal consistency.</w:t>
      </w:r>
    </w:p>
    <w:p>
      <w:pPr>
        <w:pStyle w:val="Compact"/>
        <w:numPr>
          <w:ilvl w:val="0"/>
          <w:numId w:val="1001"/>
        </w:numPr>
      </w:pPr>
      <w:r>
        <w:rPr>
          <w:b/>
          <w:bCs/>
        </w:rPr>
        <w:t xml:space="preserve">A material arithmetic error in the Adjusted EBITDA reconciliation</w:t>
      </w:r>
      <w:r>
        <w:t xml:space="preserve"> </w:t>
      </w:r>
      <w:r>
        <w:t xml:space="preserve">that appears in the CFO’s IPO readiness memorandum and the draft roadshow presentation. The stated Adjusted EBITDA of $22.8 million for fiscal year 2024 is incorrect; the correct figure, using the stated add-backs, is $20.5 million. The fiscal year 2023 figure of $7.6 million is also incorrect and uses add-backs that do not tie to the audited financial statements.</w:t>
      </w:r>
    </w:p>
    <w:p>
      <w:pPr>
        <w:pStyle w:val="Compact"/>
        <w:numPr>
          <w:ilvl w:val="0"/>
          <w:numId w:val="1001"/>
        </w:numPr>
      </w:pPr>
      <w:r>
        <w:rPr>
          <w:b/>
          <w:bCs/>
        </w:rPr>
        <w:t xml:space="preserve">A misleading characterization of professional services as</w:t>
      </w:r>
      <w:r>
        <w:rPr>
          <w:b/>
          <w:bCs/>
        </w:rPr>
        <w:t xml:space="preserve"> </w:t>
      </w:r>
      <w:r>
        <w:rPr>
          <w:b/>
          <w:bCs/>
        </w:rPr>
        <w:t xml:space="preserve">“</w:t>
      </w:r>
      <w:r>
        <w:rPr>
          <w:b/>
          <w:bCs/>
        </w:rPr>
        <w:t xml:space="preserve">high-margin</w:t>
      </w:r>
      <w:r>
        <w:rPr>
          <w:b/>
          <w:bCs/>
        </w:rPr>
        <w:t xml:space="preserve">”</w:t>
      </w:r>
      <w:r>
        <w:t xml:space="preserve"> </w:t>
      </w:r>
      <w:r>
        <w:t xml:space="preserve">in the roadshow presentation, when the audited financial statements show a negative professional services gross margin of approximately (0.5)%.</w:t>
      </w:r>
    </w:p>
    <w:p>
      <w:pPr>
        <w:pStyle w:val="Compact"/>
        <w:numPr>
          <w:ilvl w:val="0"/>
          <w:numId w:val="1001"/>
        </w:numPr>
      </w:pPr>
      <w:r>
        <w:rPr>
          <w:b/>
          <w:bCs/>
        </w:rPr>
        <w:t xml:space="preserve">Numerous cross-document inconsistencies</w:t>
      </w:r>
      <w:r>
        <w:t xml:space="preserve">, including the identity of the term loan lender, the transfer agent, the size and composition of the board of directors, the fiscal year 2023 revenue split between subscription and professional services, and several balance sheet line items.</w:t>
      </w:r>
    </w:p>
    <w:p>
      <w:pPr>
        <w:pStyle w:val="Compact"/>
        <w:numPr>
          <w:ilvl w:val="0"/>
          <w:numId w:val="1001"/>
        </w:numPr>
      </w:pPr>
      <w:r>
        <w:rPr>
          <w:b/>
          <w:bCs/>
        </w:rPr>
        <w:t xml:space="preserve">Data integrity issues in the equity plan grant records</w:t>
      </w:r>
      <w:r>
        <w:t xml:space="preserve">, including director names that do not match the actual directors and an apparent conflict regarding the identity and title of the General Counsel / Chief Revenue Officer.</w:t>
      </w:r>
    </w:p>
    <w:p>
      <w:pPr>
        <w:pStyle w:val="Compact"/>
        <w:numPr>
          <w:ilvl w:val="0"/>
          <w:numId w:val="1001"/>
        </w:numPr>
      </w:pPr>
      <w:r>
        <w:rPr>
          <w:b/>
          <w:bCs/>
        </w:rPr>
        <w:t xml:space="preserve">Several open items</w:t>
      </w:r>
      <w:r>
        <w:t xml:space="preserve"> </w:t>
      </w:r>
      <w:r>
        <w:t xml:space="preserve">that must be resolved before filing, including the controlled company exemption election, the beneficial ownership status of Aldersgate Capital, missing director ages, lock-up coverage for fund entities, the final 409A valuation, and the Section 382 study.</w:t>
      </w:r>
    </w:p>
    <w:p>
      <w:pPr>
        <w:pStyle w:val="Compact"/>
        <w:numPr>
          <w:ilvl w:val="0"/>
          <w:numId w:val="1001"/>
        </w:numPr>
      </w:pPr>
      <w:r>
        <w:rPr>
          <w:b/>
          <w:bCs/>
        </w:rPr>
        <w:t xml:space="preserve">Material legal and structural risks</w:t>
      </w:r>
      <w:r>
        <w:t xml:space="preserve"> </w:t>
      </w:r>
      <w:r>
        <w:t xml:space="preserve">requiring prominent risk factor disclosure, including the pending Optivance patent litigation, the absence of a dual-class sunset provision, the federal forum selection clause, and potential limitations on net operating loss carryforwards.</w:t>
      </w:r>
    </w:p>
    <w:bookmarkEnd w:id="21"/>
    <w:bookmarkStart w:id="25" w:name="Xc5d7f380112c9d9da33ed66a3ad68538b32cf5b"/>
    <w:p>
      <w:pPr>
        <w:pStyle w:val="Heading2"/>
      </w:pPr>
      <w:r>
        <w:t xml:space="preserve">III. Critical Issues — Financial Statement Reconciliation</w:t>
      </w:r>
    </w:p>
    <w:p>
      <w:pPr>
        <w:pStyle w:val="FirstParagraph"/>
      </w:pPr>
      <w:r>
        <w:t xml:space="preserve">The following issues relate to internal inconsistencies within the audited consolidated financial statements. Because the Form S-1 incorporates the audited financial statements, these must be resolved with Archer Pryce LLP before filing. The SEC’s Division of Corporation Finance routinely issues comments where the cash flow statement, balance sheet, and notes do not reconcile.</w:t>
      </w:r>
    </w:p>
    <w:bookmarkStart w:id="22" w:name="Xdcaa1c102a9d8961c1d933410a631bcc39f5cc4"/>
    <w:p>
      <w:pPr>
        <w:pStyle w:val="Heading3"/>
      </w:pPr>
      <w:r>
        <w:t xml:space="preserve">Issue 1 — Cash and Cash Equivalents Roll-Forward Does Not Reconcile (CRITICAL)</w:t>
      </w:r>
    </w:p>
    <w:p>
      <w:pPr>
        <w:pStyle w:val="FirstParagraph"/>
      </w:pPr>
      <w:r>
        <w:rPr>
          <w:b/>
          <w:bCs/>
        </w:rPr>
        <w:t xml:space="preserve">Description.</w:t>
      </w:r>
      <w:r>
        <w:t xml:space="preserve"> </w:t>
      </w:r>
      <w:r>
        <w:t xml:space="preserve">The consolidated statements of cash flows show the following:</w:t>
      </w:r>
    </w:p>
    <w:p>
      <w:pPr>
        <w:pStyle w:val="Compact"/>
        <w:numPr>
          <w:ilvl w:val="0"/>
          <w:numId w:val="1002"/>
        </w:numPr>
      </w:pPr>
      <w:r>
        <w:t xml:space="preserve">Fiscal year 2023: beginning cash $8,800; net increase $59,700; ending cash $68,500.</w:t>
      </w:r>
    </w:p>
    <w:p>
      <w:pPr>
        <w:pStyle w:val="Compact"/>
        <w:numPr>
          <w:ilvl w:val="0"/>
          <w:numId w:val="1002"/>
        </w:numPr>
      </w:pPr>
      <w:r>
        <w:t xml:space="preserve">Fiscal year 2024: beginning cash $78,400; net increase $16,300; ending cash $94,700.</w:t>
      </w:r>
    </w:p>
    <w:p>
      <w:pPr>
        <w:pStyle w:val="FirstParagraph"/>
      </w:pPr>
      <w:r>
        <w:t xml:space="preserve">The fiscal year 2024 beginning cash balance of $78,400 does</w:t>
      </w:r>
      <w:r>
        <w:t xml:space="preserve"> </w:t>
      </w:r>
      <w:r>
        <w:rPr>
          <w:b/>
          <w:bCs/>
        </w:rPr>
        <w:t xml:space="preserve">not</w:t>
      </w:r>
      <w:r>
        <w:t xml:space="preserve"> </w:t>
      </w:r>
      <w:r>
        <w:t xml:space="preserve">equal the fiscal year 2023 ending cash balance of $68,500, nor does it equal the December 31, 2023 balance sheet cash balance of $68,500. The difference is $9,900. Internally, the fiscal year 2024 column reconciles ($78,400 + $16,300 = $94,700, which matches the December 31, 2024 balance sheet), but the beginning balance is overstated by $9,900 and the net increase is understated by $9,900 (the two errors offset to produce the correct ending balance). The actual year-over-year change in cash per the balance sheets is $94,700 − $68,500 = $26,200, not the $16,300 shown as the net increase.</w:t>
      </w:r>
    </w:p>
    <w:p>
      <w:pPr>
        <w:pStyle w:val="BodyText"/>
      </w:pPr>
      <w:r>
        <w:rPr>
          <w:b/>
          <w:bCs/>
        </w:rPr>
        <w:t xml:space="preserve">Impact.</w:t>
      </w:r>
      <w:r>
        <w:t xml:space="preserve"> </w:t>
      </w:r>
      <w:r>
        <w:t xml:space="preserve">This is an internal inconsistency in the audited financial statements. The cash flow statement is a required financial statement and must reconcile to the balance sheet. An SEC reviewer is likely to issue a comment.</w:t>
      </w:r>
    </w:p>
    <w:p>
      <w:pPr>
        <w:pStyle w:val="BodyText"/>
      </w:pPr>
      <w:r>
        <w:rPr>
          <w:b/>
          <w:bCs/>
        </w:rPr>
        <w:t xml:space="preserve">Recommended Action.</w:t>
      </w:r>
      <w:r>
        <w:t xml:space="preserve"> </w:t>
      </w:r>
      <w:r>
        <w:t xml:space="preserve">Refer to Archer Pryce LLP for correction. Confirm whether the fiscal year 2024 beginning cash should be $68,500 (matching the prior year ending balance and the December 31, 2023 balance sheet) and whether the net increase should be $26,200, or identify the $9,900 reconciling item (e.g., a reclassification, a prior-period adjustment, or an unrecorded item). Do not file the Form S-1 until the cash flow statement reconciles.</w:t>
      </w:r>
    </w:p>
    <w:bookmarkEnd w:id="22"/>
    <w:bookmarkStart w:id="23" w:name="X3c4691288f11bff2f5810fa0e848396850f95f7"/>
    <w:p>
      <w:pPr>
        <w:pStyle w:val="Heading3"/>
      </w:pPr>
      <w:r>
        <w:t xml:space="preserve">Issue 2 — Term Loan Roll-Forward Does Not Reconcile (CRITICAL)</w:t>
      </w:r>
    </w:p>
    <w:p>
      <w:pPr>
        <w:pStyle w:val="FirstParagraph"/>
      </w:pPr>
      <w:r>
        <w:rPr>
          <w:b/>
          <w:bCs/>
        </w:rPr>
        <w:t xml:space="preserve">Description.</w:t>
      </w:r>
      <w:r>
        <w:t xml:space="preserve"> </w:t>
      </w:r>
      <w:r>
        <w:t xml:space="preserve">The audited financial statements reflect the following with respect to the term loan:</w:t>
      </w:r>
    </w:p>
    <w:p>
      <w:pPr>
        <w:pStyle w:val="Compact"/>
        <w:numPr>
          <w:ilvl w:val="0"/>
          <w:numId w:val="1003"/>
        </w:numPr>
      </w:pPr>
      <w:r>
        <w:t xml:space="preserve">Balance sheet: Term loan, non-current — $40,000 at both December 31, 2024 and December 31, 2023.</w:t>
      </w:r>
    </w:p>
    <w:p>
      <w:pPr>
        <w:pStyle w:val="Compact"/>
        <w:numPr>
          <w:ilvl w:val="0"/>
          <w:numId w:val="1003"/>
        </w:numPr>
      </w:pPr>
      <w:r>
        <w:t xml:space="preserve">Cash flow statement, fiscal year 2023: Proceeds from term loan borrowings — $15,000; no repayments.</w:t>
      </w:r>
    </w:p>
    <w:p>
      <w:pPr>
        <w:pStyle w:val="Compact"/>
        <w:numPr>
          <w:ilvl w:val="0"/>
          <w:numId w:val="1003"/>
        </w:numPr>
      </w:pPr>
      <w:r>
        <w:t xml:space="preserve">Cash flow statement, fiscal year 2024: Repayment of term loan — $(5,000); no borrowings.</w:t>
      </w:r>
    </w:p>
    <w:p>
      <w:pPr>
        <w:pStyle w:val="Compact"/>
        <w:numPr>
          <w:ilvl w:val="0"/>
          <w:numId w:val="1003"/>
        </w:numPr>
      </w:pPr>
      <w:r>
        <w:t xml:space="preserve">Note 8 (Debt): Future principal repayments as of December 31, 2024 — 2025: $5,000; 2026: $10,000; 2027: $25,000; Total: $40,000.</w:t>
      </w:r>
    </w:p>
    <w:p>
      <w:pPr>
        <w:pStyle w:val="FirstParagraph"/>
      </w:pPr>
      <w:r>
        <w:t xml:space="preserve">These do not reconcile. If $40,000 was outstanding at December 31, 2023 and $5,000 was repaid in fiscal year 2024 with no new borrowings, the December 31, 2024 balance should be $35,000, not $40,000. Conversely, the future principal payments table begins at $40,000 (implying no fiscal year 2024 repayment), which conflicts with the $5,000 repayment shown in the cash flow statement. The fiscal year 2023 cash flow shows $15,000 of borrowings, which (combined with a beginning balance) must reach $40,000 by December 31, 2023, implying approximately $25,000 was outstanding at the beginning of fiscal year 2023.</w:t>
      </w:r>
    </w:p>
    <w:p>
      <w:pPr>
        <w:pStyle w:val="BodyText"/>
      </w:pPr>
      <w:r>
        <w:rPr>
          <w:b/>
          <w:bCs/>
        </w:rPr>
        <w:t xml:space="preserve">Related inconsistency — date of the facility.</w:t>
      </w:r>
      <w:r>
        <w:t xml:space="preserve"> </w:t>
      </w:r>
      <w:r>
        <w:t xml:space="preserve">Note 8 states that</w:t>
      </w:r>
      <w:r>
        <w:t xml:space="preserve"> </w:t>
      </w:r>
      <w:r>
        <w:t xml:space="preserve">“</w:t>
      </w:r>
      <w:r>
        <w:t xml:space="preserve">In June 2023, the Company entered into a term loan facility with Kestridge West Credit Partners.</w:t>
      </w:r>
      <w:r>
        <w:t xml:space="preserve">”</w:t>
      </w:r>
      <w:r>
        <w:t xml:space="preserve"> </w:t>
      </w:r>
      <w:r>
        <w:t xml:space="preserve">The term loan summary, however, states that the Term Loan and Security Agreement is</w:t>
      </w:r>
      <w:r>
        <w:t xml:space="preserve"> </w:t>
      </w:r>
      <w:r>
        <w:t xml:space="preserve">“</w:t>
      </w:r>
      <w:r>
        <w:t xml:space="preserve">Dated as of December 15, 2022</w:t>
      </w:r>
      <w:r>
        <w:t xml:space="preserve">”</w:t>
      </w:r>
      <w:r>
        <w:t xml:space="preserve"> </w:t>
      </w:r>
      <w:r>
        <w:t xml:space="preserve">and that</w:t>
      </w:r>
      <w:r>
        <w:t xml:space="preserve"> </w:t>
      </w:r>
      <w:r>
        <w:t xml:space="preserve">“</w:t>
      </w:r>
      <w:r>
        <w:t xml:space="preserve">The initial draw of $40,000,000 was made on the closing date.</w:t>
      </w:r>
      <w:r>
        <w:t xml:space="preserve">”</w:t>
      </w:r>
      <w:r>
        <w:t xml:space="preserve"> </w:t>
      </w:r>
      <w:r>
        <w:t xml:space="preserve">These two statements are inconsistent as to both the date of the facility and the amount and timing of the initial draw. The term loan summary’s statement that $40 million was drawn at closing (December 2022) is also inconsistent with the fiscal year 2023 cash flow statement, which shows only $15 million of term loan borrowings in fiscal year 2023.</w:t>
      </w:r>
    </w:p>
    <w:p>
      <w:pPr>
        <w:pStyle w:val="BodyText"/>
      </w:pPr>
      <w:r>
        <w:rPr>
          <w:b/>
          <w:bCs/>
        </w:rPr>
        <w:t xml:space="preserve">Impact.</w:t>
      </w:r>
      <w:r>
        <w:t xml:space="preserve"> </w:t>
      </w:r>
      <w:r>
        <w:t xml:space="preserve">The term loan balance, the cash flow statement, and the debt note do not reconcile. This affects the</w:t>
      </w:r>
      <w:r>
        <w:t xml:space="preserve"> </w:t>
      </w:r>
      <w:r>
        <w:t xml:space="preserve">“</w:t>
      </w:r>
      <w:r>
        <w:t xml:space="preserve">Description of Indebtedness</w:t>
      </w:r>
      <w:r>
        <w:t xml:space="preserve">”</w:t>
      </w:r>
      <w:r>
        <w:t xml:space="preserve"> </w:t>
      </w:r>
      <w:r>
        <w:t xml:space="preserve">section of the Form S-1, the MD&amp;A liquidity discussion, and the contractual obligations table. The inconsistency between the audited Note 8 (June 2023) and the term loan summary (December 2022) must be resolved because the Form S-1 will describe the facility and file the credit agreement as an exhibit.</w:t>
      </w:r>
    </w:p>
    <w:p>
      <w:pPr>
        <w:pStyle w:val="BodyText"/>
      </w:pPr>
      <w:r>
        <w:rPr>
          <w:b/>
          <w:bCs/>
        </w:rPr>
        <w:t xml:space="preserve">Recommended Action.</w:t>
      </w:r>
      <w:r>
        <w:t xml:space="preserve"> </w:t>
      </w:r>
      <w:r>
        <w:t xml:space="preserve">(i) Refer to Archer Pryce LLP to reconcile the term loan balance, the cash flow activity, and the future payments table. (ii) Confirm the actual date of the credit agreement and the timing and amount of all draws and repayments. (iii) Reconcile the term loan summary to the audited financial statements and correct whichever document is in error. (iv) Ensure the</w:t>
      </w:r>
      <w:r>
        <w:t xml:space="preserve"> </w:t>
      </w:r>
      <w:r>
        <w:t xml:space="preserve">“</w:t>
      </w:r>
      <w:r>
        <w:t xml:space="preserve">Description of Indebtedness</w:t>
      </w:r>
      <w:r>
        <w:t xml:space="preserve">”</w:t>
      </w:r>
      <w:r>
        <w:t xml:space="preserve"> </w:t>
      </w:r>
      <w:r>
        <w:t xml:space="preserve">in the Form S-1 is consistent with the audited financial statements and the filed credit agreement.</w:t>
      </w:r>
    </w:p>
    <w:bookmarkEnd w:id="23"/>
    <w:bookmarkStart w:id="24" w:name="X29695900924b80acc40772452320bb3013144fc"/>
    <w:p>
      <w:pPr>
        <w:pStyle w:val="Heading3"/>
      </w:pPr>
      <w:r>
        <w:t xml:space="preserve">Issue 3 — Short-Term Investment Activity Does Not Reconcile (CRITICAL)</w:t>
      </w:r>
    </w:p>
    <w:p>
      <w:pPr>
        <w:pStyle w:val="FirstParagraph"/>
      </w:pPr>
      <w:r>
        <w:rPr>
          <w:b/>
          <w:bCs/>
        </w:rPr>
        <w:t xml:space="preserve">Description.</w:t>
      </w:r>
      <w:r>
        <w:t xml:space="preserve"> </w:t>
      </w:r>
      <w:r>
        <w:t xml:space="preserve">The consolidated statements of cash flows show</w:t>
      </w:r>
      <w:r>
        <w:t xml:space="preserve"> </w:t>
      </w:r>
      <w:r>
        <w:t xml:space="preserve">“</w:t>
      </w:r>
      <w:r>
        <w:t xml:space="preserve">Purchases of short-term investments</w:t>
      </w:r>
      <w:r>
        <w:t xml:space="preserve">”</w:t>
      </w:r>
      <w:r>
        <w:t xml:space="preserve"> </w:t>
      </w:r>
      <w:r>
        <w:t xml:space="preserve">of $(215,000) thousand (i.e., $215.0 million) for fiscal year 2023, with</w:t>
      </w:r>
      <w:r>
        <w:t xml:space="preserve"> </w:t>
      </w:r>
      <w:r>
        <w:t xml:space="preserve">“</w:t>
      </w:r>
      <w:r>
        <w:t xml:space="preserve">Maturities of short-term investments</w:t>
      </w:r>
      <w:r>
        <w:t xml:space="preserve">”</w:t>
      </w:r>
      <w:r>
        <w:t xml:space="preserve"> </w:t>
      </w:r>
      <w:r>
        <w:t xml:space="preserve">of $10,000 thousand. The short-term investments balance was $38,500 at December 31, 2023 and $42,300 at December 31, 2024. For the fiscal year 2023 activity to reconcile (ending = beginning + purchases − maturities), the beginning balance would need to be approximately $243.5 million, which is inconsistent with the Company’s cash position at the beginning of fiscal year 2023 (beginning cash of only $8.8 million). The fiscal year 2024 activity reconciles ($38,500 + $28,800 − $25,000 = $42,300), confirming the methodology, which makes the fiscal year 2023 $215 million figure appear to be an error (likely a transcription error, e.g., an extra digit).</w:t>
      </w:r>
    </w:p>
    <w:p>
      <w:pPr>
        <w:pStyle w:val="BodyText"/>
      </w:pPr>
      <w:r>
        <w:rPr>
          <w:b/>
          <w:bCs/>
        </w:rPr>
        <w:t xml:space="preserve">Impact.</w:t>
      </w:r>
      <w:r>
        <w:t xml:space="preserve"> </w:t>
      </w:r>
      <w:r>
        <w:t xml:space="preserve">The investing activities section of the cash flow statement for fiscal year 2023 does not reconcile with the short-term investments balances. This is an internal inconsistency in the audited financial statements.</w:t>
      </w:r>
    </w:p>
    <w:p>
      <w:pPr>
        <w:pStyle w:val="BodyText"/>
      </w:pPr>
      <w:r>
        <w:rPr>
          <w:b/>
          <w:bCs/>
        </w:rPr>
        <w:t xml:space="preserve">Recommended Action.</w:t>
      </w:r>
      <w:r>
        <w:t xml:space="preserve"> </w:t>
      </w:r>
      <w:r>
        <w:t xml:space="preserve">Refer to Archer Pryce LLP to confirm the correct fiscal year 2023 purchases of short-term investments (and any offsetting maturities or sales not reflected). Correct the cash flow statement before filing.</w:t>
      </w:r>
    </w:p>
    <w:bookmarkEnd w:id="24"/>
    <w:bookmarkEnd w:id="25"/>
    <w:bookmarkStart w:id="29" w:name="X13cb720ba378d28b4d438c1c8ef79b7d578ee91"/>
    <w:p>
      <w:pPr>
        <w:pStyle w:val="Heading2"/>
      </w:pPr>
      <w:r>
        <w:t xml:space="preserve">IV. High-Severity Issues — Non-GAAP Measures and Misleading Disclosures</w:t>
      </w:r>
    </w:p>
    <w:bookmarkStart w:id="26" w:name="Xeefedefa02565b918d3f1c50953eaea1f8cc37b"/>
    <w:p>
      <w:pPr>
        <w:pStyle w:val="Heading3"/>
      </w:pPr>
      <w:r>
        <w:t xml:space="preserve">Issue 4 — Adjusted EBITDA Arithmetic Error (HIGH)</w:t>
      </w:r>
    </w:p>
    <w:p>
      <w:pPr>
        <w:pStyle w:val="FirstParagraph"/>
      </w:pPr>
      <w:r>
        <w:rPr>
          <w:b/>
          <w:bCs/>
        </w:rPr>
        <w:t xml:space="preserve">Description.</w:t>
      </w:r>
      <w:r>
        <w:t xml:space="preserve"> </w:t>
      </w:r>
      <w:r>
        <w:t xml:space="preserve">The CFO’s IPO readiness memorandum and the draft roadshow presentation (Slides 3, 23, and 34) state Adjusted EBITDA of $22.8 million for fiscal year 2024. The reconciliation uses the following add-backs: net loss $(24.8)M + depreciation and amortization $8.7M + stock-based compensation $38.2M + interest expense $3.1M − interest income $6.2M + income tax provision $0.3M + restructuring charges $1.2M. The correct sum of these items is</w:t>
      </w:r>
      <w:r>
        <w:t xml:space="preserve"> </w:t>
      </w:r>
      <w:r>
        <w:rPr>
          <w:b/>
          <w:bCs/>
        </w:rPr>
        <w:t xml:space="preserve">$20.5 million</w:t>
      </w:r>
      <w:r>
        <w:t xml:space="preserve">, not $22.8 million. The $2.3 million discrepancy is unexplained. The stated Adjusted EBITDA margin of 12.2% is also incorrect; using the correct $20.5 million figure, the margin is 10.9% ($20.5M / $187.3M).</w:t>
      </w:r>
    </w:p>
    <w:p>
      <w:pPr>
        <w:pStyle w:val="BodyText"/>
      </w:pPr>
      <w:r>
        <w:t xml:space="preserve">The fiscal year 2023 Adjusted EBITDA of $7.6 million stated in the memorandum is also incorrect. The memorandum’s fiscal year 2023 add-backs (depreciation and amortization $6.9M; stock-based compensation $29.1M; interest expense $2.8M; interest income $4.6M; restructuring $0.6M) do</w:t>
      </w:r>
      <w:r>
        <w:t xml:space="preserve"> </w:t>
      </w:r>
      <w:r>
        <w:rPr>
          <w:b/>
          <w:bCs/>
        </w:rPr>
        <w:t xml:space="preserve">not</w:t>
      </w:r>
      <w:r>
        <w:t xml:space="preserve"> </w:t>
      </w:r>
      <w:r>
        <w:t xml:space="preserve">tie to the audited financial statements, which show depreciation and amortization of $7.1M, stock-based compensation of $26.4M, interest expense of $3.1M, interest income of $5.8M, and no restructuring charges in fiscal year 2023. Using the audited figures, fiscal year 2023 Adjusted EBITDA is approximately</w:t>
      </w:r>
      <w:r>
        <w:t xml:space="preserve"> </w:t>
      </w:r>
      <w:r>
        <w:rPr>
          <w:b/>
          <w:bCs/>
        </w:rPr>
        <w:t xml:space="preserve">$3.5 million</w:t>
      </w:r>
      <w:r>
        <w:t xml:space="preserve">.</w:t>
      </w:r>
    </w:p>
    <w:p>
      <w:pPr>
        <w:pStyle w:val="BodyText"/>
      </w:pPr>
      <w:r>
        <w:rPr>
          <w:b/>
          <w:bCs/>
        </w:rPr>
        <w:t xml:space="preserve">Impact.</w:t>
      </w:r>
      <w:r>
        <w:t xml:space="preserve"> </w:t>
      </w:r>
      <w:r>
        <w:t xml:space="preserve">Presenting an incorrect non-GAAP reconciliation in a registration statement would violate Regulation G and Item 10(e) of Regulation S-K and would likely draw an SEC comment letter. The error has propagated from the CFO’s memorandum into the roadshow presentation. The draft Form S-1 has been prepared using the correct figures ($20.5 million for fiscal year 2024 and $3.5 million for fiscal year 2023, reconciled to the audited financial statements).</w:t>
      </w:r>
    </w:p>
    <w:p>
      <w:pPr>
        <w:pStyle w:val="BodyText"/>
      </w:pPr>
      <w:r>
        <w:rPr>
          <w:b/>
          <w:bCs/>
        </w:rPr>
        <w:t xml:space="preserve">Recommended Action.</w:t>
      </w:r>
      <w:r>
        <w:t xml:space="preserve"> </w:t>
      </w:r>
      <w:r>
        <w:t xml:space="preserve">(i) Correct the Adjusted EBITDA reconciliation in all investor-facing materials and the Form S-1 to $20.5 million (fiscal year 2024) and $3.5 million (fiscal year 2023), using add-backs that tie to the audited financial statements. (ii) Investigate the source of the $2.3 million fiscal year 2024 discrepancy and the incorrect fiscal year 2023 add-backs. (iii) Ensure the non-GAAP reconciliation in the Form S-1 complies with Regulation G and Item 10(e), including appropriate cautionary language. (iv) Confirm whether the Company intends to present Adjusted EBITDA as a non-GAAP measure in the Form S-1 and finalize the definition.</w:t>
      </w:r>
    </w:p>
    <w:bookmarkEnd w:id="26"/>
    <w:bookmarkStart w:id="27" w:name="X0f874b17f5a4467ee9ce46c1ba15b823fface0d"/>
    <w:p>
      <w:pPr>
        <w:pStyle w:val="Heading3"/>
      </w:pPr>
      <w:r>
        <w:t xml:space="preserve">Issue 5 — Misleading Characterization of Professional Services as</w:t>
      </w:r>
      <w:r>
        <w:t xml:space="preserve"> </w:t>
      </w:r>
      <w:r>
        <w:t xml:space="preserve">“</w:t>
      </w:r>
      <w:r>
        <w:t xml:space="preserve">High-Margin</w:t>
      </w:r>
      <w:r>
        <w:t xml:space="preserve">”</w:t>
      </w:r>
      <w:r>
        <w:t xml:space="preserve"> </w:t>
      </w:r>
      <w:r>
        <w:t xml:space="preserve">(HIGH)</w:t>
      </w:r>
    </w:p>
    <w:p>
      <w:pPr>
        <w:pStyle w:val="FirstParagraph"/>
      </w:pPr>
      <w:r>
        <w:rPr>
          <w:b/>
          <w:bCs/>
        </w:rPr>
        <w:t xml:space="preserve">Description.</w:t>
      </w:r>
      <w:r>
        <w:t xml:space="preserve"> </w:t>
      </w:r>
      <w:r>
        <w:t xml:space="preserve">The draft roadshow presentation describes professional services as</w:t>
      </w:r>
      <w:r>
        <w:t xml:space="preserve"> </w:t>
      </w:r>
      <w:r>
        <w:t xml:space="preserve">“</w:t>
      </w:r>
      <w:r>
        <w:t xml:space="preserve">high-margin and accretive</w:t>
      </w:r>
      <w:r>
        <w:t xml:space="preserve">”</w:t>
      </w:r>
      <w:r>
        <w:t xml:space="preserve"> </w:t>
      </w:r>
      <w:r>
        <w:t xml:space="preserve">on Slides 12, 17, 21, and 27, and projects professional services gross margins of 15% to 20% at scale. The audited financial statements show professional services revenue of $18.7 million against professional services cost of revenue of $18.8 million for fiscal year 2024, yielding a gross margin of approximately</w:t>
      </w:r>
      <w:r>
        <w:t xml:space="preserve"> </w:t>
      </w:r>
      <w:r>
        <w:rPr>
          <w:b/>
          <w:bCs/>
        </w:rPr>
        <w:t xml:space="preserve">(0.5)%</w:t>
      </w:r>
      <w:r>
        <w:t xml:space="preserve"> </w:t>
      </w:r>
      <w:r>
        <w:t xml:space="preserve">(negative). The appendix slide (Slide 35) correctly shows the professional services gross margin as (0.5)%, creating an internal inconsistency within the same presentation.</w:t>
      </w:r>
    </w:p>
    <w:p>
      <w:pPr>
        <w:pStyle w:val="BodyText"/>
      </w:pPr>
      <w:r>
        <w:rPr>
          <w:b/>
          <w:bCs/>
        </w:rPr>
        <w:t xml:space="preserve">Impact.</w:t>
      </w:r>
      <w:r>
        <w:t xml:space="preserve"> </w:t>
      </w:r>
      <w:r>
        <w:t xml:space="preserve">Characterizing a negative-margin business as</w:t>
      </w:r>
      <w:r>
        <w:t xml:space="preserve"> </w:t>
      </w:r>
      <w:r>
        <w:t xml:space="preserve">“</w:t>
      </w:r>
      <w:r>
        <w:t xml:space="preserve">high-margin</w:t>
      </w:r>
      <w:r>
        <w:t xml:space="preserve">”</w:t>
      </w:r>
      <w:r>
        <w:t xml:space="preserve"> </w:t>
      </w:r>
      <w:r>
        <w:t xml:space="preserve">is misleading and could expose the Company to liability under the federal securities laws if repeated in the registration statement or in marketing materials used in connection with the offering. The SEC has brought enforcement actions for misleading non-GAAP and operational disclosures.</w:t>
      </w:r>
    </w:p>
    <w:p>
      <w:pPr>
        <w:pStyle w:val="BodyText"/>
      </w:pPr>
      <w:r>
        <w:rPr>
          <w:b/>
          <w:bCs/>
        </w:rPr>
        <w:t xml:space="preserve">Recommended Action.</w:t>
      </w:r>
      <w:r>
        <w:t xml:space="preserve"> </w:t>
      </w:r>
      <w:r>
        <w:t xml:space="preserve">(i) Remove the</w:t>
      </w:r>
      <w:r>
        <w:t xml:space="preserve"> </w:t>
      </w:r>
      <w:r>
        <w:t xml:space="preserve">“</w:t>
      </w:r>
      <w:r>
        <w:t xml:space="preserve">high-margin</w:t>
      </w:r>
      <w:r>
        <w:t xml:space="preserve">”</w:t>
      </w:r>
      <w:r>
        <w:t xml:space="preserve"> </w:t>
      </w:r>
      <w:r>
        <w:t xml:space="preserve">characterization from all investor-facing materials. (ii) In the Form S-1, disclose the actual professional services gross margin of (0.5)% and frame the 15% to 20% figure as a forward-looking target with appropriate cautionary language and risk factor disclosure (a risk factor to this effect has been included in the draft Form S-1). (iii) Ensure the roadshow presentation is consistent with the prospectus.</w:t>
      </w:r>
    </w:p>
    <w:bookmarkEnd w:id="27"/>
    <w:bookmarkStart w:id="28" w:name="X59e122a888109feba09b8c25b8aad4828f7b929"/>
    <w:p>
      <w:pPr>
        <w:pStyle w:val="Heading3"/>
      </w:pPr>
      <w:r>
        <w:t xml:space="preserve">Issue 6 — Restructuring Disclosure Inconsistencies (HIGH)</w:t>
      </w:r>
    </w:p>
    <w:p>
      <w:pPr>
        <w:pStyle w:val="FirstParagraph"/>
      </w:pPr>
      <w:r>
        <w:rPr>
          <w:b/>
          <w:bCs/>
        </w:rPr>
        <w:t xml:space="preserve">Description.</w:t>
      </w:r>
      <w:r>
        <w:t xml:space="preserve"> </w:t>
      </w:r>
      <w:r>
        <w:t xml:space="preserve">The audited financial statements (Note 9) state that the workforce reduction occurred in the</w:t>
      </w:r>
      <w:r>
        <w:t xml:space="preserve"> </w:t>
      </w:r>
      <w:r>
        <w:rPr>
          <w:b/>
          <w:bCs/>
        </w:rPr>
        <w:t xml:space="preserve">third quarter of 2024</w:t>
      </w:r>
      <w:r>
        <w:t xml:space="preserve"> </w:t>
      </w:r>
      <w:r>
        <w:t xml:space="preserve">and affected approximately</w:t>
      </w:r>
      <w:r>
        <w:t xml:space="preserve"> </w:t>
      </w:r>
      <w:r>
        <w:rPr>
          <w:b/>
          <w:bCs/>
        </w:rPr>
        <w:t xml:space="preserve">46 employees</w:t>
      </w:r>
      <w:r>
        <w:t xml:space="preserve">. The CFO’s IPO readiness memorandum (Section 5.3) states that the restructuring related to a workforce reduction of approximately</w:t>
      </w:r>
      <w:r>
        <w:t xml:space="preserve"> </w:t>
      </w:r>
      <w:r>
        <w:rPr>
          <w:b/>
          <w:bCs/>
        </w:rPr>
        <w:t xml:space="preserve">30 positions</w:t>
      </w:r>
      <w:r>
        <w:t xml:space="preserve"> </w:t>
      </w:r>
      <w:r>
        <w:t xml:space="preserve">in the</w:t>
      </w:r>
      <w:r>
        <w:t xml:space="preserve"> </w:t>
      </w:r>
      <w:r>
        <w:rPr>
          <w:b/>
          <w:bCs/>
        </w:rPr>
        <w:t xml:space="preserve">second quarter of 2024</w:t>
      </w:r>
      <w:r>
        <w:t xml:space="preserve">. These are inconsistent as to both the timing (Q2 vs. Q3) and the number of employees affected (30 vs. 46).</w:t>
      </w:r>
    </w:p>
    <w:p>
      <w:pPr>
        <w:pStyle w:val="BodyText"/>
      </w:pPr>
      <w:r>
        <w:rPr>
          <w:b/>
          <w:bCs/>
        </w:rPr>
        <w:t xml:space="preserve">Impact.</w:t>
      </w:r>
      <w:r>
        <w:t xml:space="preserve"> </w:t>
      </w:r>
      <w:r>
        <w:t xml:space="preserve">The Form S-1 must accurately describe the restructuring. Inconsistency between the audited financial statements and the MD&amp;A narrative would draw an SEC comment.</w:t>
      </w:r>
    </w:p>
    <w:p>
      <w:pPr>
        <w:pStyle w:val="BodyText"/>
      </w:pPr>
      <w:r>
        <w:rPr>
          <w:b/>
          <w:bCs/>
        </w:rPr>
        <w:t xml:space="preserve">Recommended Action.</w:t>
      </w:r>
      <w:r>
        <w:t xml:space="preserve"> </w:t>
      </w:r>
      <w:r>
        <w:t xml:space="preserve">Use the audited financial statements as the authoritative source (third quarter of 2024; approximately 46 employees) and correct the CFO’s memorandum. Ensure the MD&amp;A in the Form S-1 is consistent with Note 9.</w:t>
      </w:r>
    </w:p>
    <w:bookmarkEnd w:id="28"/>
    <w:bookmarkEnd w:id="29"/>
    <w:bookmarkStart w:id="36" w:name="Xbdeeb2ecb0b161f294a1b4f045e1bbd8eda6bcb"/>
    <w:p>
      <w:pPr>
        <w:pStyle w:val="Heading2"/>
      </w:pPr>
      <w:r>
        <w:t xml:space="preserve">V. High-Severity Issues — Cross-Document Disclosure Inconsistencies</w:t>
      </w:r>
    </w:p>
    <w:bookmarkStart w:id="30" w:name="X14c0316b23492830ca7caac10114e15ecb949de"/>
    <w:p>
      <w:pPr>
        <w:pStyle w:val="Heading3"/>
      </w:pPr>
      <w:r>
        <w:t xml:space="preserve">Issue 7 — Term Loan Lender Name Inconsistency (HIGH)</w:t>
      </w:r>
    </w:p>
    <w:p>
      <w:pPr>
        <w:pStyle w:val="FirstParagraph"/>
      </w:pPr>
      <w:r>
        <w:rPr>
          <w:b/>
          <w:bCs/>
        </w:rPr>
        <w:t xml:space="preserve">Description.</w:t>
      </w:r>
      <w:r>
        <w:t xml:space="preserve"> </w:t>
      </w:r>
      <w:r>
        <w:t xml:space="preserve">The audited financial statements (Note 8), the CFO’s IPO readiness memorandum, and the term loan summary refer to the lender as</w:t>
      </w:r>
      <w:r>
        <w:t xml:space="preserve"> </w:t>
      </w:r>
      <w:r>
        <w:rPr>
          <w:b/>
          <w:bCs/>
        </w:rPr>
        <w:t xml:space="preserve">“</w:t>
      </w:r>
      <w:r>
        <w:rPr>
          <w:b/>
          <w:bCs/>
        </w:rPr>
        <w:t xml:space="preserve">Kestridge West Credit Partners.</w:t>
      </w:r>
      <w:r>
        <w:rPr>
          <w:b/>
          <w:bCs/>
        </w:rPr>
        <w:t xml:space="preserve">”</w:t>
      </w:r>
      <w:r>
        <w:t xml:space="preserve"> </w:t>
      </w:r>
      <w:r>
        <w:t xml:space="preserve">The draft roadshow presentation (Slides 20, 24, and 27) refers to the lender as</w:t>
      </w:r>
      <w:r>
        <w:t xml:space="preserve"> </w:t>
      </w:r>
      <w:r>
        <w:rPr>
          <w:b/>
          <w:bCs/>
        </w:rPr>
        <w:t xml:space="preserve">“</w:t>
      </w:r>
      <w:r>
        <w:rPr>
          <w:b/>
          <w:bCs/>
        </w:rPr>
        <w:t xml:space="preserve">Silicon Valley Credit Partners.</w:t>
      </w:r>
      <w:r>
        <w:rPr>
          <w:b/>
          <w:bCs/>
        </w:rPr>
        <w:t xml:space="preserve">”</w:t>
      </w:r>
      <w:r>
        <w:t xml:space="preserve"> </w:t>
      </w:r>
      <w:r>
        <w:t xml:space="preserve">The term loan summary also uses the abbreviation</w:t>
      </w:r>
      <w:r>
        <w:t xml:space="preserve"> </w:t>
      </w:r>
      <w:r>
        <w:t xml:space="preserve">“</w:t>
      </w:r>
      <w:r>
        <w:t xml:space="preserve">SVCP,</w:t>
      </w:r>
      <w:r>
        <w:t xml:space="preserve">”</w:t>
      </w:r>
      <w:r>
        <w:t xml:space="preserve"> </w:t>
      </w:r>
      <w:r>
        <w:t xml:space="preserve">which corresponds to</w:t>
      </w:r>
      <w:r>
        <w:t xml:space="preserve"> </w:t>
      </w:r>
      <w:r>
        <w:t xml:space="preserve">“</w:t>
      </w:r>
      <w:r>
        <w:t xml:space="preserve">Silicon Valley Credit Partners</w:t>
      </w:r>
      <w:r>
        <w:t xml:space="preserve">”</w:t>
      </w:r>
      <w:r>
        <w:t xml:space="preserve"> </w:t>
      </w:r>
      <w:r>
        <w:t xml:space="preserve">rather than</w:t>
      </w:r>
      <w:r>
        <w:t xml:space="preserve"> </w:t>
      </w:r>
      <w:r>
        <w:t xml:space="preserve">“</w:t>
      </w:r>
      <w:r>
        <w:t xml:space="preserve">Kestridge West Credit Partners.</w:t>
      </w:r>
      <w:r>
        <w:t xml:space="preserve">”</w:t>
      </w:r>
    </w:p>
    <w:p>
      <w:pPr>
        <w:pStyle w:val="BodyText"/>
      </w:pPr>
      <w:r>
        <w:rPr>
          <w:b/>
          <w:bCs/>
        </w:rPr>
        <w:t xml:space="preserve">Impact.</w:t>
      </w:r>
      <w:r>
        <w:t xml:space="preserve"> </w:t>
      </w:r>
      <w:r>
        <w:t xml:space="preserve">The Form S-1</w:t>
      </w:r>
      <w:r>
        <w:t xml:space="preserve"> </w:t>
      </w:r>
      <w:r>
        <w:t xml:space="preserve">“</w:t>
      </w:r>
      <w:r>
        <w:t xml:space="preserve">Description of Indebtedness</w:t>
      </w:r>
      <w:r>
        <w:t xml:space="preserve">”</w:t>
      </w:r>
      <w:r>
        <w:t xml:space="preserve"> </w:t>
      </w:r>
      <w:r>
        <w:t xml:space="preserve">and the filed credit agreement must use the correct lender name. An incorrect lender name in the prospectus would be a material inaccuracy.</w:t>
      </w:r>
    </w:p>
    <w:p>
      <w:pPr>
        <w:pStyle w:val="BodyText"/>
      </w:pPr>
      <w:r>
        <w:rPr>
          <w:b/>
          <w:bCs/>
        </w:rPr>
        <w:t xml:space="preserve">Recommended Action.</w:t>
      </w:r>
      <w:r>
        <w:t xml:space="preserve"> </w:t>
      </w:r>
      <w:r>
        <w:t xml:space="preserve">Confirm the correct legal name of the lender and use it consistently throughout the Form S-1, the roadshow presentation, and all offering documents. Correct the roadshow presentation. Investigate the</w:t>
      </w:r>
      <w:r>
        <w:t xml:space="preserve"> </w:t>
      </w:r>
      <w:r>
        <w:t xml:space="preserve">“</w:t>
      </w:r>
      <w:r>
        <w:t xml:space="preserve">SVCP</w:t>
      </w:r>
      <w:r>
        <w:t xml:space="preserve">”</w:t>
      </w:r>
      <w:r>
        <w:t xml:space="preserve"> </w:t>
      </w:r>
      <w:r>
        <w:t xml:space="preserve">abbreviation in the term loan summary.</w:t>
      </w:r>
    </w:p>
    <w:bookmarkEnd w:id="30"/>
    <w:bookmarkStart w:id="31" w:name="Xfa9827a3e27e03a7a2798dcb8cc012021c84ee7"/>
    <w:p>
      <w:pPr>
        <w:pStyle w:val="Heading3"/>
      </w:pPr>
      <w:r>
        <w:t xml:space="preserve">Issue 8 — Transfer Agent Inconsistency (HIGH)</w:t>
      </w:r>
    </w:p>
    <w:p>
      <w:pPr>
        <w:pStyle w:val="FirstParagraph"/>
      </w:pPr>
      <w:r>
        <w:rPr>
          <w:b/>
          <w:bCs/>
        </w:rPr>
        <w:t xml:space="preserve">Description.</w:t>
      </w:r>
      <w:r>
        <w:t xml:space="preserve"> </w:t>
      </w:r>
      <w:r>
        <w:t xml:space="preserve">The underwriting term sheet and the CFO’s IPO readiness memorandum (Section 10, action item 6) identify the transfer agent as</w:t>
      </w:r>
      <w:r>
        <w:t xml:space="preserve"> </w:t>
      </w:r>
      <w:r>
        <w:rPr>
          <w:b/>
          <w:bCs/>
        </w:rPr>
        <w:t xml:space="preserve">“</w:t>
      </w:r>
      <w:r>
        <w:rPr>
          <w:b/>
          <w:bCs/>
        </w:rPr>
        <w:t xml:space="preserve">Oakvale Transfer Transfer Co.</w:t>
      </w:r>
      <w:r>
        <w:rPr>
          <w:b/>
          <w:bCs/>
        </w:rPr>
        <w:t xml:space="preserve">”</w:t>
      </w:r>
      <w:r>
        <w:t xml:space="preserve"> </w:t>
      </w:r>
      <w:r>
        <w:t xml:space="preserve">(note the duplicated word</w:t>
      </w:r>
      <w:r>
        <w:t xml:space="preserve"> </w:t>
      </w:r>
      <w:r>
        <w:t xml:space="preserve">“</w:t>
      </w:r>
      <w:r>
        <w:t xml:space="preserve">Transfer</w:t>
      </w:r>
      <w:r>
        <w:t xml:space="preserve">”</w:t>
      </w:r>
      <w:r>
        <w:t xml:space="preserve">). The amended and restated bylaws (Section 5.1) identify the transfer agent as</w:t>
      </w:r>
      <w:r>
        <w:t xml:space="preserve"> </w:t>
      </w:r>
      <w:r>
        <w:rPr>
          <w:b/>
          <w:bCs/>
        </w:rPr>
        <w:t xml:space="preserve">“</w:t>
      </w:r>
      <w:r>
        <w:rPr>
          <w:b/>
          <w:bCs/>
        </w:rPr>
        <w:t xml:space="preserve">Computershare Transfer Co.</w:t>
      </w:r>
      <w:r>
        <w:rPr>
          <w:b/>
          <w:bCs/>
        </w:rPr>
        <w:t xml:space="preserve">”</w:t>
      </w:r>
      <w:r>
        <w:t xml:space="preserve"> </w:t>
      </w:r>
      <w:r>
        <w:t xml:space="preserve">The lock-up agreement form (Section 6) refers to</w:t>
      </w:r>
      <w:r>
        <w:t xml:space="preserve"> </w:t>
      </w:r>
      <w:r>
        <w:t xml:space="preserve">“</w:t>
      </w:r>
      <w:r>
        <w:t xml:space="preserve">Oakvale Transfer Transfer Co.</w:t>
      </w:r>
      <w:r>
        <w:t xml:space="preserve">”</w:t>
      </w:r>
    </w:p>
    <w:p>
      <w:pPr>
        <w:pStyle w:val="BodyText"/>
      </w:pPr>
      <w:r>
        <w:rPr>
          <w:b/>
          <w:bCs/>
        </w:rPr>
        <w:t xml:space="preserve">Impact.</w:t>
      </w:r>
      <w:r>
        <w:t xml:space="preserve"> </w:t>
      </w:r>
      <w:r>
        <w:t xml:space="preserve">The Form S-1 must identify the correct transfer agent. The discrepancy must be resolved, and the duplicated word</w:t>
      </w:r>
      <w:r>
        <w:t xml:space="preserve"> </w:t>
      </w:r>
      <w:r>
        <w:t xml:space="preserve">“</w:t>
      </w:r>
      <w:r>
        <w:t xml:space="preserve">Transfer</w:t>
      </w:r>
      <w:r>
        <w:t xml:space="preserve">”</w:t>
      </w:r>
      <w:r>
        <w:t xml:space="preserve"> </w:t>
      </w:r>
      <w:r>
        <w:t xml:space="preserve">in</w:t>
      </w:r>
      <w:r>
        <w:t xml:space="preserve"> </w:t>
      </w:r>
      <w:r>
        <w:t xml:space="preserve">“</w:t>
      </w:r>
      <w:r>
        <w:t xml:space="preserve">Oakvale Transfer Transfer Co.</w:t>
      </w:r>
      <w:r>
        <w:t xml:space="preserve">”</w:t>
      </w:r>
      <w:r>
        <w:t xml:space="preserve"> </w:t>
      </w:r>
      <w:r>
        <w:t xml:space="preserve">appears to be a typographical error.</w:t>
      </w:r>
    </w:p>
    <w:p>
      <w:pPr>
        <w:pStyle w:val="BodyText"/>
      </w:pPr>
      <w:r>
        <w:rPr>
          <w:b/>
          <w:bCs/>
        </w:rPr>
        <w:t xml:space="preserve">Recommended Action.</w:t>
      </w:r>
      <w:r>
        <w:t xml:space="preserve"> </w:t>
      </w:r>
      <w:r>
        <w:t xml:space="preserve">Confirm the identity of the appointed transfer agent and correct all documents for consistency. The draft Form S-1 uses a placeholder pending confirmation.</w:t>
      </w:r>
    </w:p>
    <w:bookmarkEnd w:id="31"/>
    <w:bookmarkStart w:id="32" w:name="Xd85df0da48fb5053194e7d5b29c638375c5581c"/>
    <w:p>
      <w:pPr>
        <w:pStyle w:val="Heading3"/>
      </w:pPr>
      <w:r>
        <w:t xml:space="preserve">Issue 9 — Board Size and Composition Inconsistency (HIGH)</w:t>
      </w:r>
    </w:p>
    <w:p>
      <w:pPr>
        <w:pStyle w:val="FirstParagraph"/>
      </w:pPr>
      <w:r>
        <w:rPr>
          <w:b/>
          <w:bCs/>
        </w:rPr>
        <w:t xml:space="preserve">Description.</w:t>
      </w:r>
      <w:r>
        <w:t xml:space="preserve"> </w:t>
      </w:r>
      <w:r>
        <w:t xml:space="preserve">The source documents are inconsistent as to the size of the board of directors and whether Katerina</w:t>
      </w:r>
      <w:r>
        <w:t xml:space="preserve"> </w:t>
      </w:r>
      <w:r>
        <w:t xml:space="preserve">“</w:t>
      </w:r>
      <w:r>
        <w:t xml:space="preserve">Kate</w:t>
      </w:r>
      <w:r>
        <w:t xml:space="preserve">”</w:t>
      </w:r>
      <w:r>
        <w:t xml:space="preserve"> </w:t>
      </w:r>
      <w:r>
        <w:t xml:space="preserve">Litvanova serves as a director:</w:t>
      </w:r>
    </w:p>
    <w:p>
      <w:pPr>
        <w:pStyle w:val="Compact"/>
        <w:numPr>
          <w:ilvl w:val="0"/>
          <w:numId w:val="1004"/>
        </w:numPr>
      </w:pPr>
      <w:r>
        <w:t xml:space="preserve">The amended and restated certificate of incorporation (Article V, Section 5.2) provides that the initial number of directors shall be</w:t>
      </w:r>
      <w:r>
        <w:t xml:space="preserve"> </w:t>
      </w:r>
      <w:r>
        <w:rPr>
          <w:b/>
          <w:bCs/>
        </w:rPr>
        <w:t xml:space="preserve">seven (7)</w:t>
      </w:r>
      <w:r>
        <w:t xml:space="preserve">, and the classified board provisions (Section 5.3) assign Katerina Litvanova to Class III (together with Arun Ramaswamy and Adaora Obi), implying she is a director.</w:t>
      </w:r>
    </w:p>
    <w:p>
      <w:pPr>
        <w:pStyle w:val="Compact"/>
        <w:numPr>
          <w:ilvl w:val="0"/>
          <w:numId w:val="1004"/>
        </w:numPr>
      </w:pPr>
      <w:r>
        <w:t xml:space="preserve">The management questionnaire responses (Section 6) state that</w:t>
      </w:r>
      <w:r>
        <w:t xml:space="preserve"> </w:t>
      </w:r>
      <w:r>
        <w:t xml:space="preserve">“</w:t>
      </w:r>
      <w:r>
        <w:t xml:space="preserve">The Board of Directors consists of</w:t>
      </w:r>
      <w:r>
        <w:t xml:space="preserve"> </w:t>
      </w:r>
      <w:r>
        <w:rPr>
          <w:b/>
          <w:bCs/>
        </w:rPr>
        <w:t xml:space="preserve">six members</w:t>
      </w:r>
      <w:r>
        <w:t xml:space="preserve">”</w:t>
      </w:r>
      <w:r>
        <w:t xml:space="preserve"> </w:t>
      </w:r>
      <w:r>
        <w:t xml:space="preserve">and that</w:t>
      </w:r>
      <w:r>
        <w:t xml:space="preserve"> </w:t>
      </w:r>
      <w:r>
        <w:t xml:space="preserve">“</w:t>
      </w:r>
      <w:r>
        <w:t xml:space="preserve">Katerina Litvanova, Michael D. Hartwell, and Sandra Y. Chen are executive officers but do not serve on the Board.</w:t>
      </w:r>
      <w:r>
        <w:t xml:space="preserve">”</w:t>
      </w:r>
    </w:p>
    <w:p>
      <w:pPr>
        <w:pStyle w:val="Compact"/>
        <w:numPr>
          <w:ilvl w:val="0"/>
          <w:numId w:val="1004"/>
        </w:numPr>
      </w:pPr>
      <w:r>
        <w:t xml:space="preserve">The draft roadshow presentation (Slide 7) states</w:t>
      </w:r>
      <w:r>
        <w:t xml:space="preserve"> </w:t>
      </w:r>
      <w:r>
        <w:t xml:space="preserve">“</w:t>
      </w:r>
      <w:r>
        <w:t xml:space="preserve">Three of</w:t>
      </w:r>
      <w:r>
        <w:t xml:space="preserve"> </w:t>
      </w:r>
      <w:r>
        <w:rPr>
          <w:b/>
          <w:bCs/>
        </w:rPr>
        <w:t xml:space="preserve">five</w:t>
      </w:r>
      <w:r>
        <w:t xml:space="preserve"> </w:t>
      </w:r>
      <w:r>
        <w:t xml:space="preserve">non-employee directors are independent</w:t>
      </w:r>
      <w:r>
        <w:t xml:space="preserve">”</w:t>
      </w:r>
      <w:r>
        <w:t xml:space="preserve"> </w:t>
      </w:r>
      <w:r>
        <w:t xml:space="preserve">(implying six total directors), while Slide 30 states</w:t>
      </w:r>
      <w:r>
        <w:t xml:space="preserve"> </w:t>
      </w:r>
      <w:r>
        <w:t xml:space="preserve">“</w:t>
      </w:r>
      <w:r>
        <w:t xml:space="preserve">Independent Directors: Thomas J. Moreno, Dr. Helen Park, Adaora Obi (3 of</w:t>
      </w:r>
      <w:r>
        <w:t xml:space="preserve"> </w:t>
      </w:r>
      <w:r>
        <w:rPr>
          <w:b/>
          <w:bCs/>
        </w:rPr>
        <w:t xml:space="preserve">7</w:t>
      </w:r>
      <w:r>
        <w:t xml:space="preserve"> </w:t>
      </w:r>
      <w:r>
        <w:t xml:space="preserve">total directors).</w:t>
      </w:r>
      <w:r>
        <w:t xml:space="preserve">”</w:t>
      </w:r>
    </w:p>
    <w:p>
      <w:pPr>
        <w:pStyle w:val="FirstParagraph"/>
      </w:pPr>
      <w:r>
        <w:rPr>
          <w:b/>
          <w:bCs/>
        </w:rPr>
        <w:t xml:space="preserve">Impact.</w:t>
      </w:r>
      <w:r>
        <w:t xml:space="preserve"> </w:t>
      </w:r>
      <w:r>
        <w:t xml:space="preserve">The Form S-1</w:t>
      </w:r>
      <w:r>
        <w:t xml:space="preserve"> </w:t>
      </w:r>
      <w:r>
        <w:t xml:space="preserve">“</w:t>
      </w:r>
      <w:r>
        <w:t xml:space="preserve">Management</w:t>
      </w:r>
      <w:r>
        <w:t xml:space="preserve">”</w:t>
      </w:r>
      <w:r>
        <w:t xml:space="preserve"> </w:t>
      </w:r>
      <w:r>
        <w:t xml:space="preserve">section must accurately state the number of directors and identify each director. The classified board structure and the controlled company analysis depend on the board composition. The signature page of the Form S-1 must be signed by all directors.</w:t>
      </w:r>
    </w:p>
    <w:p>
      <w:pPr>
        <w:pStyle w:val="BodyText"/>
      </w:pPr>
      <w:r>
        <w:rPr>
          <w:b/>
          <w:bCs/>
        </w:rPr>
        <w:t xml:space="preserve">Recommended Action.</w:t>
      </w:r>
      <w:r>
        <w:t xml:space="preserve"> </w:t>
      </w:r>
      <w:r>
        <w:t xml:space="preserve">(i) Confirm whether the board will consist of six or seven directors following the IPO and whether Ms. Litvanova will serve as a director. (ii) Reconcile the certificate of incorporation, the questionnaire responses, and the roadshow presentation. (iii) If the board will have seven directors including Ms. Litvanova, update the questionnaire and roadshow; if six, update the certificate of incorporation’s classified board provisions. (iv) The draft Form S-1 has been prepared with a placeholder pending confirmation and lists Ms. Litvanova as a director consistent with the certificate of incorporation.</w:t>
      </w:r>
    </w:p>
    <w:bookmarkEnd w:id="32"/>
    <w:bookmarkStart w:id="33" w:name="X0942b214c4bf24d2f3573c0934026ab8dc9d9a6"/>
    <w:p>
      <w:pPr>
        <w:pStyle w:val="Heading3"/>
      </w:pPr>
      <w:r>
        <w:t xml:space="preserve">Issue 10 — Fiscal Year 2023 Revenue Split Inconsistency (HIGH)</w:t>
      </w:r>
    </w:p>
    <w:p>
      <w:pPr>
        <w:pStyle w:val="FirstParagraph"/>
      </w:pPr>
      <w:r>
        <w:rPr>
          <w:b/>
          <w:bCs/>
        </w:rPr>
        <w:t xml:space="preserve">Description.</w:t>
      </w:r>
      <w:r>
        <w:t xml:space="preserve"> </w:t>
      </w:r>
      <w:r>
        <w:t xml:space="preserve">The CFO’s IPO readiness memorandum (Section 4.1) presents the fiscal year 2023 revenue split as subscription revenue of</w:t>
      </w:r>
      <w:r>
        <w:t xml:space="preserve"> </w:t>
      </w:r>
      <w:r>
        <w:rPr>
          <w:b/>
          <w:bCs/>
        </w:rPr>
        <w:t xml:space="preserve">$113.4 million</w:t>
      </w:r>
      <w:r>
        <w:t xml:space="preserve"> </w:t>
      </w:r>
      <w:r>
        <w:t xml:space="preserve">and professional services revenue of</w:t>
      </w:r>
      <w:r>
        <w:t xml:space="preserve"> </w:t>
      </w:r>
      <w:r>
        <w:rPr>
          <w:b/>
          <w:bCs/>
        </w:rPr>
        <w:t xml:space="preserve">$15.5 million</w:t>
      </w:r>
      <w:r>
        <w:t xml:space="preserve">. The audited consolidated statements of operations show fiscal year 2023 subscription revenue of</w:t>
      </w:r>
      <w:r>
        <w:t xml:space="preserve"> </w:t>
      </w:r>
      <w:r>
        <w:rPr>
          <w:b/>
          <w:bCs/>
        </w:rPr>
        <w:t xml:space="preserve">$116.4 million</w:t>
      </w:r>
      <w:r>
        <w:t xml:space="preserve"> </w:t>
      </w:r>
      <w:r>
        <w:t xml:space="preserve">and professional services revenue of</w:t>
      </w:r>
      <w:r>
        <w:t xml:space="preserve"> </w:t>
      </w:r>
      <w:r>
        <w:rPr>
          <w:b/>
          <w:bCs/>
        </w:rPr>
        <w:t xml:space="preserve">$12.5 million</w:t>
      </w:r>
      <w:r>
        <w:t xml:space="preserve">. The total ($128.9 million) is the same, but approximately $3.0 million has been shifted from subscription to professional services in the memorandum. As a result, the memorandum’s stated subscription growth rate of 48.7% and professional services growth rate of 20.6% are incorrect; using the audited figures, subscription growth was 44.8% and professional services growth was 49.6%.</w:t>
      </w:r>
    </w:p>
    <w:p>
      <w:pPr>
        <w:pStyle w:val="BodyText"/>
      </w:pPr>
      <w:r>
        <w:rPr>
          <w:b/>
          <w:bCs/>
        </w:rPr>
        <w:t xml:space="preserve">Impact.</w:t>
      </w:r>
      <w:r>
        <w:t xml:space="preserve"> </w:t>
      </w:r>
      <w:r>
        <w:t xml:space="preserve">The Form S-1 MD&amp;A must use the audited figures. The memorandum’s narrative regarding the subscription/professional services mix and growth rates is incorrect.</w:t>
      </w:r>
    </w:p>
    <w:p>
      <w:pPr>
        <w:pStyle w:val="BodyText"/>
      </w:pPr>
      <w:r>
        <w:rPr>
          <w:b/>
          <w:bCs/>
        </w:rPr>
        <w:t xml:space="preserve">Recommended Action.</w:t>
      </w:r>
      <w:r>
        <w:t xml:space="preserve"> </w:t>
      </w:r>
      <w:r>
        <w:t xml:space="preserve">Use the audited financial statements as the authoritative source ($116.4 million subscription; $12.5 million professional services for fiscal year 2023). The draft Form S-1 uses the audited figures. Correct the CFO’s memorandum and any derived materials.</w:t>
      </w:r>
    </w:p>
    <w:bookmarkEnd w:id="33"/>
    <w:bookmarkStart w:id="34" w:name="X0c27ab40daf376f2d76f07abafcd012ccae3ac4"/>
    <w:p>
      <w:pPr>
        <w:pStyle w:val="Heading3"/>
      </w:pPr>
      <w:r>
        <w:t xml:space="preserve">Issue 11 — Balance Sheet Line Item Inconsistencies (HIGH)</w:t>
      </w:r>
    </w:p>
    <w:p>
      <w:pPr>
        <w:pStyle w:val="FirstParagraph"/>
      </w:pPr>
      <w:r>
        <w:rPr>
          <w:b/>
          <w:bCs/>
        </w:rPr>
        <w:t xml:space="preserve">Description.</w:t>
      </w:r>
      <w:r>
        <w:t xml:space="preserve"> </w:t>
      </w:r>
      <w:r>
        <w:t xml:space="preserve">The CFO’s IPO readiness memorandum (Section 6.1) presents a condensed balance sheet as of December 31, 2024 that differs from the audited balance sheet in two line items:</w:t>
      </w:r>
    </w:p>
    <w:p>
      <w:pPr>
        <w:pStyle w:val="Compact"/>
        <w:numPr>
          <w:ilvl w:val="0"/>
          <w:numId w:val="1005"/>
        </w:numPr>
      </w:pPr>
      <w:r>
        <w:t xml:space="preserve">Accounts receivable, net: memorandum</w:t>
      </w:r>
      <w:r>
        <w:t xml:space="preserve"> </w:t>
      </w:r>
      <w:r>
        <w:rPr>
          <w:b/>
          <w:bCs/>
        </w:rPr>
        <w:t xml:space="preserve">$28.2 million</w:t>
      </w:r>
      <w:r>
        <w:t xml:space="preserve">; audited</w:t>
      </w:r>
      <w:r>
        <w:t xml:space="preserve"> </w:t>
      </w:r>
      <w:r>
        <w:rPr>
          <w:b/>
          <w:bCs/>
        </w:rPr>
        <w:t xml:space="preserve">$29.8 million</w:t>
      </w:r>
      <w:r>
        <w:t xml:space="preserve">.</w:t>
      </w:r>
    </w:p>
    <w:p>
      <w:pPr>
        <w:pStyle w:val="Compact"/>
        <w:numPr>
          <w:ilvl w:val="0"/>
          <w:numId w:val="1005"/>
        </w:numPr>
      </w:pPr>
      <w:r>
        <w:t xml:space="preserve">Prepaid expenses and other current assets: memorandum</w:t>
      </w:r>
      <w:r>
        <w:t xml:space="preserve"> </w:t>
      </w:r>
      <w:r>
        <w:rPr>
          <w:b/>
          <w:bCs/>
        </w:rPr>
        <w:t xml:space="preserve">$13.2 million</w:t>
      </w:r>
      <w:r>
        <w:t xml:space="preserve">; audited</w:t>
      </w:r>
      <w:r>
        <w:t xml:space="preserve"> </w:t>
      </w:r>
      <w:r>
        <w:rPr>
          <w:b/>
          <w:bCs/>
        </w:rPr>
        <w:t xml:space="preserve">$11.6 million</w:t>
      </w:r>
      <w:r>
        <w:t xml:space="preserve">.</w:t>
      </w:r>
    </w:p>
    <w:p>
      <w:pPr>
        <w:pStyle w:val="FirstParagraph"/>
      </w:pPr>
      <w:r>
        <w:t xml:space="preserve">The memorandum’s</w:t>
      </w:r>
      <w:r>
        <w:t xml:space="preserve"> </w:t>
      </w:r>
      <w:r>
        <w:t xml:space="preserve">“</w:t>
      </w:r>
      <w:r>
        <w:t xml:space="preserve">Total current assets</w:t>
      </w:r>
      <w:r>
        <w:t xml:space="preserve">”</w:t>
      </w:r>
      <w:r>
        <w:t xml:space="preserve"> </w:t>
      </w:r>
      <w:r>
        <w:t xml:space="preserve">of $178.4 million matches the audited total, but the components do not.</w:t>
      </w:r>
    </w:p>
    <w:p>
      <w:pPr>
        <w:pStyle w:val="BodyText"/>
      </w:pPr>
      <w:r>
        <w:rPr>
          <w:b/>
          <w:bCs/>
        </w:rPr>
        <w:t xml:space="preserve">Impact.</w:t>
      </w:r>
      <w:r>
        <w:t xml:space="preserve"> </w:t>
      </w:r>
      <w:r>
        <w:t xml:space="preserve">The Form S-1 must use the audited balance sheet figures. The memorandum’s condensed balance sheet is internally inconsistent with the audited financial statements.</w:t>
      </w:r>
    </w:p>
    <w:p>
      <w:pPr>
        <w:pStyle w:val="BodyText"/>
      </w:pPr>
      <w:r>
        <w:rPr>
          <w:b/>
          <w:bCs/>
        </w:rPr>
        <w:t xml:space="preserve">Recommended Action.</w:t>
      </w:r>
      <w:r>
        <w:t xml:space="preserve"> </w:t>
      </w:r>
      <w:r>
        <w:t xml:space="preserve">Use the audited balance sheet figures throughout the Form S-1. Correct the CFO’s memorandum. The draft Form S-1 uses the audited figures.</w:t>
      </w:r>
    </w:p>
    <w:bookmarkEnd w:id="34"/>
    <w:bookmarkStart w:id="35" w:name="X1aed7e6d5ab2a9d44897ae425ea8d2539534565"/>
    <w:p>
      <w:pPr>
        <w:pStyle w:val="Heading3"/>
      </w:pPr>
      <w:r>
        <w:t xml:space="preserve">Issue 12 — Post-IPO Ownership Estimates Do Not Tie to Beneficial Ownership (MEDIUM-HIGH)</w:t>
      </w:r>
    </w:p>
    <w:p>
      <w:pPr>
        <w:pStyle w:val="FirstParagraph"/>
      </w:pPr>
      <w:r>
        <w:rPr>
          <w:b/>
          <w:bCs/>
        </w:rPr>
        <w:t xml:space="preserve">Description.</w:t>
      </w:r>
      <w:r>
        <w:t xml:space="preserve"> </w:t>
      </w:r>
      <w:r>
        <w:t xml:space="preserve">The CFO’s IPO readiness memorandum (Section 7.2) presents estimated post-IPO ownership percentages (e.g., Graymont Ventures ~19.3%; Ridgeline Growth Partners ~12.7%; Katerina Litvanova ~8.4%) based on 102,416,667 total shares outstanding. These percentages do not tie to the beneficial ownership figures elsewhere in the memorandum and the questionnaire. For example, Graymont Ventures’ 23,607,067 shares divided by 102,416,667 shares equals approximately 23.0%, not 19.3%; Ridgeline Growth Partners’ 15,594,267 shares equals approximately 15.2%, not 12.7%; and Ms. Litvanova’s 9,693,733 shares equals approximately 9.5%, not 8.4%.</w:t>
      </w:r>
    </w:p>
    <w:p>
      <w:pPr>
        <w:pStyle w:val="BodyText"/>
      </w:pPr>
      <w:r>
        <w:rPr>
          <w:b/>
          <w:bCs/>
        </w:rPr>
        <w:t xml:space="preserve">Impact.</w:t>
      </w:r>
      <w:r>
        <w:t xml:space="preserve"> </w:t>
      </w:r>
      <w:r>
        <w:t xml:space="preserve">The</w:t>
      </w:r>
      <w:r>
        <w:t xml:space="preserve"> </w:t>
      </w:r>
      <w:r>
        <w:t xml:space="preserve">“</w:t>
      </w:r>
      <w:r>
        <w:t xml:space="preserve">Principal Stockholders</w:t>
      </w:r>
      <w:r>
        <w:t xml:space="preserve">”</w:t>
      </w:r>
      <w:r>
        <w:t xml:space="preserve"> </w:t>
      </w:r>
      <w:r>
        <w:t xml:space="preserve">table in the Form S-1 must be accurate. Inconsistent ownership percentages across documents create confusion and could result in inaccurate disclosure.</w:t>
      </w:r>
    </w:p>
    <w:p>
      <w:pPr>
        <w:pStyle w:val="BodyText"/>
      </w:pPr>
      <w:r>
        <w:rPr>
          <w:b/>
          <w:bCs/>
        </w:rPr>
        <w:t xml:space="preserve">Recommended Action.</w:t>
      </w:r>
      <w:r>
        <w:t xml:space="preserve"> </w:t>
      </w:r>
      <w:r>
        <w:t xml:space="preserve">Recompute the post-IPO ownership percentages using a consistent methodology and share base. Reconcile to the beneficial ownership table and the capitalization table. The draft Form S-1 presents the pre-IPO beneficial ownership table (on a fully diluted basis) and notes the post-IPO voting power; the post-IPO ownership table should be finalized once the share base and methodology are confirmed.</w:t>
      </w:r>
    </w:p>
    <w:bookmarkEnd w:id="35"/>
    <w:bookmarkEnd w:id="36"/>
    <w:bookmarkStart w:id="40" w:name="X6cd2add0bce54a326ab1b31c85b2be74906ecde"/>
    <w:p>
      <w:pPr>
        <w:pStyle w:val="Heading2"/>
      </w:pPr>
      <w:r>
        <w:t xml:space="preserve">VI. Equity Plan and Capitalization Data Integrity Issues</w:t>
      </w:r>
    </w:p>
    <w:bookmarkStart w:id="37" w:name="Xaddd21dcde8d647777e530a0f87a24953020845"/>
    <w:p>
      <w:pPr>
        <w:pStyle w:val="Heading3"/>
      </w:pPr>
      <w:r>
        <w:t xml:space="preserve">Issue 13 — Director Names in Equity Grant Records Do Not Match Actual Directors (HIGH)</w:t>
      </w:r>
    </w:p>
    <w:p>
      <w:pPr>
        <w:pStyle w:val="FirstParagraph"/>
      </w:pPr>
      <w:r>
        <w:rPr>
          <w:b/>
          <w:bCs/>
        </w:rPr>
        <w:t xml:space="preserve">Description.</w:t>
      </w:r>
      <w:r>
        <w:t xml:space="preserve"> </w:t>
      </w:r>
      <w:r>
        <w:t xml:space="preserve">The equity plan summary and grant records (RSU Grants tab) show fiscal year 2024 non-employee director RSU grants (RSU-2024-009 through RSU-2024-013) made to the following individuals:</w:t>
      </w:r>
      <w:r>
        <w:t xml:space="preserve"> </w:t>
      </w:r>
      <w:r>
        <w:t xml:space="preserve">“</w:t>
      </w:r>
      <w:r>
        <w:t xml:space="preserve">Anand Venkatesh,</w:t>
      </w:r>
      <w:r>
        <w:t xml:space="preserve">”</w:t>
      </w:r>
      <w:r>
        <w:t xml:space="preserve"> </w:t>
      </w:r>
      <w:r>
        <w:t xml:space="preserve">“</w:t>
      </w:r>
      <w:r>
        <w:t xml:space="preserve">Claudia Moreno,</w:t>
      </w:r>
      <w:r>
        <w:t xml:space="preserve">”</w:t>
      </w:r>
      <w:r>
        <w:t xml:space="preserve"> </w:t>
      </w:r>
      <w:r>
        <w:t xml:space="preserve">“</w:t>
      </w:r>
      <w:r>
        <w:t xml:space="preserve">David Park,</w:t>
      </w:r>
      <w:r>
        <w:t xml:space="preserve">”</w:t>
      </w:r>
      <w:r>
        <w:t xml:space="preserve"> </w:t>
      </w:r>
      <w:r>
        <w:t xml:space="preserve">“</w:t>
      </w:r>
      <w:r>
        <w:t xml:space="preserve">Soo-Yeon Kwon,</w:t>
      </w:r>
      <w:r>
        <w:t xml:space="preserve">”</w:t>
      </w:r>
      <w:r>
        <w:t xml:space="preserve"> </w:t>
      </w:r>
      <w:r>
        <w:t xml:space="preserve">and</w:t>
      </w:r>
      <w:r>
        <w:t xml:space="preserve"> </w:t>
      </w:r>
      <w:r>
        <w:t xml:space="preserve">“</w:t>
      </w:r>
      <w:r>
        <w:t xml:space="preserve">Emmanuel Obi.</w:t>
      </w:r>
      <w:r>
        <w:t xml:space="preserve">”</w:t>
      </w:r>
      <w:r>
        <w:t xml:space="preserve"> </w:t>
      </w:r>
      <w:r>
        <w:t xml:space="preserve">The actual non-employee directors of the Company are</w:t>
      </w:r>
      <w:r>
        <w:t xml:space="preserve"> </w:t>
      </w:r>
      <w:r>
        <w:rPr>
          <w:b/>
          <w:bCs/>
        </w:rPr>
        <w:t xml:space="preserve">Priya Venkatesh, Thomas J. Moreno, Dr. Helen Park, James Kwon, and Adaora Obi.</w:t>
      </w:r>
      <w:r>
        <w:t xml:space="preserve"> </w:t>
      </w:r>
      <w:r>
        <w:t xml:space="preserve">The first names in the grant records do not match the actual directors. In addition,</w:t>
      </w:r>
      <w:r>
        <w:t xml:space="preserve"> </w:t>
      </w:r>
      <w:r>
        <w:t xml:space="preserve">“</w:t>
      </w:r>
      <w:r>
        <w:t xml:space="preserve">David Park</w:t>
      </w:r>
      <w:r>
        <w:t xml:space="preserve">”</w:t>
      </w:r>
      <w:r>
        <w:t xml:space="preserve"> </w:t>
      </w:r>
      <w:r>
        <w:t xml:space="preserve">appears both as a</w:t>
      </w:r>
      <w:r>
        <w:t xml:space="preserve"> </w:t>
      </w:r>
      <w:r>
        <w:t xml:space="preserve">“</w:t>
      </w:r>
      <w:r>
        <w:t xml:space="preserve">VP Product</w:t>
      </w:r>
      <w:r>
        <w:t xml:space="preserve">”</w:t>
      </w:r>
      <w:r>
        <w:t xml:space="preserve"> </w:t>
      </w:r>
      <w:r>
        <w:t xml:space="preserve">employee (OPT-2021-002) and as a</w:t>
      </w:r>
      <w:r>
        <w:t xml:space="preserve"> </w:t>
      </w:r>
      <w:r>
        <w:t xml:space="preserve">“</w:t>
      </w:r>
      <w:r>
        <w:t xml:space="preserve">Non-Employee Director</w:t>
      </w:r>
      <w:r>
        <w:t xml:space="preserve">”</w:t>
      </w:r>
      <w:r>
        <w:t xml:space="preserve"> </w:t>
      </w:r>
      <w:r>
        <w:t xml:space="preserve">(RSU-2024-011), which is internally inconsistent.</w:t>
      </w:r>
    </w:p>
    <w:p>
      <w:pPr>
        <w:pStyle w:val="BodyText"/>
      </w:pPr>
      <w:r>
        <w:rPr>
          <w:b/>
          <w:bCs/>
        </w:rPr>
        <w:t xml:space="preserve">Impact.</w:t>
      </w:r>
      <w:r>
        <w:t xml:space="preserve"> </w:t>
      </w:r>
      <w:r>
        <w:t xml:space="preserve">The equity grant records are a source for the Form S-1’s stock-based compensation disclosures, the</w:t>
      </w:r>
      <w:r>
        <w:t xml:space="preserve"> </w:t>
      </w:r>
      <w:r>
        <w:t xml:space="preserve">“</w:t>
      </w:r>
      <w:r>
        <w:t xml:space="preserve">Recent Sales of Unregistered Securities</w:t>
      </w:r>
      <w:r>
        <w:t xml:space="preserve">”</w:t>
      </w:r>
      <w:r>
        <w:t xml:space="preserve"> </w:t>
      </w:r>
      <w:r>
        <w:t xml:space="preserve">section, and the equity plan footnotes. Incorrect grantee names could indicate data entry errors, misdirected grants, or a failure to maintain accurate cap table records, any of which would undermine the reliability of the equity disclosures and could raise questions about the Company’s internal controls over equity administration.</w:t>
      </w:r>
    </w:p>
    <w:p>
      <w:pPr>
        <w:pStyle w:val="BodyText"/>
      </w:pPr>
      <w:r>
        <w:rPr>
          <w:b/>
          <w:bCs/>
        </w:rPr>
        <w:t xml:space="preserve">Recommended Action.</w:t>
      </w:r>
      <w:r>
        <w:t xml:space="preserve"> </w:t>
      </w:r>
      <w:r>
        <w:t xml:space="preserve">(i) Reconcile the equity grant records to the cap table and the transfer agent’s records. (ii) Confirm the correct names of all grant recipients and correct the grant records. (iii) Determine whether any grants were made to individuals who are not the intended directors or employees. (iv) Verify that the director RSU grants were properly approved by the board or the compensation committee. (v) Consider whether a broader review of equity administration controls is warranted in light of these errors.</w:t>
      </w:r>
    </w:p>
    <w:bookmarkEnd w:id="37"/>
    <w:bookmarkStart w:id="38" w:name="X036c3b0b2d1b25d085cc5137e326267ab1107a8"/>
    <w:p>
      <w:pPr>
        <w:pStyle w:val="Heading3"/>
      </w:pPr>
      <w:r>
        <w:t xml:space="preserve">Issue 14 — General Counsel / Chief Revenue Officer Identity and Title Conflict (HIGH)</w:t>
      </w:r>
    </w:p>
    <w:p>
      <w:pPr>
        <w:pStyle w:val="FirstParagraph"/>
      </w:pPr>
      <w:r>
        <w:rPr>
          <w:b/>
          <w:bCs/>
        </w:rPr>
        <w:t xml:space="preserve">Description.</w:t>
      </w:r>
      <w:r>
        <w:t xml:space="preserve"> </w:t>
      </w:r>
      <w:r>
        <w:t xml:space="preserve">The management questionnaire responses, the amended and restated bylaws, and the draft roadshow presentation identify</w:t>
      </w:r>
      <w:r>
        <w:t xml:space="preserve"> </w:t>
      </w:r>
      <w:r>
        <w:rPr>
          <w:b/>
          <w:bCs/>
        </w:rPr>
        <w:t xml:space="preserve">Sandra Y. Chen</w:t>
      </w:r>
      <w:r>
        <w:t xml:space="preserve"> </w:t>
      </w:r>
      <w:r>
        <w:t xml:space="preserve">as the General Counsel and Corporate Secretary (who joined the Company in 2019 and was formerly an associate at Thorncroft &amp; Wexler LLP). However, the equity plan grant records identify</w:t>
      </w:r>
      <w:r>
        <w:t xml:space="preserve"> </w:t>
      </w:r>
      <w:r>
        <w:t xml:space="preserve">“</w:t>
      </w:r>
      <w:r>
        <w:t xml:space="preserve">Sandra Chen</w:t>
      </w:r>
      <w:r>
        <w:t xml:space="preserve">”</w:t>
      </w:r>
      <w:r>
        <w:t xml:space="preserve"> </w:t>
      </w:r>
      <w:r>
        <w:t xml:space="preserve">as</w:t>
      </w:r>
      <w:r>
        <w:t xml:space="preserve"> </w:t>
      </w:r>
      <w:r>
        <w:rPr>
          <w:b/>
          <w:bCs/>
        </w:rPr>
        <w:t xml:space="preserve">“</w:t>
      </w:r>
      <w:r>
        <w:rPr>
          <w:b/>
          <w:bCs/>
        </w:rPr>
        <w:t xml:space="preserve">VP Sales (now CRO)</w:t>
      </w:r>
      <w:r>
        <w:rPr>
          <w:b/>
          <w:bCs/>
        </w:rPr>
        <w:t xml:space="preserve">”</w:t>
      </w:r>
      <w:r>
        <w:t xml:space="preserve"> </w:t>
      </w:r>
      <w:r>
        <w:t xml:space="preserve">(OPT-2018-002, granted August 2018) and as</w:t>
      </w:r>
      <w:r>
        <w:t xml:space="preserve"> </w:t>
      </w:r>
      <w:r>
        <w:rPr>
          <w:b/>
          <w:bCs/>
        </w:rPr>
        <w:t xml:space="preserve">“</w:t>
      </w:r>
      <w:r>
        <w:rPr>
          <w:b/>
          <w:bCs/>
        </w:rPr>
        <w:t xml:space="preserve">CRO</w:t>
      </w:r>
      <w:r>
        <w:rPr>
          <w:b/>
          <w:bCs/>
        </w:rPr>
        <w:t xml:space="preserve">”</w:t>
      </w:r>
      <w:r>
        <w:t xml:space="preserve"> </w:t>
      </w:r>
      <w:r>
        <w:t xml:space="preserve">(OPT-2024-005 and RSU-2024-004, granted in 2024). The 2018 grant predates Ms. Chen’s 2019 joining as General Counsel. Separately, the equity grant records identify</w:t>
      </w:r>
      <w:r>
        <w:t xml:space="preserve"> </w:t>
      </w:r>
      <w:r>
        <w:rPr>
          <w:b/>
          <w:bCs/>
        </w:rPr>
        <w:t xml:space="preserve">“</w:t>
      </w:r>
      <w:r>
        <w:rPr>
          <w:b/>
          <w:bCs/>
        </w:rPr>
        <w:t xml:space="preserve">Thomas Brennan</w:t>
      </w:r>
      <w:r>
        <w:rPr>
          <w:b/>
          <w:bCs/>
        </w:rPr>
        <w:t xml:space="preserve">”</w:t>
      </w:r>
      <w:r>
        <w:t xml:space="preserve"> </w:t>
      </w:r>
      <w:r>
        <w:t xml:space="preserve">as</w:t>
      </w:r>
      <w:r>
        <w:t xml:space="preserve"> </w:t>
      </w:r>
      <w:r>
        <w:t xml:space="preserve">“</w:t>
      </w:r>
      <w:r>
        <w:t xml:space="preserve">General Counsel</w:t>
      </w:r>
      <w:r>
        <w:t xml:space="preserve">”</w:t>
      </w:r>
      <w:r>
        <w:t xml:space="preserve"> </w:t>
      </w:r>
      <w:r>
        <w:t xml:space="preserve">(OPT-2022-002, granted April 2022; RSU-2024-005, granted March 2024), which conflicts with Ms. Chen’s role as General Counsel.</w:t>
      </w:r>
    </w:p>
    <w:p>
      <w:pPr>
        <w:pStyle w:val="BodyText"/>
      </w:pPr>
      <w:r>
        <w:rPr>
          <w:b/>
          <w:bCs/>
        </w:rPr>
        <w:t xml:space="preserve">Impact.</w:t>
      </w:r>
      <w:r>
        <w:t xml:space="preserve"> </w:t>
      </w:r>
      <w:r>
        <w:t xml:space="preserve">The Form S-1</w:t>
      </w:r>
      <w:r>
        <w:t xml:space="preserve"> </w:t>
      </w:r>
      <w:r>
        <w:t xml:space="preserve">“</w:t>
      </w:r>
      <w:r>
        <w:t xml:space="preserve">Management</w:t>
      </w:r>
      <w:r>
        <w:t xml:space="preserve">”</w:t>
      </w:r>
      <w:r>
        <w:t xml:space="preserve"> </w:t>
      </w:r>
      <w:r>
        <w:t xml:space="preserve">section must accurately identify the executive officers and their titles. If there is a Chief Revenue Officer who is an executive officer, that person must be disclosed under Item 401 of Regulation S-K. The current draft Form S-1 lists only four executive officers (Ramaswamy, Litvanova, Hartwell, Chen). If a CRO exists, the executive officer disclosure is incomplete. The conflict between</w:t>
      </w:r>
      <w:r>
        <w:t xml:space="preserve"> </w:t>
      </w:r>
      <w:r>
        <w:t xml:space="preserve">“</w:t>
      </w:r>
      <w:r>
        <w:t xml:space="preserve">Sandra Chen (CRO)</w:t>
      </w:r>
      <w:r>
        <w:t xml:space="preserve">”</w:t>
      </w:r>
      <w:r>
        <w:t xml:space="preserve"> </w:t>
      </w:r>
      <w:r>
        <w:t xml:space="preserve">and</w:t>
      </w:r>
      <w:r>
        <w:t xml:space="preserve"> </w:t>
      </w:r>
      <w:r>
        <w:t xml:space="preserve">“</w:t>
      </w:r>
      <w:r>
        <w:t xml:space="preserve">Sandra Y. Chen (General Counsel)</w:t>
      </w:r>
      <w:r>
        <w:t xml:space="preserve">”</w:t>
      </w:r>
      <w:r>
        <w:t xml:space="preserve"> </w:t>
      </w:r>
      <w:r>
        <w:t xml:space="preserve">and the presence of</w:t>
      </w:r>
      <w:r>
        <w:t xml:space="preserve"> </w:t>
      </w:r>
      <w:r>
        <w:t xml:space="preserve">“</w:t>
      </w:r>
      <w:r>
        <w:t xml:space="preserve">Thomas Brennan (General Counsel)</w:t>
      </w:r>
      <w:r>
        <w:t xml:space="preserve">”</w:t>
      </w:r>
      <w:r>
        <w:t xml:space="preserve"> </w:t>
      </w:r>
      <w:r>
        <w:t xml:space="preserve">must be resolved.</w:t>
      </w:r>
    </w:p>
    <w:p>
      <w:pPr>
        <w:pStyle w:val="BodyText"/>
      </w:pPr>
      <w:r>
        <w:rPr>
          <w:b/>
          <w:bCs/>
        </w:rPr>
        <w:t xml:space="preserve">Recommended Action.</w:t>
      </w:r>
      <w:r>
        <w:t xml:space="preserve"> </w:t>
      </w:r>
      <w:r>
        <w:t xml:space="preserve">(i) Confirm whether</w:t>
      </w:r>
      <w:r>
        <w:t xml:space="preserve"> </w:t>
      </w:r>
      <w:r>
        <w:t xml:space="preserve">“</w:t>
      </w:r>
      <w:r>
        <w:t xml:space="preserve">Sandra Chen</w:t>
      </w:r>
      <w:r>
        <w:t xml:space="preserve">”</w:t>
      </w:r>
      <w:r>
        <w:t xml:space="preserve"> </w:t>
      </w:r>
      <w:r>
        <w:t xml:space="preserve">in the equity grant records is the same person as Sandra Y. Chen (General Counsel) or a different individual. (ii) Confirm whether Thomas Brennan is or was the General Counsel and whether he is currently employed by the Company. (iii) Determine whether the Company has a Chief Revenue Officer and, if so, whether that person is an executive officer required to be disclosed in the Form S-1. (iv) Reconcile the equity grant records, the management questionnaire, and the organizational documents. (v) Update the Form S-1</w:t>
      </w:r>
      <w:r>
        <w:t xml:space="preserve"> </w:t>
      </w:r>
      <w:r>
        <w:t xml:space="preserve">“</w:t>
      </w:r>
      <w:r>
        <w:t xml:space="preserve">Management</w:t>
      </w:r>
      <w:r>
        <w:t xml:space="preserve">”</w:t>
      </w:r>
      <w:r>
        <w:t xml:space="preserve"> </w:t>
      </w:r>
      <w:r>
        <w:t xml:space="preserve">section accordingly.</w:t>
      </w:r>
    </w:p>
    <w:bookmarkEnd w:id="38"/>
    <w:bookmarkStart w:id="39" w:name="X9604d63a2023165cdbbcab17714a367cc95f6ce"/>
    <w:p>
      <w:pPr>
        <w:pStyle w:val="Heading3"/>
      </w:pPr>
      <w:r>
        <w:t xml:space="preserve">Issue 15 — Equity Grant Record Reconciliation (MEDIUM)</w:t>
      </w:r>
    </w:p>
    <w:p>
      <w:pPr>
        <w:pStyle w:val="FirstParagraph"/>
      </w:pPr>
      <w:r>
        <w:rPr>
          <w:b/>
          <w:bCs/>
        </w:rPr>
        <w:t xml:space="preserve">Description.</w:t>
      </w:r>
      <w:r>
        <w:t xml:space="preserve"> </w:t>
      </w:r>
      <w:r>
        <w:t xml:space="preserve">The Option Grants tab of the equity plan summary shows a total of 18,910,000 shares in the</w:t>
      </w:r>
      <w:r>
        <w:t xml:space="preserve"> </w:t>
      </w:r>
      <w:r>
        <w:t xml:space="preserve">“</w:t>
      </w:r>
      <w:r>
        <w:t xml:space="preserve">Number of Shares</w:t>
      </w:r>
      <w:r>
        <w:t xml:space="preserve">”</w:t>
      </w:r>
      <w:r>
        <w:t xml:space="preserve"> </w:t>
      </w:r>
      <w:r>
        <w:t xml:space="preserve">(granted) column and 14,750,000 shares outstanding, which matches the audited financial statements (Note 12). However, the column totals (shares vested 17,165,011; shares unvested 5,816,209; exercised 60,000; cancelled 1,100,000) do not cleanly reconcile to the 14,750,000 outstanding total using a simple arithmetic relationship, suggesting that the detail records require reconciliation to the cap table. The RSU Grants tab shows 3,400,000 shares granted, 180,000 cancelled, and 3,200,000 outstanding, which matches the audited financial statements, though the gross-to-net reconciliation has a minor gap.</w:t>
      </w:r>
    </w:p>
    <w:p>
      <w:pPr>
        <w:pStyle w:val="BodyText"/>
      </w:pPr>
      <w:r>
        <w:rPr>
          <w:b/>
          <w:bCs/>
        </w:rPr>
        <w:t xml:space="preserve">Impact.</w:t>
      </w:r>
      <w:r>
        <w:t xml:space="preserve"> </w:t>
      </w:r>
      <w:r>
        <w:t xml:space="preserve">The Form S-1 stock-based compensation footnotes and the</w:t>
      </w:r>
      <w:r>
        <w:t xml:space="preserve"> </w:t>
      </w:r>
      <w:r>
        <w:t xml:space="preserve">“</w:t>
      </w:r>
      <w:r>
        <w:t xml:space="preserve">Recent Sales of Unregistered Securities</w:t>
      </w:r>
      <w:r>
        <w:t xml:space="preserve">”</w:t>
      </w:r>
      <w:r>
        <w:t xml:space="preserve"> </w:t>
      </w:r>
      <w:r>
        <w:t xml:space="preserve">section rely on accurate grant records. Discrepancies between the grant records and the audited financial statements could draw an SEC comment.</w:t>
      </w:r>
    </w:p>
    <w:p>
      <w:pPr>
        <w:pStyle w:val="BodyText"/>
      </w:pPr>
      <w:r>
        <w:rPr>
          <w:b/>
          <w:bCs/>
        </w:rPr>
        <w:t xml:space="preserve">Recommended Action.</w:t>
      </w:r>
      <w:r>
        <w:t xml:space="preserve"> </w:t>
      </w:r>
      <w:r>
        <w:t xml:space="preserve">Reconcile the equity grant detail records to the cap table, the transfer agent’s records, and the audited financial statements. Confirm the weighted-average exercise price of $8.42 per share and the outstanding share counts. Document the reconciliation.</w:t>
      </w:r>
    </w:p>
    <w:bookmarkEnd w:id="39"/>
    <w:bookmarkEnd w:id="40"/>
    <w:bookmarkStart w:id="48" w:name="X0a28112c50f3059e10f61715fbda44f4cd153ec"/>
    <w:p>
      <w:pPr>
        <w:pStyle w:val="Heading2"/>
      </w:pPr>
      <w:r>
        <w:t xml:space="preserve">VII. Open Items Requiring Resolution Before Filing</w:t>
      </w:r>
    </w:p>
    <w:bookmarkStart w:id="41" w:name="X2fb7f673fc2c2698166349d874accf3793cf34f"/>
    <w:p>
      <w:pPr>
        <w:pStyle w:val="Heading3"/>
      </w:pPr>
      <w:r>
        <w:t xml:space="preserve">Issue 16 — Controlled Company Exemption Election Not Formally Adopted (HIGH)</w:t>
      </w:r>
    </w:p>
    <w:p>
      <w:pPr>
        <w:pStyle w:val="FirstParagraph"/>
      </w:pPr>
      <w:r>
        <w:rPr>
          <w:b/>
          <w:bCs/>
        </w:rPr>
        <w:t xml:space="preserve">Description.</w:t>
      </w:r>
      <w:r>
        <w:t xml:space="preserve"> </w:t>
      </w:r>
      <w:r>
        <w:t xml:space="preserve">Following the IPO, the co-founders will hold approximately 71.8% of the total voting power, causing the Company to be a</w:t>
      </w:r>
      <w:r>
        <w:t xml:space="preserve"> </w:t>
      </w:r>
      <w:r>
        <w:t xml:space="preserve">“</w:t>
      </w:r>
      <w:r>
        <w:t xml:space="preserve">controlled company</w:t>
      </w:r>
      <w:r>
        <w:t xml:space="preserve">”</w:t>
      </w:r>
      <w:r>
        <w:t xml:space="preserve"> </w:t>
      </w:r>
      <w:r>
        <w:t xml:space="preserve">under Nasdaq Listing Rule 5615(c). The management questionnaire responses (Section 6 and Open Item 1) confirm that</w:t>
      </w:r>
      <w:r>
        <w:t xml:space="preserve"> </w:t>
      </w:r>
      <w:r>
        <w:rPr>
          <w:b/>
          <w:bCs/>
        </w:rPr>
        <w:t xml:space="preserve">no board resolution is on record</w:t>
      </w:r>
      <w:r>
        <w:t xml:space="preserve"> </w:t>
      </w:r>
      <w:r>
        <w:t xml:space="preserve">regarding whether the Company will rely on the controlled company exemptions. The questionnaire responses reflect awareness of the controlled company status but no definitive election. Current board composition (three of six, or three of seven, directors independent) indicates that reliance on at least the majority-independent-board exemption is likely necessary unless an additional independent director is appointed before the IPO.</w:t>
      </w:r>
    </w:p>
    <w:p>
      <w:pPr>
        <w:pStyle w:val="BodyText"/>
      </w:pPr>
      <w:r>
        <w:rPr>
          <w:b/>
          <w:bCs/>
        </w:rPr>
        <w:t xml:space="preserve">Impact.</w:t>
      </w:r>
      <w:r>
        <w:t xml:space="preserve"> </w:t>
      </w:r>
      <w:r>
        <w:t xml:space="preserve">The Form S-1 must disclose whether the Company intends to rely on the controlled company exemptions and the resulting governance implications. The draft Form S-1 includes risk factor disclosure regarding controlled company status and notes that the Company has not yet made a final determination. This must be resolved before the effective date.</w:t>
      </w:r>
    </w:p>
    <w:p>
      <w:pPr>
        <w:pStyle w:val="BodyText"/>
      </w:pPr>
      <w:r>
        <w:rPr>
          <w:b/>
          <w:bCs/>
        </w:rPr>
        <w:t xml:space="preserve">Recommended Action.</w:t>
      </w:r>
      <w:r>
        <w:t xml:space="preserve"> </w:t>
      </w:r>
      <w:r>
        <w:t xml:space="preserve">(i) Obtain a formal board resolution determining whether the Company will rely on the controlled company exemptions. (ii) If relying on the exemptions, finalize the Form S-1 disclosure, including the specific exemptions relied upon and the resulting governance differences. (iii) Consider whether to appoint an additional independent director to achieve a majority-independent board. (iv) Finalize committee compositions consistent with the determination.</w:t>
      </w:r>
    </w:p>
    <w:bookmarkEnd w:id="41"/>
    <w:bookmarkStart w:id="42" w:name="X5df99b9d19ad1d382ea95f225a2e39cb5642dce"/>
    <w:p>
      <w:pPr>
        <w:pStyle w:val="Heading3"/>
      </w:pPr>
      <w:r>
        <w:t xml:space="preserve">Issue 17 — Aldersgate Capital Beneficial Ownership Gap (HIGH)</w:t>
      </w:r>
    </w:p>
    <w:p>
      <w:pPr>
        <w:pStyle w:val="FirstParagraph"/>
      </w:pPr>
      <w:r>
        <w:rPr>
          <w:b/>
          <w:bCs/>
        </w:rPr>
        <w:t xml:space="preserve">Description.</w:t>
      </w:r>
      <w:r>
        <w:t xml:space="preserve"> </w:t>
      </w:r>
      <w:r>
        <w:t xml:space="preserve">Aldersgate Capital participated in the Company’s Series B financing (April 2020) and is referenced in the management questionnaire responses (Section 3.1 and Open Item 3). However, Aldersgate Capital does not appear in any current beneficial ownership disclosure, and no questionnaire respondent reports Aldersgate Capital as a current stockholder. The draft roadshow presentation (Slide 29 notes) references</w:t>
      </w:r>
      <w:r>
        <w:t xml:space="preserve"> </w:t>
      </w:r>
      <w:r>
        <w:t xml:space="preserve">“</w:t>
      </w:r>
      <w:r>
        <w:t xml:space="preserve">Crestview Capital</w:t>
      </w:r>
      <w:r>
        <w:t xml:space="preserve">”</w:t>
      </w:r>
      <w:r>
        <w:t xml:space="preserve"> </w:t>
      </w:r>
      <w:r>
        <w:t xml:space="preserve">as a Series B participant, which is a third variation of the name (Aldersgate Capital / Crestview Capital), further complicating the analysis.</w:t>
      </w:r>
    </w:p>
    <w:p>
      <w:pPr>
        <w:pStyle w:val="BodyText"/>
      </w:pPr>
      <w:r>
        <w:rPr>
          <w:b/>
          <w:bCs/>
        </w:rPr>
        <w:t xml:space="preserve">Impact.</w:t>
      </w:r>
      <w:r>
        <w:t xml:space="preserve"> </w:t>
      </w:r>
      <w:r>
        <w:t xml:space="preserve">If Aldersgate Capital (or</w:t>
      </w:r>
      <w:r>
        <w:t xml:space="preserve"> </w:t>
      </w:r>
      <w:r>
        <w:t xml:space="preserve">“</w:t>
      </w:r>
      <w:r>
        <w:t xml:space="preserve">Crestview Capital</w:t>
      </w:r>
      <w:r>
        <w:t xml:space="preserve">”</w:t>
      </w:r>
      <w:r>
        <w:t xml:space="preserve">) holds 5% or more of any class of the Company’s securities, it must be included in the</w:t>
      </w:r>
      <w:r>
        <w:t xml:space="preserve"> </w:t>
      </w:r>
      <w:r>
        <w:t xml:space="preserve">“</w:t>
      </w:r>
      <w:r>
        <w:t xml:space="preserve">Principal Stockholders</w:t>
      </w:r>
      <w:r>
        <w:t xml:space="preserve">”</w:t>
      </w:r>
      <w:r>
        <w:t xml:space="preserve"> </w:t>
      </w:r>
      <w:r>
        <w:t xml:space="preserve">table in the Form S-1 under Item 403 of Regulation S-K. The principal stockholders table cannot be finalized until this is resolved. The inconsistent naming (Aldersgate vs. Crestview) must also be resolved.</w:t>
      </w:r>
    </w:p>
    <w:p>
      <w:pPr>
        <w:pStyle w:val="BodyText"/>
      </w:pPr>
      <w:r>
        <w:rPr>
          <w:b/>
          <w:bCs/>
        </w:rPr>
        <w:t xml:space="preserve">Recommended Action.</w:t>
      </w:r>
      <w:r>
        <w:t xml:space="preserve"> </w:t>
      </w:r>
      <w:r>
        <w:t xml:space="preserve">(i) Confirm from the Company’s stock transfer records the current holdings of Aldersgate Capital (and reconcile the</w:t>
      </w:r>
      <w:r>
        <w:t xml:space="preserve"> </w:t>
      </w:r>
      <w:r>
        <w:t xml:space="preserve">“</w:t>
      </w:r>
      <w:r>
        <w:t xml:space="preserve">Crestview Capital</w:t>
      </w:r>
      <w:r>
        <w:t xml:space="preserve">”</w:t>
      </w:r>
      <w:r>
        <w:t xml:space="preserve"> </w:t>
      </w:r>
      <w:r>
        <w:t xml:space="preserve">reference). (ii) Obtain copies of any secondary transfer agreements. (iii) If Aldersgate Capital holds 5% or more of any class of securities, obtain a completed D&amp;O questionnaire or equivalent disclosure and include it in the principal stockholders table. (iv) Resolve the name discrepancy.</w:t>
      </w:r>
    </w:p>
    <w:bookmarkEnd w:id="42"/>
    <w:bookmarkStart w:id="43" w:name="issue-18-missing-director-ages-medium"/>
    <w:p>
      <w:pPr>
        <w:pStyle w:val="Heading3"/>
      </w:pPr>
      <w:r>
        <w:t xml:space="preserve">Issue 18 — Missing Director Ages (MEDIUM)</w:t>
      </w:r>
    </w:p>
    <w:p>
      <w:pPr>
        <w:pStyle w:val="FirstParagraph"/>
      </w:pPr>
      <w:r>
        <w:rPr>
          <w:b/>
          <w:bCs/>
        </w:rPr>
        <w:t xml:space="preserve">Description.</w:t>
      </w:r>
      <w:r>
        <w:t xml:space="preserve"> </w:t>
      </w:r>
      <w:r>
        <w:t xml:space="preserve">The management questionnaire responses (Open Item 4) note that ages for the non-employee directors (Venkatesh, Moreno, Park, Kwon, and Obi) were not provided in all responses. Item 401 of Regulation S-K requires disclosure of the age of each director and executive officer.</w:t>
      </w:r>
    </w:p>
    <w:p>
      <w:pPr>
        <w:pStyle w:val="BodyText"/>
      </w:pPr>
      <w:r>
        <w:rPr>
          <w:b/>
          <w:bCs/>
        </w:rPr>
        <w:t xml:space="preserve">Impact.</w:t>
      </w:r>
      <w:r>
        <w:t xml:space="preserve"> </w:t>
      </w:r>
      <w:r>
        <w:t xml:space="preserve">The Form S-1</w:t>
      </w:r>
      <w:r>
        <w:t xml:space="preserve"> </w:t>
      </w:r>
      <w:r>
        <w:t xml:space="preserve">“</w:t>
      </w:r>
      <w:r>
        <w:t xml:space="preserve">Management</w:t>
      </w:r>
      <w:r>
        <w:t xml:space="preserve">”</w:t>
      </w:r>
      <w:r>
        <w:t xml:space="preserve"> </w:t>
      </w:r>
      <w:r>
        <w:t xml:space="preserve">section must include the age of each director and executive officer.</w:t>
      </w:r>
    </w:p>
    <w:p>
      <w:pPr>
        <w:pStyle w:val="BodyText"/>
      </w:pPr>
      <w:r>
        <w:rPr>
          <w:b/>
          <w:bCs/>
        </w:rPr>
        <w:t xml:space="preserve">Recommended Action.</w:t>
      </w:r>
      <w:r>
        <w:t xml:space="preserve"> </w:t>
      </w:r>
      <w:r>
        <w:t xml:space="preserve">Obtain confirmed ages for all directors and executive officers and complete the Form S-1. The draft Form S-1 uses placeholders for the missing ages.</w:t>
      </w:r>
    </w:p>
    <w:bookmarkEnd w:id="43"/>
    <w:bookmarkStart w:id="44" w:name="X82a02a2a07587821852867b87a3a0b7521165d2"/>
    <w:p>
      <w:pPr>
        <w:pStyle w:val="Heading3"/>
      </w:pPr>
      <w:r>
        <w:t xml:space="preserve">Issue 19 — Lock-Up Coverage for Fund Entities (MEDIUM)</w:t>
      </w:r>
    </w:p>
    <w:p>
      <w:pPr>
        <w:pStyle w:val="FirstParagraph"/>
      </w:pPr>
      <w:r>
        <w:rPr>
          <w:b/>
          <w:bCs/>
        </w:rPr>
        <w:t xml:space="preserve">Description.</w:t>
      </w:r>
      <w:r>
        <w:t xml:space="preserve"> </w:t>
      </w:r>
      <w:r>
        <w:t xml:space="preserve">The management questionnaire responses (Open Item 5) note that the Company’s shares held by Graymont Ventures and Ridgeline Growth Partners are held at the fund level (Graymont Ventures Fund III, L.P. and Fund IV, L.P.; Ridgeline Growth Partners Fund V, L.P.), not in the individual names of Ms. Venkatesh and Mr. Kwon. The lock-up agreements must bind the fund-level entities that hold the shares, not merely the individual directors.</w:t>
      </w:r>
    </w:p>
    <w:p>
      <w:pPr>
        <w:pStyle w:val="BodyText"/>
      </w:pPr>
      <w:r>
        <w:rPr>
          <w:b/>
          <w:bCs/>
        </w:rPr>
        <w:t xml:space="preserve">Impact.</w:t>
      </w:r>
      <w:r>
        <w:t xml:space="preserve"> </w:t>
      </w:r>
      <w:r>
        <w:t xml:space="preserve">If the lock-up agreements are executed only by the individual directors and not by the fund entities, the lock-up may not effectively restrict the sale of the shares held by the funds, undermining the lock-up arrangement.</w:t>
      </w:r>
    </w:p>
    <w:p>
      <w:pPr>
        <w:pStyle w:val="BodyText"/>
      </w:pPr>
      <w:r>
        <w:rPr>
          <w:b/>
          <w:bCs/>
        </w:rPr>
        <w:t xml:space="preserve">Recommended Action.</w:t>
      </w:r>
      <w:r>
        <w:t xml:space="preserve"> </w:t>
      </w:r>
      <w:r>
        <w:t xml:space="preserve">Ensure that the lock-up agreements are executed by the fund entities (and their general partners) that hold the shares, in addition to the individual directors. Cross-reference with the underwriting agreement and the lock-up letter forms. The draft Form S-1</w:t>
      </w:r>
      <w:r>
        <w:t xml:space="preserve"> </w:t>
      </w:r>
      <w:r>
        <w:t xml:space="preserve">“</w:t>
      </w:r>
      <w:r>
        <w:t xml:space="preserve">Plan of Distribution</w:t>
      </w:r>
      <w:r>
        <w:t xml:space="preserve">”</w:t>
      </w:r>
      <w:r>
        <w:t xml:space="preserve"> </w:t>
      </w:r>
      <w:r>
        <w:t xml:space="preserve">notes that the lock-up agreements will be entered into by the fund entities.</w:t>
      </w:r>
    </w:p>
    <w:bookmarkEnd w:id="44"/>
    <w:bookmarkStart w:id="45" w:name="X7a2254ac90f1c346ad0a785ce603a1fbb4dcb4c"/>
    <w:p>
      <w:pPr>
        <w:pStyle w:val="Heading3"/>
      </w:pPr>
      <w:r>
        <w:t xml:space="preserve">Issue 20 — Final 409A Valuation Not Yet Delivered (MEDIUM)</w:t>
      </w:r>
    </w:p>
    <w:p>
      <w:pPr>
        <w:pStyle w:val="FirstParagraph"/>
      </w:pPr>
      <w:r>
        <w:rPr>
          <w:b/>
          <w:bCs/>
        </w:rPr>
        <w:t xml:space="preserve">Description.</w:t>
      </w:r>
      <w:r>
        <w:t xml:space="preserve"> </w:t>
      </w:r>
      <w:r>
        <w:t xml:space="preserve">The equity plan summary (409A Valuations tab) shows a preliminary valuation as of December 31, 2024 with a fair market value of $18.50 per share, with the final report and board approval</w:t>
      </w:r>
      <w:r>
        <w:t xml:space="preserve"> </w:t>
      </w:r>
      <w:r>
        <w:t xml:space="preserve">“</w:t>
      </w:r>
      <w:r>
        <w:t xml:space="preserve">pending — expected February 2025.</w:t>
      </w:r>
      <w:r>
        <w:t xml:space="preserve">”</w:t>
      </w:r>
      <w:r>
        <w:t xml:space="preserve"> </w:t>
      </w:r>
      <w:r>
        <w:t xml:space="preserve">This valuation is expected to be referenced in the Form S-1 stock-based compensation footnote.</w:t>
      </w:r>
    </w:p>
    <w:p>
      <w:pPr>
        <w:pStyle w:val="BodyText"/>
      </w:pPr>
      <w:r>
        <w:rPr>
          <w:b/>
          <w:bCs/>
        </w:rPr>
        <w:t xml:space="preserve">Impact.</w:t>
      </w:r>
      <w:r>
        <w:t xml:space="preserve"> </w:t>
      </w:r>
      <w:r>
        <w:t xml:space="preserve">The stock-based compensation disclosures in the Form S-1 rely on the final 409A valuation. Filing before the final valuation is delivered and approved could result in incomplete or inaccurate disclosure.</w:t>
      </w:r>
    </w:p>
    <w:p>
      <w:pPr>
        <w:pStyle w:val="BodyText"/>
      </w:pPr>
      <w:r>
        <w:rPr>
          <w:b/>
          <w:bCs/>
        </w:rPr>
        <w:t xml:space="preserve">Recommended Action.</w:t>
      </w:r>
      <w:r>
        <w:t xml:space="preserve"> </w:t>
      </w:r>
      <w:r>
        <w:t xml:space="preserve">(i) Obtain the final 409A valuation report and board approval before filing. (ii) Update the stock-based compensation footnote accordingly. (iii) Coordinate with Archer Pryce LLP to ensure the SBC disclosures are consistent with the final valuation.</w:t>
      </w:r>
    </w:p>
    <w:bookmarkEnd w:id="45"/>
    <w:bookmarkStart w:id="46" w:name="X3e2f52696a345e73f68f7900c9870f164b3a468"/>
    <w:p>
      <w:pPr>
        <w:pStyle w:val="Heading3"/>
      </w:pPr>
      <w:r>
        <w:t xml:space="preserve">Issue 21 — Section 382 Study Not Completed (MEDIUM)</w:t>
      </w:r>
    </w:p>
    <w:p>
      <w:pPr>
        <w:pStyle w:val="FirstParagraph"/>
      </w:pPr>
      <w:r>
        <w:rPr>
          <w:b/>
          <w:bCs/>
        </w:rPr>
        <w:t xml:space="preserve">Description.</w:t>
      </w:r>
      <w:r>
        <w:t xml:space="preserve"> </w:t>
      </w:r>
      <w:r>
        <w:t xml:space="preserve">The audited financial statements (Note 13) disclose that the Company has approximately $228.0 million of federal NOL carryforwards and $166.0 million of state NOL carryforwards, and that the Company</w:t>
      </w:r>
      <w:r>
        <w:t xml:space="preserve"> </w:t>
      </w:r>
      <w:r>
        <w:t xml:space="preserve">“</w:t>
      </w:r>
      <w:r>
        <w:t xml:space="preserve">has not yet completed a Section 382 study.</w:t>
      </w:r>
      <w:r>
        <w:t xml:space="preserve">”</w:t>
      </w:r>
      <w:r>
        <w:t xml:space="preserve"> </w:t>
      </w:r>
      <w:r>
        <w:t xml:space="preserve">The IPO and other equity transactions could trigger an</w:t>
      </w:r>
      <w:r>
        <w:t xml:space="preserve"> </w:t>
      </w:r>
      <w:r>
        <w:t xml:space="preserve">“</w:t>
      </w:r>
      <w:r>
        <w:t xml:space="preserve">ownership change</w:t>
      </w:r>
      <w:r>
        <w:t xml:space="preserve">”</w:t>
      </w:r>
      <w:r>
        <w:t xml:space="preserve"> </w:t>
      </w:r>
      <w:r>
        <w:t xml:space="preserve">under Section 382 of the Internal Revenue Code, limiting the Company’s ability to utilize its NOLs.</w:t>
      </w:r>
    </w:p>
    <w:p>
      <w:pPr>
        <w:pStyle w:val="BodyText"/>
      </w:pPr>
      <w:r>
        <w:rPr>
          <w:b/>
          <w:bCs/>
        </w:rPr>
        <w:t xml:space="preserve">Impact.</w:t>
      </w:r>
      <w:r>
        <w:t xml:space="preserve"> </w:t>
      </w:r>
      <w:r>
        <w:t xml:space="preserve">The Form S-1 includes a risk factor regarding potential limitations on NOL utilization. The absence of a completed Section 382 study means the Company cannot quantify the potential limitation.</w:t>
      </w:r>
    </w:p>
    <w:p>
      <w:pPr>
        <w:pStyle w:val="BodyText"/>
      </w:pPr>
      <w:r>
        <w:rPr>
          <w:b/>
          <w:bCs/>
        </w:rPr>
        <w:t xml:space="preserve">Recommended Action.</w:t>
      </w:r>
      <w:r>
        <w:t xml:space="preserve"> </w:t>
      </w:r>
      <w:r>
        <w:t xml:space="preserve">(i) Commission a Section 382 study before or promptly after the IPO. (ii) Consider whether the IPO itself (combined with prior equity transactions) triggers an ownership change. (iii) Update the Form S-1 disclosure once the study is complete, if material. (iv) Consider whether any tax disclosure in the MD&amp;A is required.</w:t>
      </w:r>
    </w:p>
    <w:bookmarkEnd w:id="46"/>
    <w:bookmarkStart w:id="47" w:name="X59c5598cd1ff7f23a82ba2e6a5bad4e85e9a542"/>
    <w:p>
      <w:pPr>
        <w:pStyle w:val="Heading3"/>
      </w:pPr>
      <w:r>
        <w:t xml:space="preserve">Issue 22 — Cheap Stock / 409A Timing Risk for Q1 2023 Grants (MEDIUM)</w:t>
      </w:r>
    </w:p>
    <w:p>
      <w:pPr>
        <w:pStyle w:val="FirstParagraph"/>
      </w:pPr>
      <w:r>
        <w:rPr>
          <w:b/>
          <w:bCs/>
        </w:rPr>
        <w:t xml:space="preserve">Description.</w:t>
      </w:r>
      <w:r>
        <w:t xml:space="preserve"> </w:t>
      </w:r>
      <w:r>
        <w:t xml:space="preserve">The audited financial statements (Note 12(e)) and the equity plan summary disclose that during the three months ended March 31, 2023, the Company granted 2,400,000 stock options with an exercise price of $9.50 per share, based on the September 30, 2022 409A valuation. A subsequent 409A valuation as of March 31, 2023 determined the fair value to be $14.20 per share. The grants were made before the updated valuation was obtained. Several other grants referenced valuations that were completed after the grant date or that were within the 12-month reliance window.</w:t>
      </w:r>
    </w:p>
    <w:p>
      <w:pPr>
        <w:pStyle w:val="BodyText"/>
      </w:pPr>
      <w:r>
        <w:rPr>
          <w:b/>
          <w:bCs/>
        </w:rPr>
        <w:t xml:space="preserve">Impact.</w:t>
      </w:r>
      <w:r>
        <w:t xml:space="preserve"> </w:t>
      </w:r>
      <w:r>
        <w:t xml:space="preserve">The SEC frequently comments on</w:t>
      </w:r>
      <w:r>
        <w:t xml:space="preserve"> </w:t>
      </w:r>
      <w:r>
        <w:t xml:space="preserve">“</w:t>
      </w:r>
      <w:r>
        <w:t xml:space="preserve">cheap stock</w:t>
      </w:r>
      <w:r>
        <w:t xml:space="preserve">”</w:t>
      </w:r>
      <w:r>
        <w:t xml:space="preserve"> </w:t>
      </w:r>
      <w:r>
        <w:t xml:space="preserve">issues where option exercise prices are based on stale or lower valuations, particularly in the period leading up to an IPO. The Company may face questions regarding whether the grant-date fair values were appropriate and whether additional stock-based compensation expense should be recognized.</w:t>
      </w:r>
    </w:p>
    <w:p>
      <w:pPr>
        <w:pStyle w:val="BodyText"/>
      </w:pPr>
      <w:r>
        <w:rPr>
          <w:b/>
          <w:bCs/>
        </w:rPr>
        <w:t xml:space="preserve">Recommended Action.</w:t>
      </w:r>
      <w:r>
        <w:t xml:space="preserve"> </w:t>
      </w:r>
      <w:r>
        <w:t xml:space="preserve">(i) Review the 409A valuation history with the valuation specialist and counsel. (ii) Be prepared to respond to SEC comments regarding the Q1 2023 grants and the reliance on the September 30, 2022 valuation. (iii) Ensure the stock-based compensation footnote fully discloses the valuation methodology and the timing of grants relative to valuations. (iv) Consider whether any additional SBC expense or correction is required.</w:t>
      </w:r>
    </w:p>
    <w:bookmarkEnd w:id="47"/>
    <w:bookmarkEnd w:id="48"/>
    <w:bookmarkStart w:id="55" w:name="Xef0a66013edea2d8d2c6af35b73fe4c4d48a690"/>
    <w:p>
      <w:pPr>
        <w:pStyle w:val="Heading2"/>
      </w:pPr>
      <w:r>
        <w:t xml:space="preserve">VIII. Legal, Regulatory, and Structural Risks</w:t>
      </w:r>
    </w:p>
    <w:bookmarkStart w:id="49" w:name="Xab82900d083b4fc9bb3556f9f88b924f7ad2c46"/>
    <w:p>
      <w:pPr>
        <w:pStyle w:val="Heading3"/>
      </w:pPr>
      <w:r>
        <w:t xml:space="preserve">Issue 23 — Pending Optivance Patent Litigation (HIGH)</w:t>
      </w:r>
    </w:p>
    <w:p>
      <w:pPr>
        <w:pStyle w:val="FirstParagraph"/>
      </w:pPr>
      <w:r>
        <w:rPr>
          <w:b/>
          <w:bCs/>
        </w:rPr>
        <w:t xml:space="preserve">Description.</w:t>
      </w:r>
      <w:r>
        <w:t xml:space="preserve"> </w:t>
      </w:r>
      <w:r>
        <w:t xml:space="preserve">The Company is a defendant in</w:t>
      </w:r>
      <w:r>
        <w:t xml:space="preserve"> </w:t>
      </w:r>
      <w:r>
        <w:rPr>
          <w:i/>
          <w:iCs/>
        </w:rPr>
        <w:t xml:space="preserve">Optivance, Inc. v. Crestline Software, Inc.</w:t>
      </w:r>
      <w:r>
        <w:t xml:space="preserve">, Case No. 6:24-cv-00831 (E.D. Tex.), filed September 12, 2024, alleging infringement of U.S. Patent No. 11,284,107. Outside patent counsel estimates potential exposure of $5.0 million to $20.0 million in the event of an adverse judgment, characterized as low probability. No loss accrual has been recorded.</w:t>
      </w:r>
    </w:p>
    <w:p>
      <w:pPr>
        <w:pStyle w:val="BodyText"/>
      </w:pPr>
      <w:r>
        <w:rPr>
          <w:b/>
          <w:bCs/>
        </w:rPr>
        <w:t xml:space="preserve">Related risk — term loan default threshold.</w:t>
      </w:r>
      <w:r>
        <w:t xml:space="preserve"> </w:t>
      </w:r>
      <w:r>
        <w:t xml:space="preserve">The term loan agreement (Section 8.1(h)) provides that one or more judgments for the payment of money in excess of $5.0 million in the aggregate that remain undischarged for 60 days constitute an event of default. The upper end of the estimated exposure ($20.0 million) exceeds this $5.0 million threshold. An adverse judgment at or above the threshold that is not bonded, appealed, or stayed could trigger an acceleration of the $40.0 million term loan. The term loan agreement also requires the Company to notify the lender of material litigation.</w:t>
      </w:r>
    </w:p>
    <w:p>
      <w:pPr>
        <w:pStyle w:val="BodyText"/>
      </w:pPr>
      <w:r>
        <w:rPr>
          <w:b/>
          <w:bCs/>
        </w:rPr>
        <w:t xml:space="preserve">Impact.</w:t>
      </w:r>
      <w:r>
        <w:t xml:space="preserve"> </w:t>
      </w:r>
      <w:r>
        <w:t xml:space="preserve">The litigation must be disclosed in the Form S-1</w:t>
      </w:r>
      <w:r>
        <w:t xml:space="preserve"> </w:t>
      </w:r>
      <w:r>
        <w:t xml:space="preserve">“</w:t>
      </w:r>
      <w:r>
        <w:t xml:space="preserve">Legal Proceedings</w:t>
      </w:r>
      <w:r>
        <w:t xml:space="preserve">”</w:t>
      </w:r>
      <w:r>
        <w:t xml:space="preserve"> </w:t>
      </w:r>
      <w:r>
        <w:t xml:space="preserve">and</w:t>
      </w:r>
      <w:r>
        <w:t xml:space="preserve"> </w:t>
      </w:r>
      <w:r>
        <w:t xml:space="preserve">“</w:t>
      </w:r>
      <w:r>
        <w:t xml:space="preserve">Risk Factors</w:t>
      </w:r>
      <w:r>
        <w:t xml:space="preserve">”</w:t>
      </w:r>
      <w:r>
        <w:t xml:space="preserve"> </w:t>
      </w:r>
      <w:r>
        <w:t xml:space="preserve">sections (the draft Form S-1 includes this disclosure). The interaction with the term loan default threshold should be specifically disclosed.</w:t>
      </w:r>
    </w:p>
    <w:p>
      <w:pPr>
        <w:pStyle w:val="BodyText"/>
      </w:pPr>
      <w:r>
        <w:rPr>
          <w:b/>
          <w:bCs/>
        </w:rPr>
        <w:t xml:space="preserve">Recommended Action.</w:t>
      </w:r>
      <w:r>
        <w:t xml:space="preserve"> </w:t>
      </w:r>
      <w:r>
        <w:t xml:space="preserve">(i) Ensure the Form S-1 disclosure of the litigation is complete and consistent across the</w:t>
      </w:r>
      <w:r>
        <w:t xml:space="preserve"> </w:t>
      </w:r>
      <w:r>
        <w:t xml:space="preserve">“</w:t>
      </w:r>
      <w:r>
        <w:t xml:space="preserve">Legal Proceedings,</w:t>
      </w:r>
      <w:r>
        <w:t xml:space="preserve">”</w:t>
      </w:r>
      <w:r>
        <w:t xml:space="preserve"> </w:t>
      </w:r>
      <w:r>
        <w:t xml:space="preserve">“</w:t>
      </w:r>
      <w:r>
        <w:t xml:space="preserve">Risk Factors,</w:t>
      </w:r>
      <w:r>
        <w:t xml:space="preserve">”</w:t>
      </w:r>
      <w:r>
        <w:t xml:space="preserve"> </w:t>
      </w:r>
      <w:r>
        <w:t xml:space="preserve">“</w:t>
      </w:r>
      <w:r>
        <w:t xml:space="preserve">Description of Indebtedness,</w:t>
      </w:r>
      <w:r>
        <w:t xml:space="preserve">”</w:t>
      </w:r>
      <w:r>
        <w:t xml:space="preserve"> </w:t>
      </w:r>
      <w:r>
        <w:t xml:space="preserve">and the financial statement notes. (ii) Disclose the term loan judgment threshold and the potential consequences of an adverse judgment. (iii) Monitor the litigation and develop bonding, appeal, or stay strategies in the event of an unfavorable result. (iv) Confirm that the lender has been notified of the litigation as required by the credit agreement. (v) Consider whether the range of loss estimate should be updated as the litigation progresses.</w:t>
      </w:r>
    </w:p>
    <w:bookmarkEnd w:id="49"/>
    <w:bookmarkStart w:id="50" w:name="Xcedfd0ff3fa4fe927f3bfb32e578427ebc8c81f"/>
    <w:p>
      <w:pPr>
        <w:pStyle w:val="Heading3"/>
      </w:pPr>
      <w:r>
        <w:t xml:space="preserve">Issue 24 — Absence of Dual-Class Sunset Provision (HIGH)</w:t>
      </w:r>
    </w:p>
    <w:p>
      <w:pPr>
        <w:pStyle w:val="FirstParagraph"/>
      </w:pPr>
      <w:r>
        <w:rPr>
          <w:b/>
          <w:bCs/>
        </w:rPr>
        <w:t xml:space="preserve">Description.</w:t>
      </w:r>
      <w:r>
        <w:t xml:space="preserve"> </w:t>
      </w:r>
      <w:r>
        <w:t xml:space="preserve">The amended and restated certificate of incorporation (Article IV, Section 4.3) provides that Class B common stock automatically converts into Class A common stock only upon (i) transfer to a non-permitted transferee or (ii) the death or incapacity of the holder. There is</w:t>
      </w:r>
      <w:r>
        <w:t xml:space="preserve"> </w:t>
      </w:r>
      <w:r>
        <w:rPr>
          <w:b/>
          <w:bCs/>
        </w:rPr>
        <w:t xml:space="preserve">no time-based sunset</w:t>
      </w:r>
      <w:r>
        <w:t xml:space="preserve"> </w:t>
      </w:r>
      <w:r>
        <w:t xml:space="preserve">(e.g., 7, 10, or 12 years from the IPO) and</w:t>
      </w:r>
      <w:r>
        <w:t xml:space="preserve"> </w:t>
      </w:r>
      <w:r>
        <w:rPr>
          <w:b/>
          <w:bCs/>
        </w:rPr>
        <w:t xml:space="preserve">no ownership-percentage-based sunset</w:t>
      </w:r>
      <w:r>
        <w:t xml:space="preserve">. The dual-class structure will persist indefinitely.</w:t>
      </w:r>
    </w:p>
    <w:p>
      <w:pPr>
        <w:pStyle w:val="BodyText"/>
      </w:pPr>
      <w:r>
        <w:rPr>
          <w:b/>
          <w:bCs/>
        </w:rPr>
        <w:t xml:space="preserve">Impact.</w:t>
      </w:r>
      <w:r>
        <w:t xml:space="preserve"> </w:t>
      </w:r>
      <w:r>
        <w:t xml:space="preserve">The absence of a sunset is a significant governance concern for institutional investors and proxy advisors. Certain index providers (including S&amp;P Dow Jones Indices and FTSE Russell) exclude companies with multi-class share structures from inclusion in certain indices, which could reduce demand for the Class A common stock and adversely affect the trading price. The draft Form S-1 includes a risk factor regarding the absence of a sunset.</w:t>
      </w:r>
    </w:p>
    <w:p>
      <w:pPr>
        <w:pStyle w:val="BodyText"/>
      </w:pPr>
      <w:r>
        <w:rPr>
          <w:b/>
          <w:bCs/>
        </w:rPr>
        <w:t xml:space="preserve">Recommended Action.</w:t>
      </w:r>
      <w:r>
        <w:t xml:space="preserve"> </w:t>
      </w:r>
      <w:r>
        <w:t xml:space="preserve">(i) Consider whether to adopt a sunset provision before the IPO, weighing the benefits of founder control against the potential impact on index inclusion and investor demand. (ii) If no sunset is adopted, ensure the risk factor disclosure is prominent and complete, including the potential for index exclusion. (iii) Disclose the conversion triggers and the absence of a sunset in the</w:t>
      </w:r>
      <w:r>
        <w:t xml:space="preserve"> </w:t>
      </w:r>
      <w:r>
        <w:t xml:space="preserve">“</w:t>
      </w:r>
      <w:r>
        <w:t xml:space="preserve">Description of Capital Stock.</w:t>
      </w:r>
      <w:r>
        <w:t xml:space="preserve">”</w:t>
      </w:r>
    </w:p>
    <w:bookmarkEnd w:id="50"/>
    <w:bookmarkStart w:id="51" w:name="Xd42aa5393bad6a9caeda0497800054f6b08311b"/>
    <w:p>
      <w:pPr>
        <w:pStyle w:val="Heading3"/>
      </w:pPr>
      <w:r>
        <w:t xml:space="preserve">Issue 25 — Federal Forum Selection Clause for Securities Act Claims (MEDIUM)</w:t>
      </w:r>
    </w:p>
    <w:p>
      <w:pPr>
        <w:pStyle w:val="FirstParagraph"/>
      </w:pPr>
      <w:r>
        <w:rPr>
          <w:b/>
          <w:bCs/>
        </w:rPr>
        <w:t xml:space="preserve">Description.</w:t>
      </w:r>
      <w:r>
        <w:t xml:space="preserve"> </w:t>
      </w:r>
      <w:r>
        <w:t xml:space="preserve">The amended and restated certificate of incorporation (Article X, Section 10.2) designates the federal district courts of the United States as the exclusive forum for claims arising under the Securities Act. This provision is permissible following</w:t>
      </w:r>
      <w:r>
        <w:t xml:space="preserve"> </w:t>
      </w:r>
      <w:r>
        <w:rPr>
          <w:i/>
          <w:iCs/>
        </w:rPr>
        <w:t xml:space="preserve">Salzberg v. Sciabacucucchi</w:t>
      </w:r>
      <w:r>
        <w:t xml:space="preserve"> </w:t>
      </w:r>
      <w:r>
        <w:t xml:space="preserve">(Del. 2020), but it limits the ability of stockholders to bring Securities Act claims (including Section 11 claims) in state court, where such claims are concurrently available under</w:t>
      </w:r>
      <w:r>
        <w:t xml:space="preserve"> </w:t>
      </w:r>
      <w:r>
        <w:rPr>
          <w:i/>
          <w:iCs/>
        </w:rPr>
        <w:t xml:space="preserve">Cyan Inc. v. Beaver County Employees Retirement Fund</w:t>
      </w:r>
      <w:r>
        <w:t xml:space="preserve"> </w:t>
      </w:r>
      <w:r>
        <w:t xml:space="preserve">(2018).</w:t>
      </w:r>
    </w:p>
    <w:p>
      <w:pPr>
        <w:pStyle w:val="BodyText"/>
      </w:pPr>
      <w:r>
        <w:rPr>
          <w:b/>
          <w:bCs/>
        </w:rPr>
        <w:t xml:space="preserve">Impact.</w:t>
      </w:r>
      <w:r>
        <w:t xml:space="preserve"> </w:t>
      </w:r>
      <w:r>
        <w:t xml:space="preserve">The exclusive federal forum provision may discourage the filing of Securities Act claims and may be challenged. The draft Form S-1 includes a risk factor regarding the exclusive forum provisions.</w:t>
      </w:r>
    </w:p>
    <w:p>
      <w:pPr>
        <w:pStyle w:val="BodyText"/>
      </w:pPr>
      <w:r>
        <w:rPr>
          <w:b/>
          <w:bCs/>
        </w:rPr>
        <w:t xml:space="preserve">Recommended Action.</w:t>
      </w:r>
      <w:r>
        <w:t xml:space="preserve"> </w:t>
      </w:r>
      <w:r>
        <w:t xml:space="preserve">(i) Ensure the risk factor disclosure regarding the exclusive forum provisions is complete, including the potential inability to bring claims in state court and the uncertainty regarding enforceability. (ii) Monitor legal developments regarding federal forum selection clauses. (iii) Confirm with counsel that the provision is enforceable under Delaware law.</w:t>
      </w:r>
    </w:p>
    <w:bookmarkEnd w:id="51"/>
    <w:bookmarkStart w:id="52" w:name="Xacdfd01c137cdd25eb37ff4096dbdca3621fac7"/>
    <w:p>
      <w:pPr>
        <w:pStyle w:val="Heading3"/>
      </w:pPr>
      <w:r>
        <w:t xml:space="preserve">Issue 26 — Related Party Transaction Disclosure Inconsistency — Vantara Logistics (HIGH)</w:t>
      </w:r>
    </w:p>
    <w:p>
      <w:pPr>
        <w:pStyle w:val="FirstParagraph"/>
      </w:pPr>
      <w:r>
        <w:rPr>
          <w:b/>
          <w:bCs/>
        </w:rPr>
        <w:t xml:space="preserve">Description.</w:t>
      </w:r>
      <w:r>
        <w:t xml:space="preserve"> </w:t>
      </w:r>
      <w:r>
        <w:t xml:space="preserve">The Vantara Logistics, Inc. SaaS license agreement ($1.2 million annual contract value; three-year term; entered April 2023) is a related party transaction because Vantara is a portfolio company of Graymont Ventures, whose Managing Partner, Priya Venkatesh, serves on the Company’s board of directors (and on Vantara’s board). The management questionnaire responses (Open Item 2) confirm that Ms. Venkatesh disclosed the transaction as a related party transaction, but the CFO (Mr. Hartwell) did not identify it as a related party transaction in his questionnaire response. The CFO’s IPO readiness memorandum and the draft roadshow presentation (Slide 14) treat Vantara as a standard customer case study without disclosing the related party relationship.</w:t>
      </w:r>
    </w:p>
    <w:p>
      <w:pPr>
        <w:pStyle w:val="BodyText"/>
      </w:pPr>
      <w:r>
        <w:rPr>
          <w:b/>
          <w:bCs/>
        </w:rPr>
        <w:t xml:space="preserve">Related issue — term loan affiliate transactions covenant.</w:t>
      </w:r>
      <w:r>
        <w:t xml:space="preserve"> </w:t>
      </w:r>
      <w:r>
        <w:t xml:space="preserve">The term loan summary (Section 7.2) notes that the credit agreement requires prior written notification to the lender for affiliate transactions exceeding $500,000. The Vantara agreement ($1.2 million annually) would require such notification. Confirm whether notification was provided.</w:t>
      </w:r>
    </w:p>
    <w:p>
      <w:pPr>
        <w:pStyle w:val="BodyText"/>
      </w:pPr>
      <w:r>
        <w:rPr>
          <w:b/>
          <w:bCs/>
        </w:rPr>
        <w:t xml:space="preserve">Impact.</w:t>
      </w:r>
      <w:r>
        <w:t xml:space="preserve"> </w:t>
      </w:r>
      <w:r>
        <w:t xml:space="preserve">The transaction must be disclosed under Item 404 of Regulation S-K in the Form S-1. The draft Form S-1 includes the disclosure in the</w:t>
      </w:r>
      <w:r>
        <w:t xml:space="preserve"> </w:t>
      </w:r>
      <w:r>
        <w:t xml:space="preserve">“</w:t>
      </w:r>
      <w:r>
        <w:t xml:space="preserve">Certain Relationships and Related Party Transactions</w:t>
      </w:r>
      <w:r>
        <w:t xml:space="preserve">”</w:t>
      </w:r>
      <w:r>
        <w:t xml:space="preserve"> </w:t>
      </w:r>
      <w:r>
        <w:t xml:space="preserve">section. The inconsistency across the source documents must be reconciled, and all investor-facing materials must consistently identify Vantara as a related party.</w:t>
      </w:r>
    </w:p>
    <w:p>
      <w:pPr>
        <w:pStyle w:val="BodyText"/>
      </w:pPr>
      <w:r>
        <w:rPr>
          <w:b/>
          <w:bCs/>
        </w:rPr>
        <w:t xml:space="preserve">Recommended Action.</w:t>
      </w:r>
      <w:r>
        <w:t xml:space="preserve"> </w:t>
      </w:r>
      <w:r>
        <w:t xml:space="preserve">(i) Confirm with the Audit Committee the arm’s-length pricing determination and obtain supporting documentation. (ii) Ensure all investor-facing materials (including the roadshow presentation) consistently disclose the Vantara related party relationship. (iii) Confirm whether the lender was notified of the Vantara transaction under the affiliate transactions covenant. (iv) Consider whether any other customer relationships involve related parties.</w:t>
      </w:r>
    </w:p>
    <w:bookmarkEnd w:id="52"/>
    <w:bookmarkStart w:id="53" w:name="Xc0531f47d257bced73604223d7597d2e01c734a"/>
    <w:p>
      <w:pPr>
        <w:pStyle w:val="Heading3"/>
      </w:pPr>
      <w:r>
        <w:t xml:space="preserve">Issue 27 — Corporate Opportunities Renunciation for VC-Affiliated Directors (MEDIUM)</w:t>
      </w:r>
    </w:p>
    <w:p>
      <w:pPr>
        <w:pStyle w:val="FirstParagraph"/>
      </w:pPr>
      <w:r>
        <w:rPr>
          <w:b/>
          <w:bCs/>
        </w:rPr>
        <w:t xml:space="preserve">Description.</w:t>
      </w:r>
      <w:r>
        <w:t xml:space="preserve"> </w:t>
      </w:r>
      <w:r>
        <w:t xml:space="preserve">The amended and restated certificate of incorporation (Article XI) renounces the Company’s interest in business opportunities presented to any director who is also affiliated with an investment fund, venture capital fund, or private equity fund, expressly including Graymont Ventures and Ridgeline Growth Partners and their affiliates. This provision benefits Ms. Venkatesh and Mr. Kwon and their affiliated funds.</w:t>
      </w:r>
    </w:p>
    <w:p>
      <w:pPr>
        <w:pStyle w:val="BodyText"/>
      </w:pPr>
      <w:r>
        <w:rPr>
          <w:b/>
          <w:bCs/>
        </w:rPr>
        <w:t xml:space="preserve">Impact.</w:t>
      </w:r>
      <w:r>
        <w:t xml:space="preserve"> </w:t>
      </w:r>
      <w:r>
        <w:t xml:space="preserve">This provision should be disclosed in the Form S-1, as it may affect the Company’s ability to pursue opportunities and the fiduciary duties of the VC-affiliated directors. The draft Form S-1 includes disclosure in the</w:t>
      </w:r>
      <w:r>
        <w:t xml:space="preserve"> </w:t>
      </w:r>
      <w:r>
        <w:t xml:space="preserve">“</w:t>
      </w:r>
      <w:r>
        <w:t xml:space="preserve">Certain Relationships and Related Party Transactions</w:t>
      </w:r>
      <w:r>
        <w:t xml:space="preserve">”</w:t>
      </w:r>
      <w:r>
        <w:t xml:space="preserve"> </w:t>
      </w:r>
      <w:r>
        <w:t xml:space="preserve">section.</w:t>
      </w:r>
    </w:p>
    <w:p>
      <w:pPr>
        <w:pStyle w:val="BodyText"/>
      </w:pPr>
      <w:r>
        <w:rPr>
          <w:b/>
          <w:bCs/>
        </w:rPr>
        <w:t xml:space="preserve">Recommended Action.</w:t>
      </w:r>
      <w:r>
        <w:t xml:space="preserve"> </w:t>
      </w:r>
      <w:r>
        <w:t xml:space="preserve">Ensure the corporate opportunities renunciation is disclosed in the Form S-1 and that the risk factor disclosure regarding conflicts of interest is adequate.</w:t>
      </w:r>
    </w:p>
    <w:bookmarkEnd w:id="53"/>
    <w:bookmarkStart w:id="54" w:name="Xc19ce99bd1eb1880c16b1c5fc5420766628fc34"/>
    <w:p>
      <w:pPr>
        <w:pStyle w:val="Heading3"/>
      </w:pPr>
      <w:r>
        <w:t xml:space="preserve">Issue 28 — Indemnification and Director Liability Limitations (MEDIUM)</w:t>
      </w:r>
    </w:p>
    <w:p>
      <w:pPr>
        <w:pStyle w:val="FirstParagraph"/>
      </w:pPr>
      <w:r>
        <w:rPr>
          <w:b/>
          <w:bCs/>
        </w:rPr>
        <w:t xml:space="preserve">Description.</w:t>
      </w:r>
      <w:r>
        <w:t xml:space="preserve"> </w:t>
      </w:r>
      <w:r>
        <w:t xml:space="preserve">The amended and restated certificate of incorporation (Articles VII and VIII) and bylaws (Article VI) provide for broad indemnification of directors and officers and eliminate monetary liability for breaches of fiduciary duty to the fullest extent permitted by the Delaware General Corporation Law, including for officers under Section 102(b)(7).</w:t>
      </w:r>
    </w:p>
    <w:p>
      <w:pPr>
        <w:pStyle w:val="BodyText"/>
      </w:pPr>
      <w:r>
        <w:rPr>
          <w:b/>
          <w:bCs/>
        </w:rPr>
        <w:t xml:space="preserve">Impact.</w:t>
      </w:r>
      <w:r>
        <w:t xml:space="preserve"> </w:t>
      </w:r>
      <w:r>
        <w:t xml:space="preserve">The SEC requires disclosure of indemnification arrangements in the Form S-1. The draft Form S-1 includes the required disclosure. The Company should be prepared to seek any necessary SEC order permitting indemnification against Securities Act liabilities.</w:t>
      </w:r>
    </w:p>
    <w:p>
      <w:pPr>
        <w:pStyle w:val="BodyText"/>
      </w:pPr>
      <w:r>
        <w:rPr>
          <w:b/>
          <w:bCs/>
        </w:rPr>
        <w:t xml:space="preserve">Recommended Action.</w:t>
      </w:r>
      <w:r>
        <w:t xml:space="preserve"> </w:t>
      </w:r>
      <w:r>
        <w:t xml:space="preserve">(i) Ensure the indemnification disclosure is complete. (ii) File the indemnification agreements (if any) as exhibits. (iii) Place adequate directors’ and officers’ liability insurance with public company coverage limits (CFO’s memorandum action item 9).</w:t>
      </w:r>
    </w:p>
    <w:bookmarkEnd w:id="54"/>
    <w:bookmarkEnd w:id="55"/>
    <w:bookmarkStart w:id="61" w:name="X4e3154a96cb37ecd55677a720c05bc1ac5202c4"/>
    <w:p>
      <w:pPr>
        <w:pStyle w:val="Heading2"/>
      </w:pPr>
      <w:r>
        <w:t xml:space="preserve">IX. Additional Drafting and Process Considerations</w:t>
      </w:r>
    </w:p>
    <w:bookmarkStart w:id="56" w:name="X31b1c27316a1682838ed8c99aa4785552a7c7ad"/>
    <w:p>
      <w:pPr>
        <w:pStyle w:val="Heading3"/>
      </w:pPr>
      <w:r>
        <w:t xml:space="preserve">Issue 29 — Use of Proceeds Allocation Inconsistency (MEDIUM)</w:t>
      </w:r>
    </w:p>
    <w:p>
      <w:pPr>
        <w:pStyle w:val="FirstParagraph"/>
      </w:pPr>
      <w:r>
        <w:rPr>
          <w:b/>
          <w:bCs/>
        </w:rPr>
        <w:t xml:space="preserve">Description.</w:t>
      </w:r>
      <w:r>
        <w:t xml:space="preserve"> </w:t>
      </w:r>
      <w:r>
        <w:t xml:space="preserve">The CFO’s IPO readiness memorandum (Section 3.2) and the draft roadshow presentation (Slide 27) present inconsistent allocations of the net proceeds:</w:t>
      </w:r>
    </w:p>
    <w:p>
      <w:pPr>
        <w:pStyle w:val="Compact"/>
        <w:numPr>
          <w:ilvl w:val="0"/>
          <w:numId w:val="1006"/>
        </w:numPr>
      </w:pPr>
      <w:r>
        <w:t xml:space="preserve">CFO memorandum: R&amp;D ~35%; Sales &amp; Marketing ~25%; Debt Repayment ~15%; Acquisitions ~10%; General corporate purposes ~remainder.</w:t>
      </w:r>
    </w:p>
    <w:p>
      <w:pPr>
        <w:pStyle w:val="Compact"/>
        <w:numPr>
          <w:ilvl w:val="0"/>
          <w:numId w:val="1006"/>
        </w:numPr>
      </w:pPr>
      <w:r>
        <w:t xml:space="preserve">Roadshow presentation: R&amp;D ~40%; Sales &amp; Marketing ~30%; Acquisitions ~15%; Working capital ~10%; Term loan repayment ~5%.</w:t>
      </w:r>
    </w:p>
    <w:p>
      <w:pPr>
        <w:pStyle w:val="FirstParagraph"/>
      </w:pPr>
      <w:r>
        <w:t xml:space="preserve">The underwriting term sheet (Section 4) is more general, stating that the Company</w:t>
      </w:r>
      <w:r>
        <w:t xml:space="preserve"> </w:t>
      </w:r>
      <w:r>
        <w:t xml:space="preserve">“</w:t>
      </w:r>
      <w:r>
        <w:t xml:space="preserve">has not determined the specific allocation of net proceeds.</w:t>
      </w:r>
      <w:r>
        <w:t xml:space="preserve">”</w:t>
      </w:r>
    </w:p>
    <w:p>
      <w:pPr>
        <w:pStyle w:val="BodyText"/>
      </w:pPr>
      <w:r>
        <w:rPr>
          <w:b/>
          <w:bCs/>
        </w:rPr>
        <w:t xml:space="preserve">Impact.</w:t>
      </w:r>
      <w:r>
        <w:t xml:space="preserve"> </w:t>
      </w:r>
      <w:r>
        <w:t xml:space="preserve">The Form S-1</w:t>
      </w:r>
      <w:r>
        <w:t xml:space="preserve"> </w:t>
      </w:r>
      <w:r>
        <w:t xml:space="preserve">“</w:t>
      </w:r>
      <w:r>
        <w:t xml:space="preserve">Use of Proceeds</w:t>
      </w:r>
      <w:r>
        <w:t xml:space="preserve">”</w:t>
      </w:r>
      <w:r>
        <w:t xml:space="preserve"> </w:t>
      </w:r>
      <w:r>
        <w:t xml:space="preserve">section must be consistent with the roadshow presentation and the underwriting term sheet. Inconsistent allocations could draw an SEC comment and create liability under Section 11.</w:t>
      </w:r>
    </w:p>
    <w:p>
      <w:pPr>
        <w:pStyle w:val="BodyText"/>
      </w:pPr>
      <w:r>
        <w:rPr>
          <w:b/>
          <w:bCs/>
        </w:rPr>
        <w:t xml:space="preserve">Recommended Action.</w:t>
      </w:r>
      <w:r>
        <w:t xml:space="preserve"> </w:t>
      </w:r>
      <w:r>
        <w:t xml:space="preserve">(i) Reconcile the use of proceeds allocation across all documents. (ii) The draft Form S-1 uses a general</w:t>
      </w:r>
      <w:r>
        <w:t xml:space="preserve"> </w:t>
      </w:r>
      <w:r>
        <w:t xml:space="preserve">“</w:t>
      </w:r>
      <w:r>
        <w:t xml:space="preserve">general corporate purposes</w:t>
      </w:r>
      <w:r>
        <w:t xml:space="preserve">”</w:t>
      </w:r>
      <w:r>
        <w:t xml:space="preserve"> </w:t>
      </w:r>
      <w:r>
        <w:t xml:space="preserve">formulation consistent with the underwriting term sheet, pending finalization of the specific allocation. (iii) If specific allocations are disclosed, ensure they are consistent across the Form S-1, the roadshow presentation, and the underwriting term sheet, and include appropriate qualifiers.</w:t>
      </w:r>
    </w:p>
    <w:bookmarkEnd w:id="56"/>
    <w:bookmarkStart w:id="57" w:name="Xf87fa9243644faa35878ab5099222cda00e53e4"/>
    <w:p>
      <w:pPr>
        <w:pStyle w:val="Heading3"/>
      </w:pPr>
      <w:r>
        <w:t xml:space="preserve">Issue 30 — Auditor Report Date and Critical Audit Matters (MEDIUM)</w:t>
      </w:r>
    </w:p>
    <w:p>
      <w:pPr>
        <w:pStyle w:val="FirstParagraph"/>
      </w:pPr>
      <w:r>
        <w:rPr>
          <w:b/>
          <w:bCs/>
        </w:rPr>
        <w:t xml:space="preserve">Description.</w:t>
      </w:r>
      <w:r>
        <w:t xml:space="preserve"> </w:t>
      </w:r>
      <w:r>
        <w:t xml:space="preserve">The report of Archer Pryce LLP is dated “March __, 2025” (blank) and identifies two critical audit matters: (i) revenue recognition for arrangements with multiple performance obligations, and (ii) valuation of common stock underlying stock-based compensation awards. The auditor has served the Company since 2022.</w:t>
      </w:r>
    </w:p>
    <w:p>
      <w:pPr>
        <w:pStyle w:val="BodyText"/>
      </w:pPr>
      <w:r>
        <w:rPr>
          <w:b/>
          <w:bCs/>
        </w:rPr>
        <w:t xml:space="preserve">Impact.</w:t>
      </w:r>
      <w:r>
        <w:t xml:space="preserve"> </w:t>
      </w:r>
      <w:r>
        <w:t xml:space="preserve">The auditor’s report, consent, and comfort letter are required for the Form S-1. The critical audit matters must be accurately reflected.</w:t>
      </w:r>
    </w:p>
    <w:p>
      <w:pPr>
        <w:pStyle w:val="BodyText"/>
      </w:pPr>
      <w:r>
        <w:rPr>
          <w:b/>
          <w:bCs/>
        </w:rPr>
        <w:t xml:space="preserve">Recommended Action.</w:t>
      </w:r>
      <w:r>
        <w:t xml:space="preserve"> </w:t>
      </w:r>
      <w:r>
        <w:t xml:space="preserve">(i) Finalize the auditor’s report date. (ii) Obtain the auditor’s consent to the inclusion of its report in the Form S-1. (iii) Arrange for the comfort letter to be delivered prior to pricing. (iv) Ensure the critical audit matters are accurately summarized in the Form S-1.</w:t>
      </w:r>
    </w:p>
    <w:bookmarkEnd w:id="57"/>
    <w:bookmarkStart w:id="58" w:name="X6c38c567939041bc0cb66e828bcf67103b49b7e"/>
    <w:p>
      <w:pPr>
        <w:pStyle w:val="Heading3"/>
      </w:pPr>
      <w:r>
        <w:t xml:space="preserve">Issue 31 — Emerging Growth Company Accommodations and Financial Statement Requirements (MEDIUM)</w:t>
      </w:r>
    </w:p>
    <w:p>
      <w:pPr>
        <w:pStyle w:val="FirstParagraph"/>
      </w:pPr>
      <w:r>
        <w:rPr>
          <w:b/>
          <w:bCs/>
        </w:rPr>
        <w:t xml:space="preserve">Description.</w:t>
      </w:r>
      <w:r>
        <w:t xml:space="preserve"> </w:t>
      </w:r>
      <w:r>
        <w:t xml:space="preserve">The Company qualifies as an emerging growth company (</w:t>
      </w:r>
      <w:r>
        <w:t xml:space="preserve">“</w:t>
      </w:r>
      <w:r>
        <w:t xml:space="preserve">EGC</w:t>
      </w:r>
      <w:r>
        <w:t xml:space="preserve">”</w:t>
      </w:r>
      <w:r>
        <w:t xml:space="preserve">) under the JOBS Act (revenue of $187.3 million in fiscal year 2024, well below the $1.235 billion threshold; within five years of first sale of common equity). As an EGC, the Company may present two years of audited financial statements (rather than three) and may take advantage of reduced executive compensation disclosure, exemption from SOX 404(b) auditor attestation, and an extended transition period for new accounting standards.</w:t>
      </w:r>
    </w:p>
    <w:p>
      <w:pPr>
        <w:pStyle w:val="BodyText"/>
      </w:pPr>
      <w:r>
        <w:rPr>
          <w:b/>
          <w:bCs/>
        </w:rPr>
        <w:t xml:space="preserve">Impact.</w:t>
      </w:r>
      <w:r>
        <w:t xml:space="preserve"> </w:t>
      </w:r>
      <w:r>
        <w:t xml:space="preserve">The Form S-1 presents two years of audited financial statements (fiscal years 2023 and 2024), which is sufficient for an EGC. If the Form S-1 is filed later in 2025, interim financial statements (e.g., for the quarter ended March 31, 2025) may be required.</w:t>
      </w:r>
    </w:p>
    <w:p>
      <w:pPr>
        <w:pStyle w:val="BodyText"/>
      </w:pPr>
      <w:r>
        <w:rPr>
          <w:b/>
          <w:bCs/>
        </w:rPr>
        <w:t xml:space="preserve">Recommended Action.</w:t>
      </w:r>
      <w:r>
        <w:t xml:space="preserve"> </w:t>
      </w:r>
      <w:r>
        <w:t xml:space="preserve">(i) Confirm the EGC accommodations the Company intends to adopt and disclose them in the Form S-1. (ii) Determine whether interim financial statements will be required based on the filing date. (iii) Consider whether to adopt the extended transition period for new accounting standards, and if so, include the required risk factor disclosure. (iv) The draft Form S-1 includes the EGC disclosure.</w:t>
      </w:r>
    </w:p>
    <w:bookmarkEnd w:id="58"/>
    <w:bookmarkStart w:id="59" w:name="Xfcabac9bcda76878400f657a6aba3fe0b99885a"/>
    <w:p>
      <w:pPr>
        <w:pStyle w:val="Heading3"/>
      </w:pPr>
      <w:r>
        <w:t xml:space="preserve">Issue 32 — Investor Rights Agreement and Registration Rights (MEDIUM)</w:t>
      </w:r>
    </w:p>
    <w:p>
      <w:pPr>
        <w:pStyle w:val="FirstParagraph"/>
      </w:pPr>
      <w:r>
        <w:rPr>
          <w:b/>
          <w:bCs/>
        </w:rPr>
        <w:t xml:space="preserve">Description.</w:t>
      </w:r>
      <w:r>
        <w:t xml:space="preserve"> </w:t>
      </w:r>
      <w:r>
        <w:t xml:space="preserve">The Investor Rights Agreement dated June 2023 provides demand registration rights and S-3 piggyback registration rights commencing 180 days after the IPO. The Voting Agreement and the Right of First Refusal and Co-Sale Agreement terminate upon the IPO.</w:t>
      </w:r>
    </w:p>
    <w:p>
      <w:pPr>
        <w:pStyle w:val="BodyText"/>
      </w:pPr>
      <w:r>
        <w:rPr>
          <w:b/>
          <w:bCs/>
        </w:rPr>
        <w:t xml:space="preserve">Impact.</w:t>
      </w:r>
      <w:r>
        <w:t xml:space="preserve"> </w:t>
      </w:r>
      <w:r>
        <w:t xml:space="preserve">The registration rights must be disclosed in the Form S-1, and the agreements must be filed as exhibits. The demand and piggyback registration rights could result in future registration statements and sales of shares by existing stockholders after the 180-day lock-up period.</w:t>
      </w:r>
    </w:p>
    <w:p>
      <w:pPr>
        <w:pStyle w:val="BodyText"/>
      </w:pPr>
      <w:r>
        <w:rPr>
          <w:b/>
          <w:bCs/>
        </w:rPr>
        <w:t xml:space="preserve">Recommended Action.</w:t>
      </w:r>
      <w:r>
        <w:t xml:space="preserve"> </w:t>
      </w:r>
      <w:r>
        <w:t xml:space="preserve">(i) Disclose the registration rights in the Form S-1</w:t>
      </w:r>
      <w:r>
        <w:t xml:space="preserve"> </w:t>
      </w:r>
      <w:r>
        <w:t xml:space="preserve">“</w:t>
      </w:r>
      <w:r>
        <w:t xml:space="preserve">Description of Capital Stock</w:t>
      </w:r>
      <w:r>
        <w:t xml:space="preserve">”</w:t>
      </w:r>
      <w:r>
        <w:t xml:space="preserve"> </w:t>
      </w:r>
      <w:r>
        <w:t xml:space="preserve">and</w:t>
      </w:r>
      <w:r>
        <w:t xml:space="preserve"> </w:t>
      </w:r>
      <w:r>
        <w:t xml:space="preserve">“</w:t>
      </w:r>
      <w:r>
        <w:t xml:space="preserve">Shares Eligible for Future Sale</w:t>
      </w:r>
      <w:r>
        <w:t xml:space="preserve">”</w:t>
      </w:r>
      <w:r>
        <w:t xml:space="preserve"> </w:t>
      </w:r>
      <w:r>
        <w:t xml:space="preserve">sections. (ii) File the Investor Rights Agreement, Voting Agreement, and ROFR/Co-Sale Agreement as exhibits. (iii) The draft Form S-1 includes the registration rights disclosure and lists the agreements as exhibits.</w:t>
      </w:r>
    </w:p>
    <w:bookmarkEnd w:id="59"/>
    <w:bookmarkStart w:id="60" w:name="X74644104b6bea31aa21faafd51916506a71970b"/>
    <w:p>
      <w:pPr>
        <w:pStyle w:val="Heading3"/>
      </w:pPr>
      <w:r>
        <w:t xml:space="preserve">Issue 33 — Material Contracts and Exhibits (MEDIUM)</w:t>
      </w:r>
    </w:p>
    <w:p>
      <w:pPr>
        <w:pStyle w:val="FirstParagraph"/>
      </w:pPr>
      <w:r>
        <w:rPr>
          <w:b/>
          <w:bCs/>
        </w:rPr>
        <w:t xml:space="preserve">Description.</w:t>
      </w:r>
      <w:r>
        <w:t xml:space="preserve"> </w:t>
      </w:r>
      <w:r>
        <w:t xml:space="preserve">The Form S-1 must file as exhibits all material contracts, including the term loan and security agreement, the Investor Rights Agreement, the Voting Agreement, the ROFR/Co-Sale Agreement, the 2024 Equity Incentive Plan, the 2024 ESPP, the underwriting agreement, and the lock-up agreements.</w:t>
      </w:r>
    </w:p>
    <w:p>
      <w:pPr>
        <w:pStyle w:val="BodyText"/>
      </w:pPr>
      <w:r>
        <w:rPr>
          <w:b/>
          <w:bCs/>
        </w:rPr>
        <w:t xml:space="preserve">Impact.</w:t>
      </w:r>
      <w:r>
        <w:t xml:space="preserve"> </w:t>
      </w:r>
      <w:r>
        <w:t xml:space="preserve">Failure to file required exhibits is a common source of SEC comments.</w:t>
      </w:r>
    </w:p>
    <w:p>
      <w:pPr>
        <w:pStyle w:val="BodyText"/>
      </w:pPr>
      <w:r>
        <w:rPr>
          <w:b/>
          <w:bCs/>
        </w:rPr>
        <w:t xml:space="preserve">Recommended Action.</w:t>
      </w:r>
      <w:r>
        <w:t xml:space="preserve"> </w:t>
      </w:r>
      <w:r>
        <w:t xml:space="preserve">(i) Confirm the list of material contracts and exhibits. (ii) Ensure all exhibits are filed with the Form S-1. (iii) The draft Form S-1 includes an exhibit list; confirm completeness.</w:t>
      </w:r>
    </w:p>
    <w:bookmarkEnd w:id="60"/>
    <w:bookmarkEnd w:id="61"/>
    <w:bookmarkStart w:id="62" w:name="X06b510c5a2b559098a19566b8c660b0a7af3905"/>
    <w:p>
      <w:pPr>
        <w:pStyle w:val="Heading2"/>
      </w:pPr>
      <w:r>
        <w:t xml:space="preserve">X. Summary of Recommended Actions and Priorities</w:t>
      </w:r>
    </w:p>
    <w:p>
      <w:pPr>
        <w:pStyle w:val="FirstParagraph"/>
      </w:pPr>
      <w:r>
        <w:t xml:space="preserve">The following table summarizes the recommended actions by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Owner</w:t>
            </w:r>
          </w:p>
        </w:tc>
      </w:tr>
      <w:tr>
        <w:tc>
          <w:tcPr/>
          <w:p>
            <w:pPr>
              <w:pStyle w:val="Compact"/>
              <w:jc w:val="left"/>
            </w:pPr>
            <w:r>
              <w:t xml:space="preserve">Critical</w:t>
            </w:r>
          </w:p>
        </w:tc>
        <w:tc>
          <w:tcPr/>
          <w:p>
            <w:pPr>
              <w:pStyle w:val="Compact"/>
              <w:jc w:val="left"/>
            </w:pPr>
            <w:r>
              <w:t xml:space="preserve">1 — Cash roll-forward</w:t>
            </w:r>
          </w:p>
        </w:tc>
        <w:tc>
          <w:tcPr/>
          <w:p>
            <w:pPr>
              <w:pStyle w:val="Compact"/>
              <w:jc w:val="left"/>
            </w:pPr>
            <w:r>
              <w:t xml:space="preserve">Reconcile cash flow statement with Archer Pryce LLP</w:t>
            </w:r>
          </w:p>
        </w:tc>
        <w:tc>
          <w:tcPr/>
          <w:p>
            <w:pPr>
              <w:pStyle w:val="Compact"/>
              <w:jc w:val="left"/>
            </w:pPr>
            <w:r>
              <w:t xml:space="preserve">Auditor / CFO</w:t>
            </w:r>
          </w:p>
        </w:tc>
      </w:tr>
      <w:tr>
        <w:tc>
          <w:tcPr/>
          <w:p>
            <w:pPr>
              <w:pStyle w:val="Compact"/>
              <w:jc w:val="left"/>
            </w:pPr>
            <w:r>
              <w:t xml:space="preserve">Critical</w:t>
            </w:r>
          </w:p>
        </w:tc>
        <w:tc>
          <w:tcPr/>
          <w:p>
            <w:pPr>
              <w:pStyle w:val="Compact"/>
              <w:jc w:val="left"/>
            </w:pPr>
            <w:r>
              <w:t xml:space="preserve">2 — Term loan roll-forward</w:t>
            </w:r>
          </w:p>
        </w:tc>
        <w:tc>
          <w:tcPr/>
          <w:p>
            <w:pPr>
              <w:pStyle w:val="Compact"/>
              <w:jc w:val="left"/>
            </w:pPr>
            <w:r>
              <w:t xml:space="preserve">Reconcile term loan balance, cash flow, and note; confirm facility date</w:t>
            </w:r>
          </w:p>
        </w:tc>
        <w:tc>
          <w:tcPr/>
          <w:p>
            <w:pPr>
              <w:pStyle w:val="Compact"/>
              <w:jc w:val="left"/>
            </w:pPr>
            <w:r>
              <w:t xml:space="preserve">Auditor / CFO / GC</w:t>
            </w:r>
          </w:p>
        </w:tc>
      </w:tr>
      <w:tr>
        <w:tc>
          <w:tcPr/>
          <w:p>
            <w:pPr>
              <w:pStyle w:val="Compact"/>
              <w:jc w:val="left"/>
            </w:pPr>
            <w:r>
              <w:t xml:space="preserve">Critical</w:t>
            </w:r>
          </w:p>
        </w:tc>
        <w:tc>
          <w:tcPr/>
          <w:p>
            <w:pPr>
              <w:pStyle w:val="Compact"/>
              <w:jc w:val="left"/>
            </w:pPr>
            <w:r>
              <w:t xml:space="preserve">3 — Short-term investments</w:t>
            </w:r>
          </w:p>
        </w:tc>
        <w:tc>
          <w:tcPr/>
          <w:p>
            <w:pPr>
              <w:pStyle w:val="Compact"/>
              <w:jc w:val="left"/>
            </w:pPr>
            <w:r>
              <w:t xml:space="preserve">Confirm fiscal year 2023 purchases figure with auditor</w:t>
            </w:r>
          </w:p>
        </w:tc>
        <w:tc>
          <w:tcPr/>
          <w:p>
            <w:pPr>
              <w:pStyle w:val="Compact"/>
              <w:jc w:val="left"/>
            </w:pPr>
            <w:r>
              <w:t xml:space="preserve">Auditor / CFO</w:t>
            </w:r>
          </w:p>
        </w:tc>
      </w:tr>
      <w:tr>
        <w:tc>
          <w:tcPr/>
          <w:p>
            <w:pPr>
              <w:pStyle w:val="Compact"/>
              <w:jc w:val="left"/>
            </w:pPr>
            <w:r>
              <w:t xml:space="preserve">High</w:t>
            </w:r>
          </w:p>
        </w:tc>
        <w:tc>
          <w:tcPr/>
          <w:p>
            <w:pPr>
              <w:pStyle w:val="Compact"/>
              <w:jc w:val="left"/>
            </w:pPr>
            <w:r>
              <w:t xml:space="preserve">4 — Adjusted EBITDA error</w:t>
            </w:r>
          </w:p>
        </w:tc>
        <w:tc>
          <w:tcPr/>
          <w:p>
            <w:pPr>
              <w:pStyle w:val="Compact"/>
              <w:jc w:val="left"/>
            </w:pPr>
            <w:r>
              <w:t xml:space="preserve">Correct to $20.5M (FY24) and $3.5M (FY23); reconcile add-backs to audited financials</w:t>
            </w:r>
          </w:p>
        </w:tc>
        <w:tc>
          <w:tcPr/>
          <w:p>
            <w:pPr>
              <w:pStyle w:val="Compact"/>
              <w:jc w:val="left"/>
            </w:pPr>
            <w:r>
              <w:t xml:space="preserve">CFO</w:t>
            </w:r>
          </w:p>
        </w:tc>
      </w:tr>
      <w:tr>
        <w:tc>
          <w:tcPr/>
          <w:p>
            <w:pPr>
              <w:pStyle w:val="Compact"/>
              <w:jc w:val="left"/>
            </w:pPr>
            <w:r>
              <w:t xml:space="preserve">High</w:t>
            </w:r>
          </w:p>
        </w:tc>
        <w:tc>
          <w:tcPr/>
          <w:p>
            <w:pPr>
              <w:pStyle w:val="Compact"/>
              <w:jc w:val="left"/>
            </w:pPr>
            <w:r>
              <w:t xml:space="preserve">5 — PS</w:t>
            </w:r>
            <w:r>
              <w:t xml:space="preserve"> </w:t>
            </w:r>
            <w:r>
              <w:t xml:space="preserve">“</w:t>
            </w:r>
            <w:r>
              <w:t xml:space="preserve">high-margin</w:t>
            </w:r>
            <w:r>
              <w:t xml:space="preserve">”</w:t>
            </w:r>
            <w:r>
              <w:t xml:space="preserve"> </w:t>
            </w:r>
            <w:r>
              <w:t xml:space="preserve">claim</w:t>
            </w:r>
          </w:p>
        </w:tc>
        <w:tc>
          <w:tcPr/>
          <w:p>
            <w:pPr>
              <w:pStyle w:val="Compact"/>
              <w:jc w:val="left"/>
            </w:pPr>
            <w:r>
              <w:t xml:space="preserve">Remove misleading characterization; disclose actual (0.5)% margin</w:t>
            </w:r>
          </w:p>
        </w:tc>
        <w:tc>
          <w:tcPr/>
          <w:p>
            <w:pPr>
              <w:pStyle w:val="Compact"/>
              <w:jc w:val="left"/>
            </w:pPr>
            <w:r>
              <w:t xml:space="preserve">CFO / IR</w:t>
            </w:r>
          </w:p>
        </w:tc>
      </w:tr>
      <w:tr>
        <w:tc>
          <w:tcPr/>
          <w:p>
            <w:pPr>
              <w:pStyle w:val="Compact"/>
              <w:jc w:val="left"/>
            </w:pPr>
            <w:r>
              <w:t xml:space="preserve">High</w:t>
            </w:r>
          </w:p>
        </w:tc>
        <w:tc>
          <w:tcPr/>
          <w:p>
            <w:pPr>
              <w:pStyle w:val="Compact"/>
              <w:jc w:val="left"/>
            </w:pPr>
            <w:r>
              <w:t xml:space="preserve">6 — Restructuring inconsistency</w:t>
            </w:r>
          </w:p>
        </w:tc>
        <w:tc>
          <w:tcPr/>
          <w:p>
            <w:pPr>
              <w:pStyle w:val="Compact"/>
              <w:jc w:val="left"/>
            </w:pPr>
            <w:r>
              <w:t xml:space="preserve">Use audited figures (Q3 2024; ~46 employees)</w:t>
            </w:r>
          </w:p>
        </w:tc>
        <w:tc>
          <w:tcPr/>
          <w:p>
            <w:pPr>
              <w:pStyle w:val="Compact"/>
              <w:jc w:val="left"/>
            </w:pPr>
            <w:r>
              <w:t xml:space="preserve">CFO</w:t>
            </w:r>
          </w:p>
        </w:tc>
      </w:tr>
      <w:tr>
        <w:tc>
          <w:tcPr/>
          <w:p>
            <w:pPr>
              <w:pStyle w:val="Compact"/>
              <w:jc w:val="left"/>
            </w:pPr>
            <w:r>
              <w:t xml:space="preserve">High</w:t>
            </w:r>
          </w:p>
        </w:tc>
        <w:tc>
          <w:tcPr/>
          <w:p>
            <w:pPr>
              <w:pStyle w:val="Compact"/>
              <w:jc w:val="left"/>
            </w:pPr>
            <w:r>
              <w:t xml:space="preserve">7 — Lender name</w:t>
            </w:r>
          </w:p>
        </w:tc>
        <w:tc>
          <w:tcPr/>
          <w:p>
            <w:pPr>
              <w:pStyle w:val="Compact"/>
              <w:jc w:val="left"/>
            </w:pPr>
            <w:r>
              <w:t xml:space="preserve">Confirm correct lender name; correct roadshow</w:t>
            </w:r>
          </w:p>
        </w:tc>
        <w:tc>
          <w:tcPr/>
          <w:p>
            <w:pPr>
              <w:pStyle w:val="Compact"/>
              <w:jc w:val="left"/>
            </w:pPr>
            <w:r>
              <w:t xml:space="preserve">GC</w:t>
            </w:r>
          </w:p>
        </w:tc>
      </w:tr>
      <w:tr>
        <w:tc>
          <w:tcPr/>
          <w:p>
            <w:pPr>
              <w:pStyle w:val="Compact"/>
              <w:jc w:val="left"/>
            </w:pPr>
            <w:r>
              <w:t xml:space="preserve">High</w:t>
            </w:r>
          </w:p>
        </w:tc>
        <w:tc>
          <w:tcPr/>
          <w:p>
            <w:pPr>
              <w:pStyle w:val="Compact"/>
              <w:jc w:val="left"/>
            </w:pPr>
            <w:r>
              <w:t xml:space="preserve">8 — Transfer agent</w:t>
            </w:r>
          </w:p>
        </w:tc>
        <w:tc>
          <w:tcPr/>
          <w:p>
            <w:pPr>
              <w:pStyle w:val="Compact"/>
              <w:jc w:val="left"/>
            </w:pPr>
            <w:r>
              <w:t xml:space="preserve">Confirm transfer agent; correct all documents</w:t>
            </w:r>
          </w:p>
        </w:tc>
        <w:tc>
          <w:tcPr/>
          <w:p>
            <w:pPr>
              <w:pStyle w:val="Compact"/>
              <w:jc w:val="left"/>
            </w:pPr>
            <w:r>
              <w:t xml:space="preserve">GC</w:t>
            </w:r>
          </w:p>
        </w:tc>
      </w:tr>
      <w:tr>
        <w:tc>
          <w:tcPr/>
          <w:p>
            <w:pPr>
              <w:pStyle w:val="Compact"/>
              <w:jc w:val="left"/>
            </w:pPr>
            <w:r>
              <w:t xml:space="preserve">High</w:t>
            </w:r>
          </w:p>
        </w:tc>
        <w:tc>
          <w:tcPr/>
          <w:p>
            <w:pPr>
              <w:pStyle w:val="Compact"/>
              <w:jc w:val="left"/>
            </w:pPr>
            <w:r>
              <w:t xml:space="preserve">9 — Board size</w:t>
            </w:r>
          </w:p>
        </w:tc>
        <w:tc>
          <w:tcPr/>
          <w:p>
            <w:pPr>
              <w:pStyle w:val="Compact"/>
              <w:jc w:val="left"/>
            </w:pPr>
            <w:r>
              <w:t xml:space="preserve">Confirm board size and Litvanova’s director status</w:t>
            </w:r>
          </w:p>
        </w:tc>
        <w:tc>
          <w:tcPr/>
          <w:p>
            <w:pPr>
              <w:pStyle w:val="Compact"/>
              <w:jc w:val="left"/>
            </w:pPr>
            <w:r>
              <w:t xml:space="preserve">GC / Counsel</w:t>
            </w:r>
          </w:p>
        </w:tc>
      </w:tr>
      <w:tr>
        <w:tc>
          <w:tcPr/>
          <w:p>
            <w:pPr>
              <w:pStyle w:val="Compact"/>
              <w:jc w:val="left"/>
            </w:pPr>
            <w:r>
              <w:t xml:space="preserve">High</w:t>
            </w:r>
          </w:p>
        </w:tc>
        <w:tc>
          <w:tcPr/>
          <w:p>
            <w:pPr>
              <w:pStyle w:val="Compact"/>
              <w:jc w:val="left"/>
            </w:pPr>
            <w:r>
              <w:t xml:space="preserve">10 — FY23 revenue split</w:t>
            </w:r>
          </w:p>
        </w:tc>
        <w:tc>
          <w:tcPr/>
          <w:p>
            <w:pPr>
              <w:pStyle w:val="Compact"/>
              <w:jc w:val="left"/>
            </w:pPr>
            <w:r>
              <w:t xml:space="preserve">Use audited figures ($116.4M / $12.5M)</w:t>
            </w:r>
          </w:p>
        </w:tc>
        <w:tc>
          <w:tcPr/>
          <w:p>
            <w:pPr>
              <w:pStyle w:val="Compact"/>
              <w:jc w:val="left"/>
            </w:pPr>
            <w:r>
              <w:t xml:space="preserve">CFO</w:t>
            </w:r>
          </w:p>
        </w:tc>
      </w:tr>
      <w:tr>
        <w:tc>
          <w:tcPr/>
          <w:p>
            <w:pPr>
              <w:pStyle w:val="Compact"/>
              <w:jc w:val="left"/>
            </w:pPr>
            <w:r>
              <w:t xml:space="preserve">High</w:t>
            </w:r>
          </w:p>
        </w:tc>
        <w:tc>
          <w:tcPr/>
          <w:p>
            <w:pPr>
              <w:pStyle w:val="Compact"/>
              <w:jc w:val="left"/>
            </w:pPr>
            <w:r>
              <w:t xml:space="preserve">11 — Balance sheet items</w:t>
            </w:r>
          </w:p>
        </w:tc>
        <w:tc>
          <w:tcPr/>
          <w:p>
            <w:pPr>
              <w:pStyle w:val="Compact"/>
              <w:jc w:val="left"/>
            </w:pPr>
            <w:r>
              <w:t xml:space="preserve">Use audited figures</w:t>
            </w:r>
          </w:p>
        </w:tc>
        <w:tc>
          <w:tcPr/>
          <w:p>
            <w:pPr>
              <w:pStyle w:val="Compact"/>
              <w:jc w:val="left"/>
            </w:pPr>
            <w:r>
              <w:t xml:space="preserve">CFO</w:t>
            </w:r>
          </w:p>
        </w:tc>
      </w:tr>
      <w:tr>
        <w:tc>
          <w:tcPr/>
          <w:p>
            <w:pPr>
              <w:pStyle w:val="Compact"/>
              <w:jc w:val="left"/>
            </w:pPr>
            <w:r>
              <w:t xml:space="preserve">High</w:t>
            </w:r>
          </w:p>
        </w:tc>
        <w:tc>
          <w:tcPr/>
          <w:p>
            <w:pPr>
              <w:pStyle w:val="Compact"/>
              <w:jc w:val="left"/>
            </w:pPr>
            <w:r>
              <w:t xml:space="preserve">13 — Director names in grants</w:t>
            </w:r>
          </w:p>
        </w:tc>
        <w:tc>
          <w:tcPr/>
          <w:p>
            <w:pPr>
              <w:pStyle w:val="Compact"/>
              <w:jc w:val="left"/>
            </w:pPr>
            <w:r>
              <w:t xml:space="preserve">Reconcile grant records to cap table; correct names</w:t>
            </w:r>
          </w:p>
        </w:tc>
        <w:tc>
          <w:tcPr/>
          <w:p>
            <w:pPr>
              <w:pStyle w:val="Compact"/>
              <w:jc w:val="left"/>
            </w:pPr>
            <w:r>
              <w:t xml:space="preserve">GC / HR / Equity Admin</w:t>
            </w:r>
          </w:p>
        </w:tc>
      </w:tr>
      <w:tr>
        <w:tc>
          <w:tcPr/>
          <w:p>
            <w:pPr>
              <w:pStyle w:val="Compact"/>
              <w:jc w:val="left"/>
            </w:pPr>
            <w:r>
              <w:t xml:space="preserve">High</w:t>
            </w:r>
          </w:p>
        </w:tc>
        <w:tc>
          <w:tcPr/>
          <w:p>
            <w:pPr>
              <w:pStyle w:val="Compact"/>
              <w:jc w:val="left"/>
            </w:pPr>
            <w:r>
              <w:t xml:space="preserve">14 — GC/CRO identity</w:t>
            </w:r>
          </w:p>
        </w:tc>
        <w:tc>
          <w:tcPr/>
          <w:p>
            <w:pPr>
              <w:pStyle w:val="Compact"/>
              <w:jc w:val="left"/>
            </w:pPr>
            <w:r>
              <w:t xml:space="preserve">Confirm executive officers and titles; reconcile records</w:t>
            </w:r>
          </w:p>
        </w:tc>
        <w:tc>
          <w:tcPr/>
          <w:p>
            <w:pPr>
              <w:pStyle w:val="Compact"/>
              <w:jc w:val="left"/>
            </w:pPr>
            <w:r>
              <w:t xml:space="preserve">GC / HR</w:t>
            </w:r>
          </w:p>
        </w:tc>
      </w:tr>
      <w:tr>
        <w:tc>
          <w:tcPr/>
          <w:p>
            <w:pPr>
              <w:pStyle w:val="Compact"/>
              <w:jc w:val="left"/>
            </w:pPr>
            <w:r>
              <w:t xml:space="preserve">High</w:t>
            </w:r>
          </w:p>
        </w:tc>
        <w:tc>
          <w:tcPr/>
          <w:p>
            <w:pPr>
              <w:pStyle w:val="Compact"/>
              <w:jc w:val="left"/>
            </w:pPr>
            <w:r>
              <w:t xml:space="preserve">16 — Controlled company election</w:t>
            </w:r>
          </w:p>
        </w:tc>
        <w:tc>
          <w:tcPr/>
          <w:p>
            <w:pPr>
              <w:pStyle w:val="Compact"/>
              <w:jc w:val="left"/>
            </w:pPr>
            <w:r>
              <w:t xml:space="preserve">Obtain board resolution; finalize disclosure</w:t>
            </w:r>
          </w:p>
        </w:tc>
        <w:tc>
          <w:tcPr/>
          <w:p>
            <w:pPr>
              <w:pStyle w:val="Compact"/>
              <w:jc w:val="left"/>
            </w:pPr>
            <w:r>
              <w:t xml:space="preserve">Counsel / Board</w:t>
            </w:r>
          </w:p>
        </w:tc>
      </w:tr>
      <w:tr>
        <w:tc>
          <w:tcPr/>
          <w:p>
            <w:pPr>
              <w:pStyle w:val="Compact"/>
              <w:jc w:val="left"/>
            </w:pPr>
            <w:r>
              <w:t xml:space="preserve">High</w:t>
            </w:r>
          </w:p>
        </w:tc>
        <w:tc>
          <w:tcPr/>
          <w:p>
            <w:pPr>
              <w:pStyle w:val="Compact"/>
              <w:jc w:val="left"/>
            </w:pPr>
            <w:r>
              <w:t xml:space="preserve">17 — Aldersgate ownership</w:t>
            </w:r>
          </w:p>
        </w:tc>
        <w:tc>
          <w:tcPr/>
          <w:p>
            <w:pPr>
              <w:pStyle w:val="Compact"/>
              <w:jc w:val="left"/>
            </w:pPr>
            <w:r>
              <w:t xml:space="preserve">Confirm holdings; resolve name discrepancy</w:t>
            </w:r>
          </w:p>
        </w:tc>
        <w:tc>
          <w:tcPr/>
          <w:p>
            <w:pPr>
              <w:pStyle w:val="Compact"/>
              <w:jc w:val="left"/>
            </w:pPr>
            <w:r>
              <w:t xml:space="preserve">GC / Transfer Agent</w:t>
            </w:r>
          </w:p>
        </w:tc>
      </w:tr>
      <w:tr>
        <w:tc>
          <w:tcPr/>
          <w:p>
            <w:pPr>
              <w:pStyle w:val="Compact"/>
              <w:jc w:val="left"/>
            </w:pPr>
            <w:r>
              <w:t xml:space="preserve">High</w:t>
            </w:r>
          </w:p>
        </w:tc>
        <w:tc>
          <w:tcPr/>
          <w:p>
            <w:pPr>
              <w:pStyle w:val="Compact"/>
              <w:jc w:val="left"/>
            </w:pPr>
            <w:r>
              <w:t xml:space="preserve">23 — Optivance litigation</w:t>
            </w:r>
          </w:p>
        </w:tc>
        <w:tc>
          <w:tcPr/>
          <w:p>
            <w:pPr>
              <w:pStyle w:val="Compact"/>
              <w:jc w:val="left"/>
            </w:pPr>
            <w:r>
              <w:t xml:space="preserve">Complete disclosure; disclose term loan threshold</w:t>
            </w:r>
          </w:p>
        </w:tc>
        <w:tc>
          <w:tcPr/>
          <w:p>
            <w:pPr>
              <w:pStyle w:val="Compact"/>
              <w:jc w:val="left"/>
            </w:pPr>
            <w:r>
              <w:t xml:space="preserve">GC / Counsel</w:t>
            </w:r>
          </w:p>
        </w:tc>
      </w:tr>
      <w:tr>
        <w:tc>
          <w:tcPr/>
          <w:p>
            <w:pPr>
              <w:pStyle w:val="Compact"/>
              <w:jc w:val="left"/>
            </w:pPr>
            <w:r>
              <w:t xml:space="preserve">High</w:t>
            </w:r>
          </w:p>
        </w:tc>
        <w:tc>
          <w:tcPr/>
          <w:p>
            <w:pPr>
              <w:pStyle w:val="Compact"/>
              <w:jc w:val="left"/>
            </w:pPr>
            <w:r>
              <w:t xml:space="preserve">24 — Dual-class sunset</w:t>
            </w:r>
          </w:p>
        </w:tc>
        <w:tc>
          <w:tcPr/>
          <w:p>
            <w:pPr>
              <w:pStyle w:val="Compact"/>
              <w:jc w:val="left"/>
            </w:pPr>
            <w:r>
              <w:t xml:space="preserve">Consider adopting sunset; complete risk factor</w:t>
            </w:r>
          </w:p>
        </w:tc>
        <w:tc>
          <w:tcPr/>
          <w:p>
            <w:pPr>
              <w:pStyle w:val="Compact"/>
              <w:jc w:val="left"/>
            </w:pPr>
            <w:r>
              <w:t xml:space="preserve">Counsel / Board</w:t>
            </w:r>
          </w:p>
        </w:tc>
      </w:tr>
      <w:tr>
        <w:tc>
          <w:tcPr/>
          <w:p>
            <w:pPr>
              <w:pStyle w:val="Compact"/>
              <w:jc w:val="left"/>
            </w:pPr>
            <w:r>
              <w:t xml:space="preserve">High</w:t>
            </w:r>
          </w:p>
        </w:tc>
        <w:tc>
          <w:tcPr/>
          <w:p>
            <w:pPr>
              <w:pStyle w:val="Compact"/>
              <w:jc w:val="left"/>
            </w:pPr>
            <w:r>
              <w:t xml:space="preserve">26 — Vantara related party</w:t>
            </w:r>
          </w:p>
        </w:tc>
        <w:tc>
          <w:tcPr/>
          <w:p>
            <w:pPr>
              <w:pStyle w:val="Compact"/>
              <w:jc w:val="left"/>
            </w:pPr>
            <w:r>
              <w:t xml:space="preserve">Confirm arm’s-length; ensure consistent disclosure</w:t>
            </w:r>
          </w:p>
        </w:tc>
        <w:tc>
          <w:tcPr/>
          <w:p>
            <w:pPr>
              <w:pStyle w:val="Compact"/>
              <w:jc w:val="left"/>
            </w:pPr>
            <w:r>
              <w:t xml:space="preserve">Audit Committee / GC</w:t>
            </w:r>
          </w:p>
        </w:tc>
      </w:tr>
      <w:tr>
        <w:tc>
          <w:tcPr/>
          <w:p>
            <w:pPr>
              <w:pStyle w:val="Compact"/>
              <w:jc w:val="left"/>
            </w:pPr>
            <w:r>
              <w:t xml:space="preserve">Medium</w:t>
            </w:r>
          </w:p>
        </w:tc>
        <w:tc>
          <w:tcPr/>
          <w:p>
            <w:pPr>
              <w:pStyle w:val="Compact"/>
              <w:jc w:val="left"/>
            </w:pPr>
            <w:r>
              <w:t xml:space="preserve">12 — Post-IPO ownership %</w:t>
            </w:r>
          </w:p>
        </w:tc>
        <w:tc>
          <w:tcPr/>
          <w:p>
            <w:pPr>
              <w:pStyle w:val="Compact"/>
              <w:jc w:val="left"/>
            </w:pPr>
            <w:r>
              <w:t xml:space="preserve">Recompute using consistent methodology</w:t>
            </w:r>
          </w:p>
        </w:tc>
        <w:tc>
          <w:tcPr/>
          <w:p>
            <w:pPr>
              <w:pStyle w:val="Compact"/>
              <w:jc w:val="left"/>
            </w:pPr>
            <w:r>
              <w:t xml:space="preserve">CFO</w:t>
            </w:r>
          </w:p>
        </w:tc>
      </w:tr>
      <w:tr>
        <w:tc>
          <w:tcPr/>
          <w:p>
            <w:pPr>
              <w:pStyle w:val="Compact"/>
              <w:jc w:val="left"/>
            </w:pPr>
            <w:r>
              <w:t xml:space="preserve">Medium</w:t>
            </w:r>
          </w:p>
        </w:tc>
        <w:tc>
          <w:tcPr/>
          <w:p>
            <w:pPr>
              <w:pStyle w:val="Compact"/>
              <w:jc w:val="left"/>
            </w:pPr>
            <w:r>
              <w:t xml:space="preserve">15 — Grant record reconciliation</w:t>
            </w:r>
          </w:p>
        </w:tc>
        <w:tc>
          <w:tcPr/>
          <w:p>
            <w:pPr>
              <w:pStyle w:val="Compact"/>
              <w:jc w:val="left"/>
            </w:pPr>
            <w:r>
              <w:t xml:space="preserve">Reconcile to cap table and audited financials</w:t>
            </w:r>
          </w:p>
        </w:tc>
        <w:tc>
          <w:tcPr/>
          <w:p>
            <w:pPr>
              <w:pStyle w:val="Compact"/>
              <w:jc w:val="left"/>
            </w:pPr>
            <w:r>
              <w:t xml:space="preserve">Equity Admin</w:t>
            </w:r>
          </w:p>
        </w:tc>
      </w:tr>
      <w:tr>
        <w:tc>
          <w:tcPr/>
          <w:p>
            <w:pPr>
              <w:pStyle w:val="Compact"/>
              <w:jc w:val="left"/>
            </w:pPr>
            <w:r>
              <w:t xml:space="preserve">Medium</w:t>
            </w:r>
          </w:p>
        </w:tc>
        <w:tc>
          <w:tcPr/>
          <w:p>
            <w:pPr>
              <w:pStyle w:val="Compact"/>
              <w:jc w:val="left"/>
            </w:pPr>
            <w:r>
              <w:t xml:space="preserve">18 — Director ages</w:t>
            </w:r>
          </w:p>
        </w:tc>
        <w:tc>
          <w:tcPr/>
          <w:p>
            <w:pPr>
              <w:pStyle w:val="Compact"/>
              <w:jc w:val="left"/>
            </w:pPr>
            <w:r>
              <w:t xml:space="preserve">Obtain confirmed ages</w:t>
            </w:r>
          </w:p>
        </w:tc>
        <w:tc>
          <w:tcPr/>
          <w:p>
            <w:pPr>
              <w:pStyle w:val="Compact"/>
              <w:jc w:val="left"/>
            </w:pPr>
            <w:r>
              <w:t xml:space="preserve">GC</w:t>
            </w:r>
          </w:p>
        </w:tc>
      </w:tr>
      <w:tr>
        <w:tc>
          <w:tcPr/>
          <w:p>
            <w:pPr>
              <w:pStyle w:val="Compact"/>
              <w:jc w:val="left"/>
            </w:pPr>
            <w:r>
              <w:t xml:space="preserve">Medium</w:t>
            </w:r>
          </w:p>
        </w:tc>
        <w:tc>
          <w:tcPr/>
          <w:p>
            <w:pPr>
              <w:pStyle w:val="Compact"/>
              <w:jc w:val="left"/>
            </w:pPr>
            <w:r>
              <w:t xml:space="preserve">19 — Lock-up fund coverage</w:t>
            </w:r>
          </w:p>
        </w:tc>
        <w:tc>
          <w:tcPr/>
          <w:p>
            <w:pPr>
              <w:pStyle w:val="Compact"/>
              <w:jc w:val="left"/>
            </w:pPr>
            <w:r>
              <w:t xml:space="preserve">Ensure fund entities execute lock-ups</w:t>
            </w:r>
          </w:p>
        </w:tc>
        <w:tc>
          <w:tcPr/>
          <w:p>
            <w:pPr>
              <w:pStyle w:val="Compact"/>
              <w:jc w:val="left"/>
            </w:pPr>
            <w:r>
              <w:t xml:space="preserve">Counsel</w:t>
            </w:r>
          </w:p>
        </w:tc>
      </w:tr>
      <w:tr>
        <w:tc>
          <w:tcPr/>
          <w:p>
            <w:pPr>
              <w:pStyle w:val="Compact"/>
              <w:jc w:val="left"/>
            </w:pPr>
            <w:r>
              <w:t xml:space="preserve">Medium</w:t>
            </w:r>
          </w:p>
        </w:tc>
        <w:tc>
          <w:tcPr/>
          <w:p>
            <w:pPr>
              <w:pStyle w:val="Compact"/>
              <w:jc w:val="left"/>
            </w:pPr>
            <w:r>
              <w:t xml:space="preserve">20 — Final 409A valuation</w:t>
            </w:r>
          </w:p>
        </w:tc>
        <w:tc>
          <w:tcPr/>
          <w:p>
            <w:pPr>
              <w:pStyle w:val="Compact"/>
              <w:jc w:val="left"/>
            </w:pPr>
            <w:r>
              <w:t xml:space="preserve">Obtain final report and board approval</w:t>
            </w:r>
          </w:p>
        </w:tc>
        <w:tc>
          <w:tcPr/>
          <w:p>
            <w:pPr>
              <w:pStyle w:val="Compact"/>
              <w:jc w:val="left"/>
            </w:pPr>
            <w:r>
              <w:t xml:space="preserve">CFO / Valuation Firm</w:t>
            </w:r>
          </w:p>
        </w:tc>
      </w:tr>
      <w:tr>
        <w:tc>
          <w:tcPr/>
          <w:p>
            <w:pPr>
              <w:pStyle w:val="Compact"/>
              <w:jc w:val="left"/>
            </w:pPr>
            <w:r>
              <w:t xml:space="preserve">Medium</w:t>
            </w:r>
          </w:p>
        </w:tc>
        <w:tc>
          <w:tcPr/>
          <w:p>
            <w:pPr>
              <w:pStyle w:val="Compact"/>
              <w:jc w:val="left"/>
            </w:pPr>
            <w:r>
              <w:t xml:space="preserve">21 — Section 382 study</w:t>
            </w:r>
          </w:p>
        </w:tc>
        <w:tc>
          <w:tcPr/>
          <w:p>
            <w:pPr>
              <w:pStyle w:val="Compact"/>
              <w:jc w:val="left"/>
            </w:pPr>
            <w:r>
              <w:t xml:space="preserve">Commission study; update disclosure</w:t>
            </w:r>
          </w:p>
        </w:tc>
        <w:tc>
          <w:tcPr/>
          <w:p>
            <w:pPr>
              <w:pStyle w:val="Compact"/>
              <w:jc w:val="left"/>
            </w:pPr>
            <w:r>
              <w:t xml:space="preserve">CFO / Tax Counsel</w:t>
            </w:r>
          </w:p>
        </w:tc>
      </w:tr>
      <w:tr>
        <w:tc>
          <w:tcPr/>
          <w:p>
            <w:pPr>
              <w:pStyle w:val="Compact"/>
              <w:jc w:val="left"/>
            </w:pPr>
            <w:r>
              <w:t xml:space="preserve">Medium</w:t>
            </w:r>
          </w:p>
        </w:tc>
        <w:tc>
          <w:tcPr/>
          <w:p>
            <w:pPr>
              <w:pStyle w:val="Compact"/>
              <w:jc w:val="left"/>
            </w:pPr>
            <w:r>
              <w:t xml:space="preserve">22 — Cheap stock risk</w:t>
            </w:r>
          </w:p>
        </w:tc>
        <w:tc>
          <w:tcPr/>
          <w:p>
            <w:pPr>
              <w:pStyle w:val="Compact"/>
              <w:jc w:val="left"/>
            </w:pPr>
            <w:r>
              <w:t xml:space="preserve">Review 409A history; prepare for SEC comments</w:t>
            </w:r>
          </w:p>
        </w:tc>
        <w:tc>
          <w:tcPr/>
          <w:p>
            <w:pPr>
              <w:pStyle w:val="Compact"/>
              <w:jc w:val="left"/>
            </w:pPr>
            <w:r>
              <w:t xml:space="preserve">Counsel / Valuation Firm</w:t>
            </w:r>
          </w:p>
        </w:tc>
      </w:tr>
      <w:tr>
        <w:tc>
          <w:tcPr/>
          <w:p>
            <w:pPr>
              <w:pStyle w:val="Compact"/>
              <w:jc w:val="left"/>
            </w:pPr>
            <w:r>
              <w:t xml:space="preserve">Medium</w:t>
            </w:r>
          </w:p>
        </w:tc>
        <w:tc>
          <w:tcPr/>
          <w:p>
            <w:pPr>
              <w:pStyle w:val="Compact"/>
              <w:jc w:val="left"/>
            </w:pPr>
            <w:r>
              <w:t xml:space="preserve">25 — Federal forum clause</w:t>
            </w:r>
          </w:p>
        </w:tc>
        <w:tc>
          <w:tcPr/>
          <w:p>
            <w:pPr>
              <w:pStyle w:val="Compact"/>
              <w:jc w:val="left"/>
            </w:pPr>
            <w:r>
              <w:t xml:space="preserve">Complete risk factor; confirm enforceability</w:t>
            </w:r>
          </w:p>
        </w:tc>
        <w:tc>
          <w:tcPr/>
          <w:p>
            <w:pPr>
              <w:pStyle w:val="Compact"/>
              <w:jc w:val="left"/>
            </w:pPr>
            <w:r>
              <w:t xml:space="preserve">Counsel</w:t>
            </w:r>
          </w:p>
        </w:tc>
      </w:tr>
      <w:tr>
        <w:tc>
          <w:tcPr/>
          <w:p>
            <w:pPr>
              <w:pStyle w:val="Compact"/>
              <w:jc w:val="left"/>
            </w:pPr>
            <w:r>
              <w:t xml:space="preserve">Medium</w:t>
            </w:r>
          </w:p>
        </w:tc>
        <w:tc>
          <w:tcPr/>
          <w:p>
            <w:pPr>
              <w:pStyle w:val="Compact"/>
              <w:jc w:val="left"/>
            </w:pPr>
            <w:r>
              <w:t xml:space="preserve">27 — Corporate opportunities</w:t>
            </w:r>
          </w:p>
        </w:tc>
        <w:tc>
          <w:tcPr/>
          <w:p>
            <w:pPr>
              <w:pStyle w:val="Compact"/>
              <w:jc w:val="left"/>
            </w:pPr>
            <w:r>
              <w:t xml:space="preserve">Ensure disclosure</w:t>
            </w:r>
          </w:p>
        </w:tc>
        <w:tc>
          <w:tcPr/>
          <w:p>
            <w:pPr>
              <w:pStyle w:val="Compact"/>
              <w:jc w:val="left"/>
            </w:pPr>
            <w:r>
              <w:t xml:space="preserve">Counsel</w:t>
            </w:r>
          </w:p>
        </w:tc>
      </w:tr>
      <w:tr>
        <w:tc>
          <w:tcPr/>
          <w:p>
            <w:pPr>
              <w:pStyle w:val="Compact"/>
              <w:jc w:val="left"/>
            </w:pPr>
            <w:r>
              <w:t xml:space="preserve">Medium</w:t>
            </w:r>
          </w:p>
        </w:tc>
        <w:tc>
          <w:tcPr/>
          <w:p>
            <w:pPr>
              <w:pStyle w:val="Compact"/>
              <w:jc w:val="left"/>
            </w:pPr>
            <w:r>
              <w:t xml:space="preserve">28 — Indemnification</w:t>
            </w:r>
          </w:p>
        </w:tc>
        <w:tc>
          <w:tcPr/>
          <w:p>
            <w:pPr>
              <w:pStyle w:val="Compact"/>
              <w:jc w:val="left"/>
            </w:pPr>
            <w:r>
              <w:t xml:space="preserve">Complete disclosure; place D&amp;O insurance</w:t>
            </w:r>
          </w:p>
        </w:tc>
        <w:tc>
          <w:tcPr/>
          <w:p>
            <w:pPr>
              <w:pStyle w:val="Compact"/>
              <w:jc w:val="left"/>
            </w:pPr>
            <w:r>
              <w:t xml:space="preserve">GC / Counsel</w:t>
            </w:r>
          </w:p>
        </w:tc>
      </w:tr>
      <w:tr>
        <w:tc>
          <w:tcPr/>
          <w:p>
            <w:pPr>
              <w:pStyle w:val="Compact"/>
              <w:jc w:val="left"/>
            </w:pPr>
            <w:r>
              <w:t xml:space="preserve">Medium</w:t>
            </w:r>
          </w:p>
        </w:tc>
        <w:tc>
          <w:tcPr/>
          <w:p>
            <w:pPr>
              <w:pStyle w:val="Compact"/>
              <w:jc w:val="left"/>
            </w:pPr>
            <w:r>
              <w:t xml:space="preserve">29 — Use of proceeds</w:t>
            </w:r>
          </w:p>
        </w:tc>
        <w:tc>
          <w:tcPr/>
          <w:p>
            <w:pPr>
              <w:pStyle w:val="Compact"/>
              <w:jc w:val="left"/>
            </w:pPr>
            <w:r>
              <w:t xml:space="preserve">Reconcile allocation across documents</w:t>
            </w:r>
          </w:p>
        </w:tc>
        <w:tc>
          <w:tcPr/>
          <w:p>
            <w:pPr>
              <w:pStyle w:val="Compact"/>
              <w:jc w:val="left"/>
            </w:pPr>
            <w:r>
              <w:t xml:space="preserve">CFO</w:t>
            </w:r>
          </w:p>
        </w:tc>
      </w:tr>
      <w:tr>
        <w:tc>
          <w:tcPr/>
          <w:p>
            <w:pPr>
              <w:pStyle w:val="Compact"/>
              <w:jc w:val="left"/>
            </w:pPr>
            <w:r>
              <w:t xml:space="preserve">Medium</w:t>
            </w:r>
          </w:p>
        </w:tc>
        <w:tc>
          <w:tcPr/>
          <w:p>
            <w:pPr>
              <w:pStyle w:val="Compact"/>
              <w:jc w:val="left"/>
            </w:pPr>
            <w:r>
              <w:t xml:space="preserve">30 — Auditor report</w:t>
            </w:r>
          </w:p>
        </w:tc>
        <w:tc>
          <w:tcPr/>
          <w:p>
            <w:pPr>
              <w:pStyle w:val="Compact"/>
              <w:jc w:val="left"/>
            </w:pPr>
            <w:r>
              <w:t xml:space="preserve">Finalize date; obtain consent and comfort letter</w:t>
            </w:r>
          </w:p>
        </w:tc>
        <w:tc>
          <w:tcPr/>
          <w:p>
            <w:pPr>
              <w:pStyle w:val="Compact"/>
              <w:jc w:val="left"/>
            </w:pPr>
            <w:r>
              <w:t xml:space="preserve">CFO / Auditor</w:t>
            </w:r>
          </w:p>
        </w:tc>
      </w:tr>
      <w:tr>
        <w:tc>
          <w:tcPr/>
          <w:p>
            <w:pPr>
              <w:pStyle w:val="Compact"/>
              <w:jc w:val="left"/>
            </w:pPr>
            <w:r>
              <w:t xml:space="preserve">Medium</w:t>
            </w:r>
          </w:p>
        </w:tc>
        <w:tc>
          <w:tcPr/>
          <w:p>
            <w:pPr>
              <w:pStyle w:val="Compact"/>
              <w:jc w:val="left"/>
            </w:pPr>
            <w:r>
              <w:t xml:space="preserve">31 — EGC accommodations</w:t>
            </w:r>
          </w:p>
        </w:tc>
        <w:tc>
          <w:tcPr/>
          <w:p>
            <w:pPr>
              <w:pStyle w:val="Compact"/>
              <w:jc w:val="left"/>
            </w:pPr>
            <w:r>
              <w:t xml:space="preserve">Confirm accommodations; assess interim financials</w:t>
            </w:r>
          </w:p>
        </w:tc>
        <w:tc>
          <w:tcPr/>
          <w:p>
            <w:pPr>
              <w:pStyle w:val="Compact"/>
              <w:jc w:val="left"/>
            </w:pPr>
            <w:r>
              <w:t xml:space="preserve">CFO / Counsel</w:t>
            </w:r>
          </w:p>
        </w:tc>
      </w:tr>
      <w:tr>
        <w:tc>
          <w:tcPr/>
          <w:p>
            <w:pPr>
              <w:pStyle w:val="Compact"/>
              <w:jc w:val="left"/>
            </w:pPr>
            <w:r>
              <w:t xml:space="preserve">Medium</w:t>
            </w:r>
          </w:p>
        </w:tc>
        <w:tc>
          <w:tcPr/>
          <w:p>
            <w:pPr>
              <w:pStyle w:val="Compact"/>
              <w:jc w:val="left"/>
            </w:pPr>
            <w:r>
              <w:t xml:space="preserve">32 — Registration rights</w:t>
            </w:r>
          </w:p>
        </w:tc>
        <w:tc>
          <w:tcPr/>
          <w:p>
            <w:pPr>
              <w:pStyle w:val="Compact"/>
              <w:jc w:val="left"/>
            </w:pPr>
            <w:r>
              <w:t xml:space="preserve">Disclose; file agreements as exhibits</w:t>
            </w:r>
          </w:p>
        </w:tc>
        <w:tc>
          <w:tcPr/>
          <w:p>
            <w:pPr>
              <w:pStyle w:val="Compact"/>
              <w:jc w:val="left"/>
            </w:pPr>
            <w:r>
              <w:t xml:space="preserve">Counsel</w:t>
            </w:r>
          </w:p>
        </w:tc>
      </w:tr>
      <w:tr>
        <w:tc>
          <w:tcPr/>
          <w:p>
            <w:pPr>
              <w:pStyle w:val="Compact"/>
              <w:jc w:val="left"/>
            </w:pPr>
            <w:r>
              <w:t xml:space="preserve">Medium</w:t>
            </w:r>
          </w:p>
        </w:tc>
        <w:tc>
          <w:tcPr/>
          <w:p>
            <w:pPr>
              <w:pStyle w:val="Compact"/>
              <w:jc w:val="left"/>
            </w:pPr>
            <w:r>
              <w:t xml:space="preserve">33 — Material contracts</w:t>
            </w:r>
          </w:p>
        </w:tc>
        <w:tc>
          <w:tcPr/>
          <w:p>
            <w:pPr>
              <w:pStyle w:val="Compact"/>
              <w:jc w:val="left"/>
            </w:pPr>
            <w:r>
              <w:t xml:space="preserve">Confirm and file exhibits</w:t>
            </w:r>
          </w:p>
        </w:tc>
        <w:tc>
          <w:tcPr/>
          <w:p>
            <w:pPr>
              <w:pStyle w:val="Compact"/>
              <w:jc w:val="left"/>
            </w:pPr>
            <w:r>
              <w:t xml:space="preserve">Counsel</w:t>
            </w:r>
          </w:p>
        </w:tc>
      </w:tr>
    </w:tbl>
    <w:bookmarkEnd w:id="62"/>
    <w:bookmarkStart w:id="63" w:name="xi.-conclusion"/>
    <w:p>
      <w:pPr>
        <w:pStyle w:val="Heading2"/>
      </w:pPr>
      <w:r>
        <w:t xml:space="preserve">XI. Conclusion</w:t>
      </w:r>
    </w:p>
    <w:p>
      <w:pPr>
        <w:pStyle w:val="FirstParagraph"/>
      </w:pPr>
      <w:r>
        <w:t xml:space="preserve">The source documents provide a substantial foundation for the Form S-1, but the issues identified above must be resolved before the Registration Statement is filed. The most pressing matters are the three internal reconciliation errors in the audited financial statements (Issues 1–3), which must be corrected with Archer Pryce LLP, and the Adjusted EBITDA arithmetic error (Issue 4), which must be corrected in all investor-facing materials. The data integrity issues in the equity grant records (Issues 13–15) and the conflict regarding the General Counsel / Chief Revenue Officer identity (Issue 14) warrant prompt investigation, as they may indicate broader issues with the Company’s equity administration and internal controls that could be raised by the SEC or the underwriters’ counsel during due diligence.</w:t>
      </w:r>
    </w:p>
    <w:p>
      <w:pPr>
        <w:pStyle w:val="BodyText"/>
      </w:pPr>
      <w:r>
        <w:t xml:space="preserve">The accompanying draft Form S-1 has been prepared using the audited financial statements as the authoritative source for all financial figures and includes risk factor and disclosure language addressing the principal risks identified (controlled company status, dual-class structure without a sunset, the Optivance litigation, customer concentration, the term loan covenants and notice requirement, NOL limitations, and dilution). Bracketed placeholders [●] indicate items that require completion or confirmation before filing.</w:t>
      </w:r>
    </w:p>
    <w:p>
      <w:pPr>
        <w:pStyle w:val="BodyText"/>
      </w:pPr>
      <w:r>
        <w:t xml:space="preserve">We are available to discuss any of the foregoing at your convenience.</w:t>
      </w:r>
    </w:p>
    <w:p>
      <w:pPr>
        <w:pStyle w:val="BodyText"/>
      </w:pPr>
      <w:r>
        <w:t xml:space="preserve">Respectfully submitted,</w:t>
      </w:r>
    </w:p>
    <w:p>
      <w:pPr>
        <w:pStyle w:val="BodyText"/>
      </w:pPr>
      <w:r>
        <w:rPr>
          <w:b/>
          <w:bCs/>
        </w:rPr>
        <w:t xml:space="preserve">IPO Working Group — Drafting Team</w:t>
      </w:r>
    </w:p>
    <w:p>
      <w:pPr>
        <w:pStyle w:val="BodyText"/>
      </w:pPr>
      <w:r>
        <w:t xml:space="preserve">Thorncroft &amp; Wexler LLP</w:t>
      </w:r>
    </w:p>
    <w:p>
      <w:r>
        <w:pict>
          <v:rect style="width:0;height:1.5pt" o:hralign="center" o:hrstd="t" o:hr="t"/>
        </w:pict>
      </w:r>
    </w:p>
    <w:p>
      <w:pPr>
        <w:pStyle w:val="FirstParagraph"/>
      </w:pPr>
      <w:r>
        <w:rPr>
          <w:i/>
          <w:iCs/>
        </w:rPr>
        <w:t xml:space="preserve">This memorandum is privileged and confidential, is prepared at the direction of counsel, and constitutes attorney work product. It is intended for the internal use of the Company, its board of directors, and outside counsel in connection with the proposed initial public offering. It should not be distributed to the underwriting syndicate or their counsel without prior authorization.</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dc:title>
  <dc:creator/>
  <cp:keywords/>
  <dcterms:created xsi:type="dcterms:W3CDTF">2026-06-23T05:24:24Z</dcterms:created>
  <dcterms:modified xsi:type="dcterms:W3CDTF">2026-06-23T05:24:24Z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Crestline Software, Inc. — Proposed IPO</vt:lpwstr>
  </property>
</Properties>
</file>