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ssues-memorandum"/>
    <w:p>
      <w:pPr>
        <w:pStyle w:val="Heading1"/>
      </w:pPr>
      <w:r>
        <w:t xml:space="preserve">ISSUES MEMORANDUM</w:t>
      </w:r>
    </w:p>
    <w:p>
      <w:pPr>
        <w:pStyle w:val="FirstParagraph"/>
      </w:pPr>
      <w:r>
        <w:rPr>
          <w:b/>
          <w:bCs/>
        </w:rPr>
        <w:t xml:space="preserve">TO:</w:t>
      </w:r>
      <w:r>
        <w:t xml:space="preserve"> </w:t>
      </w:r>
      <w:r>
        <w:t xml:space="preserve">Sarah K. Norden, Esq. (Lead Partner) and James T. Okafor, Esq. (Associate), Thorncroft &amp; Wexler LLP; Michael D. Hartwell, Chief Financial Officer; Sandra Y. Chen, General Counsel and Corporate Secretary</w:t>
      </w:r>
    </w:p>
    <w:p>
      <w:pPr>
        <w:pStyle w:val="BodyText"/>
      </w:pPr>
      <w:r>
        <w:rPr>
          <w:b/>
          <w:bCs/>
        </w:rPr>
        <w:t xml:space="preserve">FROM:</w:t>
      </w:r>
      <w:r>
        <w:t xml:space="preserve"> </w:t>
      </w:r>
      <w:r>
        <w:t xml:space="preserve">[IPO Working Group — Drafting Team]</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Inconsistencies, Disclosure Gaps, and Risks Identified in the Source Documents for the Form S-1 Registration Statement — Crestline Software, Inc. (Proposed IPO, Nasdaq: CRST)</w:t>
      </w:r>
    </w:p>
    <w:p>
      <w:pPr>
        <w:pStyle w:val="BodyText"/>
      </w:pPr>
      <w:r>
        <w:rPr>
          <w:b/>
          <w:bCs/>
        </w:rPr>
        <w:t xml:space="preserve">CLASSIFICATION:</w:t>
      </w:r>
      <w:r>
        <w:t xml:space="preserve"> </w:t>
      </w:r>
      <w:r>
        <w:t xml:space="preserve">CONFIDENTIAL — PRIVILEGED &amp; CONFIDENTIAL — PREPARED AT THE DIRECTION OF COUNSEL</w:t>
      </w:r>
    </w:p>
    <w:bookmarkStart w:id="20" w:name="introduction-and-scope"/>
    <w:p>
      <w:pPr>
        <w:pStyle w:val="Heading2"/>
      </w:pPr>
      <w:r>
        <w:t xml:space="preserve">1. Introduction and Scope</w:t>
      </w:r>
    </w:p>
    <w:p>
      <w:pPr>
        <w:pStyle w:val="FirstParagraph"/>
      </w:pPr>
      <w:r>
        <w:t xml:space="preserve">This memorandum summarizes the inconsistencies, disclosure gaps, and risks identified during our review of the source documents provided in connection with the preparation of the Registration Statement on Form S-1 for the proposed initial public offering of Crestline Software, Inc. (the</w:t>
      </w:r>
      <w:r>
        <w:t xml:space="preserve"> </w:t>
      </w:r>
      <w:r>
        <w:t xml:space="preserve">“</w:t>
      </w:r>
      <w:r>
        <w:t xml:space="preserve">Company</w:t>
      </w:r>
      <w:r>
        <w:t xml:space="preserve">”</w:t>
      </w:r>
      <w:r>
        <w:t xml:space="preserve">). The source documents reviewed include: (i) the CFO IPO Readiness Memorandum dated February 14, 2025; (ii) the Underwriting Term Sheet and Lock-Up; (iii) the Audited Financial Statements for FY 2023–2024; (iv) the Term Loan and Security Agreement summary; (v) the Amended and Restated Certificate of Incorporation and Bylaws; (vi) the Director and Officer Questionnaire Responses; (vii) the Equity Plan Summary and Grants workbook; and (viii) the draft IPO Roadshow Presentation.</w:t>
      </w:r>
    </w:p>
    <w:p>
      <w:pPr>
        <w:pStyle w:val="BodyText"/>
      </w:pPr>
      <w:r>
        <w:t xml:space="preserve">The audited financial statements have been treated as the authoritative source for all financial figures. Where other source documents conflict with the audited financial statements, the audited figures control, and the conflict is flagged below. Each item is categorized by severity (High / Medium / Low) and tagged with the documents in conflict. Items requiring resolution before the Form S-1 is filed are marked</w:t>
      </w:r>
      <w:r>
        <w:t xml:space="preserve"> </w:t>
      </w:r>
      <w:r>
        <w:rPr>
          <w:b/>
          <w:bCs/>
        </w:rPr>
        <w:t xml:space="preserve">[RESOLVE BEFORE FILING]</w:t>
      </w:r>
      <w:r>
        <w:t xml:space="preserve">.</w:t>
      </w:r>
    </w:p>
    <w:p>
      <w:pPr>
        <w:pStyle w:val="BodyText"/>
      </w:pPr>
      <w:r>
        <w:t xml:space="preserve">A summary table of all open items appears in Section 6.</w:t>
      </w:r>
    </w:p>
    <w:p>
      <w:r>
        <w:pict>
          <v:rect style="width:0;height:1.5pt" o:hralign="center" o:hrstd="t" o:hr="t"/>
        </w:pict>
      </w:r>
    </w:p>
    <w:bookmarkEnd w:id="20"/>
    <w:bookmarkStart w:id="30" w:name="X3637a7e2f5380776905f4978b0def58b61bd2a2"/>
    <w:p>
      <w:pPr>
        <w:pStyle w:val="Heading2"/>
      </w:pPr>
      <w:r>
        <w:t xml:space="preserve">2. Material Financial and Numerical Inconsistencies</w:t>
      </w:r>
    </w:p>
    <w:bookmarkStart w:id="21" w:name="X12617c7432095a686e35b9a12da000308b5d057"/>
    <w:p>
      <w:pPr>
        <w:pStyle w:val="Heading3"/>
      </w:pPr>
      <w:r>
        <w:t xml:space="preserve">2.1 Adjusted EBITDA — FY 2024 total does not foot (and is overstated)</w:t>
      </w:r>
      <w:r>
        <w:t xml:space="preserve"> </w:t>
      </w:r>
      <w:r>
        <w:rPr>
          <w:b/>
          <w:bCs/>
        </w:rPr>
        <w:t xml:space="preserve">[HIGH] [RESOLVE BEFORE FILING]</w:t>
      </w:r>
    </w:p>
    <w:p>
      <w:pPr>
        <w:pStyle w:val="FirstParagraph"/>
      </w:pPr>
      <w:r>
        <w:t xml:space="preserve">The CFO Readiness Memorandum (Section 5.2) and the Roadshow Presentation (Slides 3, 23, 34, and 35) state FY 2024 Adjusted EBITDA of</w:t>
      </w:r>
      <w:r>
        <w:t xml:space="preserve"> </w:t>
      </w:r>
      <w:r>
        <w:rPr>
          <w:b/>
          <w:bCs/>
        </w:rPr>
        <w:t xml:space="preserve">$22.8 million</w:t>
      </w:r>
      <w:r>
        <w:t xml:space="preserve">. The stated reconciliation components, however, sum to</w:t>
      </w:r>
      <w:r>
        <w:t xml:space="preserve"> </w:t>
      </w:r>
      <w:r>
        <w:rPr>
          <w:b/>
          <w:bCs/>
        </w:rPr>
        <w:t xml:space="preserve">$20.5 million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FY 2024 (as stated)</w:t>
            </w:r>
          </w:p>
        </w:tc>
      </w:tr>
      <w:tr>
        <w:tc>
          <w:tcPr/>
          <w:p>
            <w:pPr>
              <w:pStyle w:val="Compact"/>
              <w:jc w:val="left"/>
            </w:pPr>
            <w:r>
              <w:t xml:space="preserve">Net loss</w:t>
            </w:r>
          </w:p>
        </w:tc>
        <w:tc>
          <w:tcPr/>
          <w:p>
            <w:pPr>
              <w:pStyle w:val="Compact"/>
              <w:jc w:val="left"/>
            </w:pPr>
            <w:r>
              <w:t xml:space="preserve">$(24.8)M</w:t>
            </w:r>
          </w:p>
        </w:tc>
      </w:tr>
      <w:tr>
        <w:tc>
          <w:tcPr/>
          <w:p>
            <w:pPr>
              <w:pStyle w:val="Compact"/>
              <w:jc w:val="left"/>
            </w:pPr>
            <w:r>
              <w:t xml:space="preserve">Depreciation and amortization</w:t>
            </w:r>
          </w:p>
        </w:tc>
        <w:tc>
          <w:tcPr/>
          <w:p>
            <w:pPr>
              <w:pStyle w:val="Compact"/>
              <w:jc w:val="left"/>
            </w:pPr>
            <w:r>
              <w:t xml:space="preserve">8.7</w:t>
            </w:r>
          </w:p>
        </w:tc>
      </w:tr>
      <w:tr>
        <w:tc>
          <w:tcPr/>
          <w:p>
            <w:pPr>
              <w:pStyle w:val="Compact"/>
              <w:jc w:val="left"/>
            </w:pPr>
            <w:r>
              <w:t xml:space="preserve">Stock-based compensation</w:t>
            </w:r>
          </w:p>
        </w:tc>
        <w:tc>
          <w:tcPr/>
          <w:p>
            <w:pPr>
              <w:pStyle w:val="Compact"/>
              <w:jc w:val="left"/>
            </w:pPr>
            <w:r>
              <w:t xml:space="preserve">38.2</w:t>
            </w:r>
          </w:p>
        </w:tc>
      </w:tr>
      <w:tr>
        <w:tc>
          <w:tcPr/>
          <w:p>
            <w:pPr>
              <w:pStyle w:val="Compact"/>
              <w:jc w:val="left"/>
            </w:pPr>
            <w:r>
              <w:t xml:space="preserve">Interest expense</w:t>
            </w:r>
          </w:p>
        </w:tc>
        <w:tc>
          <w:tcPr/>
          <w:p>
            <w:pPr>
              <w:pStyle w:val="Compact"/>
              <w:jc w:val="left"/>
            </w:pPr>
            <w:r>
              <w:t xml:space="preserve">3.1</w:t>
            </w:r>
          </w:p>
        </w:tc>
      </w:tr>
      <w:tr>
        <w:tc>
          <w:tcPr/>
          <w:p>
            <w:pPr>
              <w:pStyle w:val="Compact"/>
              <w:jc w:val="left"/>
            </w:pPr>
            <w:r>
              <w:t xml:space="preserve">Interest income</w:t>
            </w:r>
          </w:p>
        </w:tc>
        <w:tc>
          <w:tcPr/>
          <w:p>
            <w:pPr>
              <w:pStyle w:val="Compact"/>
              <w:jc w:val="left"/>
            </w:pPr>
            <w:r>
              <w:t xml:space="preserve">(6.2)</w:t>
            </w:r>
          </w:p>
        </w:tc>
      </w:tr>
      <w:tr>
        <w:tc>
          <w:tcPr/>
          <w:p>
            <w:pPr>
              <w:pStyle w:val="Compact"/>
              <w:jc w:val="left"/>
            </w:pPr>
            <w:r>
              <w:t xml:space="preserve">Income tax provision</w:t>
            </w:r>
          </w:p>
        </w:tc>
        <w:tc>
          <w:tcPr/>
          <w:p>
            <w:pPr>
              <w:pStyle w:val="Compact"/>
              <w:jc w:val="left"/>
            </w:pPr>
            <w:r>
              <w:t xml:space="preserve">0.3</w:t>
            </w:r>
          </w:p>
        </w:tc>
      </w:tr>
      <w:tr>
        <w:tc>
          <w:tcPr/>
          <w:p>
            <w:pPr>
              <w:pStyle w:val="Compact"/>
              <w:jc w:val="left"/>
            </w:pPr>
            <w:r>
              <w:t xml:space="preserve">Restructuring charges</w:t>
            </w:r>
          </w:p>
        </w:tc>
        <w:tc>
          <w:tcPr/>
          <w:p>
            <w:pPr>
              <w:pStyle w:val="Compact"/>
              <w:jc w:val="left"/>
            </w:pPr>
            <w:r>
              <w:t xml:space="preserve">1.2</w:t>
            </w:r>
          </w:p>
        </w:tc>
      </w:tr>
      <w:tr>
        <w:tc>
          <w:tcPr/>
          <w:p>
            <w:pPr>
              <w:pStyle w:val="Compact"/>
              <w:jc w:val="left"/>
            </w:pPr>
            <w:r>
              <w:rPr>
                <w:b/>
                <w:bCs/>
              </w:rPr>
              <w:t xml:space="preserve">Sum of components</w:t>
            </w:r>
          </w:p>
        </w:tc>
        <w:tc>
          <w:tcPr/>
          <w:p>
            <w:pPr>
              <w:pStyle w:val="Compact"/>
              <w:jc w:val="left"/>
            </w:pPr>
            <w:r>
              <w:rPr>
                <w:b/>
                <w:bCs/>
              </w:rPr>
              <w:t xml:space="preserve">$20.5M</w:t>
            </w:r>
          </w:p>
        </w:tc>
      </w:tr>
    </w:tbl>
    <w:p>
      <w:pPr>
        <w:pStyle w:val="BodyText"/>
      </w:pPr>
      <w:r>
        <w:t xml:space="preserve">The $2.3 million discrepancy is unexplained. The individual add-backs are consistent with the audited financial statements; only the total is wrong. The Roadshow Presentation’s own drafting notes acknowledge this error and state that presenting an incorrect non-GAAP reconciliation would constitute a violation of Regulation G and Item 10(e) of Regulation S-K and would likely draw an SEC comment letter. The Adjusted EBITDA margin stated as 12.2% is likewise incorrect; the correct margin is 10.9% ($20.5M / $187.3M).</w:t>
      </w:r>
    </w:p>
    <w:p>
      <w:pPr>
        <w:pStyle w:val="BodyText"/>
      </w:pPr>
      <w:r>
        <w:rPr>
          <w:b/>
          <w:bCs/>
        </w:rPr>
        <w:t xml:space="preserve">Recommendation:</w:t>
      </w:r>
      <w:r>
        <w:t xml:space="preserve"> </w:t>
      </w:r>
      <w:r>
        <w:t xml:space="preserve">Correct the FY 2024 Adjusted EBITDA to $20.5 million throughout the S-1 and all investor materials. Confirm with the CFO whether a line item was omitted or double-counted.</w:t>
      </w:r>
    </w:p>
    <w:bookmarkEnd w:id="21"/>
    <w:bookmarkStart w:id="22" w:name="X7e5f6515233b557c4aedfd3c332079a87e1be52"/>
    <w:p>
      <w:pPr>
        <w:pStyle w:val="Heading3"/>
      </w:pPr>
      <w:r>
        <w:t xml:space="preserve">2.2 Adjusted EBITDA — FY 2023 reconciliation uses incorrect components</w:t>
      </w:r>
      <w:r>
        <w:t xml:space="preserve"> </w:t>
      </w:r>
      <w:r>
        <w:rPr>
          <w:b/>
          <w:bCs/>
        </w:rPr>
        <w:t xml:space="preserve">[HIGH] [RESOLVE BEFORE FILING]</w:t>
      </w:r>
    </w:p>
    <w:p>
      <w:pPr>
        <w:pStyle w:val="FirstParagraph"/>
      </w:pPr>
      <w:r>
        <w:t xml:space="preserve">The CFO Readiness Memorandum states FY 2023 Adjusted EBITDA of</w:t>
      </w:r>
      <w:r>
        <w:t xml:space="preserve"> </w:t>
      </w:r>
      <w:r>
        <w:rPr>
          <w:b/>
          <w:bCs/>
        </w:rPr>
        <w:t xml:space="preserve">$7.6 million</w:t>
      </w:r>
      <w:r>
        <w:t xml:space="preserve">. Although the memo’s reconciliation internally foots to $7.6 million, several of the FY 2023 components conflict with the audited financial statements: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CFO Memo (FY 2023)</w:t>
            </w:r>
          </w:p>
        </w:tc>
        <w:tc>
          <w:tcPr/>
          <w:p>
            <w:pPr>
              <w:pStyle w:val="Compact"/>
              <w:jc w:val="left"/>
            </w:pPr>
            <w:r>
              <w:t xml:space="preserve">Audited (FY 2023)</w:t>
            </w:r>
          </w:p>
        </w:tc>
        <w:tc>
          <w:tcPr/>
          <w:p>
            <w:pPr>
              <w:pStyle w:val="Compact"/>
              <w:jc w:val="left"/>
            </w:pPr>
            <w:r>
              <w:t xml:space="preserve">Variance</w:t>
            </w:r>
          </w:p>
        </w:tc>
      </w:tr>
      <w:tr>
        <w:tc>
          <w:tcPr/>
          <w:p>
            <w:pPr>
              <w:pStyle w:val="Compact"/>
              <w:jc w:val="left"/>
            </w:pPr>
            <w:r>
              <w:t xml:space="preserve">Depreciation and amortization</w:t>
            </w:r>
          </w:p>
        </w:tc>
        <w:tc>
          <w:tcPr/>
          <w:p>
            <w:pPr>
              <w:pStyle w:val="Compact"/>
              <w:jc w:val="left"/>
            </w:pPr>
            <w:r>
              <w:t xml:space="preserve">$6.9M</w:t>
            </w:r>
          </w:p>
        </w:tc>
        <w:tc>
          <w:tcPr/>
          <w:p>
            <w:pPr>
              <w:pStyle w:val="Compact"/>
              <w:jc w:val="left"/>
            </w:pPr>
            <w:r>
              <w:t xml:space="preserve">$7.1M</w:t>
            </w:r>
          </w:p>
        </w:tc>
        <w:tc>
          <w:tcPr/>
          <w:p>
            <w:pPr>
              <w:pStyle w:val="Compact"/>
              <w:jc w:val="left"/>
            </w:pPr>
            <w:r>
              <w:t xml:space="preserve">$(0.2)M</w:t>
            </w:r>
          </w:p>
        </w:tc>
      </w:tr>
      <w:tr>
        <w:tc>
          <w:tcPr/>
          <w:p>
            <w:pPr>
              <w:pStyle w:val="Compact"/>
              <w:jc w:val="left"/>
            </w:pPr>
            <w:r>
              <w:t xml:space="preserve">Stock-based compensation</w:t>
            </w:r>
          </w:p>
        </w:tc>
        <w:tc>
          <w:tcPr/>
          <w:p>
            <w:pPr>
              <w:pStyle w:val="Compact"/>
              <w:jc w:val="left"/>
            </w:pPr>
            <w:r>
              <w:t xml:space="preserve">$29.1M</w:t>
            </w:r>
          </w:p>
        </w:tc>
        <w:tc>
          <w:tcPr/>
          <w:p>
            <w:pPr>
              <w:pStyle w:val="Compact"/>
              <w:jc w:val="left"/>
            </w:pPr>
            <w:r>
              <w:t xml:space="preserve">$26.4M</w:t>
            </w:r>
          </w:p>
        </w:tc>
        <w:tc>
          <w:tcPr/>
          <w:p>
            <w:pPr>
              <w:pStyle w:val="Compact"/>
              <w:jc w:val="left"/>
            </w:pPr>
            <w:r>
              <w:t xml:space="preserve">$2.7M</w:t>
            </w:r>
          </w:p>
        </w:tc>
      </w:tr>
      <w:tr>
        <w:tc>
          <w:tcPr/>
          <w:p>
            <w:pPr>
              <w:pStyle w:val="Compact"/>
              <w:jc w:val="left"/>
            </w:pPr>
            <w:r>
              <w:t xml:space="preserve">Interest income</w:t>
            </w:r>
          </w:p>
        </w:tc>
        <w:tc>
          <w:tcPr/>
          <w:p>
            <w:pPr>
              <w:pStyle w:val="Compact"/>
              <w:jc w:val="left"/>
            </w:pPr>
            <w:r>
              <w:t xml:space="preserve">$(4.6)M</w:t>
            </w:r>
          </w:p>
        </w:tc>
        <w:tc>
          <w:tcPr/>
          <w:p>
            <w:pPr>
              <w:pStyle w:val="Compact"/>
              <w:jc w:val="left"/>
            </w:pPr>
            <w:r>
              <w:t xml:space="preserve">$(5.8)M</w:t>
            </w:r>
          </w:p>
        </w:tc>
        <w:tc>
          <w:tcPr/>
          <w:p>
            <w:pPr>
              <w:pStyle w:val="Compact"/>
              <w:jc w:val="left"/>
            </w:pPr>
            <w:r>
              <w:t xml:space="preserve">$1.2M</w:t>
            </w:r>
          </w:p>
        </w:tc>
      </w:tr>
      <w:tr>
        <w:tc>
          <w:tcPr/>
          <w:p>
            <w:pPr>
              <w:pStyle w:val="Compact"/>
              <w:jc w:val="left"/>
            </w:pPr>
            <w:r>
              <w:t xml:space="preserve">Interest expense</w:t>
            </w:r>
          </w:p>
        </w:tc>
        <w:tc>
          <w:tcPr/>
          <w:p>
            <w:pPr>
              <w:pStyle w:val="Compact"/>
              <w:jc w:val="left"/>
            </w:pPr>
            <w:r>
              <w:t xml:space="preserve">$2.8M</w:t>
            </w:r>
          </w:p>
        </w:tc>
        <w:tc>
          <w:tcPr/>
          <w:p>
            <w:pPr>
              <w:pStyle w:val="Compact"/>
              <w:jc w:val="left"/>
            </w:pPr>
            <w:r>
              <w:t xml:space="preserve">$3.1M</w:t>
            </w:r>
          </w:p>
        </w:tc>
        <w:tc>
          <w:tcPr/>
          <w:p>
            <w:pPr>
              <w:pStyle w:val="Compact"/>
              <w:jc w:val="left"/>
            </w:pPr>
            <w:r>
              <w:t xml:space="preserve">$(0.3)M</w:t>
            </w:r>
          </w:p>
        </w:tc>
      </w:tr>
      <w:tr>
        <w:tc>
          <w:tcPr/>
          <w:p>
            <w:pPr>
              <w:pStyle w:val="Compact"/>
              <w:jc w:val="left"/>
            </w:pPr>
            <w:r>
              <w:t xml:space="preserve">Income tax provision</w:t>
            </w:r>
          </w:p>
        </w:tc>
        <w:tc>
          <w:tcPr/>
          <w:p>
            <w:pPr>
              <w:pStyle w:val="Compact"/>
              <w:jc w:val="left"/>
            </w:pPr>
            <w:r>
              <w:t xml:space="preserve">$0.2M</w:t>
            </w:r>
          </w:p>
        </w:tc>
        <w:tc>
          <w:tcPr/>
          <w:p>
            <w:pPr>
              <w:pStyle w:val="Compact"/>
              <w:jc w:val="left"/>
            </w:pPr>
            <w:r>
              <w:t xml:space="preserve">$0.1M</w:t>
            </w:r>
          </w:p>
        </w:tc>
        <w:tc>
          <w:tcPr/>
          <w:p>
            <w:pPr>
              <w:pStyle w:val="Compact"/>
              <w:jc w:val="left"/>
            </w:pPr>
            <w:r>
              <w:t xml:space="preserve">$0.1M</w:t>
            </w:r>
          </w:p>
        </w:tc>
      </w:tr>
      <w:tr>
        <w:tc>
          <w:tcPr/>
          <w:p>
            <w:pPr>
              <w:pStyle w:val="Compact"/>
              <w:jc w:val="left"/>
            </w:pPr>
            <w:r>
              <w:t xml:space="preserve">Restructuring charges</w:t>
            </w:r>
          </w:p>
        </w:tc>
        <w:tc>
          <w:tcPr/>
          <w:p>
            <w:pPr>
              <w:pStyle w:val="Compact"/>
              <w:jc w:val="left"/>
            </w:pPr>
            <w:r>
              <w:t xml:space="preserve">$0.6M</w:t>
            </w:r>
          </w:p>
        </w:tc>
        <w:tc>
          <w:tcPr/>
          <w:p>
            <w:pPr>
              <w:pStyle w:val="Compact"/>
              <w:jc w:val="left"/>
            </w:pPr>
            <w:r>
              <w:t xml:space="preserve">$0 (none recorded)</w:t>
            </w:r>
          </w:p>
        </w:tc>
        <w:tc>
          <w:tcPr/>
          <w:p>
            <w:pPr>
              <w:pStyle w:val="Compact"/>
              <w:jc w:val="left"/>
            </w:pPr>
            <w:r>
              <w:t xml:space="preserve">$0.6M</w:t>
            </w:r>
          </w:p>
        </w:tc>
      </w:tr>
    </w:tbl>
    <w:p>
      <w:pPr>
        <w:pStyle w:val="BodyText"/>
      </w:pPr>
      <w:r>
        <w:t xml:space="preserve">Using the audited components, FY 2023 Adjusted EBITDA is</w:t>
      </w:r>
      <w:r>
        <w:t xml:space="preserve"> </w:t>
      </w:r>
      <w:r>
        <w:rPr>
          <w:b/>
          <w:bCs/>
        </w:rPr>
        <w:t xml:space="preserve">$3.5 million</w:t>
      </w:r>
      <w:r>
        <w:t xml:space="preserve">, not $7.6 million — a $4.1 million difference. The audited financial statements reflect no restructuring charge in FY 2023 (the restructuring program was implemented in the third quarter of 2024; the restructuring accrual was $0 at December 31, 2023).</w:t>
      </w:r>
    </w:p>
    <w:p>
      <w:pPr>
        <w:pStyle w:val="BodyText"/>
      </w:pPr>
      <w:r>
        <w:rPr>
          <w:b/>
          <w:bCs/>
        </w:rPr>
        <w:t xml:space="preserve">Recommendation:</w:t>
      </w:r>
      <w:r>
        <w:t xml:space="preserve"> </w:t>
      </w:r>
      <w:r>
        <w:t xml:space="preserve">Rebuild the FY 2023 Adjusted EBITDA reconciliation using audited components. The corrected FY 2023 figure is $3.5 million. The S-1 non-GAAP reconciliation must tie to the audited financial statements.</w:t>
      </w:r>
    </w:p>
    <w:bookmarkEnd w:id="22"/>
    <w:bookmarkStart w:id="23" w:name="Xa13b5e12c8764662939faad6a49fce00f98da64"/>
    <w:p>
      <w:pPr>
        <w:pStyle w:val="Heading3"/>
      </w:pPr>
      <w:r>
        <w:t xml:space="preserve">2.3 FY 2023 revenue split conflicts with the audited financial statements</w:t>
      </w:r>
      <w:r>
        <w:t xml:space="preserve"> </w:t>
      </w:r>
      <w:r>
        <w:rPr>
          <w:b/>
          <w:bCs/>
        </w:rPr>
        <w:t xml:space="preserve">[HIGH] [RESOLVE BEFORE FILING]</w:t>
      </w:r>
    </w:p>
    <w:p>
      <w:pPr>
        <w:pStyle w:val="FirstParagraph"/>
      </w:pPr>
      <w:r>
        <w:t xml:space="preserve">The CFO Readiness Memorandum (Section 4.1) reports the FY 2023 revenue split as subscription</w:t>
      </w:r>
      <w:r>
        <w:t xml:space="preserve"> </w:t>
      </w:r>
      <w:r>
        <w:rPr>
          <w:b/>
          <w:bCs/>
        </w:rPr>
        <w:t xml:space="preserve">$113.4 million</w:t>
      </w:r>
      <w:r>
        <w:t xml:space="preserve"> </w:t>
      </w:r>
      <w:r>
        <w:t xml:space="preserve">and professional services</w:t>
      </w:r>
      <w:r>
        <w:t xml:space="preserve"> </w:t>
      </w:r>
      <w:r>
        <w:rPr>
          <w:b/>
          <w:bCs/>
        </w:rPr>
        <w:t xml:space="preserve">$15.5 million</w:t>
      </w:r>
      <w:r>
        <w:t xml:space="preserve">. The audited financial statements (Note 3) report subscription</w:t>
      </w:r>
      <w:r>
        <w:t xml:space="preserve"> </w:t>
      </w:r>
      <w:r>
        <w:rPr>
          <w:b/>
          <w:bCs/>
        </w:rPr>
        <w:t xml:space="preserve">$116.4 million</w:t>
      </w:r>
      <w:r>
        <w:t xml:space="preserve"> </w:t>
      </w:r>
      <w:r>
        <w:t xml:space="preserve">and professional services</w:t>
      </w:r>
      <w:r>
        <w:t xml:space="preserve"> </w:t>
      </w:r>
      <w:r>
        <w:rPr>
          <w:b/>
          <w:bCs/>
        </w:rPr>
        <w:t xml:space="preserve">$12.5 million</w:t>
      </w:r>
      <w:r>
        <w:t xml:space="preserve">. The total ($128.9 million) is consistent, but the split differs by $3.0 million in each line.</w:t>
      </w:r>
    </w:p>
    <w:p>
      <w:pPr>
        <w:pStyle w:val="BodyText"/>
      </w:pPr>
      <w:r>
        <w:t xml:space="preserve">As a result, the year-over-year growth rates stated in the CFO memorandum (subscription 48.7%; professional services 20.6%) are incorrect. Using the audited figures, the correct growth rates are subscription</w:t>
      </w:r>
      <w:r>
        <w:t xml:space="preserve"> </w:t>
      </w:r>
      <w:r>
        <w:rPr>
          <w:b/>
          <w:bCs/>
        </w:rPr>
        <w:t xml:space="preserve">44.8%</w:t>
      </w:r>
      <w:r>
        <w:t xml:space="preserve"> </w:t>
      </w:r>
      <w:r>
        <w:t xml:space="preserve">and professional services</w:t>
      </w:r>
      <w:r>
        <w:t xml:space="preserve"> </w:t>
      </w:r>
      <w:r>
        <w:rPr>
          <w:b/>
          <w:bCs/>
        </w:rPr>
        <w:t xml:space="preserve">49.6%</w:t>
      </w:r>
      <w:r>
        <w:t xml:space="preserve">.</w:t>
      </w:r>
    </w:p>
    <w:p>
      <w:pPr>
        <w:pStyle w:val="BodyText"/>
      </w:pPr>
      <w:r>
        <w:rPr>
          <w:b/>
          <w:bCs/>
        </w:rPr>
        <w:t xml:space="preserve">Recommendation:</w:t>
      </w:r>
      <w:r>
        <w:t xml:space="preserve"> </w:t>
      </w:r>
      <w:r>
        <w:t xml:space="preserve">Use the audited revenue split throughout the S-1. Correct the growth-rate disclosures.</w:t>
      </w:r>
    </w:p>
    <w:bookmarkEnd w:id="23"/>
    <w:bookmarkStart w:id="24" w:name="X08f76a6caabe6252d1eddd06f4ef48c3f7d66b3"/>
    <w:p>
      <w:pPr>
        <w:pStyle w:val="Heading3"/>
      </w:pPr>
      <w:r>
        <w:t xml:space="preserve">2.4 Professional services gross margin is negative, contradicting the</w:t>
      </w:r>
      <w:r>
        <w:t xml:space="preserve"> </w:t>
      </w:r>
      <w:r>
        <w:t xml:space="preserve">“</w:t>
      </w:r>
      <w:r>
        <w:t xml:space="preserve">high-margin</w:t>
      </w:r>
      <w:r>
        <w:t xml:space="preserve">”</w:t>
      </w:r>
      <w:r>
        <w:t xml:space="preserve"> </w:t>
      </w:r>
      <w:r>
        <w:t xml:space="preserve">narrative</w:t>
      </w:r>
      <w:r>
        <w:t xml:space="preserve"> </w:t>
      </w:r>
      <w:r>
        <w:rPr>
          <w:b/>
          <w:bCs/>
        </w:rPr>
        <w:t xml:space="preserve">[HIGH] [RESOLVE BEFORE FILING]</w:t>
      </w:r>
    </w:p>
    <w:p>
      <w:pPr>
        <w:pStyle w:val="FirstParagraph"/>
      </w:pPr>
      <w:r>
        <w:t xml:space="preserve">The CFO Readiness Memorandum and the Roadshow Presentation (Slides 12, 17, 21, and 27) describe professional services as</w:t>
      </w:r>
      <w:r>
        <w:t xml:space="preserve"> </w:t>
      </w:r>
      <w:r>
        <w:t xml:space="preserve">“</w:t>
      </w:r>
      <w:r>
        <w:t xml:space="preserve">high-margin and accretive.</w:t>
      </w:r>
      <w:r>
        <w:t xml:space="preserve">”</w:t>
      </w:r>
      <w:r>
        <w:t xml:space="preserve"> </w:t>
      </w:r>
      <w:r>
        <w:t xml:space="preserve">The audited financial statements show the opposite: FY 2024 professional services revenue of $18.7 million against professional services cost of revenue of $18.8 million, yielding a professional services gross margin of approximately</w:t>
      </w:r>
      <w:r>
        <w:t xml:space="preserve"> </w:t>
      </w:r>
      <w:r>
        <w:rPr>
          <w:b/>
          <w:bCs/>
        </w:rPr>
        <w:t xml:space="preserve">(0.5)%</w:t>
      </w:r>
      <w:r>
        <w:t xml:space="preserve"> </w:t>
      </w:r>
      <w:r>
        <w:t xml:space="preserve">(negative). The Roadshow Presentation’s own appendix (Slide 35) correctly discloses the (0.5)% margin, creating an internal inconsistency within the same presentation.</w:t>
      </w:r>
    </w:p>
    <w:p>
      <w:pPr>
        <w:pStyle w:val="BodyText"/>
      </w:pPr>
      <w:r>
        <w:t xml:space="preserve">The blended gross margin of 70.0% is achievable only because subscription gross margin (77.8%) offsets the negative professional services margin. Forward-looking projections of 15–20% professional services margins (Roadshow Slide 21/27) are not supported by current operating data and, if used, must be clearly framed as targets with appropriate cautionary language.</w:t>
      </w:r>
    </w:p>
    <w:p>
      <w:pPr>
        <w:pStyle w:val="BodyText"/>
      </w:pPr>
      <w:r>
        <w:rPr>
          <w:b/>
          <w:bCs/>
        </w:rPr>
        <w:t xml:space="preserve">Recommendation:</w:t>
      </w:r>
      <w:r>
        <w:t xml:space="preserve"> </w:t>
      </w:r>
      <w:r>
        <w:t xml:space="preserve">The S-1 must disclose the actual negative professional services gross margin. Remove or qualify the</w:t>
      </w:r>
      <w:r>
        <w:t xml:space="preserve"> </w:t>
      </w:r>
      <w:r>
        <w:t xml:space="preserve">“</w:t>
      </w:r>
      <w:r>
        <w:t xml:space="preserve">high-margin</w:t>
      </w:r>
      <w:r>
        <w:t xml:space="preserve">”</w:t>
      </w:r>
      <w:r>
        <w:t xml:space="preserve"> </w:t>
      </w:r>
      <w:r>
        <w:t xml:space="preserve">characterization in all investor materials. Any forward-looking margin targets must be presented as targets, not current results.</w:t>
      </w:r>
    </w:p>
    <w:bookmarkEnd w:id="24"/>
    <w:bookmarkStart w:id="25" w:name="X6739ac2f3c09cfc6a078aca41babbecd43657f2"/>
    <w:p>
      <w:pPr>
        <w:pStyle w:val="Heading3"/>
      </w:pPr>
      <w:r>
        <w:t xml:space="preserve">2.5 Balance sheet line items in the CFO memorandum conflict with the audited balance sheet</w:t>
      </w:r>
      <w:r>
        <w:t xml:space="preserve"> </w:t>
      </w:r>
      <w:r>
        <w:rPr>
          <w:b/>
          <w:bCs/>
        </w:rPr>
        <w:t xml:space="preserve">[MEDIUM] [RESOLVE BEFORE FILING]</w:t>
      </w:r>
    </w:p>
    <w:p>
      <w:pPr>
        <w:pStyle w:val="FirstParagraph"/>
      </w:pPr>
      <w:r>
        <w:t xml:space="preserve">The CFO Readiness Memorandum (Section 6.1) presents a condensed balance sheet that differs from the audited balance sheet in several current line items, even though the subtotals agree: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CFO Memo</w:t>
            </w:r>
          </w:p>
        </w:tc>
        <w:tc>
          <w:tcPr/>
          <w:p>
            <w:pPr>
              <w:pStyle w:val="Compact"/>
              <w:jc w:val="left"/>
            </w:pPr>
            <w:r>
              <w:t xml:space="preserve">Audited</w:t>
            </w:r>
          </w:p>
        </w:tc>
        <w:tc>
          <w:tcPr/>
          <w:p>
            <w:pPr>
              <w:pStyle w:val="Compact"/>
              <w:jc w:val="left"/>
            </w:pPr>
            <w:r>
              <w:t xml:space="preserve">Variance</w:t>
            </w:r>
          </w:p>
        </w:tc>
      </w:tr>
      <w:tr>
        <w:tc>
          <w:tcPr/>
          <w:p>
            <w:pPr>
              <w:pStyle w:val="Compact"/>
              <w:jc w:val="left"/>
            </w:pPr>
            <w:r>
              <w:t xml:space="preserve">Accounts receivable, net</w:t>
            </w:r>
          </w:p>
        </w:tc>
        <w:tc>
          <w:tcPr/>
          <w:p>
            <w:pPr>
              <w:pStyle w:val="Compact"/>
              <w:jc w:val="left"/>
            </w:pPr>
            <w:r>
              <w:t xml:space="preserve">$28.2M</w:t>
            </w:r>
          </w:p>
        </w:tc>
        <w:tc>
          <w:tcPr/>
          <w:p>
            <w:pPr>
              <w:pStyle w:val="Compact"/>
              <w:jc w:val="left"/>
            </w:pPr>
            <w:r>
              <w:t xml:space="preserve">$29.8M</w:t>
            </w:r>
          </w:p>
        </w:tc>
        <w:tc>
          <w:tcPr/>
          <w:p>
            <w:pPr>
              <w:pStyle w:val="Compact"/>
              <w:jc w:val="left"/>
            </w:pPr>
            <w:r>
              <w:t xml:space="preserve">$(1.6)M</w:t>
            </w:r>
          </w:p>
        </w:tc>
      </w:tr>
      <w:tr>
        <w:tc>
          <w:tcPr/>
          <w:p>
            <w:pPr>
              <w:pStyle w:val="Compact"/>
              <w:jc w:val="left"/>
            </w:pPr>
            <w:r>
              <w:t xml:space="preserve">Prepaid expenses and other current assets</w:t>
            </w:r>
          </w:p>
        </w:tc>
        <w:tc>
          <w:tcPr/>
          <w:p>
            <w:pPr>
              <w:pStyle w:val="Compact"/>
              <w:jc w:val="left"/>
            </w:pPr>
            <w:r>
              <w:t xml:space="preserve">$13.2M</w:t>
            </w:r>
          </w:p>
        </w:tc>
        <w:tc>
          <w:tcPr/>
          <w:p>
            <w:pPr>
              <w:pStyle w:val="Compact"/>
              <w:jc w:val="left"/>
            </w:pPr>
            <w:r>
              <w:t xml:space="preserve">$11.6M</w:t>
            </w:r>
          </w:p>
        </w:tc>
        <w:tc>
          <w:tcPr/>
          <w:p>
            <w:pPr>
              <w:pStyle w:val="Compact"/>
              <w:jc w:val="left"/>
            </w:pPr>
            <w:r>
              <w:t xml:space="preserve">$1.6M</w:t>
            </w:r>
          </w:p>
        </w:tc>
      </w:tr>
      <w:tr>
        <w:tc>
          <w:tcPr/>
          <w:p>
            <w:pPr>
              <w:pStyle w:val="Compact"/>
              <w:jc w:val="left"/>
            </w:pPr>
            <w:r>
              <w:t xml:space="preserve">Accounts payable</w:t>
            </w:r>
          </w:p>
        </w:tc>
        <w:tc>
          <w:tcPr/>
          <w:p>
            <w:pPr>
              <w:pStyle w:val="Compact"/>
              <w:jc w:val="left"/>
            </w:pPr>
            <w:r>
              <w:t xml:space="preserve">$9.8M</w:t>
            </w:r>
          </w:p>
        </w:tc>
        <w:tc>
          <w:tcPr/>
          <w:p>
            <w:pPr>
              <w:pStyle w:val="Compact"/>
              <w:jc w:val="left"/>
            </w:pPr>
            <w:r>
              <w:t xml:space="preserve">$8.2M</w:t>
            </w:r>
          </w:p>
        </w:tc>
        <w:tc>
          <w:tcPr/>
          <w:p>
            <w:pPr>
              <w:pStyle w:val="Compact"/>
              <w:jc w:val="left"/>
            </w:pPr>
            <w:r>
              <w:t xml:space="preserve">$1.6M</w:t>
            </w:r>
          </w:p>
        </w:tc>
      </w:tr>
      <w:tr>
        <w:tc>
          <w:tcPr/>
          <w:p>
            <w:pPr>
              <w:pStyle w:val="Compact"/>
              <w:jc w:val="left"/>
            </w:pPr>
            <w:r>
              <w:t xml:space="preserve">Accrued liabilities</w:t>
            </w:r>
          </w:p>
        </w:tc>
        <w:tc>
          <w:tcPr/>
          <w:p>
            <w:pPr>
              <w:pStyle w:val="Compact"/>
              <w:jc w:val="left"/>
            </w:pPr>
            <w:r>
              <w:t xml:space="preserve">$14.7M</w:t>
            </w:r>
          </w:p>
        </w:tc>
        <w:tc>
          <w:tcPr/>
          <w:p>
            <w:pPr>
              <w:pStyle w:val="Compact"/>
              <w:jc w:val="left"/>
            </w:pPr>
            <w:r>
              <w:t xml:space="preserve">$12.1M</w:t>
            </w:r>
          </w:p>
        </w:tc>
        <w:tc>
          <w:tcPr/>
          <w:p>
            <w:pPr>
              <w:pStyle w:val="Compact"/>
              <w:jc w:val="left"/>
            </w:pPr>
            <w:r>
              <w:t xml:space="preserve">$2.6M</w:t>
            </w:r>
          </w:p>
        </w:tc>
      </w:tr>
      <w:tr>
        <w:tc>
          <w:tcPr/>
          <w:p>
            <w:pPr>
              <w:pStyle w:val="Compact"/>
              <w:jc w:val="left"/>
            </w:pPr>
            <w:r>
              <w:t xml:space="preserve">Operating lease liabilities, current</w:t>
            </w:r>
          </w:p>
        </w:tc>
        <w:tc>
          <w:tcPr/>
          <w:p>
            <w:pPr>
              <w:pStyle w:val="Compact"/>
              <w:jc w:val="left"/>
            </w:pPr>
            <w:r>
              <w:t xml:space="preserve">(omitted)</w:t>
            </w:r>
          </w:p>
        </w:tc>
        <w:tc>
          <w:tcPr/>
          <w:p>
            <w:pPr>
              <w:pStyle w:val="Compact"/>
              <w:jc w:val="left"/>
            </w:pPr>
            <w:r>
              <w:t xml:space="preserve">$4.2M</w:t>
            </w:r>
          </w:p>
        </w:tc>
        <w:tc>
          <w:tcPr/>
          <w:p>
            <w:pPr>
              <w:pStyle w:val="Compact"/>
              <w:jc w:val="left"/>
            </w:pPr>
            <w:r>
              <w:t xml:space="preserve">$4.2M</w:t>
            </w:r>
          </w:p>
        </w:tc>
      </w:tr>
    </w:tbl>
    <w:p>
      <w:pPr>
        <w:pStyle w:val="BodyText"/>
      </w:pPr>
      <w:r>
        <w:t xml:space="preserve">The CFO memorandum’s current-liability presentation omits the current portion of operating lease liabilities ($4.2 million) and overstates accounts payable and accrued liabilities to compensate. Total current assets ($178.4 million) and total current liabilities ($72.8 million) agree with the audited balance sheet.</w:t>
      </w:r>
    </w:p>
    <w:p>
      <w:pPr>
        <w:pStyle w:val="BodyText"/>
      </w:pPr>
      <w:r>
        <w:rPr>
          <w:b/>
          <w:bCs/>
        </w:rPr>
        <w:t xml:space="preserve">Recommendation:</w:t>
      </w:r>
      <w:r>
        <w:t xml:space="preserve"> </w:t>
      </w:r>
      <w:r>
        <w:t xml:space="preserve">Use the audited balance sheet line items in the S-1. The condensed balance sheet in the prospectus must include the current portion of operating lease liabilities.</w:t>
      </w:r>
    </w:p>
    <w:bookmarkEnd w:id="25"/>
    <w:bookmarkStart w:id="26" w:name="Xa0de913c5d5870bbabcd27892e9b3f5c52a6b83"/>
    <w:p>
      <w:pPr>
        <w:pStyle w:val="Heading3"/>
      </w:pPr>
      <w:r>
        <w:t xml:space="preserve">2.6 Post-IPO ownership table uses inconsistent denominators</w:t>
      </w:r>
      <w:r>
        <w:t xml:space="preserve"> </w:t>
      </w:r>
      <w:r>
        <w:rPr>
          <w:b/>
          <w:bCs/>
        </w:rPr>
        <w:t xml:space="preserve">[MEDIUM-HIGH] [RESOLVE BEFORE FILING]</w:t>
      </w:r>
    </w:p>
    <w:p>
      <w:pPr>
        <w:pStyle w:val="FirstParagraph"/>
      </w:pPr>
      <w:r>
        <w:t xml:space="preserve">The CFO Readiness Memorandum (Section 7.2) presents a post-IPO ownership table that mixes two different share-count denominators within the same table:</w:t>
      </w:r>
    </w:p>
    <w:p>
      <w:pPr>
        <w:pStyle w:val="Compact"/>
        <w:numPr>
          <w:ilvl w:val="0"/>
          <w:numId w:val="1001"/>
        </w:numPr>
      </w:pPr>
      <w:r>
        <w:t xml:space="preserve">Graymont Ventures (~19.3%) and Ridgeline Growth Partners (~12.7%) appear to be computed on a fully-diluted, post-over-allotment basis (~122.6 million shares).</w:t>
      </w:r>
    </w:p>
    <w:p>
      <w:pPr>
        <w:pStyle w:val="Compact"/>
        <w:numPr>
          <w:ilvl w:val="0"/>
          <w:numId w:val="1001"/>
        </w:numPr>
      </w:pPr>
      <w:r>
        <w:t xml:space="preserve">The co-founders (~11.9% and ~8.4%) and new public investors (~14.6%) are computed on a basic post-IPO basis (102,416,667 shares).</w:t>
      </w:r>
    </w:p>
    <w:p>
      <w:pPr>
        <w:pStyle w:val="FirstParagraph"/>
      </w:pPr>
      <w:r>
        <w:t xml:space="preserve">As a result, the</w:t>
      </w:r>
      <w:r>
        <w:t xml:space="preserve"> </w:t>
      </w:r>
      <w:r>
        <w:t xml:space="preserve">“</w:t>
      </w:r>
      <w:r>
        <w:t xml:space="preserve">Other existing stockholders</w:t>
      </w:r>
      <w:r>
        <w:t xml:space="preserve">”</w:t>
      </w:r>
      <w:r>
        <w:t xml:space="preserve"> </w:t>
      </w:r>
      <w:r>
        <w:t xml:space="preserve">line (~33.1%) is overstated, and the table does not tie to a single, consistent basis. On a consistent basic post-IPO basis (102,416,667 shares), Graymont would be ~23.0% and Ridgeline ~15.2%.</w:t>
      </w:r>
    </w:p>
    <w:p>
      <w:pPr>
        <w:pStyle w:val="BodyText"/>
      </w:pPr>
      <w:r>
        <w:rPr>
          <w:b/>
          <w:bCs/>
        </w:rPr>
        <w:t xml:space="preserve">Recommendation:</w:t>
      </w:r>
      <w:r>
        <w:t xml:space="preserve"> </w:t>
      </w:r>
      <w:r>
        <w:t xml:space="preserve">Rebuild the post-IPO beneficial ownership table on a single, clearly disclosed basis (basic shares outstanding, with a separate voting-power column). The S-1 draft accompanying this memorandum presents the table on a consistent basis.</w:t>
      </w:r>
    </w:p>
    <w:bookmarkEnd w:id="26"/>
    <w:bookmarkStart w:id="27" w:name="X5ec8f3007fef72ecf20a2f22ef0b8d85a0cd249"/>
    <w:p>
      <w:pPr>
        <w:pStyle w:val="Heading3"/>
      </w:pPr>
      <w:r>
        <w:t xml:space="preserve">2.7 Restructuring: headcount and timing conflict</w:t>
      </w:r>
      <w:r>
        <w:t xml:space="preserve"> </w:t>
      </w:r>
      <w:r>
        <w:rPr>
          <w:b/>
          <w:bCs/>
        </w:rPr>
        <w:t xml:space="preserve">[MEDIUM] [RESOLVE BEFORE FILING]</w:t>
      </w:r>
    </w:p>
    <w:p>
      <w:pPr>
        <w:pStyle w:val="FirstParagraph"/>
      </w:pPr>
      <w:r>
        <w:t xml:space="preserve">The CFO Readiness Memorandum (Section 5.3) describes the FY 2024 restructuring as a workforce reduction of</w:t>
      </w:r>
      <w:r>
        <w:t xml:space="preserve"> </w:t>
      </w:r>
      <w:r>
        <w:t xml:space="preserve">“</w:t>
      </w:r>
      <w:r>
        <w:t xml:space="preserve">approximately 30 positions</w:t>
      </w:r>
      <w:r>
        <w:t xml:space="preserve">”</w:t>
      </w:r>
      <w:r>
        <w:t xml:space="preserve"> </w:t>
      </w:r>
      <w:r>
        <w:t xml:space="preserve">in the</w:t>
      </w:r>
      <w:r>
        <w:t xml:space="preserve"> </w:t>
      </w:r>
      <w:r>
        <w:t xml:space="preserve">“</w:t>
      </w:r>
      <w:r>
        <w:t xml:space="preserve">second quarter of 2024.</w:t>
      </w:r>
      <w:r>
        <w:t xml:space="preserve">”</w:t>
      </w:r>
      <w:r>
        <w:t xml:space="preserve"> </w:t>
      </w:r>
      <w:r>
        <w:t xml:space="preserve">The audited financial statements (Note 9) describe a workforce reduction affecting</w:t>
      </w:r>
      <w:r>
        <w:t xml:space="preserve"> </w:t>
      </w:r>
      <w:r>
        <w:t xml:space="preserve">“</w:t>
      </w:r>
      <w:r>
        <w:t xml:space="preserve">approximately 46 employees</w:t>
      </w:r>
      <w:r>
        <w:t xml:space="preserve">”</w:t>
      </w:r>
      <w:r>
        <w:t xml:space="preserve"> </w:t>
      </w:r>
      <w:r>
        <w:t xml:space="preserve">implemented in the</w:t>
      </w:r>
      <w:r>
        <w:t xml:space="preserve"> </w:t>
      </w:r>
      <w:r>
        <w:t xml:space="preserve">“</w:t>
      </w:r>
      <w:r>
        <w:t xml:space="preserve">third quarter of 2024.</w:t>
      </w:r>
      <w:r>
        <w:t xml:space="preserve">”</w:t>
      </w:r>
    </w:p>
    <w:p>
      <w:pPr>
        <w:pStyle w:val="BodyText"/>
      </w:pPr>
      <w:r>
        <w:rPr>
          <w:b/>
          <w:bCs/>
        </w:rPr>
        <w:t xml:space="preserve">Recommendation:</w:t>
      </w:r>
      <w:r>
        <w:t xml:space="preserve"> </w:t>
      </w:r>
      <w:r>
        <w:t xml:space="preserve">Use the audited disclosure (approximately 46 employees, third quarter of 2024). Reconcile the CFO memorandum.</w:t>
      </w:r>
    </w:p>
    <w:bookmarkEnd w:id="27"/>
    <w:bookmarkStart w:id="28" w:name="Xf3f42b5ccb50e3943e8cfac087d74d61121ee9e"/>
    <w:p>
      <w:pPr>
        <w:pStyle w:val="Heading3"/>
      </w:pPr>
      <w:r>
        <w:t xml:space="preserve">2.8 Use of proceeds allocation differs across documents</w:t>
      </w:r>
      <w:r>
        <w:t xml:space="preserve"> </w:t>
      </w:r>
      <w:r>
        <w:rPr>
          <w:b/>
          <w:bCs/>
        </w:rPr>
        <w:t xml:space="preserve">[MEDIUM] [RESOLVE BEFORE FILING]</w:t>
      </w:r>
    </w:p>
    <w:p>
      <w:pPr>
        <w:pStyle w:val="FirstParagraph"/>
      </w:pPr>
      <w:r>
        <w:t xml:space="preserve">The allocation of net proceeds differs between the CFO Readiness Memorandum and the Roadshow Presentation: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Use</w:t>
            </w:r>
          </w:p>
        </w:tc>
        <w:tc>
          <w:tcPr/>
          <w:p>
            <w:pPr>
              <w:pStyle w:val="Compact"/>
              <w:jc w:val="left"/>
            </w:pPr>
            <w:r>
              <w:t xml:space="preserve">CFO Memo</w:t>
            </w:r>
          </w:p>
        </w:tc>
        <w:tc>
          <w:tcPr/>
          <w:p>
            <w:pPr>
              <w:pStyle w:val="Compact"/>
              <w:jc w:val="left"/>
            </w:pPr>
            <w:r>
              <w:t xml:space="preserve">Roadshow (Slide 27)</w:t>
            </w:r>
          </w:p>
        </w:tc>
      </w:tr>
      <w:tr>
        <w:tc>
          <w:tcPr/>
          <w:p>
            <w:pPr>
              <w:pStyle w:val="Compact"/>
              <w:jc w:val="left"/>
            </w:pPr>
            <w:r>
              <w:t xml:space="preserve">Research and development</w:t>
            </w:r>
          </w:p>
        </w:tc>
        <w:tc>
          <w:tcPr/>
          <w:p>
            <w:pPr>
              <w:pStyle w:val="Compact"/>
              <w:jc w:val="left"/>
            </w:pPr>
            <w:r>
              <w:t xml:space="preserve">35%</w:t>
            </w:r>
          </w:p>
        </w:tc>
        <w:tc>
          <w:tcPr/>
          <w:p>
            <w:pPr>
              <w:pStyle w:val="Compact"/>
              <w:jc w:val="left"/>
            </w:pPr>
            <w:r>
              <w:t xml:space="preserve">40%</w:t>
            </w:r>
          </w:p>
        </w:tc>
      </w:tr>
      <w:tr>
        <w:tc>
          <w:tcPr/>
          <w:p>
            <w:pPr>
              <w:pStyle w:val="Compact"/>
              <w:jc w:val="left"/>
            </w:pPr>
            <w:r>
              <w:t xml:space="preserve">Sales and marketing</w:t>
            </w:r>
          </w:p>
        </w:tc>
        <w:tc>
          <w:tcPr/>
          <w:p>
            <w:pPr>
              <w:pStyle w:val="Compact"/>
              <w:jc w:val="left"/>
            </w:pPr>
            <w:r>
              <w:t xml:space="preserve">25%</w:t>
            </w:r>
          </w:p>
        </w:tc>
        <w:tc>
          <w:tcPr/>
          <w:p>
            <w:pPr>
              <w:pStyle w:val="Compact"/>
              <w:jc w:val="left"/>
            </w:pPr>
            <w:r>
              <w:t xml:space="preserve">30%</w:t>
            </w:r>
          </w:p>
        </w:tc>
      </w:tr>
      <w:tr>
        <w:tc>
          <w:tcPr/>
          <w:p>
            <w:pPr>
              <w:pStyle w:val="Compact"/>
              <w:jc w:val="left"/>
            </w:pPr>
            <w:r>
              <w:t xml:space="preserve">Debt repayment</w:t>
            </w:r>
          </w:p>
        </w:tc>
        <w:tc>
          <w:tcPr/>
          <w:p>
            <w:pPr>
              <w:pStyle w:val="Compact"/>
              <w:jc w:val="left"/>
            </w:pPr>
            <w:r>
              <w:t xml:space="preserve">15% (~$49.8M)</w:t>
            </w:r>
          </w:p>
        </w:tc>
        <w:tc>
          <w:tcPr/>
          <w:p>
            <w:pPr>
              <w:pStyle w:val="Compact"/>
              <w:jc w:val="left"/>
            </w:pPr>
            <w:r>
              <w:t xml:space="preserve">5%</w:t>
            </w:r>
          </w:p>
        </w:tc>
      </w:tr>
      <w:tr>
        <w:tc>
          <w:tcPr/>
          <w:p>
            <w:pPr>
              <w:pStyle w:val="Compact"/>
              <w:jc w:val="left"/>
            </w:pPr>
            <w:r>
              <w:t xml:space="preserve">Acquisitions / strategic investments</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General corporate / working capital</w:t>
            </w:r>
          </w:p>
        </w:tc>
        <w:tc>
          <w:tcPr/>
          <w:p>
            <w:pPr>
              <w:pStyle w:val="Compact"/>
              <w:jc w:val="left"/>
            </w:pPr>
            <w:r>
              <w:t xml:space="preserve">remainder (~$49.7M)</w:t>
            </w:r>
          </w:p>
        </w:tc>
        <w:tc>
          <w:tcPr/>
          <w:p>
            <w:pPr>
              <w:pStyle w:val="Compact"/>
              <w:jc w:val="left"/>
            </w:pPr>
            <w:r>
              <w:t xml:space="preserve">10%</w:t>
            </w:r>
          </w:p>
        </w:tc>
      </w:tr>
    </w:tbl>
    <w:p>
      <w:pPr>
        <w:pStyle w:val="BodyText"/>
      </w:pPr>
      <w:r>
        <w:t xml:space="preserve">The Underwriting Term Sheet (Section 4) is deliberately non-specific, stating that the Company</w:t>
      </w:r>
      <w:r>
        <w:t xml:space="preserve"> </w:t>
      </w:r>
      <w:r>
        <w:t xml:space="preserve">“</w:t>
      </w:r>
      <w:r>
        <w:t xml:space="preserve">has not determined the specific allocation.</w:t>
      </w:r>
      <w:r>
        <w:t xml:space="preserve">”</w:t>
      </w:r>
      <w:r>
        <w:t xml:space="preserve"> </w:t>
      </w:r>
      <w:r>
        <w:t xml:space="preserve">In addition, the CFO memorandum allocates approximately $49.8 million (15%) to debt repayment, which exceeds the $40.0 million term loan balance; the memorandum states the excess would be applied to general corporate purposes.</w:t>
      </w:r>
    </w:p>
    <w:p>
      <w:pPr>
        <w:pStyle w:val="BodyText"/>
      </w:pPr>
      <w:r>
        <w:rPr>
          <w:b/>
          <w:bCs/>
        </w:rPr>
        <w:t xml:space="preserve">Recommendation:</w:t>
      </w:r>
      <w:r>
        <w:t xml:space="preserve"> </w:t>
      </w:r>
      <w:r>
        <w:t xml:space="preserve">Settle on a single, internally consistent use-of-proceeds allocation for the S-1. If the allocation remains approximate, state that clearly. The S-1 draft uses the CFO memorandum’s allocation; confirm with management.</w:t>
      </w:r>
    </w:p>
    <w:bookmarkEnd w:id="28"/>
    <w:bookmarkStart w:id="29" w:name="X1443b7b44e5eed2be8436a88f97233a949ff0b5"/>
    <w:p>
      <w:pPr>
        <w:pStyle w:val="Heading3"/>
      </w:pPr>
      <w:r>
        <w:t xml:space="preserve">2.9 Weighted-average share counts equal period-end balances</w:t>
      </w:r>
      <w:r>
        <w:t xml:space="preserve"> </w:t>
      </w:r>
      <w:r>
        <w:rPr>
          <w:b/>
          <w:bCs/>
        </w:rPr>
        <w:t xml:space="preserve">[LOW-MEDIUM] [VERIFY]</w:t>
      </w:r>
    </w:p>
    <w:p>
      <w:pPr>
        <w:pStyle w:val="FirstParagraph"/>
      </w:pPr>
      <w:r>
        <w:t xml:space="preserve">The audited financial statements report weighted-average common shares outstanding of 52,000,000 for FY 2024 and 50,500,000 for FY 2023 — figures that equal the period-end share counts, notwithstanding share issuances during each year (approximately 1,500,000 shares issued in FY 2024 and 1,300,000 in FY 2023 upon option exercises and RSU vesting, per the statements of changes in equity). A true weighted-average would typically fall below the period-end count.</w:t>
      </w:r>
    </w:p>
    <w:p>
      <w:pPr>
        <w:pStyle w:val="BodyText"/>
      </w:pPr>
      <w:r>
        <w:rPr>
          <w:b/>
          <w:bCs/>
        </w:rPr>
        <w:t xml:space="preserve">Recommendation:</w:t>
      </w:r>
      <w:r>
        <w:t xml:space="preserve"> </w:t>
      </w:r>
      <w:r>
        <w:t xml:space="preserve">Confirm with the auditor that the weighted-average share counts are correctly computed (or that issuances occurred sufficiently early in the period to justify the figures). This affects basic and diluted net loss per share.</w:t>
      </w:r>
    </w:p>
    <w:p>
      <w:r>
        <w:pict>
          <v:rect style="width:0;height:1.5pt" o:hralign="center" o:hrstd="t" o:hr="t"/>
        </w:pict>
      </w:r>
    </w:p>
    <w:bookmarkEnd w:id="29"/>
    <w:bookmarkEnd w:id="30"/>
    <w:bookmarkStart w:id="39" w:name="name-entity-and-identity-inconsistencies"/>
    <w:p>
      <w:pPr>
        <w:pStyle w:val="Heading2"/>
      </w:pPr>
      <w:r>
        <w:t xml:space="preserve">3. Name, Entity, and Identity Inconsistencies</w:t>
      </w:r>
    </w:p>
    <w:bookmarkStart w:id="31" w:name="X1e6a39546dbcbe33394b576eba10cacfd372a47"/>
    <w:p>
      <w:pPr>
        <w:pStyle w:val="Heading3"/>
      </w:pPr>
      <w:r>
        <w:t xml:space="preserve">3.1 Chief Technology Officer’s surname:</w:t>
      </w:r>
      <w:r>
        <w:t xml:space="preserve"> </w:t>
      </w:r>
      <w:r>
        <w:t xml:space="preserve">“</w:t>
      </w:r>
      <w:r>
        <w:t xml:space="preserve">Litvak</w:t>
      </w:r>
      <w:r>
        <w:t xml:space="preserve">”</w:t>
      </w:r>
      <w:r>
        <w:t xml:space="preserve"> </w:t>
      </w:r>
      <w:r>
        <w:t xml:space="preserve">vs. </w:t>
      </w:r>
      <w:r>
        <w:t xml:space="preserve">“</w:t>
      </w:r>
      <w:r>
        <w:t xml:space="preserve">Litvanova</w:t>
      </w:r>
      <w:r>
        <w:t xml:space="preserve">”</w:t>
      </w:r>
      <w:r>
        <w:t xml:space="preserve"> </w:t>
      </w:r>
      <w:r>
        <w:rPr>
          <w:b/>
          <w:bCs/>
        </w:rPr>
        <w:t xml:space="preserve">[HIGH] [RESOLVE BEFORE FILING]</w:t>
      </w:r>
    </w:p>
    <w:p>
      <w:pPr>
        <w:pStyle w:val="FirstParagraph"/>
      </w:pPr>
      <w:r>
        <w:t xml:space="preserve">The CTO’s surname appears in two different forms across the source documents:</w:t>
      </w:r>
    </w:p>
    <w:p>
      <w:pPr>
        <w:pStyle w:val="Compact"/>
        <w:numPr>
          <w:ilvl w:val="0"/>
          <w:numId w:val="1002"/>
        </w:numPr>
      </w:pPr>
      <w:r>
        <w:rPr>
          <w:b/>
          <w:bCs/>
        </w:rPr>
        <w:t xml:space="preserve">“</w:t>
      </w:r>
      <w:r>
        <w:rPr>
          <w:b/>
          <w:bCs/>
        </w:rPr>
        <w:t xml:space="preserve">Litvanova</w:t>
      </w:r>
      <w:r>
        <w:rPr>
          <w:b/>
          <w:bCs/>
        </w:rPr>
        <w:t xml:space="preserve">”</w:t>
      </w:r>
      <w:r>
        <w:t xml:space="preserve"> </w:t>
      </w:r>
      <w:r>
        <w:t xml:space="preserve">— CFO Readiness Memorandum (Sections 2.1, 7.1, 7.2); D&amp;O Questionnaire (Sections 1, 2.2, 4.1, and the Board Composition note in Section 6); Equity Plan workbook (Option Grants tab, grants OPT-2017-002 and OPT-2024-003).</w:t>
      </w:r>
    </w:p>
    <w:p>
      <w:pPr>
        <w:pStyle w:val="Compact"/>
        <w:numPr>
          <w:ilvl w:val="0"/>
          <w:numId w:val="1002"/>
        </w:numPr>
      </w:pPr>
      <w:r>
        <w:rPr>
          <w:b/>
          <w:bCs/>
        </w:rPr>
        <w:t xml:space="preserve">“</w:t>
      </w:r>
      <w:r>
        <w:rPr>
          <w:b/>
          <w:bCs/>
        </w:rPr>
        <w:t xml:space="preserve">Litvak</w:t>
      </w:r>
      <w:r>
        <w:rPr>
          <w:b/>
          <w:bCs/>
        </w:rPr>
        <w:t xml:space="preserve">”</w:t>
      </w:r>
      <w:r>
        <w:t xml:space="preserve"> </w:t>
      </w:r>
      <w:r>
        <w:t xml:space="preserve">— Underwriting Term Sheet (Sections 1, 5.1, Schedule 1); Term Loan summary (Section 5.3); Restated Certificate (Article IV, Section 4.3, Permitted Transferee clause); Bylaws (Article IV, Section 4.1); D&amp;O Questionnaire (Section 8.1 certification block and Section 6 controlled-company analysis); Equity Plan workbook (409A Valuations tab); Roadshow Presentation (Slides 5, 9, 10, 25, 29, 30, 32).</w:t>
      </w:r>
    </w:p>
    <w:p>
      <w:pPr>
        <w:pStyle w:val="FirstParagraph"/>
      </w:pPr>
      <w:r>
        <w:t xml:space="preserve">The inconsistency appears even within single documents: the D&amp;O Questionnaire uses</w:t>
      </w:r>
      <w:r>
        <w:t xml:space="preserve"> </w:t>
      </w:r>
      <w:r>
        <w:t xml:space="preserve">“</w:t>
      </w:r>
      <w:r>
        <w:t xml:space="preserve">Litvanova</w:t>
      </w:r>
      <w:r>
        <w:t xml:space="preserve">”</w:t>
      </w:r>
      <w:r>
        <w:t xml:space="preserve"> </w:t>
      </w:r>
      <w:r>
        <w:t xml:space="preserve">in the biographical sections and</w:t>
      </w:r>
      <w:r>
        <w:t xml:space="preserve"> </w:t>
      </w:r>
      <w:r>
        <w:t xml:space="preserve">“</w:t>
      </w:r>
      <w:r>
        <w:t xml:space="preserve">Litvak</w:t>
      </w:r>
      <w:r>
        <w:t xml:space="preserve">”</w:t>
      </w:r>
      <w:r>
        <w:t xml:space="preserve"> </w:t>
      </w:r>
      <w:r>
        <w:t xml:space="preserve">in the certification block; the Equity Plan workbook uses</w:t>
      </w:r>
      <w:r>
        <w:t xml:space="preserve"> </w:t>
      </w:r>
      <w:r>
        <w:t xml:space="preserve">“</w:t>
      </w:r>
      <w:r>
        <w:t xml:space="preserve">Litvanova</w:t>
      </w:r>
      <w:r>
        <w:t xml:space="preserve">”</w:t>
      </w:r>
      <w:r>
        <w:t xml:space="preserve"> </w:t>
      </w:r>
      <w:r>
        <w:t xml:space="preserve">in the Option Grants tab and</w:t>
      </w:r>
      <w:r>
        <w:t xml:space="preserve"> </w:t>
      </w:r>
      <w:r>
        <w:t xml:space="preserve">“</w:t>
      </w:r>
      <w:r>
        <w:t xml:space="preserve">Litvak</w:t>
      </w:r>
      <w:r>
        <w:t xml:space="preserve">”</w:t>
      </w:r>
      <w:r>
        <w:t xml:space="preserve"> </w:t>
      </w:r>
      <w:r>
        <w:t xml:space="preserve">in the 409A Valuations tab.</w:t>
      </w:r>
    </w:p>
    <w:p>
      <w:pPr>
        <w:pStyle w:val="BodyText"/>
      </w:pPr>
      <w:r>
        <w:t xml:space="preserve">This is a co-founder, executive officer, Class B holder, and (per the Restated Certificate) director. The legal name must be correct in the S-1 (executive officers, directors, beneficial ownership, Class B holders, and the Permitted Transferee clause of the charter).</w:t>
      </w:r>
    </w:p>
    <w:p>
      <w:pPr>
        <w:pStyle w:val="BodyText"/>
      </w:pPr>
      <w:r>
        <w:rPr>
          <w:b/>
          <w:bCs/>
        </w:rPr>
        <w:t xml:space="preserve">Recommendation:</w:t>
      </w:r>
      <w:r>
        <w:t xml:space="preserve"> </w:t>
      </w:r>
      <w:r>
        <w:t xml:space="preserve">Confirm the CTO’s legal name against the Company’s records and use a single form consistently throughout the S-1 and all exhibits. The S-1 draft uses</w:t>
      </w:r>
      <w:r>
        <w:t xml:space="preserve"> </w:t>
      </w:r>
      <w:r>
        <w:t xml:space="preserve">“</w:t>
      </w:r>
      <w:r>
        <w:t xml:space="preserve">Litvak</w:t>
      </w:r>
      <w:r>
        <w:t xml:space="preserve">”</w:t>
      </w:r>
      <w:r>
        <w:t xml:space="preserve"> </w:t>
      </w:r>
      <w:r>
        <w:t xml:space="preserve">(consistent with the Restated Certificate, the governing document); confirm this is correct.</w:t>
      </w:r>
    </w:p>
    <w:bookmarkEnd w:id="31"/>
    <w:bookmarkStart w:id="32" w:name="Xedc18ffc70c08890871493ea5824c94daecedb0"/>
    <w:p>
      <w:pPr>
        <w:pStyle w:val="Heading3"/>
      </w:pPr>
      <w:r>
        <w:t xml:space="preserve">3.2 Term loan lender name:</w:t>
      </w:r>
      <w:r>
        <w:t xml:space="preserve"> </w:t>
      </w:r>
      <w:r>
        <w:t xml:space="preserve">“</w:t>
      </w:r>
      <w:r>
        <w:t xml:space="preserve">Kestridge West</w:t>
      </w:r>
      <w:r>
        <w:t xml:space="preserve">”</w:t>
      </w:r>
      <w:r>
        <w:t xml:space="preserve"> </w:t>
      </w:r>
      <w:r>
        <w:t xml:space="preserve">vs. </w:t>
      </w:r>
      <w:r>
        <w:t xml:space="preserve">“</w:t>
      </w:r>
      <w:r>
        <w:t xml:space="preserve">Silicon Valley</w:t>
      </w:r>
      <w:r>
        <w:t xml:space="preserve">”</w:t>
      </w:r>
      <w:r>
        <w:t xml:space="preserve"> </w:t>
      </w:r>
      <w:r>
        <w:rPr>
          <w:b/>
          <w:bCs/>
        </w:rPr>
        <w:t xml:space="preserve">[MEDIUM-HIGH] [RESOLVE BEFORE FILING]</w:t>
      </w:r>
    </w:p>
    <w:p>
      <w:pPr>
        <w:pStyle w:val="FirstParagraph"/>
      </w:pPr>
      <w:r>
        <w:t xml:space="preserve">The lender is identified as</w:t>
      </w:r>
      <w:r>
        <w:t xml:space="preserve"> </w:t>
      </w:r>
      <w:r>
        <w:rPr>
          <w:b/>
          <w:bCs/>
        </w:rPr>
        <w:t xml:space="preserve">“</w:t>
      </w:r>
      <w:r>
        <w:rPr>
          <w:b/>
          <w:bCs/>
        </w:rPr>
        <w:t xml:space="preserve">Kestridge West Credit Partners</w:t>
      </w:r>
      <w:r>
        <w:rPr>
          <w:b/>
          <w:bCs/>
        </w:rPr>
        <w:t xml:space="preserve">”</w:t>
      </w:r>
      <w:r>
        <w:t xml:space="preserve"> </w:t>
      </w:r>
      <w:r>
        <w:t xml:space="preserve">in the CFO Readiness Memorandum, the audited financial statements (Note 8), the Underwriting Term Sheet, and the Term Loan summary. The Roadshow Presentation (Slides 20, 24, and 27) refers to the lender as</w:t>
      </w:r>
      <w:r>
        <w:t xml:space="preserve"> </w:t>
      </w:r>
      <w:r>
        <w:rPr>
          <w:b/>
          <w:bCs/>
        </w:rPr>
        <w:t xml:space="preserve">“</w:t>
      </w:r>
      <w:r>
        <w:rPr>
          <w:b/>
          <w:bCs/>
        </w:rPr>
        <w:t xml:space="preserve">Silicon Valley Credit Partners.</w:t>
      </w:r>
      <w:r>
        <w:rPr>
          <w:b/>
          <w:bCs/>
        </w:rPr>
        <w:t xml:space="preserve">”</w:t>
      </w:r>
      <w:r>
        <w:t xml:space="preserve"> </w:t>
      </w:r>
      <w:r>
        <w:t xml:space="preserve">In addition, the Term Loan summary itself abbreviates</w:t>
      </w:r>
      <w:r>
        <w:t xml:space="preserve"> </w:t>
      </w:r>
      <w:r>
        <w:t xml:space="preserve">“</w:t>
      </w:r>
      <w:r>
        <w:t xml:space="preserve">Kestridge West Credit Partners</w:t>
      </w:r>
      <w:r>
        <w:t xml:space="preserve">”</w:t>
      </w:r>
      <w:r>
        <w:t xml:space="preserve"> </w:t>
      </w:r>
      <w:r>
        <w:t xml:space="preserve">as</w:t>
      </w:r>
      <w:r>
        <w:t xml:space="preserve"> </w:t>
      </w:r>
      <w:r>
        <w:rPr>
          <w:b/>
          <w:bCs/>
        </w:rPr>
        <w:t xml:space="preserve">“</w:t>
      </w:r>
      <w:r>
        <w:rPr>
          <w:b/>
          <w:bCs/>
        </w:rPr>
        <w:t xml:space="preserve">SVCP</w:t>
      </w:r>
      <w:r>
        <w:rPr>
          <w:b/>
          <w:bCs/>
        </w:rPr>
        <w:t xml:space="preserve">”</w:t>
      </w:r>
      <w:r>
        <w:t xml:space="preserve"> </w:t>
      </w:r>
      <w:r>
        <w:t xml:space="preserve">— an abbreviation that corresponds to</w:t>
      </w:r>
      <w:r>
        <w:t xml:space="preserve"> </w:t>
      </w:r>
      <w:r>
        <w:t xml:space="preserve">“</w:t>
      </w:r>
      <w:r>
        <w:t xml:space="preserve">Silicon Valley Credit Partners,</w:t>
      </w:r>
      <w:r>
        <w:t xml:space="preserve">”</w:t>
      </w:r>
      <w:r>
        <w:t xml:space="preserve"> </w:t>
      </w:r>
      <w:r>
        <w:t xml:space="preserve">not</w:t>
      </w:r>
      <w:r>
        <w:t xml:space="preserve"> </w:t>
      </w:r>
      <w:r>
        <w:t xml:space="preserve">“</w:t>
      </w:r>
      <w:r>
        <w:t xml:space="preserve">Kestridge West.</w:t>
      </w:r>
      <w:r>
        <w:t xml:space="preserve">”</w:t>
      </w:r>
    </w:p>
    <w:p>
      <w:pPr>
        <w:pStyle w:val="BodyText"/>
      </w:pPr>
      <w:r>
        <w:rPr>
          <w:b/>
          <w:bCs/>
        </w:rPr>
        <w:t xml:space="preserve">Recommendation:</w:t>
      </w:r>
      <w:r>
        <w:t xml:space="preserve"> </w:t>
      </w:r>
      <w:r>
        <w:t xml:space="preserve">Confirm the lender’s correct legal name. The S-1</w:t>
      </w:r>
      <w:r>
        <w:t xml:space="preserve"> </w:t>
      </w:r>
      <w:r>
        <w:t xml:space="preserve">“</w:t>
      </w:r>
      <w:r>
        <w:t xml:space="preserve">Description of Indebtedness</w:t>
      </w:r>
      <w:r>
        <w:t xml:space="preserve">”</w:t>
      </w:r>
      <w:r>
        <w:t xml:space="preserve"> </w:t>
      </w:r>
      <w:r>
        <w:t xml:space="preserve">must use the correct name. Correct the</w:t>
      </w:r>
      <w:r>
        <w:t xml:space="preserve"> </w:t>
      </w:r>
      <w:r>
        <w:t xml:space="preserve">“</w:t>
      </w:r>
      <w:r>
        <w:t xml:space="preserve">SVCP</w:t>
      </w:r>
      <w:r>
        <w:t xml:space="preserve">”</w:t>
      </w:r>
      <w:r>
        <w:t xml:space="preserve"> </w:t>
      </w:r>
      <w:r>
        <w:t xml:space="preserve">abbreviation in the Term Loan summary.</w:t>
      </w:r>
    </w:p>
    <w:bookmarkEnd w:id="32"/>
    <w:bookmarkStart w:id="33" w:name="X174b068ee1568e5628f4644944821240c4a62e4"/>
    <w:p>
      <w:pPr>
        <w:pStyle w:val="Heading3"/>
      </w:pPr>
      <w:r>
        <w:t xml:space="preserve">3.3 Transfer agent:</w:t>
      </w:r>
      <w:r>
        <w:t xml:space="preserve"> </w:t>
      </w:r>
      <w:r>
        <w:t xml:space="preserve">“</w:t>
      </w:r>
      <w:r>
        <w:t xml:space="preserve">Oakvale</w:t>
      </w:r>
      <w:r>
        <w:t xml:space="preserve">”</w:t>
      </w:r>
      <w:r>
        <w:t xml:space="preserve"> </w:t>
      </w:r>
      <w:r>
        <w:t xml:space="preserve">vs. </w:t>
      </w:r>
      <w:r>
        <w:t xml:space="preserve">“</w:t>
      </w:r>
      <w:r>
        <w:t xml:space="preserve">Computershare</w:t>
      </w:r>
      <w:r>
        <w:t xml:space="preserve">”</w:t>
      </w:r>
      <w:r>
        <w:t xml:space="preserve"> </w:t>
      </w:r>
      <w:r>
        <w:rPr>
          <w:b/>
          <w:bCs/>
        </w:rPr>
        <w:t xml:space="preserve">[MEDIUM] [RESOLVE BEFORE FILING]</w:t>
      </w:r>
    </w:p>
    <w:p>
      <w:pPr>
        <w:pStyle w:val="FirstParagraph"/>
      </w:pPr>
      <w:r>
        <w:t xml:space="preserve">The CFO Readiness Memorandum, the Underwriting Term Sheet, and the Term Loan summary identify the transfer agent as</w:t>
      </w:r>
      <w:r>
        <w:t xml:space="preserve"> </w:t>
      </w:r>
      <w:r>
        <w:rPr>
          <w:b/>
          <w:bCs/>
        </w:rPr>
        <w:t xml:space="preserve">“</w:t>
      </w:r>
      <w:r>
        <w:rPr>
          <w:b/>
          <w:bCs/>
        </w:rPr>
        <w:t xml:space="preserve">Oakvale Transfer Transfer Co.</w:t>
      </w:r>
      <w:r>
        <w:rPr>
          <w:b/>
          <w:bCs/>
        </w:rPr>
        <w:t xml:space="preserve">”</w:t>
      </w:r>
      <w:r>
        <w:t xml:space="preserve"> </w:t>
      </w:r>
      <w:r>
        <w:t xml:space="preserve">(note the duplicated word</w:t>
      </w:r>
      <w:r>
        <w:t xml:space="preserve"> </w:t>
      </w:r>
      <w:r>
        <w:t xml:space="preserve">“</w:t>
      </w:r>
      <w:r>
        <w:t xml:space="preserve">Transfer,</w:t>
      </w:r>
      <w:r>
        <w:t xml:space="preserve">”</w:t>
      </w:r>
      <w:r>
        <w:t xml:space="preserve"> </w:t>
      </w:r>
      <w:r>
        <w:t xml:space="preserve">which appears to be a typographical error). The Bylaws (Article V, Section 5.1) identify the transfer agent as</w:t>
      </w:r>
      <w:r>
        <w:t xml:space="preserve"> </w:t>
      </w:r>
      <w:r>
        <w:rPr>
          <w:b/>
          <w:bCs/>
        </w:rPr>
        <w:t xml:space="preserve">“</w:t>
      </w:r>
      <w:r>
        <w:rPr>
          <w:b/>
          <w:bCs/>
        </w:rPr>
        <w:t xml:space="preserve">Computershare Transfer Co.</w:t>
      </w:r>
      <w:r>
        <w:rPr>
          <w:b/>
          <w:bCs/>
        </w:rPr>
        <w:t xml:space="preserve">”</w:t>
      </w:r>
    </w:p>
    <w:p>
      <w:pPr>
        <w:pStyle w:val="BodyText"/>
      </w:pPr>
      <w:r>
        <w:rPr>
          <w:b/>
          <w:bCs/>
        </w:rPr>
        <w:t xml:space="preserve">Recommendation:</w:t>
      </w:r>
      <w:r>
        <w:t xml:space="preserve"> </w:t>
      </w:r>
      <w:r>
        <w:t xml:space="preserve">Confirm the identity of the transfer agent and correct the name (and the apparent duplication) in all documents. The S-1 draft uses</w:t>
      </w:r>
      <w:r>
        <w:t xml:space="preserve"> </w:t>
      </w:r>
      <w:r>
        <w:t xml:space="preserve">“</w:t>
      </w:r>
      <w:r>
        <w:t xml:space="preserve">Oakvale Transfer Co.</w:t>
      </w:r>
      <w:r>
        <w:t xml:space="preserve">”</w:t>
      </w:r>
      <w:r>
        <w:t xml:space="preserve"> </w:t>
      </w:r>
      <w:r>
        <w:t xml:space="preserve">pending confirmation.</w:t>
      </w:r>
    </w:p>
    <w:bookmarkEnd w:id="33"/>
    <w:bookmarkStart w:id="34" w:name="Xd25d05f04a7690e34d89b5d845afd8093da33e8"/>
    <w:p>
      <w:pPr>
        <w:pStyle w:val="Heading3"/>
      </w:pPr>
      <w:r>
        <w:t xml:space="preserve">3.4 Issuer’s counsel street address</w:t>
      </w:r>
      <w:r>
        <w:t xml:space="preserve"> </w:t>
      </w:r>
      <w:r>
        <w:rPr>
          <w:b/>
          <w:bCs/>
        </w:rPr>
        <w:t xml:space="preserve">[LOW] [RESOLVE BEFORE FILING]</w:t>
      </w:r>
    </w:p>
    <w:p>
      <w:pPr>
        <w:pStyle w:val="FirstParagraph"/>
      </w:pPr>
      <w:r>
        <w:t xml:space="preserve">The CFO Readiness Memorandum, Underwriting Term Sheet, and Term Loan summary list Thorncroft &amp; Wexler LLP at</w:t>
      </w:r>
      <w:r>
        <w:t xml:space="preserve"> </w:t>
      </w:r>
      <w:r>
        <w:rPr>
          <w:b/>
          <w:bCs/>
        </w:rPr>
        <w:t xml:space="preserve">600 Lexington Avenue</w:t>
      </w:r>
      <w:r>
        <w:t xml:space="preserve">, 38th Floor, New York, NY 10022. The D&amp;O Questionnaire (header and footer) lists the firm at</w:t>
      </w:r>
      <w:r>
        <w:t xml:space="preserve"> </w:t>
      </w:r>
      <w:r>
        <w:rPr>
          <w:b/>
          <w:bCs/>
        </w:rPr>
        <w:t xml:space="preserve">610 Lexington Avenue</w:t>
      </w:r>
      <w:r>
        <w:t xml:space="preserve">, 38th Floor, New York, NY 10022.</w:t>
      </w:r>
    </w:p>
    <w:p>
      <w:pPr>
        <w:pStyle w:val="BodyText"/>
      </w:pPr>
      <w:r>
        <w:rPr>
          <w:b/>
          <w:bCs/>
        </w:rPr>
        <w:t xml:space="preserve">Recommendation:</w:t>
      </w:r>
      <w:r>
        <w:t xml:space="preserve"> </w:t>
      </w:r>
      <w:r>
        <w:t xml:space="preserve">Confirm the correct address and use it consistently (including on the S-1 cover page and in</w:t>
      </w:r>
      <w:r>
        <w:t xml:space="preserve"> </w:t>
      </w:r>
      <w:r>
        <w:t xml:space="preserve">“</w:t>
      </w:r>
      <w:r>
        <w:t xml:space="preserve">Interests of Named Experts and Counsel</w:t>
      </w:r>
      <w:r>
        <w:t xml:space="preserve">”</w:t>
      </w:r>
      <w:r>
        <w:t xml:space="preserve">).</w:t>
      </w:r>
    </w:p>
    <w:bookmarkEnd w:id="34"/>
    <w:bookmarkStart w:id="35" w:name="X739379a386a216714ba258bce5a76ae5c18d985"/>
    <w:p>
      <w:pPr>
        <w:pStyle w:val="Heading3"/>
      </w:pPr>
      <w:r>
        <w:t xml:space="preserve">3.5 Ridgeline fund name and number</w:t>
      </w:r>
      <w:r>
        <w:t xml:space="preserve"> </w:t>
      </w:r>
      <w:r>
        <w:rPr>
          <w:b/>
          <w:bCs/>
        </w:rPr>
        <w:t xml:space="preserve">[MEDIUM] [RESOLVE BEFORE FILING]</w:t>
      </w:r>
    </w:p>
    <w:p>
      <w:pPr>
        <w:pStyle w:val="FirstParagraph"/>
      </w:pPr>
      <w:r>
        <w:t xml:space="preserve">The CFO Readiness Memorandum (Section 7.1) states that Ridgeline’s shares are held by</w:t>
      </w:r>
      <w:r>
        <w:t xml:space="preserve"> </w:t>
      </w:r>
      <w:r>
        <w:rPr>
          <w:b/>
          <w:bCs/>
        </w:rPr>
        <w:t xml:space="preserve">“</w:t>
      </w:r>
      <w:r>
        <w:rPr>
          <w:b/>
          <w:bCs/>
        </w:rPr>
        <w:t xml:space="preserve">Ridgeline Growth Partners Fund II, L.P.</w:t>
      </w:r>
      <w:r>
        <w:rPr>
          <w:b/>
          <w:bCs/>
        </w:rPr>
        <w:t xml:space="preserve">”</w:t>
      </w:r>
      <w:r>
        <w:t xml:space="preserve"> </w:t>
      </w:r>
      <w:r>
        <w:t xml:space="preserve">The D&amp;O Questionnaire (Section 3.4) states the shares are held by</w:t>
      </w:r>
      <w:r>
        <w:t xml:space="preserve"> </w:t>
      </w:r>
      <w:r>
        <w:rPr>
          <w:b/>
          <w:bCs/>
        </w:rPr>
        <w:t xml:space="preserve">“</w:t>
      </w:r>
      <w:r>
        <w:rPr>
          <w:b/>
          <w:bCs/>
        </w:rPr>
        <w:t xml:space="preserve">Ridgeline Growth Partners Fund V, LP.</w:t>
      </w:r>
      <w:r>
        <w:rPr>
          <w:b/>
          <w:bCs/>
        </w:rPr>
        <w:t xml:space="preserve">”</w:t>
      </w:r>
      <w:r>
        <w:t xml:space="preserve"> </w:t>
      </w:r>
      <w:r>
        <w:t xml:space="preserve">The fund number differs (II vs. V).</w:t>
      </w:r>
    </w:p>
    <w:p>
      <w:pPr>
        <w:pStyle w:val="BodyText"/>
      </w:pPr>
      <w:r>
        <w:rPr>
          <w:b/>
          <w:bCs/>
        </w:rPr>
        <w:t xml:space="preserve">Recommendation:</w:t>
      </w:r>
      <w:r>
        <w:t xml:space="preserve"> </w:t>
      </w:r>
      <w:r>
        <w:t xml:space="preserve">Confirm the correct fund entity (and its organizational documents) for the S-1 beneficial ownership footnotes and for lock-up agreement execution.</w:t>
      </w:r>
    </w:p>
    <w:bookmarkEnd w:id="35"/>
    <w:bookmarkStart w:id="36" w:name="X9abbe351cea4eba212787d4c92ae55326d6740e"/>
    <w:p>
      <w:pPr>
        <w:pStyle w:val="Heading3"/>
      </w:pPr>
      <w:r>
        <w:t xml:space="preserve">3.6 Graymont share count</w:t>
      </w:r>
      <w:r>
        <w:t xml:space="preserve"> </w:t>
      </w:r>
      <w:r>
        <w:rPr>
          <w:b/>
          <w:bCs/>
        </w:rPr>
        <w:t xml:space="preserve">[LOW-MEDIUM] [RESOLVE BEFORE FILING]</w:t>
      </w:r>
    </w:p>
    <w:p>
      <w:pPr>
        <w:pStyle w:val="FirstParagraph"/>
      </w:pPr>
      <w:r>
        <w:t xml:space="preserve">The CFO Readiness Memorandum (Section 7.1) reports Graymont’s beneficial ownership as</w:t>
      </w:r>
      <w:r>
        <w:t xml:space="preserve"> </w:t>
      </w:r>
      <w:r>
        <w:rPr>
          <w:b/>
          <w:bCs/>
        </w:rPr>
        <w:t xml:space="preserve">23,607,067</w:t>
      </w:r>
      <w:r>
        <w:t xml:space="preserve"> </w:t>
      </w:r>
      <w:r>
        <w:t xml:space="preserve">shares. The D&amp;O Questionnaire (Section 3.1) reports</w:t>
      </w:r>
      <w:r>
        <w:t xml:space="preserve"> </w:t>
      </w:r>
      <w:r>
        <w:rPr>
          <w:b/>
          <w:bCs/>
        </w:rPr>
        <w:t xml:space="preserve">23,602,133</w:t>
      </w:r>
      <w:r>
        <w:t xml:space="preserve"> </w:t>
      </w:r>
      <w:r>
        <w:t xml:space="preserve">shares. The difference is 4,934 shares.</w:t>
      </w:r>
    </w:p>
    <w:p>
      <w:pPr>
        <w:pStyle w:val="BodyText"/>
      </w:pPr>
      <w:r>
        <w:rPr>
          <w:b/>
          <w:bCs/>
        </w:rPr>
        <w:t xml:space="preserve">Recommendation:</w:t>
      </w:r>
      <w:r>
        <w:t xml:space="preserve"> </w:t>
      </w:r>
      <w:r>
        <w:t xml:space="preserve">Reconcile against the Company’s cap table and the transfer agent’s records. The S-1 beneficial ownership table must reflect the verified figure.</w:t>
      </w:r>
    </w:p>
    <w:bookmarkEnd w:id="36"/>
    <w:bookmarkStart w:id="37" w:name="X7470c903334a7d1b26020ce1eb2f213c65a8abf"/>
    <w:p>
      <w:pPr>
        <w:pStyle w:val="Heading3"/>
      </w:pPr>
      <w:r>
        <w:t xml:space="preserve">3.7 Director first names in the equity plan workbook do not match the D&amp;O questionnaires</w:t>
      </w:r>
      <w:r>
        <w:t xml:space="preserve"> </w:t>
      </w:r>
      <w:r>
        <w:rPr>
          <w:b/>
          <w:bCs/>
        </w:rPr>
        <w:t xml:space="preserve">[HIGH] [RESOLVE BEFORE FILING]</w:t>
      </w:r>
    </w:p>
    <w:p>
      <w:pPr>
        <w:pStyle w:val="FirstParagraph"/>
      </w:pPr>
      <w:r>
        <w:t xml:space="preserve">The Equity Plan workbook (RSU Grants tab, grants RSU-2024-009 through RSU-2024-013) records non-employee director RSU grants to</w:t>
      </w:r>
      <w:r>
        <w:t xml:space="preserve"> </w:t>
      </w:r>
      <w:r>
        <w:rPr>
          <w:b/>
          <w:bCs/>
        </w:rPr>
        <w:t xml:space="preserve">“</w:t>
      </w:r>
      <w:r>
        <w:rPr>
          <w:b/>
          <w:bCs/>
        </w:rPr>
        <w:t xml:space="preserve">Anand Venkatesh, Claudia Moreno, David Park, Soo-Yeon Kwon, and Emmanuel Obi.</w:t>
      </w:r>
      <w:r>
        <w:rPr>
          <w:b/>
          <w:bCs/>
        </w:rPr>
        <w:t xml:space="preserve">”</w:t>
      </w:r>
      <w:r>
        <w:t xml:space="preserve"> </w:t>
      </w:r>
      <w:r>
        <w:t xml:space="preserve">The D&amp;O Questionnaires, the Restated Certificate, and the Roadshow identify the non-employee directors as</w:t>
      </w:r>
      <w:r>
        <w:t xml:space="preserve"> </w:t>
      </w:r>
      <w:r>
        <w:rPr>
          <w:b/>
          <w:bCs/>
        </w:rPr>
        <w:t xml:space="preserve">“</w:t>
      </w:r>
      <w:r>
        <w:rPr>
          <w:b/>
          <w:bCs/>
        </w:rPr>
        <w:t xml:space="preserve">Priya Venkatesh, Thomas J. Moreno, Dr. Helen Park, James Kwon, and Adaora Obi.</w:t>
      </w:r>
      <w:r>
        <w:rPr>
          <w:b/>
          <w:bCs/>
        </w:rPr>
        <w:t xml:space="preserve">”</w:t>
      </w:r>
      <w:r>
        <w:t xml:space="preserve"> </w:t>
      </w:r>
      <w:r>
        <w:t xml:space="preserve">The surnames match, but every first name differs. (The name</w:t>
      </w:r>
      <w:r>
        <w:t xml:space="preserve"> </w:t>
      </w:r>
      <w:r>
        <w:t xml:space="preserve">“</w:t>
      </w:r>
      <w:r>
        <w:t xml:space="preserve">David Park</w:t>
      </w:r>
      <w:r>
        <w:t xml:space="preserve">”</w:t>
      </w:r>
      <w:r>
        <w:t xml:space="preserve"> </w:t>
      </w:r>
      <w:r>
        <w:t xml:space="preserve">also appears separately as a</w:t>
      </w:r>
      <w:r>
        <w:t xml:space="preserve"> </w:t>
      </w:r>
      <w:r>
        <w:t xml:space="preserve">“</w:t>
      </w:r>
      <w:r>
        <w:t xml:space="preserve">VP Product</w:t>
      </w:r>
      <w:r>
        <w:t xml:space="preserve">”</w:t>
      </w:r>
      <w:r>
        <w:t xml:space="preserve"> </w:t>
      </w:r>
      <w:r>
        <w:t xml:space="preserve">option grantee, compounding the confusion.)</w:t>
      </w:r>
    </w:p>
    <w:p>
      <w:pPr>
        <w:pStyle w:val="BodyText"/>
      </w:pPr>
      <w:r>
        <w:rPr>
          <w:b/>
          <w:bCs/>
        </w:rPr>
        <w:t xml:space="preserve">Recommendation:</w:t>
      </w:r>
      <w:r>
        <w:t xml:space="preserve"> </w:t>
      </w:r>
      <w:r>
        <w:t xml:space="preserve">This is a serious data-integrity issue. Reconcile the director identities against the Company’s records and the equity plan administration records. The S-1 director disclosures and the equity plan disclosures must use the correct names.</w:t>
      </w:r>
    </w:p>
    <w:bookmarkEnd w:id="37"/>
    <w:bookmarkStart w:id="38" w:name="X186284c6025c89e90262a0862bdaf9b98cba7e3"/>
    <w:p>
      <w:pPr>
        <w:pStyle w:val="Heading3"/>
      </w:pPr>
      <w:r>
        <w:t xml:space="preserve">3.8</w:t>
      </w:r>
      <w:r>
        <w:t xml:space="preserve"> </w:t>
      </w:r>
      <w:r>
        <w:t xml:space="preserve">“</w:t>
      </w:r>
      <w:r>
        <w:t xml:space="preserve">Sandra Chen</w:t>
      </w:r>
      <w:r>
        <w:t xml:space="preserve">”</w:t>
      </w:r>
      <w:r>
        <w:t xml:space="preserve"> </w:t>
      </w:r>
      <w:r>
        <w:t xml:space="preserve">title conflict (General Counsel vs. CRO) and General Counsel identity</w:t>
      </w:r>
      <w:r>
        <w:t xml:space="preserve"> </w:t>
      </w:r>
      <w:r>
        <w:rPr>
          <w:b/>
          <w:bCs/>
        </w:rPr>
        <w:t xml:space="preserve">[HIGH] [RESOLVE BEFORE FILING]</w:t>
      </w:r>
    </w:p>
    <w:p>
      <w:pPr>
        <w:pStyle w:val="FirstParagraph"/>
      </w:pPr>
      <w:r>
        <w:t xml:space="preserve">The Equity Plan workbook (Option Grants tab, OPT-2018-002 and OPT-2024-005; RSU Grants tab, RSU-2024-004) records grants to</w:t>
      </w:r>
      <w:r>
        <w:t xml:space="preserve"> </w:t>
      </w:r>
      <w:r>
        <w:rPr>
          <w:b/>
          <w:bCs/>
        </w:rPr>
        <w:t xml:space="preserve">“</w:t>
      </w:r>
      <w:r>
        <w:rPr>
          <w:b/>
          <w:bCs/>
        </w:rPr>
        <w:t xml:space="preserve">Sandra Chen</w:t>
      </w:r>
      <w:r>
        <w:rPr>
          <w:b/>
          <w:bCs/>
        </w:rPr>
        <w:t xml:space="preserve">”</w:t>
      </w:r>
      <w:r>
        <w:t xml:space="preserve"> </w:t>
      </w:r>
      <w:r>
        <w:t xml:space="preserve">with the title</w:t>
      </w:r>
      <w:r>
        <w:t xml:space="preserve"> </w:t>
      </w:r>
      <w:r>
        <w:rPr>
          <w:b/>
          <w:bCs/>
        </w:rPr>
        <w:t xml:space="preserve">“</w:t>
      </w:r>
      <w:r>
        <w:rPr>
          <w:b/>
          <w:bCs/>
        </w:rPr>
        <w:t xml:space="preserve">VP Sales (now CRO)</w:t>
      </w:r>
      <w:r>
        <w:rPr>
          <w:b/>
          <w:bCs/>
        </w:rPr>
        <w:t xml:space="preserve">”</w:t>
      </w:r>
      <w:r>
        <w:t xml:space="preserve"> </w:t>
      </w:r>
      <w:r>
        <w:t xml:space="preserve">/</w:t>
      </w:r>
      <w:r>
        <w:t xml:space="preserve"> </w:t>
      </w:r>
      <w:r>
        <w:rPr>
          <w:b/>
          <w:bCs/>
        </w:rPr>
        <w:t xml:space="preserve">“</w:t>
      </w:r>
      <w:r>
        <w:rPr>
          <w:b/>
          <w:bCs/>
        </w:rPr>
        <w:t xml:space="preserve">CRO</w:t>
      </w:r>
      <w:r>
        <w:rPr>
          <w:b/>
          <w:bCs/>
        </w:rPr>
        <w:t xml:space="preserve">”</w:t>
      </w:r>
      <w:r>
        <w:t xml:space="preserve"> </w:t>
      </w:r>
      <w:r>
        <w:t xml:space="preserve">(Chief Revenue Officer), with a 2018 grant date. The D&amp;O Questionnaire and all other documents identify</w:t>
      </w:r>
      <w:r>
        <w:t xml:space="preserve"> </w:t>
      </w:r>
      <w:r>
        <w:rPr>
          <w:b/>
          <w:bCs/>
        </w:rPr>
        <w:t xml:space="preserve">“</w:t>
      </w:r>
      <w:r>
        <w:rPr>
          <w:b/>
          <w:bCs/>
        </w:rPr>
        <w:t xml:space="preserve">Sandra Y. Chen</w:t>
      </w:r>
      <w:r>
        <w:rPr>
          <w:b/>
          <w:bCs/>
        </w:rPr>
        <w:t xml:space="preserve">”</w:t>
      </w:r>
      <w:r>
        <w:t xml:space="preserve"> </w:t>
      </w:r>
      <w:r>
        <w:t xml:space="preserve">as</w:t>
      </w:r>
      <w:r>
        <w:t xml:space="preserve"> </w:t>
      </w:r>
      <w:r>
        <w:rPr>
          <w:b/>
          <w:bCs/>
        </w:rPr>
        <w:t xml:space="preserve">General Counsel and Corporate Secretary</w:t>
      </w:r>
      <w:r>
        <w:t xml:space="preserve">, who joined the Company in 2019 and was previously an associate at Thorncroft &amp; Wexler LLP.</w:t>
      </w:r>
    </w:p>
    <w:p>
      <w:pPr>
        <w:pStyle w:val="BodyText"/>
      </w:pPr>
      <w:r>
        <w:t xml:space="preserve">Separately, the Equity Plan workbook (OPT-2022-002 and RSU-2024-005) records grants to</w:t>
      </w:r>
      <w:r>
        <w:t xml:space="preserve"> </w:t>
      </w:r>
      <w:r>
        <w:rPr>
          <w:b/>
          <w:bCs/>
        </w:rPr>
        <w:t xml:space="preserve">“</w:t>
      </w:r>
      <w:r>
        <w:rPr>
          <w:b/>
          <w:bCs/>
        </w:rPr>
        <w:t xml:space="preserve">Thomas Brennan</w:t>
      </w:r>
      <w:r>
        <w:rPr>
          <w:b/>
          <w:bCs/>
        </w:rPr>
        <w:t xml:space="preserve">”</w:t>
      </w:r>
      <w:r>
        <w:t xml:space="preserve"> </w:t>
      </w:r>
      <w:r>
        <w:t xml:space="preserve">with the title</w:t>
      </w:r>
      <w:r>
        <w:t xml:space="preserve"> </w:t>
      </w:r>
      <w:r>
        <w:rPr>
          <w:b/>
          <w:bCs/>
        </w:rPr>
        <w:t xml:space="preserve">“</w:t>
      </w:r>
      <w:r>
        <w:rPr>
          <w:b/>
          <w:bCs/>
        </w:rPr>
        <w:t xml:space="preserve">General Counsel,</w:t>
      </w:r>
      <w:r>
        <w:rPr>
          <w:b/>
          <w:bCs/>
        </w:rPr>
        <w:t xml:space="preserve">”</w:t>
      </w:r>
      <w:r>
        <w:t xml:space="preserve"> </w:t>
      </w:r>
      <w:r>
        <w:t xml:space="preserve">with grants in 2022 and March 2024.</w:t>
      </w:r>
    </w:p>
    <w:p>
      <w:pPr>
        <w:pStyle w:val="BodyText"/>
      </w:pPr>
      <w:r>
        <w:t xml:space="preserve">These records cannot be reconciled with the D&amp;O Questionnaire, which identifies Sandra Y. Chen as the sole General Counsel. Either (a) there are two individuals named Sandra Chen (one CRO, one GC), (b) there has been a transition in the General Counsel role not reflected in the D&amp;O Questionnaire, or (c) the equity plan records contain title errors.</w:t>
      </w:r>
    </w:p>
    <w:p>
      <w:pPr>
        <w:pStyle w:val="BodyText"/>
      </w:pPr>
      <w:r>
        <w:rPr>
          <w:b/>
          <w:bCs/>
        </w:rPr>
        <w:t xml:space="preserve">Recommendation:</w:t>
      </w:r>
      <w:r>
        <w:t xml:space="preserve"> </w:t>
      </w:r>
      <w:r>
        <w:t xml:space="preserve">Reconcile the executive officer roster and the General Counsel role. The S-1</w:t>
      </w:r>
      <w:r>
        <w:t xml:space="preserve"> </w:t>
      </w:r>
      <w:r>
        <w:t xml:space="preserve">“</w:t>
      </w:r>
      <w:r>
        <w:t xml:space="preserve">Executive Officers</w:t>
      </w:r>
      <w:r>
        <w:t xml:space="preserve">”</w:t>
      </w:r>
      <w:r>
        <w:t xml:space="preserve"> </w:t>
      </w:r>
      <w:r>
        <w:t xml:space="preserve">section must accurately identify all executive officers and their titles. Confirm whether Thomas Brennan is or was an executive officer.</w:t>
      </w:r>
    </w:p>
    <w:p>
      <w:r>
        <w:pict>
          <v:rect style="width:0;height:1.5pt" o:hralign="center" o:hrstd="t" o:hr="t"/>
        </w:pict>
      </w:r>
    </w:p>
    <w:bookmarkEnd w:id="38"/>
    <w:bookmarkEnd w:id="39"/>
    <w:bookmarkStart w:id="49" w:name="X51bbd7bedbe544be1b5e5ea3357b99983979c4b"/>
    <w:p>
      <w:pPr>
        <w:pStyle w:val="Heading2"/>
      </w:pPr>
      <w:r>
        <w:t xml:space="preserve">4. Structural, Governance, and Capitalization Inconsistencies</w:t>
      </w:r>
    </w:p>
    <w:bookmarkStart w:id="40" w:name="X6d8fb0988b4ad74b51d3d0d5532720a2b614836"/>
    <w:p>
      <w:pPr>
        <w:pStyle w:val="Heading3"/>
      </w:pPr>
      <w:r>
        <w:t xml:space="preserve">4.1 Board size and the CTO’s directorship</w:t>
      </w:r>
      <w:r>
        <w:t xml:space="preserve"> </w:t>
      </w:r>
      <w:r>
        <w:rPr>
          <w:b/>
          <w:bCs/>
        </w:rPr>
        <w:t xml:space="preserve">[HIGH] [RESOLVE BEFORE FILING]</w:t>
      </w:r>
    </w:p>
    <w:p>
      <w:pPr>
        <w:pStyle w:val="FirstParagraph"/>
      </w:pPr>
      <w:r>
        <w:t xml:space="preserve">The Restated Certificate (Article V, Section 5.3) provides for a classified board of</w:t>
      </w:r>
      <w:r>
        <w:t xml:space="preserve"> </w:t>
      </w:r>
      <w:r>
        <w:rPr>
          <w:b/>
          <w:bCs/>
        </w:rPr>
        <w:t xml:space="preserve">seven</w:t>
      </w:r>
      <w:r>
        <w:t xml:space="preserve"> </w:t>
      </w:r>
      <w:r>
        <w:t xml:space="preserve">directors and expressly classifies the CTO as a Class III director (term expiring at the 2028 annual meeting). The D&amp;O Questionnaire (Section 6) states that the Board consists of</w:t>
      </w:r>
      <w:r>
        <w:t xml:space="preserve"> </w:t>
      </w:r>
      <w:r>
        <w:rPr>
          <w:b/>
          <w:bCs/>
        </w:rPr>
        <w:t xml:space="preserve">six</w:t>
      </w:r>
      <w:r>
        <w:t xml:space="preserve"> </w:t>
      </w:r>
      <w:r>
        <w:t xml:space="preserve">members and that the CTO</w:t>
      </w:r>
      <w:r>
        <w:t xml:space="preserve"> </w:t>
      </w:r>
      <w:r>
        <w:t xml:space="preserve">“</w:t>
      </w:r>
      <w:r>
        <w:t xml:space="preserve">does not serve on the Board.</w:t>
      </w:r>
      <w:r>
        <w:t xml:space="preserve">”</w:t>
      </w:r>
      <w:r>
        <w:t xml:space="preserve"> </w:t>
      </w:r>
      <w:r>
        <w:t xml:space="preserve">The Roadshow Presentation is internally inconsistent: Slide 7 implies six directors (listing five non-employee directors plus the CEO), while Slide 30 refers to</w:t>
      </w:r>
      <w:r>
        <w:t xml:space="preserve"> </w:t>
      </w:r>
      <w:r>
        <w:t xml:space="preserve">“</w:t>
      </w:r>
      <w:r>
        <w:t xml:space="preserve">3 of 7 total directors.</w:t>
      </w:r>
      <w:r>
        <w:t xml:space="preserve">”</w:t>
      </w:r>
    </w:p>
    <w:p>
      <w:pPr>
        <w:pStyle w:val="BodyText"/>
      </w:pPr>
      <w:r>
        <w:rPr>
          <w:b/>
          <w:bCs/>
        </w:rPr>
        <w:t xml:space="preserve">Recommendation:</w:t>
      </w:r>
      <w:r>
        <w:t xml:space="preserve"> </w:t>
      </w:r>
      <w:r>
        <w:t xml:space="preserve">Confirm whether the CTO is a director. The Restated Certificate (the governing document) treats the CTO as a Class III director, and the S-1 draft reflects a seven-member board. If the CTO is not a director, the Restated Certificate must be corrected before effectiveness.</w:t>
      </w:r>
    </w:p>
    <w:bookmarkEnd w:id="40"/>
    <w:bookmarkStart w:id="41" w:name="X1a22ecfa8c71265eb48e2cbb22ae1f16b57c998"/>
    <w:p>
      <w:pPr>
        <w:pStyle w:val="Heading3"/>
      </w:pPr>
      <w:r>
        <w:t xml:space="preserve">4.2 Controlled company exemption — no formal Board determination</w:t>
      </w:r>
      <w:r>
        <w:t xml:space="preserve"> </w:t>
      </w:r>
      <w:r>
        <w:rPr>
          <w:b/>
          <w:bCs/>
        </w:rPr>
        <w:t xml:space="preserve">[HIGH] [RESOLVE BEFORE FILING]</w:t>
      </w:r>
    </w:p>
    <w:p>
      <w:pPr>
        <w:pStyle w:val="FirstParagraph"/>
      </w:pPr>
      <w:r>
        <w:t xml:space="preserve">The Company will be a</w:t>
      </w:r>
      <w:r>
        <w:t xml:space="preserve"> </w:t>
      </w:r>
      <w:r>
        <w:t xml:space="preserve">“</w:t>
      </w:r>
      <w:r>
        <w:t xml:space="preserve">controlled company</w:t>
      </w:r>
      <w:r>
        <w:t xml:space="preserve">”</w:t>
      </w:r>
      <w:r>
        <w:t xml:space="preserve"> </w:t>
      </w:r>
      <w:r>
        <w:t xml:space="preserve">under Nasdaq Listing Rule 5615(c) because the co-founders will hold approximately 71.8% of the voting power. The D&amp;O Questionnaire (Open Item 1) confirms that</w:t>
      </w:r>
      <w:r>
        <w:t xml:space="preserve"> </w:t>
      </w:r>
      <w:r>
        <w:rPr>
          <w:b/>
          <w:bCs/>
        </w:rPr>
        <w:t xml:space="preserve">no Board resolution is on record</w:t>
      </w:r>
      <w:r>
        <w:t xml:space="preserve"> </w:t>
      </w:r>
      <w:r>
        <w:t xml:space="preserve">regarding whether the Company will rely on the controlled company exemptions. The questionnaire responses are noncommittal. Only three of the (six or seven) directors are independent — not a majority — so reliance on at least the majority-independent-board exemption appears necessary unless an additional independent director is appointed before the IPO.</w:t>
      </w:r>
    </w:p>
    <w:p>
      <w:pPr>
        <w:pStyle w:val="BodyText"/>
      </w:pPr>
      <w:r>
        <w:rPr>
          <w:b/>
          <w:bCs/>
        </w:rPr>
        <w:t xml:space="preserve">Recommendation:</w:t>
      </w:r>
      <w:r>
        <w:t xml:space="preserve"> </w:t>
      </w:r>
      <w:r>
        <w:t xml:space="preserve">Obtain a formal Board resolution electing (or declining) the controlled company exemptions before filing. The S-1 draft assumes the exemptions are elected and includes the corresponding risk factor and corporate governance disclosure; confirm this assumption.</w:t>
      </w:r>
    </w:p>
    <w:bookmarkEnd w:id="41"/>
    <w:bookmarkStart w:id="42" w:name="X38b3a0948f17398cbee3353108376277f376139"/>
    <w:p>
      <w:pPr>
        <w:pStyle w:val="Heading3"/>
      </w:pPr>
      <w:r>
        <w:t xml:space="preserve">4.3 Committee composition incomplete</w:t>
      </w:r>
      <w:r>
        <w:t xml:space="preserve"> </w:t>
      </w:r>
      <w:r>
        <w:rPr>
          <w:b/>
          <w:bCs/>
        </w:rPr>
        <w:t xml:space="preserve">[MEDIUM-HIGH] [RESOLVE BEFORE FILING]</w:t>
      </w:r>
    </w:p>
    <w:p>
      <w:pPr>
        <w:pStyle w:val="FirstParagraph"/>
      </w:pPr>
      <w:r>
        <w:t xml:space="preserve">The Audit Committee is fully constituted (Adaora Obi, Chair; Thomas J. Moreno; Dr. Helen Park — all independent, with Ms. Obi designated as audit committee financial expert). The Compensation Committee has only two named members (Thomas J. Moreno, Chair; Dr. Helen Park) with one additional member</w:t>
      </w:r>
      <w:r>
        <w:t xml:space="preserve"> </w:t>
      </w:r>
      <w:r>
        <w:t xml:space="preserve">“</w:t>
      </w:r>
      <w:r>
        <w:t xml:space="preserve">to be determined.</w:t>
      </w:r>
      <w:r>
        <w:t xml:space="preserve">”</w:t>
      </w:r>
      <w:r>
        <w:t xml:space="preserve"> </w:t>
      </w:r>
      <w:r>
        <w:t xml:space="preserve">The Nominating and Corporate Governance Committee composition is</w:t>
      </w:r>
      <w:r>
        <w:t xml:space="preserve"> </w:t>
      </w:r>
      <w:r>
        <w:t xml:space="preserve">“</w:t>
      </w:r>
      <w:r>
        <w:t xml:space="preserve">to be determined.</w:t>
      </w:r>
      <w:r>
        <w:t xml:space="preserve">”</w:t>
      </w:r>
      <w:r>
        <w:t xml:space="preserve"> </w:t>
      </w:r>
      <w:r>
        <w:t xml:space="preserve">If the Company does not rely on the controlled company exemptions, the Compensation and Nominating committees must be fully independent.</w:t>
      </w:r>
    </w:p>
    <w:p>
      <w:pPr>
        <w:pStyle w:val="BodyText"/>
      </w:pPr>
      <w:r>
        <w:rPr>
          <w:b/>
          <w:bCs/>
        </w:rPr>
        <w:t xml:space="preserve">Recommendation:</w:t>
      </w:r>
      <w:r>
        <w:t xml:space="preserve"> </w:t>
      </w:r>
      <w:r>
        <w:t xml:space="preserve">Finalize committee composition before filing. If relying on the controlled company exemptions, disclose that the Compensation and Nominating committees will not be required to be fully independent.</w:t>
      </w:r>
    </w:p>
    <w:bookmarkEnd w:id="42"/>
    <w:bookmarkStart w:id="43" w:name="X0d191008c4e51348a459ef27e61554eb406c0b0"/>
    <w:p>
      <w:pPr>
        <w:pStyle w:val="Heading3"/>
      </w:pPr>
      <w:r>
        <w:t xml:space="preserve">4.4 Dual-class structure has no sunset provision</w:t>
      </w:r>
      <w:r>
        <w:t xml:space="preserve"> </w:t>
      </w:r>
      <w:r>
        <w:rPr>
          <w:b/>
          <w:bCs/>
        </w:rPr>
        <w:t xml:space="preserve">[MEDIUM] [DISCLOSURE]</w:t>
      </w:r>
    </w:p>
    <w:p>
      <w:pPr>
        <w:pStyle w:val="FirstParagraph"/>
      </w:pPr>
      <w:r>
        <w:t xml:space="preserve">The Restated Certificate (Article IV, Section 4.3) provides that Class B common stock converts to Class A only upon transfer to a non-permitted transferee or upon the death or incapacity of the holder. There is</w:t>
      </w:r>
      <w:r>
        <w:t xml:space="preserve"> </w:t>
      </w:r>
      <w:r>
        <w:rPr>
          <w:b/>
          <w:bCs/>
        </w:rPr>
        <w:t xml:space="preserve">no time-based sunset and no ownership-percentage sunset</w:t>
      </w:r>
      <w:r>
        <w:t xml:space="preserve">. The Restated Certificate’s own</w:t>
      </w:r>
      <w:r>
        <w:t xml:space="preserve"> </w:t>
      </w:r>
      <w:r>
        <w:t xml:space="preserve">“</w:t>
      </w:r>
      <w:r>
        <w:t xml:space="preserve">Summary of Placement</w:t>
      </w:r>
      <w:r>
        <w:t xml:space="preserve">”</w:t>
      </w:r>
      <w:r>
        <w:t xml:space="preserve"> </w:t>
      </w:r>
      <w:r>
        <w:t xml:space="preserve">flags this as conspicuous relative to market norms. The Roadshow Presentation (Slide 30 notes) also flags the absence of a sunset and notes that major index providers may exclude multi-class structures from certain indices.</w:t>
      </w:r>
    </w:p>
    <w:p>
      <w:pPr>
        <w:pStyle w:val="BodyText"/>
      </w:pPr>
      <w:r>
        <w:rPr>
          <w:b/>
          <w:bCs/>
        </w:rPr>
        <w:t xml:space="preserve">Recommendation:</w:t>
      </w:r>
      <w:r>
        <w:t xml:space="preserve"> </w:t>
      </w:r>
      <w:r>
        <w:t xml:space="preserve">Disclose the absence of a sunset prominently in the S-1 risk factors and in the description of capital stock (the S-1 draft does so). Consider whether to recommend a sunset to the Board as a governance matter.</w:t>
      </w:r>
    </w:p>
    <w:bookmarkEnd w:id="43"/>
    <w:bookmarkStart w:id="44" w:name="Xe652de6dd0c464436715fc907b0d4ceea0bf8cc"/>
    <w:p>
      <w:pPr>
        <w:pStyle w:val="Heading3"/>
      </w:pPr>
      <w:r>
        <w:t xml:space="preserve">4.5 Federal forum selection for Securities Act claims</w:t>
      </w:r>
      <w:r>
        <w:t xml:space="preserve"> </w:t>
      </w:r>
      <w:r>
        <w:rPr>
          <w:b/>
          <w:bCs/>
        </w:rPr>
        <w:t xml:space="preserve">[LOW-MEDIUM] [DISCLOSURE]</w:t>
      </w:r>
    </w:p>
    <w:p>
      <w:pPr>
        <w:pStyle w:val="FirstParagraph"/>
      </w:pPr>
      <w:r>
        <w:t xml:space="preserve">The Restated Certificate (Article X, Section 10.2) designates the federal district courts as the exclusive forum for Securities Act claims. This is permissible following</w:t>
      </w:r>
      <w:r>
        <w:t xml:space="preserve"> </w:t>
      </w:r>
      <w:r>
        <w:rPr>
          <w:i/>
          <w:iCs/>
        </w:rPr>
        <w:t xml:space="preserve">Salzberg v. Sciabacucchi</w:t>
      </w:r>
      <w:r>
        <w:t xml:space="preserve"> </w:t>
      </w:r>
      <w:r>
        <w:t xml:space="preserve">(Del. 2020) but carries implications under</w:t>
      </w:r>
      <w:r>
        <w:t xml:space="preserve"> </w:t>
      </w:r>
      <w:r>
        <w:rPr>
          <w:i/>
          <w:iCs/>
        </w:rPr>
        <w:t xml:space="preserve">Cyan Inc. v. Beaver County Employees Retirement Fund</w:t>
      </w:r>
      <w:r>
        <w:t xml:space="preserve"> </w:t>
      </w:r>
      <w:r>
        <w:t xml:space="preserve">(2018), under which Securities Act claims may otherwise be brought concurrently in state court.</w:t>
      </w:r>
    </w:p>
    <w:p>
      <w:pPr>
        <w:pStyle w:val="BodyText"/>
      </w:pPr>
      <w:r>
        <w:rPr>
          <w:b/>
          <w:bCs/>
        </w:rPr>
        <w:t xml:space="preserve">Recommendation:</w:t>
      </w:r>
      <w:r>
        <w:t xml:space="preserve"> </w:t>
      </w:r>
      <w:r>
        <w:t xml:space="preserve">Disclose the exclusive forum provision (the S-1 draft does so). Confirm enforceability analysis with counsel.</w:t>
      </w:r>
    </w:p>
    <w:bookmarkEnd w:id="44"/>
    <w:bookmarkStart w:id="45" w:name="X25c6837da1d0074f7037ac6e0e03c28168d901a"/>
    <w:p>
      <w:pPr>
        <w:pStyle w:val="Heading3"/>
      </w:pPr>
      <w:r>
        <w:t xml:space="preserve">4.6 Term loan facility size and characterization</w:t>
      </w:r>
      <w:r>
        <w:t xml:space="preserve"> </w:t>
      </w:r>
      <w:r>
        <w:rPr>
          <w:b/>
          <w:bCs/>
        </w:rPr>
        <w:t xml:space="preserve">[LOW-MEDIUM] [RESOLVE BEFORE FILING]</w:t>
      </w:r>
    </w:p>
    <w:p>
      <w:pPr>
        <w:pStyle w:val="FirstParagraph"/>
      </w:pPr>
      <w:r>
        <w:t xml:space="preserve">The CFO Readiness Memorandum consistently refers to a</w:t>
      </w:r>
      <w:r>
        <w:t xml:space="preserve"> </w:t>
      </w:r>
      <w:r>
        <w:t xml:space="preserve">“</w:t>
      </w:r>
      <w:r>
        <w:t xml:space="preserve">$40.0 million term loan,</w:t>
      </w:r>
      <w:r>
        <w:t xml:space="preserve">”</w:t>
      </w:r>
      <w:r>
        <w:t xml:space="preserve"> </w:t>
      </w:r>
      <w:r>
        <w:t xml:space="preserve">omitting that the facility commitment is $50.0 million (with $40.0 million drawn and $10.0 million undrawn, the availability for which expired on June 30, 2024). The Underwriting Term Sheet and the Term Loan summary correctly describe the $50.0 million facility with $40.0 million outstanding.</w:t>
      </w:r>
    </w:p>
    <w:p>
      <w:pPr>
        <w:pStyle w:val="BodyText"/>
      </w:pPr>
      <w:r>
        <w:rPr>
          <w:b/>
          <w:bCs/>
        </w:rPr>
        <w:t xml:space="preserve">Recommendation:</w:t>
      </w:r>
      <w:r>
        <w:t xml:space="preserve"> </w:t>
      </w:r>
      <w:r>
        <w:t xml:space="preserve">The S-1</w:t>
      </w:r>
      <w:r>
        <w:t xml:space="preserve"> </w:t>
      </w:r>
      <w:r>
        <w:t xml:space="preserve">“</w:t>
      </w:r>
      <w:r>
        <w:t xml:space="preserve">Description of Indebtedness</w:t>
      </w:r>
      <w:r>
        <w:t xml:space="preserve">”</w:t>
      </w:r>
      <w:r>
        <w:t xml:space="preserve"> </w:t>
      </w:r>
      <w:r>
        <w:t xml:space="preserve">should describe the $50.0 million facility, the $40.0 million outstanding balance, and the expiration of additional availability.</w:t>
      </w:r>
    </w:p>
    <w:bookmarkEnd w:id="45"/>
    <w:bookmarkStart w:id="46" w:name="Xaf38a0f067ccb694a088c4c0e791c06bc4c050f"/>
    <w:p>
      <w:pPr>
        <w:pStyle w:val="Heading3"/>
      </w:pPr>
      <w:r>
        <w:t xml:space="preserve">4.7 Term loan agreement date and draw history cannot be reconciled</w:t>
      </w:r>
      <w:r>
        <w:t xml:space="preserve"> </w:t>
      </w:r>
      <w:r>
        <w:rPr>
          <w:b/>
          <w:bCs/>
        </w:rPr>
        <w:t xml:space="preserve">[MEDIUM-HIGH] [RESOLVE BEFORE FILING]</w:t>
      </w:r>
    </w:p>
    <w:p>
      <w:pPr>
        <w:pStyle w:val="FirstParagraph"/>
      </w:pPr>
      <w:r>
        <w:t xml:space="preserve">Three sources conflict regarding the term loan’s origination:</w:t>
      </w:r>
    </w:p>
    <w:p>
      <w:pPr>
        <w:pStyle w:val="Compact"/>
        <w:numPr>
          <w:ilvl w:val="0"/>
          <w:numId w:val="1003"/>
        </w:numPr>
      </w:pPr>
      <w:r>
        <w:t xml:space="preserve">The Term Loan summary states the Credit Agreement is</w:t>
      </w:r>
      <w:r>
        <w:t xml:space="preserve"> </w:t>
      </w:r>
      <w:r>
        <w:rPr>
          <w:b/>
          <w:bCs/>
        </w:rPr>
        <w:t xml:space="preserve">dated December 15, 2022</w:t>
      </w:r>
      <w:r>
        <w:t xml:space="preserve">, with an initial draw of $40.0 million on the closing date.</w:t>
      </w:r>
    </w:p>
    <w:p>
      <w:pPr>
        <w:pStyle w:val="Compact"/>
        <w:numPr>
          <w:ilvl w:val="0"/>
          <w:numId w:val="1003"/>
        </w:numPr>
      </w:pPr>
      <w:r>
        <w:t xml:space="preserve">The audited financial statements (Note 8) state that the Company</w:t>
      </w:r>
      <w:r>
        <w:t xml:space="preserve"> </w:t>
      </w:r>
      <w:r>
        <w:rPr>
          <w:b/>
          <w:bCs/>
        </w:rPr>
        <w:t xml:space="preserve">“</w:t>
      </w:r>
      <w:r>
        <w:rPr>
          <w:b/>
          <w:bCs/>
        </w:rPr>
        <w:t xml:space="preserve">entered into a term loan facility</w:t>
      </w:r>
      <w:r>
        <w:rPr>
          <w:b/>
          <w:bCs/>
        </w:rPr>
        <w:t xml:space="preserve">”</w:t>
      </w:r>
      <w:r>
        <w:rPr>
          <w:b/>
          <w:bCs/>
        </w:rPr>
        <w:t xml:space="preserve"> </w:t>
      </w:r>
      <w:r>
        <w:rPr>
          <w:b/>
          <w:bCs/>
        </w:rPr>
        <w:t xml:space="preserve">in June 2023.</w:t>
      </w:r>
    </w:p>
    <w:p>
      <w:pPr>
        <w:pStyle w:val="Compact"/>
        <w:numPr>
          <w:ilvl w:val="0"/>
          <w:numId w:val="1003"/>
        </w:numPr>
      </w:pPr>
      <w:r>
        <w:t xml:space="preserve">The audited cash flow statement reflects</w:t>
      </w:r>
      <w:r>
        <w:t xml:space="preserve"> </w:t>
      </w:r>
      <w:r>
        <w:rPr>
          <w:b/>
          <w:bCs/>
        </w:rPr>
        <w:t xml:space="preserve">$15.0 million of term loan borrowings in FY 2023</w:t>
      </w:r>
      <w:r>
        <w:t xml:space="preserve"> </w:t>
      </w:r>
      <w:r>
        <w:t xml:space="preserve">and</w:t>
      </w:r>
      <w:r>
        <w:t xml:space="preserve"> </w:t>
      </w:r>
      <w:r>
        <w:rPr>
          <w:b/>
          <w:bCs/>
        </w:rPr>
        <w:t xml:space="preserve">$5.0 million of repayments in FY 2024</w:t>
      </w:r>
      <w:r>
        <w:t xml:space="preserve">, with a $40.0 million balance at both December 31, 2023 and December 31, 2024.</w:t>
      </w:r>
    </w:p>
    <w:p>
      <w:pPr>
        <w:pStyle w:val="FirstParagraph"/>
      </w:pPr>
      <w:r>
        <w:t xml:space="preserve">These cannot all be correct. If $40.0 million was drawn at a December 15, 2022 closing, there should be no FY 2023 borrowings and the balance would not move as reflected. If the facility was entered in June 2023 (per the audited financials), the December 15, 2022 date in the Term Loan summary is wrong.</w:t>
      </w:r>
    </w:p>
    <w:p>
      <w:pPr>
        <w:pStyle w:val="BodyText"/>
      </w:pPr>
      <w:r>
        <w:rPr>
          <w:b/>
          <w:bCs/>
        </w:rPr>
        <w:t xml:space="preserve">Recommendation:</w:t>
      </w:r>
      <w:r>
        <w:t xml:space="preserve"> </w:t>
      </w:r>
      <w:r>
        <w:t xml:space="preserve">Reconcile the date of the Credit Agreement and the draw history against the executed Credit Agreement and the audited financial statements. The S-1 debt disclosure and the financial statement notes must be consistent.</w:t>
      </w:r>
    </w:p>
    <w:bookmarkEnd w:id="46"/>
    <w:bookmarkStart w:id="47" w:name="X67fb0bb61e67af527e93097a360df8412f73d45"/>
    <w:p>
      <w:pPr>
        <w:pStyle w:val="Heading3"/>
      </w:pPr>
      <w:r>
        <w:t xml:space="preserve">4.8 Term loan amortization schedule conflicts</w:t>
      </w:r>
      <w:r>
        <w:t xml:space="preserve"> </w:t>
      </w:r>
      <w:r>
        <w:rPr>
          <w:b/>
          <w:bCs/>
        </w:rPr>
        <w:t xml:space="preserve">[MEDIUM] [RESOLVE BEFORE FILING]</w:t>
      </w:r>
    </w:p>
    <w:p>
      <w:pPr>
        <w:pStyle w:val="FirstParagraph"/>
      </w:pPr>
      <w:r>
        <w:t xml:space="preserve">The Term Loan summary (Section 3) states that the term loan amortizes in quarterly installments of</w:t>
      </w:r>
      <w:r>
        <w:t xml:space="preserve"> </w:t>
      </w:r>
      <w:r>
        <w:rPr>
          <w:b/>
          <w:bCs/>
        </w:rPr>
        <w:t xml:space="preserve">1.25% of the drawn amount ($500,000 per quarter, or $2.0 million per year)</w:t>
      </w:r>
      <w:r>
        <w:t xml:space="preserve">, with the balance due as a bullet at maturity. The audited financial statements (Note 8) reflect actual and scheduled repayments of</w:t>
      </w:r>
      <w:r>
        <w:t xml:space="preserve"> </w:t>
      </w:r>
      <w:r>
        <w:rPr>
          <w:b/>
          <w:bCs/>
        </w:rPr>
        <w:t xml:space="preserve">$5.0 million in FY 2024, $5.0 million due in 2025, $10.0 million due in 2026, and $25.0 million due in 2027</w:t>
      </w:r>
      <w:r>
        <w:t xml:space="preserve"> </w:t>
      </w:r>
      <w:r>
        <w:t xml:space="preserve">— an accelerating schedule that does not match a level $2.0 million-per-year amortization.</w:t>
      </w:r>
    </w:p>
    <w:p>
      <w:pPr>
        <w:pStyle w:val="BodyText"/>
      </w:pPr>
      <w:r>
        <w:rPr>
          <w:b/>
          <w:bCs/>
        </w:rPr>
        <w:t xml:space="preserve">Recommendation:</w:t>
      </w:r>
      <w:r>
        <w:t xml:space="preserve"> </w:t>
      </w:r>
      <w:r>
        <w:t xml:space="preserve">Confirm the actual amortization schedule against the Credit Agreement. The S-1 contractual obligations table must reflect the correct schedule.</w:t>
      </w:r>
    </w:p>
    <w:bookmarkEnd w:id="47"/>
    <w:bookmarkStart w:id="48" w:name="X1bf78e84dbabb2b7dd6b98bf872c2b6652f2737"/>
    <w:p>
      <w:pPr>
        <w:pStyle w:val="Heading3"/>
      </w:pPr>
      <w:r>
        <w:t xml:space="preserve">4.9 Capitalization table</w:t>
      </w:r>
      <w:r>
        <w:t xml:space="preserve"> </w:t>
      </w:r>
      <w:r>
        <w:t xml:space="preserve">“</w:t>
      </w:r>
      <w:r>
        <w:t xml:space="preserve">total capitalization</w:t>
      </w:r>
      <w:r>
        <w:t xml:space="preserve">”</w:t>
      </w:r>
      <w:r>
        <w:t xml:space="preserve"> </w:t>
      </w:r>
      <w:r>
        <w:t xml:space="preserve">definition is internally inconsistent</w:t>
      </w:r>
      <w:r>
        <w:t xml:space="preserve"> </w:t>
      </w:r>
      <w:r>
        <w:rPr>
          <w:b/>
          <w:bCs/>
        </w:rPr>
        <w:t xml:space="preserve">[LOW-MEDIUM] [RESOLVE BEFORE FILING]</w:t>
      </w:r>
    </w:p>
    <w:p>
      <w:pPr>
        <w:pStyle w:val="FirstParagraph"/>
      </w:pPr>
      <w:r>
        <w:t xml:space="preserve">The CFO Readiness Memorandum (Exhibit A) presents a</w:t>
      </w:r>
      <w:r>
        <w:t xml:space="preserve"> </w:t>
      </w:r>
      <w:r>
        <w:t xml:space="preserve">“</w:t>
      </w:r>
      <w:r>
        <w:t xml:space="preserve">Total capitalization</w:t>
      </w:r>
      <w:r>
        <w:t xml:space="preserve">”</w:t>
      </w:r>
      <w:r>
        <w:t xml:space="preserve"> </w:t>
      </w:r>
      <w:r>
        <w:t xml:space="preserve">row of</w:t>
      </w:r>
      <w:r>
        <w:t xml:space="preserve"> </w:t>
      </w:r>
      <w:r>
        <w:rPr>
          <w:b/>
          <w:bCs/>
        </w:rPr>
        <w:t xml:space="preserve">$240.1 million</w:t>
      </w:r>
      <w:r>
        <w:t xml:space="preserve"> </w:t>
      </w:r>
      <w:r>
        <w:t xml:space="preserve">in the</w:t>
      </w:r>
      <w:r>
        <w:t xml:space="preserve"> </w:t>
      </w:r>
      <w:r>
        <w:t xml:space="preserve">“</w:t>
      </w:r>
      <w:r>
        <w:t xml:space="preserve">Actual</w:t>
      </w:r>
      <w:r>
        <w:t xml:space="preserve">”</w:t>
      </w:r>
      <w:r>
        <w:t xml:space="preserve"> </w:t>
      </w:r>
      <w:r>
        <w:t xml:space="preserve">column (which equals total assets) but</w:t>
      </w:r>
      <w:r>
        <w:t xml:space="preserve"> </w:t>
      </w:r>
      <w:r>
        <w:rPr>
          <w:b/>
          <w:bCs/>
        </w:rPr>
        <w:t xml:space="preserve">$137.0 million</w:t>
      </w:r>
      <w:r>
        <w:t xml:space="preserve"> </w:t>
      </w:r>
      <w:r>
        <w:t xml:space="preserve">and</w:t>
      </w:r>
      <w:r>
        <w:t xml:space="preserve"> </w:t>
      </w:r>
      <w:r>
        <w:rPr>
          <w:b/>
          <w:bCs/>
        </w:rPr>
        <w:t xml:space="preserve">$468.8 million</w:t>
      </w:r>
      <w:r>
        <w:t xml:space="preserve"> </w:t>
      </w:r>
      <w:r>
        <w:t xml:space="preserve">in the</w:t>
      </w:r>
      <w:r>
        <w:t xml:space="preserve"> </w:t>
      </w:r>
      <w:r>
        <w:t xml:space="preserve">“</w:t>
      </w:r>
      <w:r>
        <w:t xml:space="preserve">Pro Forma</w:t>
      </w:r>
      <w:r>
        <w:t xml:space="preserve">”</w:t>
      </w:r>
      <w:r>
        <w:t xml:space="preserve"> </w:t>
      </w:r>
      <w:r>
        <w:t xml:space="preserve">and</w:t>
      </w:r>
      <w:r>
        <w:t xml:space="preserve"> </w:t>
      </w:r>
      <w:r>
        <w:t xml:space="preserve">“</w:t>
      </w:r>
      <w:r>
        <w:t xml:space="preserve">Pro Forma As Adjusted</w:t>
      </w:r>
      <w:r>
        <w:t xml:space="preserve">”</w:t>
      </w:r>
      <w:r>
        <w:t xml:space="preserve"> </w:t>
      </w:r>
      <w:r>
        <w:t xml:space="preserve">columns (which equal total debt plus total equity). The</w:t>
      </w:r>
      <w:r>
        <w:t xml:space="preserve"> </w:t>
      </w:r>
      <w:r>
        <w:t xml:space="preserve">“</w:t>
      </w:r>
      <w:r>
        <w:t xml:space="preserve">Actual</w:t>
      </w:r>
      <w:r>
        <w:t xml:space="preserve">”</w:t>
      </w:r>
      <w:r>
        <w:t xml:space="preserve"> </w:t>
      </w:r>
      <w:r>
        <w:t xml:space="preserve">column uses a different definition (total assets) than the other two columns (debt plus equity), making the row internally inconsistent. On a consistent debt-plus-equity basis, the</w:t>
      </w:r>
      <w:r>
        <w:t xml:space="preserve"> </w:t>
      </w:r>
      <w:r>
        <w:t xml:space="preserve">“</w:t>
      </w:r>
      <w:r>
        <w:t xml:space="preserve">Actual</w:t>
      </w:r>
      <w:r>
        <w:t xml:space="preserve">”</w:t>
      </w:r>
      <w:r>
        <w:t xml:space="preserve"> </w:t>
      </w:r>
      <w:r>
        <w:t xml:space="preserve">total capitalization would be $137.0 million ($40.0 million debt + $97.0 million equity).</w:t>
      </w:r>
    </w:p>
    <w:p>
      <w:pPr>
        <w:pStyle w:val="BodyText"/>
      </w:pPr>
      <w:r>
        <w:rPr>
          <w:b/>
          <w:bCs/>
        </w:rPr>
        <w:t xml:space="preserve">Recommendation:</w:t>
      </w:r>
      <w:r>
        <w:t xml:space="preserve"> </w:t>
      </w:r>
      <w:r>
        <w:t xml:space="preserve">Present the capitalization table on a consistent basis in the S-1.</w:t>
      </w:r>
    </w:p>
    <w:p>
      <w:r>
        <w:pict>
          <v:rect style="width:0;height:1.5pt" o:hralign="center" o:hrstd="t" o:hr="t"/>
        </w:pict>
      </w:r>
    </w:p>
    <w:bookmarkEnd w:id="48"/>
    <w:bookmarkEnd w:id="49"/>
    <w:bookmarkStart w:id="60" w:name="disclosure-gaps-and-open-items"/>
    <w:p>
      <w:pPr>
        <w:pStyle w:val="Heading2"/>
      </w:pPr>
      <w:r>
        <w:t xml:space="preserve">5. Disclosure Gaps and Open Items</w:t>
      </w:r>
    </w:p>
    <w:bookmarkStart w:id="50" w:name="X88b7c27cbabc89e2d7307cc8b6d710437d21477"/>
    <w:p>
      <w:pPr>
        <w:pStyle w:val="Heading3"/>
      </w:pPr>
      <w:r>
        <w:t xml:space="preserve">5.1 Vantara Logistics related-party disclosure inconsistency</w:t>
      </w:r>
      <w:r>
        <w:t xml:space="preserve"> </w:t>
      </w:r>
      <w:r>
        <w:rPr>
          <w:b/>
          <w:bCs/>
        </w:rPr>
        <w:t xml:space="preserve">[HIGH] [RESOLVE BEFORE FILING]</w:t>
      </w:r>
    </w:p>
    <w:p>
      <w:pPr>
        <w:pStyle w:val="FirstParagraph"/>
      </w:pPr>
      <w:r>
        <w:t xml:space="preserve">The Vantara Logistics, Inc. SaaS license agreement ($1.2 million annual contract value; three-year term; entered April 2023) is a related-party transaction because Vantara is a portfolio company of Graymont Ventures, whose Managing Partner, Priya Venkatesh, serves on the Company’s Board and on Vantara’s board. Ms. Venkatesh disclosed the transaction fully in her D&amp;O questionnaire (including Audit Committee approval and her recusal). However:</w:t>
      </w:r>
    </w:p>
    <w:p>
      <w:pPr>
        <w:pStyle w:val="Compact"/>
        <w:numPr>
          <w:ilvl w:val="0"/>
          <w:numId w:val="1004"/>
        </w:numPr>
      </w:pPr>
      <w:r>
        <w:t xml:space="preserve">The CFO (Mr. Hartwell) did</w:t>
      </w:r>
      <w:r>
        <w:t xml:space="preserve"> </w:t>
      </w:r>
      <w:r>
        <w:rPr>
          <w:b/>
          <w:bCs/>
        </w:rPr>
        <w:t xml:space="preserve">not</w:t>
      </w:r>
      <w:r>
        <w:t xml:space="preserve"> </w:t>
      </w:r>
      <w:r>
        <w:t xml:space="preserve">identify the transaction as a related-party transaction in his D&amp;O questionnaire response.</w:t>
      </w:r>
    </w:p>
    <w:p>
      <w:pPr>
        <w:pStyle w:val="Compact"/>
        <w:numPr>
          <w:ilvl w:val="0"/>
          <w:numId w:val="1004"/>
        </w:numPr>
      </w:pPr>
      <w:r>
        <w:t xml:space="preserve">The CFO Readiness Memorandum (Exhibit B) lists Vantara as a standard customer contributing to ARR growth, without related-party notation.</w:t>
      </w:r>
    </w:p>
    <w:p>
      <w:pPr>
        <w:pStyle w:val="Compact"/>
        <w:numPr>
          <w:ilvl w:val="0"/>
          <w:numId w:val="1004"/>
        </w:numPr>
      </w:pPr>
      <w:r>
        <w:t xml:space="preserve">The Roadshow Presentation (Slide 14) features Vantara as a customer case study</w:t>
      </w:r>
      <w:r>
        <w:t xml:space="preserve"> </w:t>
      </w:r>
      <w:r>
        <w:rPr>
          <w:b/>
          <w:bCs/>
        </w:rPr>
        <w:t xml:space="preserve">without any disclosure</w:t>
      </w:r>
      <w:r>
        <w:t xml:space="preserve"> </w:t>
      </w:r>
      <w:r>
        <w:t xml:space="preserve">of the Graymont/Venkatesh relationship.</w:t>
      </w:r>
    </w:p>
    <w:p>
      <w:pPr>
        <w:pStyle w:val="FirstParagraph"/>
      </w:pPr>
      <w:r>
        <w:rPr>
          <w:b/>
          <w:bCs/>
        </w:rPr>
        <w:t xml:space="preserve">Recommendation:</w:t>
      </w:r>
      <w:r>
        <w:t xml:space="preserve"> </w:t>
      </w:r>
      <w:r>
        <w:t xml:space="preserve">Disclose the Vantara transaction under Item 404 of Regulation S-K in the S-1 (the S-1 draft does so). Update all investor-facing materials to identify Vantara as a related party. Confirm the arm’s-length pricing determination with the Audit Committee and obtain supporting documentation. Note that the Term Loan summary (Section 7.2) also flags that the Vantara agreement ($1.2 million annually) requires notification to the lender under the affiliate-transactions covenant — confirm this notice was given.</w:t>
      </w:r>
    </w:p>
    <w:bookmarkEnd w:id="50"/>
    <w:bookmarkStart w:id="51" w:name="X810adea0a41c0ac9bf93ce49c77d992d7aab44c"/>
    <w:p>
      <w:pPr>
        <w:pStyle w:val="Heading3"/>
      </w:pPr>
      <w:r>
        <w:t xml:space="preserve">5.2 Aldersgate Capital beneficial ownership gap</w:t>
      </w:r>
      <w:r>
        <w:t xml:space="preserve"> </w:t>
      </w:r>
      <w:r>
        <w:rPr>
          <w:b/>
          <w:bCs/>
        </w:rPr>
        <w:t xml:space="preserve">[MEDIUM-HIGH] [RESOLVE BEFORE FILING]</w:t>
      </w:r>
    </w:p>
    <w:p>
      <w:pPr>
        <w:pStyle w:val="FirstParagraph"/>
      </w:pPr>
      <w:r>
        <w:t xml:space="preserve">Aldersgate Capital participated in the Series B round (April 2020) and is referenced in Ms. Venkatesh’s D&amp;O questionnaire, but Aldersgate Capital does not appear in any current beneficial ownership disclosure. No questionnaire respondent reports Aldersgate as a current stockholder. The D&amp;O Questionnaire (Open Item 3) flags this. If Aldersgate holds 5% or more of any class of securities, it must be included in the S-1 principal stockholders table (Item 403).</w:t>
      </w:r>
    </w:p>
    <w:p>
      <w:pPr>
        <w:pStyle w:val="BodyText"/>
      </w:pPr>
      <w:r>
        <w:rPr>
          <w:b/>
          <w:bCs/>
        </w:rPr>
        <w:t xml:space="preserve">Recommendation:</w:t>
      </w:r>
      <w:r>
        <w:t xml:space="preserve"> </w:t>
      </w:r>
      <w:r>
        <w:t xml:space="preserve">Confirm Aldersgate Capital’s current holdings against the transfer agent’s records. The S-1 principal stockholders table cannot be finalized until this is resolved. (Note: the Roadshow Presentation Slide 29 refers to</w:t>
      </w:r>
      <w:r>
        <w:t xml:space="preserve"> </w:t>
      </w:r>
      <w:r>
        <w:t xml:space="preserve">“</w:t>
      </w:r>
      <w:r>
        <w:t xml:space="preserve">Crestview Capital</w:t>
      </w:r>
      <w:r>
        <w:t xml:space="preserve">”</w:t>
      </w:r>
      <w:r>
        <w:t xml:space="preserve"> </w:t>
      </w:r>
      <w:r>
        <w:t xml:space="preserve">as a Series B participant — a third name for what may be the same or a different investor; reconcile.)</w:t>
      </w:r>
    </w:p>
    <w:bookmarkEnd w:id="51"/>
    <w:bookmarkStart w:id="52" w:name="Xb22533082f02875355f0424609f535926fdd893"/>
    <w:p>
      <w:pPr>
        <w:pStyle w:val="Heading3"/>
      </w:pPr>
      <w:r>
        <w:t xml:space="preserve">5.3 Section 382 / NOL limitation study not completed</w:t>
      </w:r>
      <w:r>
        <w:t xml:space="preserve"> </w:t>
      </w:r>
      <w:r>
        <w:rPr>
          <w:b/>
          <w:bCs/>
        </w:rPr>
        <w:t xml:space="preserve">[MEDIUM-HIGH] [DISCLOSURE / RISK FACTOR]</w:t>
      </w:r>
    </w:p>
    <w:p>
      <w:pPr>
        <w:pStyle w:val="FirstParagraph"/>
      </w:pPr>
      <w:r>
        <w:t xml:space="preserve">The audited financial statements (Note 13) disclose approximately $228.0 million of federal NOL carryforwards and $166.0 million of state NOL carryforwards, and state that the Company</w:t>
      </w:r>
      <w:r>
        <w:t xml:space="preserve"> </w:t>
      </w:r>
      <w:r>
        <w:rPr>
          <w:b/>
          <w:bCs/>
        </w:rPr>
        <w:t xml:space="preserve">has not yet completed a Section 382 study</w:t>
      </w:r>
      <w:r>
        <w:t xml:space="preserve">. An IPO or other equity transaction could trigger an</w:t>
      </w:r>
      <w:r>
        <w:t xml:space="preserve"> </w:t>
      </w:r>
      <w:r>
        <w:t xml:space="preserve">“</w:t>
      </w:r>
      <w:r>
        <w:t xml:space="preserve">ownership change</w:t>
      </w:r>
      <w:r>
        <w:t xml:space="preserve">”</w:t>
      </w:r>
      <w:r>
        <w:t xml:space="preserve"> </w:t>
      </w:r>
      <w:r>
        <w:t xml:space="preserve">under Section 382 of the Internal Revenue Code, materially limiting the Company’s ability to use its NOLs.</w:t>
      </w:r>
    </w:p>
    <w:p>
      <w:pPr>
        <w:pStyle w:val="BodyText"/>
      </w:pPr>
      <w:r>
        <w:rPr>
          <w:b/>
          <w:bCs/>
        </w:rPr>
        <w:t xml:space="preserve">Recommendation:</w:t>
      </w:r>
      <w:r>
        <w:t xml:space="preserve"> </w:t>
      </w:r>
      <w:r>
        <w:t xml:space="preserve">Disclose the potential Section 382 limitation as a risk factor (the S-1 draft does so). Commission a Section 382 study as soon as practicable.</w:t>
      </w:r>
    </w:p>
    <w:bookmarkEnd w:id="52"/>
    <w:bookmarkStart w:id="53" w:name="X902fd9962daf9ad6cd8f3886ee63c877bde2f69"/>
    <w:p>
      <w:pPr>
        <w:pStyle w:val="Heading3"/>
      </w:pPr>
      <w:r>
        <w:t xml:space="preserve">5.4 409A valuation history is inconsistent between the audited financials and the equity plan workbook</w:t>
      </w:r>
      <w:r>
        <w:t xml:space="preserve"> </w:t>
      </w:r>
      <w:r>
        <w:rPr>
          <w:b/>
          <w:bCs/>
        </w:rPr>
        <w:t xml:space="preserve">[HIGH] [RESOLVE BEFORE FILING]</w:t>
      </w:r>
    </w:p>
    <w:p>
      <w:pPr>
        <w:pStyle w:val="FirstParagraph"/>
      </w:pPr>
      <w:r>
        <w:t xml:space="preserve">The audited financial statements (Note 12(e)) and the Equity Plan workbook (409A Valuations tab) present different 409A valuation histories: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Audited financials (Note 12(e))</w:t>
            </w:r>
          </w:p>
        </w:tc>
        <w:tc>
          <w:tcPr/>
          <w:p>
            <w:pPr>
              <w:pStyle w:val="Compact"/>
              <w:jc w:val="left"/>
            </w:pPr>
            <w:r>
              <w:t xml:space="preserve">Equity Plan workbook (409A tab)</w:t>
            </w:r>
          </w:p>
        </w:tc>
      </w:tr>
      <w:tr>
        <w:tc>
          <w:tcPr/>
          <w:p>
            <w:pPr>
              <w:pStyle w:val="Compact"/>
              <w:jc w:val="left"/>
            </w:pPr>
            <w:r>
              <w:t xml:space="preserve">June 30, 2022 — $7.80</w:t>
            </w:r>
          </w:p>
        </w:tc>
        <w:tc>
          <w:tcPr/>
          <w:p>
            <w:pPr>
              <w:pStyle w:val="Compact"/>
              <w:jc w:val="left"/>
            </w:pPr>
            <w:r>
              <w:t xml:space="preserve">December 31, 2021 — $7.20</w:t>
            </w:r>
          </w:p>
        </w:tc>
      </w:tr>
      <w:tr>
        <w:tc>
          <w:tcPr/>
          <w:p>
            <w:pPr>
              <w:pStyle w:val="Compact"/>
              <w:jc w:val="left"/>
            </w:pPr>
            <w:r>
              <w:t xml:space="preserve">September 30, 2022 — $9.50</w:t>
            </w:r>
          </w:p>
        </w:tc>
        <w:tc>
          <w:tcPr/>
          <w:p>
            <w:pPr>
              <w:pStyle w:val="Compact"/>
              <w:jc w:val="left"/>
            </w:pPr>
            <w:r>
              <w:t xml:space="preserve">September 30, 2022 — $9.50</w:t>
            </w:r>
          </w:p>
        </w:tc>
      </w:tr>
      <w:tr>
        <w:tc>
          <w:tcPr/>
          <w:p>
            <w:pPr>
              <w:pStyle w:val="Compact"/>
              <w:jc w:val="left"/>
            </w:pPr>
            <w:r>
              <w:t xml:space="preserve">March 31, 2023 — $14.20</w:t>
            </w:r>
          </w:p>
        </w:tc>
        <w:tc>
          <w:tcPr/>
          <w:p>
            <w:pPr>
              <w:pStyle w:val="Compact"/>
              <w:jc w:val="left"/>
            </w:pPr>
            <w:r>
              <w:t xml:space="preserve">March 31, 2023 — $14.20</w:t>
            </w:r>
          </w:p>
        </w:tc>
      </w:tr>
      <w:tr>
        <w:tc>
          <w:tcPr/>
          <w:p>
            <w:pPr>
              <w:pStyle w:val="Compact"/>
              <w:jc w:val="left"/>
            </w:pPr>
            <w:r>
              <w:t xml:space="preserve">September 30, 2023 — $16.50</w:t>
            </w:r>
          </w:p>
        </w:tc>
        <w:tc>
          <w:tcPr/>
          <w:p>
            <w:pPr>
              <w:pStyle w:val="Compact"/>
              <w:jc w:val="left"/>
            </w:pPr>
            <w:r>
              <w:t xml:space="preserve">December 31, 2023 — $16.80</w:t>
            </w:r>
          </w:p>
        </w:tc>
      </w:tr>
      <w:tr>
        <w:tc>
          <w:tcPr/>
          <w:p>
            <w:pPr>
              <w:pStyle w:val="Compact"/>
              <w:jc w:val="left"/>
            </w:pPr>
            <w:r>
              <w:t xml:space="preserve">March 31, 2024 — $18.20</w:t>
            </w:r>
          </w:p>
        </w:tc>
        <w:tc>
          <w:tcPr/>
          <w:p>
            <w:pPr>
              <w:pStyle w:val="Compact"/>
              <w:jc w:val="left"/>
            </w:pPr>
            <w:r>
              <w:t xml:space="preserve">(none at this date)</w:t>
            </w:r>
          </w:p>
        </w:tc>
      </w:tr>
      <w:tr>
        <w:tc>
          <w:tcPr/>
          <w:p>
            <w:pPr>
              <w:pStyle w:val="Compact"/>
              <w:jc w:val="left"/>
            </w:pPr>
            <w:r>
              <w:t xml:space="preserve">September 30, 2024 — $19.60</w:t>
            </w:r>
          </w:p>
        </w:tc>
        <w:tc>
          <w:tcPr/>
          <w:p>
            <w:pPr>
              <w:pStyle w:val="Compact"/>
              <w:jc w:val="left"/>
            </w:pPr>
            <w:r>
              <w:t xml:space="preserve">December 31, 2024 (preliminary) — $18.50</w:t>
            </w:r>
          </w:p>
        </w:tc>
      </w:tr>
    </w:tbl>
    <w:p>
      <w:pPr>
        <w:pStyle w:val="BodyText"/>
      </w:pPr>
      <w:r>
        <w:t xml:space="preserve">Only the September 30, 2022 and March 31, 2023 valuations agree. The most recent valuation differs: the audited financials reference September 30, 2024 at $19.60, while the equity plan workbook references a preliminary December 31, 2024 valuation at $18.50. The S-1 stock-based compensation disclosure must rely on a single, consistent 409A history.</w:t>
      </w:r>
    </w:p>
    <w:p>
      <w:pPr>
        <w:pStyle w:val="BodyText"/>
      </w:pPr>
      <w:r>
        <w:rPr>
          <w:b/>
          <w:bCs/>
        </w:rPr>
        <w:t xml:space="preserve">Recommendation:</w:t>
      </w:r>
      <w:r>
        <w:t xml:space="preserve"> </w:t>
      </w:r>
      <w:r>
        <w:t xml:space="preserve">Reconcile the 409A valuation history. Confirm which valuations were relied upon for grant-date pricing and for the S-1 SBC disclosure. The S-1 draft uses the audited financials’ 409A table.</w:t>
      </w:r>
    </w:p>
    <w:bookmarkEnd w:id="53"/>
    <w:bookmarkStart w:id="54" w:name="Xaedb42e8c54aaf6733a66be9651650bf11c58b3"/>
    <w:p>
      <w:pPr>
        <w:pStyle w:val="Heading3"/>
      </w:pPr>
      <w:r>
        <w:t xml:space="preserve">5.5 Equity plan workbook references financing terms that conflict with the actual preferred stock terms</w:t>
      </w:r>
      <w:r>
        <w:t xml:space="preserve"> </w:t>
      </w:r>
      <w:r>
        <w:rPr>
          <w:b/>
          <w:bCs/>
        </w:rPr>
        <w:t xml:space="preserve">[HIGH] [RESOLVE BEFORE FILING]</w:t>
      </w:r>
    </w:p>
    <w:p>
      <w:pPr>
        <w:pStyle w:val="FirstParagraph"/>
      </w:pPr>
      <w:r>
        <w:t xml:space="preserve">The Equity Plan workbook (409A Valuations tab) describes the financing rounds as follows:</w:t>
      </w:r>
    </w:p>
    <w:p>
      <w:pPr>
        <w:pStyle w:val="Compact"/>
        <w:numPr>
          <w:ilvl w:val="0"/>
          <w:numId w:val="1005"/>
        </w:numPr>
      </w:pPr>
      <w:r>
        <w:t xml:space="preserve">“</w:t>
      </w:r>
      <w:r>
        <w:t xml:space="preserve">Series A closed July 2018 at $2.50/share ($25M round, $50M post-money)</w:t>
      </w:r>
      <w:r>
        <w:t xml:space="preserve">”</w:t>
      </w:r>
    </w:p>
    <w:p>
      <w:pPr>
        <w:pStyle w:val="Compact"/>
        <w:numPr>
          <w:ilvl w:val="0"/>
          <w:numId w:val="1005"/>
        </w:numPr>
      </w:pPr>
      <w:r>
        <w:t xml:space="preserve">“</w:t>
      </w:r>
      <w:r>
        <w:t xml:space="preserve">Series B closed February 2020 at $6.00/share ($60M round, $180M post-money)</w:t>
      </w:r>
      <w:r>
        <w:t xml:space="preserve">”</w:t>
      </w:r>
    </w:p>
    <w:p>
      <w:pPr>
        <w:pStyle w:val="Compact"/>
        <w:numPr>
          <w:ilvl w:val="0"/>
          <w:numId w:val="1005"/>
        </w:numPr>
      </w:pPr>
      <w:r>
        <w:t xml:space="preserve">“</w:t>
      </w:r>
      <w:r>
        <w:t xml:space="preserve">Series C closed November 2021 at $12.00/share ($120M round, $720M post-money)</w:t>
      </w:r>
      <w:r>
        <w:t xml:space="preserve">”</w:t>
      </w:r>
    </w:p>
    <w:p>
      <w:pPr>
        <w:pStyle w:val="FirstParagraph"/>
      </w:pPr>
      <w:r>
        <w:t xml:space="preserve">These conflict with the actual preferred stock terms, which are consistent across the CFO Readiness Memorandum, the audited financial statements (Note 10), the D&amp;O Questionnaire, and the Roadshow:</w:t>
      </w:r>
    </w:p>
    <w:p>
      <w:pPr>
        <w:pStyle w:val="Compact"/>
        <w:numPr>
          <w:ilvl w:val="0"/>
          <w:numId w:val="1006"/>
        </w:numPr>
      </w:pPr>
      <w:r>
        <w:t xml:space="preserve">Series A:</w:t>
      </w:r>
      <w:r>
        <w:t xml:space="preserve"> </w:t>
      </w:r>
      <w:r>
        <w:rPr>
          <w:b/>
          <w:bCs/>
        </w:rPr>
        <w:t xml:space="preserve">October 2018</w:t>
      </w:r>
      <w:r>
        <w:t xml:space="preserve">, 8,000,000 shares at</w:t>
      </w:r>
      <w:r>
        <w:t xml:space="preserve"> </w:t>
      </w:r>
      <w:r>
        <w:rPr>
          <w:b/>
          <w:bCs/>
        </w:rPr>
        <w:t xml:space="preserve">$1.50/share</w:t>
      </w:r>
      <w:r>
        <w:t xml:space="preserve">,</w:t>
      </w:r>
      <w:r>
        <w:t xml:space="preserve"> </w:t>
      </w:r>
      <w:r>
        <w:rPr>
          <w:b/>
          <w:bCs/>
        </w:rPr>
        <w:t xml:space="preserve">$12.0 million</w:t>
      </w:r>
    </w:p>
    <w:p>
      <w:pPr>
        <w:pStyle w:val="Compact"/>
        <w:numPr>
          <w:ilvl w:val="0"/>
          <w:numId w:val="1006"/>
        </w:numPr>
      </w:pPr>
      <w:r>
        <w:t xml:space="preserve">Series B:</w:t>
      </w:r>
      <w:r>
        <w:t xml:space="preserve"> </w:t>
      </w:r>
      <w:r>
        <w:rPr>
          <w:b/>
          <w:bCs/>
        </w:rPr>
        <w:t xml:space="preserve">April 2020</w:t>
      </w:r>
      <w:r>
        <w:t xml:space="preserve">, 9,500,000 shares at</w:t>
      </w:r>
      <w:r>
        <w:t xml:space="preserve"> </w:t>
      </w:r>
      <w:r>
        <w:rPr>
          <w:b/>
          <w:bCs/>
        </w:rPr>
        <w:t xml:space="preserve">$4.00/share</w:t>
      </w:r>
      <w:r>
        <w:t xml:space="preserve">,</w:t>
      </w:r>
      <w:r>
        <w:t xml:space="preserve"> </w:t>
      </w:r>
      <w:r>
        <w:rPr>
          <w:b/>
          <w:bCs/>
        </w:rPr>
        <w:t xml:space="preserve">$38.0 million</w:t>
      </w:r>
    </w:p>
    <w:p>
      <w:pPr>
        <w:pStyle w:val="Compact"/>
        <w:numPr>
          <w:ilvl w:val="0"/>
          <w:numId w:val="1006"/>
        </w:numPr>
      </w:pPr>
      <w:r>
        <w:t xml:space="preserve">Series C:</w:t>
      </w:r>
      <w:r>
        <w:t xml:space="preserve"> </w:t>
      </w:r>
      <w:r>
        <w:rPr>
          <w:b/>
          <w:bCs/>
        </w:rPr>
        <w:t xml:space="preserve">November 2021</w:t>
      </w:r>
      <w:r>
        <w:t xml:space="preserve">, 7,916,667 shares at</w:t>
      </w:r>
      <w:r>
        <w:t xml:space="preserve"> </w:t>
      </w:r>
      <w:r>
        <w:rPr>
          <w:b/>
          <w:bCs/>
        </w:rPr>
        <w:t xml:space="preserve">$12.00/share</w:t>
      </w:r>
      <w:r>
        <w:t xml:space="preserve">,</w:t>
      </w:r>
      <w:r>
        <w:t xml:space="preserve"> </w:t>
      </w:r>
      <w:r>
        <w:rPr>
          <w:b/>
          <w:bCs/>
        </w:rPr>
        <w:t xml:space="preserve">$95.0 million</w:t>
      </w:r>
    </w:p>
    <w:p>
      <w:pPr>
        <w:pStyle w:val="Compact"/>
        <w:numPr>
          <w:ilvl w:val="0"/>
          <w:numId w:val="1006"/>
        </w:numPr>
      </w:pPr>
      <w:r>
        <w:t xml:space="preserve">Series D: June 2023, 10,000,000 shares at $24.00/share, $240.0 million</w:t>
      </w:r>
    </w:p>
    <w:p>
      <w:pPr>
        <w:pStyle w:val="FirstParagraph"/>
      </w:pPr>
      <w:r>
        <w:t xml:space="preserve">The dates, per-share prices, and round sizes in the 409A tab are wrong. Because 409A valuations typically use the preferred stock price as an OPM backsolve input, incorrect financing references raise a question about whether the common-stock fair values (and thus option exercise prices and stock-based compensation expense) were determined on correct inputs.</w:t>
      </w:r>
    </w:p>
    <w:p>
      <w:pPr>
        <w:pStyle w:val="BodyText"/>
      </w:pPr>
      <w:r>
        <w:rPr>
          <w:b/>
          <w:bCs/>
        </w:rPr>
        <w:t xml:space="preserve">Recommendation:</w:t>
      </w:r>
      <w:r>
        <w:t xml:space="preserve"> </w:t>
      </w:r>
      <w:r>
        <w:t xml:space="preserve">Investigate whether the 409A valuations relied on incorrect preferred stock pricing inputs. Reconcile the financing history in the equity plan workbook. Confirm with the valuation firm (Meridian Valuation Partners LLC) and the auditor.</w:t>
      </w:r>
    </w:p>
    <w:bookmarkEnd w:id="54"/>
    <w:bookmarkStart w:id="55" w:name="X7062b0685cbe99d823ce607126e003fcdac3228"/>
    <w:p>
      <w:pPr>
        <w:pStyle w:val="Heading3"/>
      </w:pPr>
      <w:r>
        <w:t xml:space="preserve">5.6 S-1 filing timing inconsistency</w:t>
      </w:r>
      <w:r>
        <w:t xml:space="preserve"> </w:t>
      </w:r>
      <w:r>
        <w:rPr>
          <w:b/>
          <w:bCs/>
        </w:rPr>
        <w:t xml:space="preserve">[LOW-MEDIUM] [RESOLVE BEFORE FILING]</w:t>
      </w:r>
    </w:p>
    <w:p>
      <w:pPr>
        <w:pStyle w:val="FirstParagraph"/>
      </w:pPr>
      <w:r>
        <w:t xml:space="preserve">The CFO Readiness Memorandum (dated February 14, 2025) states that the Company</w:t>
      </w:r>
      <w:r>
        <w:t xml:space="preserve"> </w:t>
      </w:r>
      <w:r>
        <w:t xml:space="preserve">“</w:t>
      </w:r>
      <w:r>
        <w:t xml:space="preserve">anticipate[s] filing the initial Form S-1 in March 2025</w:t>
      </w:r>
      <w:r>
        <w:t xml:space="preserve">”</w:t>
      </w:r>
      <w:r>
        <w:t xml:space="preserve"> </w:t>
      </w:r>
      <w:r>
        <w:t xml:space="preserve">(target confidential filing date: March 2025). The audited financial statements (Note 17) state that</w:t>
      </w:r>
      <w:r>
        <w:t xml:space="preserve"> </w:t>
      </w:r>
      <w:r>
        <w:t xml:space="preserve">“</w:t>
      </w:r>
      <w:r>
        <w:t xml:space="preserve">In February 2025, the Company filed a Registration Statement on Form S-1.</w:t>
      </w:r>
      <w:r>
        <w:t xml:space="preserve">”</w:t>
      </w:r>
      <w:r>
        <w:t xml:space="preserve"> </w:t>
      </w:r>
      <w:r>
        <w:t xml:space="preserve">The Underwriting Term Sheet is dated</w:t>
      </w:r>
      <w:r>
        <w:t xml:space="preserve"> </w:t>
      </w:r>
      <w:r>
        <w:t xml:space="preserve">“</w:t>
      </w:r>
      <w:r>
        <w:t xml:space="preserve">[●] March 2025.</w:t>
      </w:r>
      <w:r>
        <w:t xml:space="preserve">”</w:t>
      </w:r>
    </w:p>
    <w:p>
      <w:pPr>
        <w:pStyle w:val="BodyText"/>
      </w:pPr>
      <w:r>
        <w:rPr>
          <w:b/>
          <w:bCs/>
        </w:rPr>
        <w:t xml:space="preserve">Recommendation:</w:t>
      </w:r>
      <w:r>
        <w:t xml:space="preserve"> </w:t>
      </w:r>
      <w:r>
        <w:t xml:space="preserve">Confirm the actual filing date and ensure the subsequent-events disclosure in the audited financial statements is accurate.</w:t>
      </w:r>
    </w:p>
    <w:bookmarkEnd w:id="55"/>
    <w:bookmarkStart w:id="56" w:name="X9f5eab4a836aaa83826e0f5cd2c9d3aaf9c145d"/>
    <w:p>
      <w:pPr>
        <w:pStyle w:val="Heading3"/>
      </w:pPr>
      <w:r>
        <w:t xml:space="preserve">5.7 Director ages and certain biographical details not provided</w:t>
      </w:r>
      <w:r>
        <w:t xml:space="preserve"> </w:t>
      </w:r>
      <w:r>
        <w:rPr>
          <w:b/>
          <w:bCs/>
        </w:rPr>
        <w:t xml:space="preserve">[LOW] [RESOLVE BEFORE FILING]</w:t>
      </w:r>
    </w:p>
    <w:p>
      <w:pPr>
        <w:pStyle w:val="FirstParagraph"/>
      </w:pPr>
      <w:r>
        <w:t xml:space="preserve">Ages for the non-employee directors (Venkatesh, Moreno, Park, Kwon, Obi) were not provided in all D&amp;O questionnaire responses. Item 401 of Regulation S-K requires disclosure of the age of each director and executive officer. In addition, Adaora Obi serves on the board of</w:t>
      </w:r>
      <w:r>
        <w:t xml:space="preserve"> </w:t>
      </w:r>
      <w:r>
        <w:t xml:space="preserve">“</w:t>
      </w:r>
      <w:r>
        <w:t xml:space="preserve">one other publicly traded technology company,</w:t>
      </w:r>
      <w:r>
        <w:t xml:space="preserve">”</w:t>
      </w:r>
      <w:r>
        <w:t xml:space="preserve"> </w:t>
      </w:r>
      <w:r>
        <w:t xml:space="preserve">which must be identified under Item 401.</w:t>
      </w:r>
    </w:p>
    <w:p>
      <w:pPr>
        <w:pStyle w:val="BodyText"/>
      </w:pPr>
      <w:r>
        <w:rPr>
          <w:b/>
          <w:bCs/>
        </w:rPr>
        <w:t xml:space="preserve">Recommendation:</w:t>
      </w:r>
      <w:r>
        <w:t xml:space="preserve"> </w:t>
      </w:r>
      <w:r>
        <w:t xml:space="preserve">Obtain the missing ages and identify Ms. Obi’s other public company directorship.</w:t>
      </w:r>
    </w:p>
    <w:bookmarkEnd w:id="56"/>
    <w:bookmarkStart w:id="57" w:name="X7cc354ac7eb08b905a4c66cdf77c67c1d1b4994"/>
    <w:p>
      <w:pPr>
        <w:pStyle w:val="Heading3"/>
      </w:pPr>
      <w:r>
        <w:t xml:space="preserve">5.8 Lock-up agreements must bind the fund entities</w:t>
      </w:r>
      <w:r>
        <w:t xml:space="preserve"> </w:t>
      </w:r>
      <w:r>
        <w:rPr>
          <w:b/>
          <w:bCs/>
        </w:rPr>
        <w:t xml:space="preserve">[MEDIUM] [RESOLVE BEFORE FILING]</w:t>
      </w:r>
    </w:p>
    <w:p>
      <w:pPr>
        <w:pStyle w:val="FirstParagraph"/>
      </w:pPr>
      <w:r>
        <w:t xml:space="preserve">The D&amp;O Questionnaire (Open Item 5) notes that the Ridgeline and Graymont shares are held at the fund level (Ridgeline Growth Partners Fund [II or V], L.P.; Graymont Ventures Fund III, L.P. and Fund IV, L.P.), not in the individual directors’ names. The lock-up agreements must bind the fund-level entities that hold the shares, not merely the individual directors who serve as representatives on the Board.</w:t>
      </w:r>
    </w:p>
    <w:p>
      <w:pPr>
        <w:pStyle w:val="BodyText"/>
      </w:pPr>
      <w:r>
        <w:rPr>
          <w:b/>
          <w:bCs/>
        </w:rPr>
        <w:t xml:space="preserve">Recommendation:</w:t>
      </w:r>
      <w:r>
        <w:t xml:space="preserve"> </w:t>
      </w:r>
      <w:r>
        <w:t xml:space="preserve">Ensure the lock-up agreements are executed by the appropriate fund entities. The S-1</w:t>
      </w:r>
      <w:r>
        <w:t xml:space="preserve"> </w:t>
      </w:r>
      <w:r>
        <w:t xml:space="preserve">“</w:t>
      </w:r>
      <w:r>
        <w:t xml:space="preserve">Plan of Distribution</w:t>
      </w:r>
      <w:r>
        <w:t xml:space="preserve">”</w:t>
      </w:r>
      <w:r>
        <w:t xml:space="preserve"> </w:t>
      </w:r>
      <w:r>
        <w:t xml:space="preserve">disclosure reflects this (the S-1 draft so notes).</w:t>
      </w:r>
    </w:p>
    <w:bookmarkEnd w:id="57"/>
    <w:bookmarkStart w:id="58" w:name="X909af683b2ae8e300b5d3255d1f0ff3d58f89a1"/>
    <w:p>
      <w:pPr>
        <w:pStyle w:val="Heading3"/>
      </w:pPr>
      <w:r>
        <w:t xml:space="preserve">5.9 RSU liquidity condition (double-trigger)</w:t>
      </w:r>
      <w:r>
        <w:t xml:space="preserve"> </w:t>
      </w:r>
      <w:r>
        <w:rPr>
          <w:b/>
          <w:bCs/>
        </w:rPr>
        <w:t xml:space="preserve">[MEDIUM] [DISCLOSURE]</w:t>
      </w:r>
    </w:p>
    <w:p>
      <w:pPr>
        <w:pStyle w:val="FirstParagraph"/>
      </w:pPr>
      <w:r>
        <w:t xml:space="preserve">The Equity Plan workbook (RSU Grants tab) indicates that the RSUs are subject to a liquidity-event condition (a</w:t>
      </w:r>
      <w:r>
        <w:t xml:space="preserve"> </w:t>
      </w:r>
      <w:r>
        <w:t xml:space="preserve">“</w:t>
      </w:r>
      <w:r>
        <w:t xml:space="preserve">double-trigger</w:t>
      </w:r>
      <w:r>
        <w:t xml:space="preserve">”</w:t>
      </w:r>
      <w:r>
        <w:t xml:space="preserve"> </w:t>
      </w:r>
      <w:r>
        <w:t xml:space="preserve">requiring both time-based vesting and the completion of a liquidity event, such as the IPO) before settlement. This affects the timing of share issuance and the S-1 disclosure of outstanding RSUs and the dilution analysis.</w:t>
      </w:r>
    </w:p>
    <w:p>
      <w:pPr>
        <w:pStyle w:val="BodyText"/>
      </w:pPr>
      <w:r>
        <w:rPr>
          <w:b/>
          <w:bCs/>
        </w:rPr>
        <w:t xml:space="preserve">Recommendation:</w:t>
      </w:r>
      <w:r>
        <w:t xml:space="preserve"> </w:t>
      </w:r>
      <w:r>
        <w:t xml:space="preserve">Disclose the double-trigger settlement condition in the S-1 executive compensation and dilution sections (the S-1 draft notes the liquidity condition in the Summary Compensation Table footnote).</w:t>
      </w:r>
    </w:p>
    <w:bookmarkEnd w:id="58"/>
    <w:bookmarkStart w:id="59" w:name="X03fcc17e28476d7fad5c105013acc6194864469"/>
    <w:p>
      <w:pPr>
        <w:pStyle w:val="Heading3"/>
      </w:pPr>
      <w:r>
        <w:t xml:space="preserve">5.10 Cheap-stock / 409A grant-pricing risk</w:t>
      </w:r>
      <w:r>
        <w:t xml:space="preserve"> </w:t>
      </w:r>
      <w:r>
        <w:rPr>
          <w:b/>
          <w:bCs/>
        </w:rPr>
        <w:t xml:space="preserve">[MEDIUM] [DISCLOSURE / RISK FACTOR]</w:t>
      </w:r>
    </w:p>
    <w:p>
      <w:pPr>
        <w:pStyle w:val="FirstParagraph"/>
      </w:pPr>
      <w:r>
        <w:t xml:space="preserve">The audited financial statements (Note 12(e)) disclose that options granted in the first quarter of 2023 were priced at $9.50 per share based on the September 30, 2022 409A valuation, while a subsequent March 31, 2023 valuation determined fair value to be $14.20 per share. The valuation of common stock underlying stock-based compensation was identified as a critical audit matter by the auditor. The gap between the most recent 409A common stock value ($19.60 as of September 30, 2024) and the IPO midpoint ($24.00) is modest, which is favorable, but the historical grant-pricing practice should be reviewed.</w:t>
      </w:r>
    </w:p>
    <w:p>
      <w:pPr>
        <w:pStyle w:val="BodyText"/>
      </w:pPr>
      <w:r>
        <w:rPr>
          <w:b/>
          <w:bCs/>
        </w:rPr>
        <w:t xml:space="preserve">Recommendation:</w:t>
      </w:r>
      <w:r>
        <w:t xml:space="preserve"> </w:t>
      </w:r>
      <w:r>
        <w:t xml:space="preserve">Ensure the S-1 stock-based compensation disclosure fully describes the valuation methodology and the historical grants. Consider a fresh 409A valuation in connection with any pre-IPO grants.</w:t>
      </w:r>
    </w:p>
    <w:p>
      <w:r>
        <w:pict>
          <v:rect style="width:0;height:1.5pt" o:hralign="center" o:hrstd="t" o:hr="t"/>
        </w:pict>
      </w:r>
    </w:p>
    <w:bookmarkEnd w:id="59"/>
    <w:bookmarkEnd w:id="60"/>
    <w:bookmarkStart w:id="61" w:name="summary-of-open-items"/>
    <w:p>
      <w:pPr>
        <w:pStyle w:val="Heading2"/>
      </w:pPr>
      <w:r>
        <w:t xml:space="preserve">6. Summary of Open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2.1</w:t>
            </w:r>
          </w:p>
        </w:tc>
        <w:tc>
          <w:tcPr/>
          <w:p>
            <w:pPr>
              <w:pStyle w:val="Compact"/>
              <w:jc w:val="left"/>
            </w:pPr>
            <w:r>
              <w:t xml:space="preserve">Adjusted EBITDA FY 2024 does not foot ($22.8M stated; $20.5M correct)</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2.2</w:t>
            </w:r>
          </w:p>
        </w:tc>
        <w:tc>
          <w:tcPr/>
          <w:p>
            <w:pPr>
              <w:pStyle w:val="Compact"/>
              <w:jc w:val="left"/>
            </w:pPr>
            <w:r>
              <w:t xml:space="preserve">Adjusted EBITDA FY 2023 components wrong ($7.6M stated; $3.5M correct)</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2.3</w:t>
            </w:r>
          </w:p>
        </w:tc>
        <w:tc>
          <w:tcPr/>
          <w:p>
            <w:pPr>
              <w:pStyle w:val="Compact"/>
              <w:jc w:val="left"/>
            </w:pPr>
            <w:r>
              <w:t xml:space="preserve">FY 2023 revenue split conflicts with audited financials</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2.4</w:t>
            </w:r>
          </w:p>
        </w:tc>
        <w:tc>
          <w:tcPr/>
          <w:p>
            <w:pPr>
              <w:pStyle w:val="Compact"/>
              <w:jc w:val="left"/>
            </w:pPr>
            <w:r>
              <w:t xml:space="preserve">Professional services gross margin is negative, not</w:t>
            </w:r>
            <w:r>
              <w:t xml:space="preserve"> </w:t>
            </w:r>
            <w:r>
              <w:t xml:space="preserve">“</w:t>
            </w:r>
            <w:r>
              <w:t xml:space="preserve">high-margin</w:t>
            </w:r>
            <w:r>
              <w:t xml:space="preserve">”</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2.5</w:t>
            </w:r>
          </w:p>
        </w:tc>
        <w:tc>
          <w:tcPr/>
          <w:p>
            <w:pPr>
              <w:pStyle w:val="Compact"/>
              <w:jc w:val="left"/>
            </w:pPr>
            <w:r>
              <w:t xml:space="preserve">Balance sheet line items conflict with audited balance sheet</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2.6</w:t>
            </w:r>
          </w:p>
        </w:tc>
        <w:tc>
          <w:tcPr/>
          <w:p>
            <w:pPr>
              <w:pStyle w:val="Compact"/>
              <w:jc w:val="left"/>
            </w:pPr>
            <w:r>
              <w:t xml:space="preserve">Post-IPO ownership table uses inconsistent denominators</w:t>
            </w:r>
          </w:p>
        </w:tc>
        <w:tc>
          <w:tcPr/>
          <w:p>
            <w:pPr>
              <w:pStyle w:val="Compact"/>
              <w:jc w:val="left"/>
            </w:pPr>
            <w:r>
              <w:t xml:space="preserve">Medium-High</w:t>
            </w:r>
          </w:p>
        </w:tc>
        <w:tc>
          <w:tcPr/>
          <w:p>
            <w:pPr>
              <w:pStyle w:val="Compact"/>
              <w:jc w:val="left"/>
            </w:pPr>
            <w:r>
              <w:t xml:space="preserve">Resolve before filing</w:t>
            </w:r>
          </w:p>
        </w:tc>
      </w:tr>
      <w:tr>
        <w:tc>
          <w:tcPr/>
          <w:p>
            <w:pPr>
              <w:pStyle w:val="Compact"/>
              <w:jc w:val="left"/>
            </w:pPr>
            <w:r>
              <w:t xml:space="preserve">2.7</w:t>
            </w:r>
          </w:p>
        </w:tc>
        <w:tc>
          <w:tcPr/>
          <w:p>
            <w:pPr>
              <w:pStyle w:val="Compact"/>
              <w:jc w:val="left"/>
            </w:pPr>
            <w:r>
              <w:t xml:space="preserve">Restructuring headcount/timing conflict (30/Q2 vs. 46/Q3)</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2.8</w:t>
            </w:r>
          </w:p>
        </w:tc>
        <w:tc>
          <w:tcPr/>
          <w:p>
            <w:pPr>
              <w:pStyle w:val="Compact"/>
              <w:jc w:val="left"/>
            </w:pPr>
            <w:r>
              <w:t xml:space="preserve">Use of proceeds allocation differs across documents</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2.9</w:t>
            </w:r>
          </w:p>
        </w:tc>
        <w:tc>
          <w:tcPr/>
          <w:p>
            <w:pPr>
              <w:pStyle w:val="Compact"/>
              <w:jc w:val="left"/>
            </w:pPr>
            <w:r>
              <w:t xml:space="preserve">Weighted-average shares equal period-end balances</w:t>
            </w:r>
          </w:p>
        </w:tc>
        <w:tc>
          <w:tcPr/>
          <w:p>
            <w:pPr>
              <w:pStyle w:val="Compact"/>
              <w:jc w:val="left"/>
            </w:pPr>
            <w:r>
              <w:t xml:space="preserve">Low-Medium</w:t>
            </w:r>
          </w:p>
        </w:tc>
        <w:tc>
          <w:tcPr/>
          <w:p>
            <w:pPr>
              <w:pStyle w:val="Compact"/>
              <w:jc w:val="left"/>
            </w:pPr>
            <w:r>
              <w:t xml:space="preserve">Verify</w:t>
            </w:r>
          </w:p>
        </w:tc>
      </w:tr>
      <w:tr>
        <w:tc>
          <w:tcPr/>
          <w:p>
            <w:pPr>
              <w:pStyle w:val="Compact"/>
              <w:jc w:val="left"/>
            </w:pPr>
            <w:r>
              <w:t xml:space="preserve">3.1</w:t>
            </w:r>
          </w:p>
        </w:tc>
        <w:tc>
          <w:tcPr/>
          <w:p>
            <w:pPr>
              <w:pStyle w:val="Compact"/>
              <w:jc w:val="left"/>
            </w:pPr>
            <w:r>
              <w:t xml:space="preserve">CTO surname:</w:t>
            </w:r>
            <w:r>
              <w:t xml:space="preserve"> </w:t>
            </w:r>
            <w:r>
              <w:t xml:space="preserve">“</w:t>
            </w:r>
            <w:r>
              <w:t xml:space="preserve">Litvak</w:t>
            </w:r>
            <w:r>
              <w:t xml:space="preserve">”</w:t>
            </w:r>
            <w:r>
              <w:t xml:space="preserve"> </w:t>
            </w:r>
            <w:r>
              <w:t xml:space="preserve">vs. </w:t>
            </w:r>
            <w:r>
              <w:t xml:space="preserve">“</w:t>
            </w:r>
            <w:r>
              <w:t xml:space="preserve">Litvanova</w:t>
            </w:r>
            <w:r>
              <w:t xml:space="preserve">”</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3.2</w:t>
            </w:r>
          </w:p>
        </w:tc>
        <w:tc>
          <w:tcPr/>
          <w:p>
            <w:pPr>
              <w:pStyle w:val="Compact"/>
              <w:jc w:val="left"/>
            </w:pPr>
            <w:r>
              <w:t xml:space="preserve">Lender name:</w:t>
            </w:r>
            <w:r>
              <w:t xml:space="preserve"> </w:t>
            </w:r>
            <w:r>
              <w:t xml:space="preserve">“</w:t>
            </w:r>
            <w:r>
              <w:t xml:space="preserve">Kestridge West</w:t>
            </w:r>
            <w:r>
              <w:t xml:space="preserve">”</w:t>
            </w:r>
            <w:r>
              <w:t xml:space="preserve"> </w:t>
            </w:r>
            <w:r>
              <w:t xml:space="preserve">vs. </w:t>
            </w:r>
            <w:r>
              <w:t xml:space="preserve">“</w:t>
            </w:r>
            <w:r>
              <w:t xml:space="preserve">Silicon Valley</w:t>
            </w:r>
            <w:r>
              <w:t xml:space="preserve">”</w:t>
            </w:r>
            <w:r>
              <w:t xml:space="preserve"> </w:t>
            </w:r>
            <w:r>
              <w:t xml:space="preserve">/</w:t>
            </w:r>
            <w:r>
              <w:t xml:space="preserve"> </w:t>
            </w:r>
            <w:r>
              <w:t xml:space="preserve">“</w:t>
            </w:r>
            <w:r>
              <w:t xml:space="preserve">SVCP</w:t>
            </w:r>
            <w:r>
              <w:t xml:space="preserve">”</w:t>
            </w:r>
          </w:p>
        </w:tc>
        <w:tc>
          <w:tcPr/>
          <w:p>
            <w:pPr>
              <w:pStyle w:val="Compact"/>
              <w:jc w:val="left"/>
            </w:pPr>
            <w:r>
              <w:t xml:space="preserve">Medium-High</w:t>
            </w:r>
          </w:p>
        </w:tc>
        <w:tc>
          <w:tcPr/>
          <w:p>
            <w:pPr>
              <w:pStyle w:val="Compact"/>
              <w:jc w:val="left"/>
            </w:pPr>
            <w:r>
              <w:t xml:space="preserve">Resolve before filing</w:t>
            </w:r>
          </w:p>
        </w:tc>
      </w:tr>
      <w:tr>
        <w:tc>
          <w:tcPr/>
          <w:p>
            <w:pPr>
              <w:pStyle w:val="Compact"/>
              <w:jc w:val="left"/>
            </w:pPr>
            <w:r>
              <w:t xml:space="preserve">3.3</w:t>
            </w:r>
          </w:p>
        </w:tc>
        <w:tc>
          <w:tcPr/>
          <w:p>
            <w:pPr>
              <w:pStyle w:val="Compact"/>
              <w:jc w:val="left"/>
            </w:pPr>
            <w:r>
              <w:t xml:space="preserve">Transfer agent:</w:t>
            </w:r>
            <w:r>
              <w:t xml:space="preserve"> </w:t>
            </w:r>
            <w:r>
              <w:t xml:space="preserve">“</w:t>
            </w:r>
            <w:r>
              <w:t xml:space="preserve">Oakvale</w:t>
            </w:r>
            <w:r>
              <w:t xml:space="preserve">”</w:t>
            </w:r>
            <w:r>
              <w:t xml:space="preserve"> </w:t>
            </w:r>
            <w:r>
              <w:t xml:space="preserve">vs. </w:t>
            </w:r>
            <w:r>
              <w:t xml:space="preserve">“</w:t>
            </w:r>
            <w:r>
              <w:t xml:space="preserve">Computershare</w:t>
            </w:r>
            <w:r>
              <w:t xml:space="preserve">”</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3.4</w:t>
            </w:r>
          </w:p>
        </w:tc>
        <w:tc>
          <w:tcPr/>
          <w:p>
            <w:pPr>
              <w:pStyle w:val="Compact"/>
              <w:jc w:val="left"/>
            </w:pPr>
            <w:r>
              <w:t xml:space="preserve">Issuer’s counsel street address (600 vs. 610 Lexington)</w:t>
            </w:r>
          </w:p>
        </w:tc>
        <w:tc>
          <w:tcPr/>
          <w:p>
            <w:pPr>
              <w:pStyle w:val="Compact"/>
              <w:jc w:val="left"/>
            </w:pPr>
            <w:r>
              <w:t xml:space="preserve">Low</w:t>
            </w:r>
          </w:p>
        </w:tc>
        <w:tc>
          <w:tcPr/>
          <w:p>
            <w:pPr>
              <w:pStyle w:val="Compact"/>
              <w:jc w:val="left"/>
            </w:pPr>
            <w:r>
              <w:t xml:space="preserve">Resolve before filing</w:t>
            </w:r>
          </w:p>
        </w:tc>
      </w:tr>
      <w:tr>
        <w:tc>
          <w:tcPr/>
          <w:p>
            <w:pPr>
              <w:pStyle w:val="Compact"/>
              <w:jc w:val="left"/>
            </w:pPr>
            <w:r>
              <w:t xml:space="preserve">3.5</w:t>
            </w:r>
          </w:p>
        </w:tc>
        <w:tc>
          <w:tcPr/>
          <w:p>
            <w:pPr>
              <w:pStyle w:val="Compact"/>
              <w:jc w:val="left"/>
            </w:pPr>
            <w:r>
              <w:t xml:space="preserve">Ridgeline fund name (Fund II vs. Fund V)</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3.6</w:t>
            </w:r>
          </w:p>
        </w:tc>
        <w:tc>
          <w:tcPr/>
          <w:p>
            <w:pPr>
              <w:pStyle w:val="Compact"/>
              <w:jc w:val="left"/>
            </w:pPr>
            <w:r>
              <w:t xml:space="preserve">Graymont share count (23,607,067 vs. 23,602,133)</w:t>
            </w:r>
          </w:p>
        </w:tc>
        <w:tc>
          <w:tcPr/>
          <w:p>
            <w:pPr>
              <w:pStyle w:val="Compact"/>
              <w:jc w:val="left"/>
            </w:pPr>
            <w:r>
              <w:t xml:space="preserve">Low-Medium</w:t>
            </w:r>
          </w:p>
        </w:tc>
        <w:tc>
          <w:tcPr/>
          <w:p>
            <w:pPr>
              <w:pStyle w:val="Compact"/>
              <w:jc w:val="left"/>
            </w:pPr>
            <w:r>
              <w:t xml:space="preserve">Resolve before filing</w:t>
            </w:r>
          </w:p>
        </w:tc>
      </w:tr>
      <w:tr>
        <w:tc>
          <w:tcPr/>
          <w:p>
            <w:pPr>
              <w:pStyle w:val="Compact"/>
              <w:jc w:val="left"/>
            </w:pPr>
            <w:r>
              <w:t xml:space="preserve">3.7</w:t>
            </w:r>
          </w:p>
        </w:tc>
        <w:tc>
          <w:tcPr/>
          <w:p>
            <w:pPr>
              <w:pStyle w:val="Compact"/>
              <w:jc w:val="left"/>
            </w:pPr>
            <w:r>
              <w:t xml:space="preserve">Director first names in equity plan workbook do not match</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3.8</w:t>
            </w:r>
          </w:p>
        </w:tc>
        <w:tc>
          <w:tcPr/>
          <w:p>
            <w:pPr>
              <w:pStyle w:val="Compact"/>
              <w:jc w:val="left"/>
            </w:pPr>
            <w:r>
              <w:t xml:space="preserve">“</w:t>
            </w:r>
            <w:r>
              <w:t xml:space="preserve">Sandra Chen</w:t>
            </w:r>
            <w:r>
              <w:t xml:space="preserve">”</w:t>
            </w:r>
            <w:r>
              <w:t xml:space="preserve"> </w:t>
            </w:r>
            <w:r>
              <w:t xml:space="preserve">title (GC vs. CRO) and General Counsel identity</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4.1</w:t>
            </w:r>
          </w:p>
        </w:tc>
        <w:tc>
          <w:tcPr/>
          <w:p>
            <w:pPr>
              <w:pStyle w:val="Compact"/>
              <w:jc w:val="left"/>
            </w:pPr>
            <w:r>
              <w:t xml:space="preserve">Board size / CTO directorship (7 vs. 6 directors)</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4.2</w:t>
            </w:r>
          </w:p>
        </w:tc>
        <w:tc>
          <w:tcPr/>
          <w:p>
            <w:pPr>
              <w:pStyle w:val="Compact"/>
              <w:jc w:val="left"/>
            </w:pPr>
            <w:r>
              <w:t xml:space="preserve">Controlled company exemption — no Board resolution</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4.3</w:t>
            </w:r>
          </w:p>
        </w:tc>
        <w:tc>
          <w:tcPr/>
          <w:p>
            <w:pPr>
              <w:pStyle w:val="Compact"/>
              <w:jc w:val="left"/>
            </w:pPr>
            <w:r>
              <w:t xml:space="preserve">Committee composition incomplete</w:t>
            </w:r>
          </w:p>
        </w:tc>
        <w:tc>
          <w:tcPr/>
          <w:p>
            <w:pPr>
              <w:pStyle w:val="Compact"/>
              <w:jc w:val="left"/>
            </w:pPr>
            <w:r>
              <w:t xml:space="preserve">Medium-High</w:t>
            </w:r>
          </w:p>
        </w:tc>
        <w:tc>
          <w:tcPr/>
          <w:p>
            <w:pPr>
              <w:pStyle w:val="Compact"/>
              <w:jc w:val="left"/>
            </w:pPr>
            <w:r>
              <w:t xml:space="preserve">Resolve before filing</w:t>
            </w:r>
          </w:p>
        </w:tc>
      </w:tr>
      <w:tr>
        <w:tc>
          <w:tcPr/>
          <w:p>
            <w:pPr>
              <w:pStyle w:val="Compact"/>
              <w:jc w:val="left"/>
            </w:pPr>
            <w:r>
              <w:t xml:space="preserve">4.4</w:t>
            </w:r>
          </w:p>
        </w:tc>
        <w:tc>
          <w:tcPr/>
          <w:p>
            <w:pPr>
              <w:pStyle w:val="Compact"/>
              <w:jc w:val="left"/>
            </w:pPr>
            <w:r>
              <w:t xml:space="preserve">Dual-class has no sunset provision</w:t>
            </w:r>
          </w:p>
        </w:tc>
        <w:tc>
          <w:tcPr/>
          <w:p>
            <w:pPr>
              <w:pStyle w:val="Compact"/>
              <w:jc w:val="left"/>
            </w:pPr>
            <w:r>
              <w:t xml:space="preserve">Medium</w:t>
            </w:r>
          </w:p>
        </w:tc>
        <w:tc>
          <w:tcPr/>
          <w:p>
            <w:pPr>
              <w:pStyle w:val="Compact"/>
              <w:jc w:val="left"/>
            </w:pPr>
            <w:r>
              <w:t xml:space="preserve">Disclosure</w:t>
            </w:r>
          </w:p>
        </w:tc>
      </w:tr>
      <w:tr>
        <w:tc>
          <w:tcPr/>
          <w:p>
            <w:pPr>
              <w:pStyle w:val="Compact"/>
              <w:jc w:val="left"/>
            </w:pPr>
            <w:r>
              <w:t xml:space="preserve">4.5</w:t>
            </w:r>
          </w:p>
        </w:tc>
        <w:tc>
          <w:tcPr/>
          <w:p>
            <w:pPr>
              <w:pStyle w:val="Compact"/>
              <w:jc w:val="left"/>
            </w:pPr>
            <w:r>
              <w:t xml:space="preserve">Federal forum selection for Securities Act claims</w:t>
            </w:r>
          </w:p>
        </w:tc>
        <w:tc>
          <w:tcPr/>
          <w:p>
            <w:pPr>
              <w:pStyle w:val="Compact"/>
              <w:jc w:val="left"/>
            </w:pPr>
            <w:r>
              <w:t xml:space="preserve">Low-Medium</w:t>
            </w:r>
          </w:p>
        </w:tc>
        <w:tc>
          <w:tcPr/>
          <w:p>
            <w:pPr>
              <w:pStyle w:val="Compact"/>
              <w:jc w:val="left"/>
            </w:pPr>
            <w:r>
              <w:t xml:space="preserve">Disclosure</w:t>
            </w:r>
          </w:p>
        </w:tc>
      </w:tr>
      <w:tr>
        <w:tc>
          <w:tcPr/>
          <w:p>
            <w:pPr>
              <w:pStyle w:val="Compact"/>
              <w:jc w:val="left"/>
            </w:pPr>
            <w:r>
              <w:t xml:space="preserve">4.6</w:t>
            </w:r>
          </w:p>
        </w:tc>
        <w:tc>
          <w:tcPr/>
          <w:p>
            <w:pPr>
              <w:pStyle w:val="Compact"/>
              <w:jc w:val="left"/>
            </w:pPr>
            <w:r>
              <w:t xml:space="preserve">Term loan facility size ($50M) omitted in CFO memo</w:t>
            </w:r>
          </w:p>
        </w:tc>
        <w:tc>
          <w:tcPr/>
          <w:p>
            <w:pPr>
              <w:pStyle w:val="Compact"/>
              <w:jc w:val="left"/>
            </w:pPr>
            <w:r>
              <w:t xml:space="preserve">Low-Medium</w:t>
            </w:r>
          </w:p>
        </w:tc>
        <w:tc>
          <w:tcPr/>
          <w:p>
            <w:pPr>
              <w:pStyle w:val="Compact"/>
              <w:jc w:val="left"/>
            </w:pPr>
            <w:r>
              <w:t xml:space="preserve">Resolve before filing</w:t>
            </w:r>
          </w:p>
        </w:tc>
      </w:tr>
      <w:tr>
        <w:tc>
          <w:tcPr/>
          <w:p>
            <w:pPr>
              <w:pStyle w:val="Compact"/>
              <w:jc w:val="left"/>
            </w:pPr>
            <w:r>
              <w:t xml:space="preserve">4.7</w:t>
            </w:r>
          </w:p>
        </w:tc>
        <w:tc>
          <w:tcPr/>
          <w:p>
            <w:pPr>
              <w:pStyle w:val="Compact"/>
              <w:jc w:val="left"/>
            </w:pPr>
            <w:r>
              <w:t xml:space="preserve">Term loan agreement date / draw history cannot be reconciled</w:t>
            </w:r>
          </w:p>
        </w:tc>
        <w:tc>
          <w:tcPr/>
          <w:p>
            <w:pPr>
              <w:pStyle w:val="Compact"/>
              <w:jc w:val="left"/>
            </w:pPr>
            <w:r>
              <w:t xml:space="preserve">Medium-High</w:t>
            </w:r>
          </w:p>
        </w:tc>
        <w:tc>
          <w:tcPr/>
          <w:p>
            <w:pPr>
              <w:pStyle w:val="Compact"/>
              <w:jc w:val="left"/>
            </w:pPr>
            <w:r>
              <w:t xml:space="preserve">Resolve before filing</w:t>
            </w:r>
          </w:p>
        </w:tc>
      </w:tr>
      <w:tr>
        <w:tc>
          <w:tcPr/>
          <w:p>
            <w:pPr>
              <w:pStyle w:val="Compact"/>
              <w:jc w:val="left"/>
            </w:pPr>
            <w:r>
              <w:t xml:space="preserve">4.8</w:t>
            </w:r>
          </w:p>
        </w:tc>
        <w:tc>
          <w:tcPr/>
          <w:p>
            <w:pPr>
              <w:pStyle w:val="Compact"/>
              <w:jc w:val="left"/>
            </w:pPr>
            <w:r>
              <w:t xml:space="preserve">Term loan amortization schedule conflicts</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4.9</w:t>
            </w:r>
          </w:p>
        </w:tc>
        <w:tc>
          <w:tcPr/>
          <w:p>
            <w:pPr>
              <w:pStyle w:val="Compact"/>
              <w:jc w:val="left"/>
            </w:pPr>
            <w:r>
              <w:t xml:space="preserve">Capitalization table</w:t>
            </w:r>
            <w:r>
              <w:t xml:space="preserve"> </w:t>
            </w:r>
            <w:r>
              <w:t xml:space="preserve">“</w:t>
            </w:r>
            <w:r>
              <w:t xml:space="preserve">total capitalization</w:t>
            </w:r>
            <w:r>
              <w:t xml:space="preserve">”</w:t>
            </w:r>
            <w:r>
              <w:t xml:space="preserve"> </w:t>
            </w:r>
            <w:r>
              <w:t xml:space="preserve">definition inconsistent</w:t>
            </w:r>
          </w:p>
        </w:tc>
        <w:tc>
          <w:tcPr/>
          <w:p>
            <w:pPr>
              <w:pStyle w:val="Compact"/>
              <w:jc w:val="left"/>
            </w:pPr>
            <w:r>
              <w:t xml:space="preserve">Low-Medium</w:t>
            </w:r>
          </w:p>
        </w:tc>
        <w:tc>
          <w:tcPr/>
          <w:p>
            <w:pPr>
              <w:pStyle w:val="Compact"/>
              <w:jc w:val="left"/>
            </w:pPr>
            <w:r>
              <w:t xml:space="preserve">Resolve before filing</w:t>
            </w:r>
          </w:p>
        </w:tc>
      </w:tr>
      <w:tr>
        <w:tc>
          <w:tcPr/>
          <w:p>
            <w:pPr>
              <w:pStyle w:val="Compact"/>
              <w:jc w:val="left"/>
            </w:pPr>
            <w:r>
              <w:t xml:space="preserve">5.1</w:t>
            </w:r>
          </w:p>
        </w:tc>
        <w:tc>
          <w:tcPr/>
          <w:p>
            <w:pPr>
              <w:pStyle w:val="Compact"/>
              <w:jc w:val="left"/>
            </w:pPr>
            <w:r>
              <w:t xml:space="preserve">Vantara related-party disclosure inconsistency</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5.2</w:t>
            </w:r>
          </w:p>
        </w:tc>
        <w:tc>
          <w:tcPr/>
          <w:p>
            <w:pPr>
              <w:pStyle w:val="Compact"/>
              <w:jc w:val="left"/>
            </w:pPr>
            <w:r>
              <w:t xml:space="preserve">Aldersgate Capital beneficial ownership gap</w:t>
            </w:r>
          </w:p>
        </w:tc>
        <w:tc>
          <w:tcPr/>
          <w:p>
            <w:pPr>
              <w:pStyle w:val="Compact"/>
              <w:jc w:val="left"/>
            </w:pPr>
            <w:r>
              <w:t xml:space="preserve">Medium-High</w:t>
            </w:r>
          </w:p>
        </w:tc>
        <w:tc>
          <w:tcPr/>
          <w:p>
            <w:pPr>
              <w:pStyle w:val="Compact"/>
              <w:jc w:val="left"/>
            </w:pPr>
            <w:r>
              <w:t xml:space="preserve">Resolve before filing</w:t>
            </w:r>
          </w:p>
        </w:tc>
      </w:tr>
      <w:tr>
        <w:tc>
          <w:tcPr/>
          <w:p>
            <w:pPr>
              <w:pStyle w:val="Compact"/>
              <w:jc w:val="left"/>
            </w:pPr>
            <w:r>
              <w:t xml:space="preserve">5.3</w:t>
            </w:r>
          </w:p>
        </w:tc>
        <w:tc>
          <w:tcPr/>
          <w:p>
            <w:pPr>
              <w:pStyle w:val="Compact"/>
              <w:jc w:val="left"/>
            </w:pPr>
            <w:r>
              <w:t xml:space="preserve">Section 382 / NOL study not completed</w:t>
            </w:r>
          </w:p>
        </w:tc>
        <w:tc>
          <w:tcPr/>
          <w:p>
            <w:pPr>
              <w:pStyle w:val="Compact"/>
              <w:jc w:val="left"/>
            </w:pPr>
            <w:r>
              <w:t xml:space="preserve">Medium-High</w:t>
            </w:r>
          </w:p>
        </w:tc>
        <w:tc>
          <w:tcPr/>
          <w:p>
            <w:pPr>
              <w:pStyle w:val="Compact"/>
              <w:jc w:val="left"/>
            </w:pPr>
            <w:r>
              <w:t xml:space="preserve">Disclosure / risk factor</w:t>
            </w:r>
          </w:p>
        </w:tc>
      </w:tr>
      <w:tr>
        <w:tc>
          <w:tcPr/>
          <w:p>
            <w:pPr>
              <w:pStyle w:val="Compact"/>
              <w:jc w:val="left"/>
            </w:pPr>
            <w:r>
              <w:t xml:space="preserve">5.4</w:t>
            </w:r>
          </w:p>
        </w:tc>
        <w:tc>
          <w:tcPr/>
          <w:p>
            <w:pPr>
              <w:pStyle w:val="Compact"/>
              <w:jc w:val="left"/>
            </w:pPr>
            <w:r>
              <w:t xml:space="preserve">409A valuation history inconsistent (audited vs. equity plan)</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5.5</w:t>
            </w:r>
          </w:p>
        </w:tc>
        <w:tc>
          <w:tcPr/>
          <w:p>
            <w:pPr>
              <w:pStyle w:val="Compact"/>
              <w:jc w:val="left"/>
            </w:pPr>
            <w:r>
              <w:t xml:space="preserve">Equity plan 409A tab references wrong financing terms</w:t>
            </w:r>
          </w:p>
        </w:tc>
        <w:tc>
          <w:tcPr/>
          <w:p>
            <w:pPr>
              <w:pStyle w:val="Compact"/>
              <w:jc w:val="left"/>
            </w:pPr>
            <w:r>
              <w:t xml:space="preserve">High</w:t>
            </w:r>
          </w:p>
        </w:tc>
        <w:tc>
          <w:tcPr/>
          <w:p>
            <w:pPr>
              <w:pStyle w:val="Compact"/>
              <w:jc w:val="left"/>
            </w:pPr>
            <w:r>
              <w:t xml:space="preserve">Resolve before filing</w:t>
            </w:r>
          </w:p>
        </w:tc>
      </w:tr>
      <w:tr>
        <w:tc>
          <w:tcPr/>
          <w:p>
            <w:pPr>
              <w:pStyle w:val="Compact"/>
              <w:jc w:val="left"/>
            </w:pPr>
            <w:r>
              <w:t xml:space="preserve">5.6</w:t>
            </w:r>
          </w:p>
        </w:tc>
        <w:tc>
          <w:tcPr/>
          <w:p>
            <w:pPr>
              <w:pStyle w:val="Compact"/>
              <w:jc w:val="left"/>
            </w:pPr>
            <w:r>
              <w:t xml:space="preserve">S-1 filing timing (March vs. February 2025)</w:t>
            </w:r>
          </w:p>
        </w:tc>
        <w:tc>
          <w:tcPr/>
          <w:p>
            <w:pPr>
              <w:pStyle w:val="Compact"/>
              <w:jc w:val="left"/>
            </w:pPr>
            <w:r>
              <w:t xml:space="preserve">Low-Medium</w:t>
            </w:r>
          </w:p>
        </w:tc>
        <w:tc>
          <w:tcPr/>
          <w:p>
            <w:pPr>
              <w:pStyle w:val="Compact"/>
              <w:jc w:val="left"/>
            </w:pPr>
            <w:r>
              <w:t xml:space="preserve">Resolve before filing</w:t>
            </w:r>
          </w:p>
        </w:tc>
      </w:tr>
      <w:tr>
        <w:tc>
          <w:tcPr/>
          <w:p>
            <w:pPr>
              <w:pStyle w:val="Compact"/>
              <w:jc w:val="left"/>
            </w:pPr>
            <w:r>
              <w:t xml:space="preserve">5.7</w:t>
            </w:r>
          </w:p>
        </w:tc>
        <w:tc>
          <w:tcPr/>
          <w:p>
            <w:pPr>
              <w:pStyle w:val="Compact"/>
              <w:jc w:val="left"/>
            </w:pPr>
            <w:r>
              <w:t xml:space="preserve">Director ages / Obi other directorship not provided</w:t>
            </w:r>
          </w:p>
        </w:tc>
        <w:tc>
          <w:tcPr/>
          <w:p>
            <w:pPr>
              <w:pStyle w:val="Compact"/>
              <w:jc w:val="left"/>
            </w:pPr>
            <w:r>
              <w:t xml:space="preserve">Low</w:t>
            </w:r>
          </w:p>
        </w:tc>
        <w:tc>
          <w:tcPr/>
          <w:p>
            <w:pPr>
              <w:pStyle w:val="Compact"/>
              <w:jc w:val="left"/>
            </w:pPr>
            <w:r>
              <w:t xml:space="preserve">Resolve before filing</w:t>
            </w:r>
          </w:p>
        </w:tc>
      </w:tr>
      <w:tr>
        <w:tc>
          <w:tcPr/>
          <w:p>
            <w:pPr>
              <w:pStyle w:val="Compact"/>
              <w:jc w:val="left"/>
            </w:pPr>
            <w:r>
              <w:t xml:space="preserve">5.8</w:t>
            </w:r>
          </w:p>
        </w:tc>
        <w:tc>
          <w:tcPr/>
          <w:p>
            <w:pPr>
              <w:pStyle w:val="Compact"/>
              <w:jc w:val="left"/>
            </w:pPr>
            <w:r>
              <w:t xml:space="preserve">Lock-up must bind fund entities</w:t>
            </w:r>
          </w:p>
        </w:tc>
        <w:tc>
          <w:tcPr/>
          <w:p>
            <w:pPr>
              <w:pStyle w:val="Compact"/>
              <w:jc w:val="left"/>
            </w:pPr>
            <w:r>
              <w:t xml:space="preserve">Medium</w:t>
            </w:r>
          </w:p>
        </w:tc>
        <w:tc>
          <w:tcPr/>
          <w:p>
            <w:pPr>
              <w:pStyle w:val="Compact"/>
              <w:jc w:val="left"/>
            </w:pPr>
            <w:r>
              <w:t xml:space="preserve">Resolve before filing</w:t>
            </w:r>
          </w:p>
        </w:tc>
      </w:tr>
      <w:tr>
        <w:tc>
          <w:tcPr/>
          <w:p>
            <w:pPr>
              <w:pStyle w:val="Compact"/>
              <w:jc w:val="left"/>
            </w:pPr>
            <w:r>
              <w:t xml:space="preserve">5.9</w:t>
            </w:r>
          </w:p>
        </w:tc>
        <w:tc>
          <w:tcPr/>
          <w:p>
            <w:pPr>
              <w:pStyle w:val="Compact"/>
              <w:jc w:val="left"/>
            </w:pPr>
            <w:r>
              <w:t xml:space="preserve">RSU double-trigger liquidity condition</w:t>
            </w:r>
          </w:p>
        </w:tc>
        <w:tc>
          <w:tcPr/>
          <w:p>
            <w:pPr>
              <w:pStyle w:val="Compact"/>
              <w:jc w:val="left"/>
            </w:pPr>
            <w:r>
              <w:t xml:space="preserve">Medium</w:t>
            </w:r>
          </w:p>
        </w:tc>
        <w:tc>
          <w:tcPr/>
          <w:p>
            <w:pPr>
              <w:pStyle w:val="Compact"/>
              <w:jc w:val="left"/>
            </w:pPr>
            <w:r>
              <w:t xml:space="preserve">Disclosure</w:t>
            </w:r>
          </w:p>
        </w:tc>
      </w:tr>
      <w:tr>
        <w:tc>
          <w:tcPr/>
          <w:p>
            <w:pPr>
              <w:pStyle w:val="Compact"/>
              <w:jc w:val="left"/>
            </w:pPr>
            <w:r>
              <w:t xml:space="preserve">5.10</w:t>
            </w:r>
          </w:p>
        </w:tc>
        <w:tc>
          <w:tcPr/>
          <w:p>
            <w:pPr>
              <w:pStyle w:val="Compact"/>
              <w:jc w:val="left"/>
            </w:pPr>
            <w:r>
              <w:t xml:space="preserve">Cheap-stock / 409A grant-pricing risk</w:t>
            </w:r>
          </w:p>
        </w:tc>
        <w:tc>
          <w:tcPr/>
          <w:p>
            <w:pPr>
              <w:pStyle w:val="Compact"/>
              <w:jc w:val="left"/>
            </w:pPr>
            <w:r>
              <w:t xml:space="preserve">Medium</w:t>
            </w:r>
          </w:p>
        </w:tc>
        <w:tc>
          <w:tcPr/>
          <w:p>
            <w:pPr>
              <w:pStyle w:val="Compact"/>
              <w:jc w:val="left"/>
            </w:pPr>
            <w:r>
              <w:t xml:space="preserve">Disclosure / risk factor</w:t>
            </w:r>
          </w:p>
        </w:tc>
      </w:tr>
    </w:tbl>
    <w:p>
      <w:r>
        <w:pict>
          <v:rect style="width:0;height:1.5pt" o:hralign="center" o:hrstd="t" o:hr="t"/>
        </w:pict>
      </w:r>
    </w:p>
    <w:bookmarkEnd w:id="61"/>
    <w:bookmarkStart w:id="62" w:name="X51a090689e682ee2ba4c363b138a2475dad0a2c"/>
    <w:p>
      <w:pPr>
        <w:pStyle w:val="Heading2"/>
      </w:pPr>
      <w:r>
        <w:t xml:space="preserve">7. Key Risk Factors to Confirm Are Addressed in the S-1</w:t>
      </w:r>
    </w:p>
    <w:p>
      <w:pPr>
        <w:pStyle w:val="FirstParagraph"/>
      </w:pPr>
      <w:r>
        <w:t xml:space="preserve">The following risks, drawn from the source documents, should be confirmed as addressed in the S-1 risk factors (the accompanying draft Form S-1 includes risk factors covering these matters):</w:t>
      </w:r>
    </w:p>
    <w:p>
      <w:pPr>
        <w:pStyle w:val="Compact"/>
        <w:numPr>
          <w:ilvl w:val="0"/>
          <w:numId w:val="1007"/>
        </w:numPr>
      </w:pPr>
      <w:r>
        <w:rPr>
          <w:b/>
          <w:bCs/>
        </w:rPr>
        <w:t xml:space="preserve">History of losses and accumulated deficit</w:t>
      </w:r>
      <w:r>
        <w:t xml:space="preserve"> </w:t>
      </w:r>
      <w:r>
        <w:t xml:space="preserve">($312.6 million accumulated deficit; $24.8 million FY 2024 net loss).</w:t>
      </w:r>
    </w:p>
    <w:p>
      <w:pPr>
        <w:pStyle w:val="Compact"/>
        <w:numPr>
          <w:ilvl w:val="0"/>
          <w:numId w:val="1007"/>
        </w:numPr>
      </w:pPr>
      <w:r>
        <w:rPr>
          <w:b/>
          <w:bCs/>
        </w:rPr>
        <w:t xml:space="preserve">Founder voting control / controlled company / no sunset</w:t>
      </w:r>
      <w:r>
        <w:t xml:space="preserve"> </w:t>
      </w:r>
      <w:r>
        <w:t xml:space="preserve">(co-founders control 71.8% of voting power; no sunset on Class B; controlled company exemptions).</w:t>
      </w:r>
    </w:p>
    <w:p>
      <w:pPr>
        <w:pStyle w:val="Compact"/>
        <w:numPr>
          <w:ilvl w:val="0"/>
          <w:numId w:val="1007"/>
        </w:numPr>
      </w:pPr>
      <w:r>
        <w:rPr>
          <w:b/>
          <w:bCs/>
        </w:rPr>
        <w:t xml:space="preserve">Pending patent litigation and term loan default trigger</w:t>
      </w:r>
      <w:r>
        <w:t xml:space="preserve"> </w:t>
      </w:r>
      <w:r>
        <w:t xml:space="preserve">(Optivance litigation, $5–20 million exposure; an adverse judgment above $5 million undischarged for 60 days is an event of default under the term loan).</w:t>
      </w:r>
    </w:p>
    <w:p>
      <w:pPr>
        <w:pStyle w:val="Compact"/>
        <w:numPr>
          <w:ilvl w:val="0"/>
          <w:numId w:val="1007"/>
        </w:numPr>
      </w:pPr>
      <w:r>
        <w:rPr>
          <w:b/>
          <w:bCs/>
        </w:rPr>
        <w:t xml:space="preserve">Secured indebtedness</w:t>
      </w:r>
      <w:r>
        <w:t xml:space="preserve"> </w:t>
      </w:r>
      <w:r>
        <w:t xml:space="preserve">(term loan secured by substantially all assets, including intellectual property).</w:t>
      </w:r>
    </w:p>
    <w:p>
      <w:pPr>
        <w:pStyle w:val="Compact"/>
        <w:numPr>
          <w:ilvl w:val="0"/>
          <w:numId w:val="1007"/>
        </w:numPr>
      </w:pPr>
      <w:r>
        <w:rPr>
          <w:b/>
          <w:bCs/>
        </w:rPr>
        <w:t xml:space="preserve">30-day IPO notice obligation</w:t>
      </w:r>
      <w:r>
        <w:t xml:space="preserve"> </w:t>
      </w:r>
      <w:r>
        <w:t xml:space="preserve">to the lender (failure is an event of default).</w:t>
      </w:r>
    </w:p>
    <w:p>
      <w:pPr>
        <w:pStyle w:val="Compact"/>
        <w:numPr>
          <w:ilvl w:val="0"/>
          <w:numId w:val="1007"/>
        </w:numPr>
      </w:pPr>
      <w:r>
        <w:rPr>
          <w:b/>
          <w:bCs/>
        </w:rPr>
        <w:t xml:space="preserve">Change-of-control acceleration risk</w:t>
      </w:r>
      <w:r>
        <w:t xml:space="preserve"> </w:t>
      </w:r>
      <w:r>
        <w:t xml:space="preserve">under the term loan.</w:t>
      </w:r>
    </w:p>
    <w:p>
      <w:pPr>
        <w:pStyle w:val="Compact"/>
        <w:numPr>
          <w:ilvl w:val="0"/>
          <w:numId w:val="1007"/>
        </w:numPr>
      </w:pPr>
      <w:r>
        <w:rPr>
          <w:b/>
          <w:bCs/>
        </w:rPr>
        <w:t xml:space="preserve">Customer and geographic concentration</w:t>
      </w:r>
      <w:r>
        <w:t xml:space="preserve"> </w:t>
      </w:r>
      <w:r>
        <w:t xml:space="preserve">(largest customer 8.2%; top 10 customers 31.7%; U.S. revenue ~78%).</w:t>
      </w:r>
    </w:p>
    <w:p>
      <w:pPr>
        <w:pStyle w:val="Compact"/>
        <w:numPr>
          <w:ilvl w:val="0"/>
          <w:numId w:val="1007"/>
        </w:numPr>
      </w:pPr>
      <w:r>
        <w:rPr>
          <w:b/>
          <w:bCs/>
        </w:rPr>
        <w:t xml:space="preserve">NOL Section 382 limitation</w:t>
      </w:r>
      <w:r>
        <w:t xml:space="preserve"> </w:t>
      </w:r>
      <w:r>
        <w:t xml:space="preserve">following the IPO.</w:t>
      </w:r>
    </w:p>
    <w:p>
      <w:pPr>
        <w:pStyle w:val="Compact"/>
        <w:numPr>
          <w:ilvl w:val="0"/>
          <w:numId w:val="1007"/>
        </w:numPr>
      </w:pPr>
      <w:r>
        <w:rPr>
          <w:b/>
          <w:bCs/>
        </w:rPr>
        <w:t xml:space="preserve">Professional services negative gross margin.</w:t>
      </w:r>
    </w:p>
    <w:p>
      <w:pPr>
        <w:pStyle w:val="Compact"/>
        <w:numPr>
          <w:ilvl w:val="0"/>
          <w:numId w:val="1007"/>
        </w:numPr>
      </w:pPr>
      <w:r>
        <w:rPr>
          <w:b/>
          <w:bCs/>
        </w:rPr>
        <w:t xml:space="preserve">Related-party relationship with Vantara Logistics / Graymont Ventures.</w:t>
      </w:r>
    </w:p>
    <w:p>
      <w:pPr>
        <w:pStyle w:val="Compact"/>
        <w:numPr>
          <w:ilvl w:val="0"/>
          <w:numId w:val="1007"/>
        </w:numPr>
      </w:pPr>
      <w:r>
        <w:rPr>
          <w:b/>
          <w:bCs/>
        </w:rPr>
        <w:t xml:space="preserve">Key-person dependence</w:t>
      </w:r>
      <w:r>
        <w:t xml:space="preserve"> </w:t>
      </w:r>
      <w:r>
        <w:t xml:space="preserve">(co-founders; term loan key-person provision tied to the CEO).</w:t>
      </w:r>
    </w:p>
    <w:p>
      <w:pPr>
        <w:pStyle w:val="Compact"/>
        <w:numPr>
          <w:ilvl w:val="0"/>
          <w:numId w:val="1007"/>
        </w:numPr>
      </w:pPr>
      <w:r>
        <w:rPr>
          <w:b/>
          <w:bCs/>
        </w:rPr>
        <w:t xml:space="preserve">Preferred stock redemption right</w:t>
      </w:r>
      <w:r>
        <w:t xml:space="preserve"> </w:t>
      </w:r>
      <w:r>
        <w:t xml:space="preserve">(holders may require redemption beginning June 2028 if the IPO is not completed).</w:t>
      </w:r>
    </w:p>
    <w:p>
      <w:pPr>
        <w:pStyle w:val="Compact"/>
        <w:numPr>
          <w:ilvl w:val="0"/>
          <w:numId w:val="1007"/>
        </w:numPr>
      </w:pPr>
      <w:r>
        <w:rPr>
          <w:b/>
          <w:bCs/>
        </w:rPr>
        <w:t xml:space="preserve">Dual-class index exclusion risk.</w:t>
      </w:r>
    </w:p>
    <w:p>
      <w:pPr>
        <w:pStyle w:val="Compact"/>
        <w:numPr>
          <w:ilvl w:val="0"/>
          <w:numId w:val="1007"/>
        </w:numPr>
      </w:pPr>
      <w:r>
        <w:rPr>
          <w:b/>
          <w:bCs/>
        </w:rPr>
        <w:t xml:space="preserve">Lock-up expiry overhang</w:t>
      </w:r>
      <w:r>
        <w:t xml:space="preserve"> </w:t>
      </w:r>
      <w:r>
        <w:t xml:space="preserve">(14.75 million options and 3.2 million RSUs).</w:t>
      </w:r>
    </w:p>
    <w:p>
      <w:pPr>
        <w:pStyle w:val="Compact"/>
        <w:numPr>
          <w:ilvl w:val="0"/>
          <w:numId w:val="1007"/>
        </w:numPr>
      </w:pPr>
      <w:r>
        <w:rPr>
          <w:b/>
          <w:bCs/>
        </w:rPr>
        <w:t xml:space="preserve">Data privacy / cybersecurity</w:t>
      </w:r>
      <w:r>
        <w:t xml:space="preserve"> </w:t>
      </w:r>
      <w:r>
        <w:t xml:space="preserve">(GDPR, CCPA, SOC 2).</w:t>
      </w:r>
    </w:p>
    <w:p>
      <w:pPr>
        <w:pStyle w:val="Compact"/>
        <w:numPr>
          <w:ilvl w:val="0"/>
          <w:numId w:val="1007"/>
        </w:numPr>
      </w:pPr>
      <w:r>
        <w:rPr>
          <w:b/>
          <w:bCs/>
        </w:rPr>
        <w:t xml:space="preserve">International operations</w:t>
      </w:r>
      <w:r>
        <w:t xml:space="preserve"> </w:t>
      </w:r>
      <w:r>
        <w:t xml:space="preserve">(UK, India) — currency, regulatory, and geopolitical risk.</w:t>
      </w:r>
    </w:p>
    <w:p>
      <w:r>
        <w:pict>
          <v:rect style="width:0;height:1.5pt" o:hralign="center" o:hrstd="t" o:hr="t"/>
        </w:pict>
      </w:r>
    </w:p>
    <w:bookmarkEnd w:id="62"/>
    <w:bookmarkStart w:id="63" w:name="recommended-next-steps"/>
    <w:p>
      <w:pPr>
        <w:pStyle w:val="Heading2"/>
      </w:pPr>
      <w:r>
        <w:t xml:space="preserve">8. Recommended Next Steps</w:t>
      </w:r>
    </w:p>
    <w:p>
      <w:pPr>
        <w:pStyle w:val="Compact"/>
        <w:numPr>
          <w:ilvl w:val="0"/>
          <w:numId w:val="1008"/>
        </w:numPr>
      </w:pPr>
      <w:r>
        <w:rPr>
          <w:b/>
          <w:bCs/>
        </w:rPr>
        <w:t xml:space="preserve">CFO / Finance team:</w:t>
      </w:r>
      <w:r>
        <w:t xml:space="preserve"> </w:t>
      </w:r>
      <w:r>
        <w:t xml:space="preserve">Rebuild the Adjusted EBITDA reconciliation (both years) using audited components; correct the FY 2023 revenue split; confirm the use-of-proceeds allocation; reconcile the term loan date, draw history, and amortization schedule; confirm the weighted-average share counts with the auditor.</w:t>
      </w:r>
    </w:p>
    <w:p>
      <w:pPr>
        <w:pStyle w:val="Compact"/>
        <w:numPr>
          <w:ilvl w:val="0"/>
          <w:numId w:val="1008"/>
        </w:numPr>
      </w:pPr>
      <w:r>
        <w:rPr>
          <w:b/>
          <w:bCs/>
        </w:rPr>
        <w:t xml:space="preserve">General Counsel / Corporate Secretary:</w:t>
      </w:r>
      <w:r>
        <w:t xml:space="preserve"> </w:t>
      </w:r>
      <w:r>
        <w:t xml:space="preserve">Confirm the CTO’s legal name; confirm the lender’s legal name; confirm the transfer agent; reconcile the executive officer roster and the General Counsel role; confirm the Ridgeline fund entity; obtain the Board resolution on the controlled company exemptions; finalize committee composition; confirm the 30-day lender notice is on the critical path.</w:t>
      </w:r>
    </w:p>
    <w:p>
      <w:pPr>
        <w:pStyle w:val="Compact"/>
        <w:numPr>
          <w:ilvl w:val="0"/>
          <w:numId w:val="1008"/>
        </w:numPr>
      </w:pPr>
      <w:r>
        <w:rPr>
          <w:b/>
          <w:bCs/>
        </w:rPr>
        <w:t xml:space="preserve">Outside counsel (Thorncroft &amp; Wexler LLP):</w:t>
      </w:r>
      <w:r>
        <w:t xml:space="preserve"> </w:t>
      </w:r>
      <w:r>
        <w:t xml:space="preserve">Reconcile the 409A valuation history and the financing-term references in the equity plan workbook with the valuation firm and the auditor; finalize the principal stockholders table after resolving the Aldersgate Capital question; obtain director ages and Ms. Obi’s other directorship; ensure lock-up agreements bind the fund entities.</w:t>
      </w:r>
    </w:p>
    <w:p>
      <w:pPr>
        <w:pStyle w:val="Compact"/>
        <w:numPr>
          <w:ilvl w:val="0"/>
          <w:numId w:val="1008"/>
        </w:numPr>
      </w:pPr>
      <w:r>
        <w:rPr>
          <w:b/>
          <w:bCs/>
        </w:rPr>
        <w:t xml:space="preserve">Auditor (Archer Pryce LLP):</w:t>
      </w:r>
      <w:r>
        <w:t xml:space="preserve"> </w:t>
      </w:r>
      <w:r>
        <w:t xml:space="preserve">Confirm consistency of the 409A history and the SBC disclosure; confirm the weighted-average share counts; confirm the subsequent-events disclosure (filing date).</w:t>
      </w:r>
    </w:p>
    <w:p>
      <w:pPr>
        <w:pStyle w:val="Compact"/>
        <w:numPr>
          <w:ilvl w:val="0"/>
          <w:numId w:val="1008"/>
        </w:numPr>
      </w:pPr>
      <w:r>
        <w:rPr>
          <w:b/>
          <w:bCs/>
        </w:rPr>
        <w:t xml:space="preserve">All working group members:</w:t>
      </w:r>
      <w:r>
        <w:t xml:space="preserve"> </w:t>
      </w:r>
      <w:r>
        <w:t xml:space="preserve">Ensure that all investor-facing materials (including the Roadshow Presentation) are corrected to be consistent with the S-1 and the audited financial statements — particularly the Adjusted EBITDA figure, the professional services margin characterization, and the Vantara related-party disclosure.</w:t>
      </w:r>
    </w:p>
    <w:p>
      <w:pPr>
        <w:pStyle w:val="FirstParagraph"/>
      </w:pPr>
      <w:r>
        <w:t xml:space="preserve">This memorandum is intended for the internal use of the IPO working group and outside counsel and is protected by the attorney-client privilege and the work product doctrine. It should not be distributed to the underwriting syndicate or their counsel without prior authorization.</w:t>
      </w:r>
    </w:p>
    <w:p>
      <w:r>
        <w:pict>
          <v:rect style="width:0;height:1.5pt" o:hralign="center" o:hrstd="t" o:hr="t"/>
        </w:pict>
      </w:r>
    </w:p>
    <w:p>
      <w:pPr>
        <w:pStyle w:val="FirstParagraph"/>
      </w:pPr>
      <w:r>
        <w:rPr>
          <w:i/>
          <w:iCs/>
        </w:rPr>
        <w:t xml:space="preserve">Prepared in connection with the proposed initial public offering of Crestline Software, Inc. This memorandum accompanies the draft Form S-1 Registration Statement and reflects the state of the source documents as of the date hereof. All items are subject to verification against the Company’s records, the executed Credit Agreement, the transfer agent’s records, and the audited financial statements.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2026-06-28T10:03:06Z</dcterms:created>
  <dcterms:modified xsi:type="dcterms:W3CDTF">2026-06-28T10:03:06Z</dcterms:modified>
</cp:coreProperties>
</file>

<file path=docProps/custom.xml><?xml version="1.0" encoding="utf-8"?>
<Properties xmlns="http://schemas.openxmlformats.org/officeDocument/2006/custom-properties" xmlns:vt="http://schemas.openxmlformats.org/officeDocument/2006/docPropsVTypes"/>
</file>