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Issues</w:t>
      </w:r>
      <w:r>
        <w:t xml:space="preserve"> </w:t>
      </w:r>
      <w:r>
        <w:t xml:space="preserve">Memorandum</w:t>
      </w:r>
    </w:p>
    <w:bookmarkStart w:id="20" w:name="Xb00a8ce9f01252ee933d31ffed2c10f1672bce1"/>
    <w:p>
      <w:pPr>
        <w:pStyle w:val="Heading1"/>
      </w:pPr>
      <w:r>
        <w:t xml:space="preserve">PRIVILEGED &amp; CONFIDENTIAL — ATTORNEY-CLIENT COMMUNICATION / ATTORNEY WORK PRODUCT</w:t>
      </w:r>
    </w:p>
    <w:bookmarkEnd w:id="20"/>
    <w:bookmarkStart w:id="34" w:name="memorandum"/>
    <w:p>
      <w:pPr>
        <w:pStyle w:val="Heading1"/>
      </w:pPr>
      <w:r>
        <w:t xml:space="preserve">MEMORANDUM</w:t>
      </w:r>
    </w:p>
    <w:p>
      <w:pPr>
        <w:pStyle w:val="FirstParagraph"/>
      </w:pPr>
      <w:r>
        <w:rPr>
          <w:b/>
          <w:bCs/>
        </w:rPr>
        <w:t xml:space="preserve">TO:</w:t>
      </w:r>
      <w:r>
        <w:t xml:space="preserve"> </w:t>
      </w:r>
      <w:r>
        <w:t xml:space="preserve">IPO Working Group — Michael D. Hartwell (CFO); Sandra Y. Chen (General Counsel); Arun Ramaswamy (CEO); Board of Directors, Crestline Software, Inc.</w:t>
      </w:r>
    </w:p>
    <w:p>
      <w:pPr>
        <w:pStyle w:val="BodyText"/>
      </w:pPr>
      <w:r>
        <w:rPr>
          <w:b/>
          <w:bCs/>
        </w:rPr>
        <w:t xml:space="preserve">FROM:</w:t>
      </w:r>
      <w:r>
        <w:t xml:space="preserve"> </w:t>
      </w:r>
      <w:r>
        <w:t xml:space="preserve">Thorncroft &amp; Wexler LLP — Sarah K. Norden (Lead Partner); James T. Okafor (Associate)</w:t>
      </w:r>
    </w:p>
    <w:p>
      <w:pPr>
        <w:pStyle w:val="BodyText"/>
      </w:pPr>
      <w:r>
        <w:rPr>
          <w:b/>
          <w:bCs/>
        </w:rPr>
        <w:t xml:space="preserve">DATE:</w:t>
      </w:r>
      <w:r>
        <w:t xml:space="preserve"> </w:t>
      </w:r>
      <w:r>
        <w:t xml:space="preserve">[●], 2025</w:t>
      </w:r>
    </w:p>
    <w:p>
      <w:pPr>
        <w:pStyle w:val="BodyText"/>
      </w:pPr>
      <w:r>
        <w:rPr>
          <w:b/>
          <w:bCs/>
        </w:rPr>
        <w:t xml:space="preserve">RE:</w:t>
      </w:r>
      <w:r>
        <w:t xml:space="preserve"> </w:t>
      </w:r>
      <w:r>
        <w:t xml:space="preserve">Inconsistencies, Disclosure Risks, and Open Items Identified During Preparation of the Draft Form S-1 Registration Statement — Crestline Software, Inc. Proposed IPO</w:t>
      </w:r>
    </w:p>
    <w:bookmarkStart w:id="21" w:name="i.-purpose-and-scope"/>
    <w:p>
      <w:pPr>
        <w:pStyle w:val="Heading2"/>
      </w:pPr>
      <w:r>
        <w:t xml:space="preserve">I. Purpose and Scope</w:t>
      </w:r>
    </w:p>
    <w:p>
      <w:pPr>
        <w:pStyle w:val="FirstParagraph"/>
      </w:pPr>
      <w:r>
        <w:t xml:space="preserve">This memorandum summarizes the inconsistencies, disclosure risks, and open items identified by issuer’s counsel during the preparation of the draft Registration Statement on Form S-1 (the</w:t>
      </w:r>
      <w:r>
        <w:t xml:space="preserve"> </w:t>
      </w:r>
      <w:r>
        <w:t xml:space="preserve">“</w:t>
      </w:r>
      <w:r>
        <w:t xml:space="preserve">Draft S-1</w:t>
      </w:r>
      <w:r>
        <w:t xml:space="preserve">”</w:t>
      </w:r>
      <w:r>
        <w:t xml:space="preserve">) for the proposed initial public offering of Crestline Software, Inc. (the</w:t>
      </w:r>
      <w:r>
        <w:t xml:space="preserve"> </w:t>
      </w:r>
      <w:r>
        <w:t xml:space="preserve">“</w:t>
      </w:r>
      <w:r>
        <w:t xml:space="preserve">Company</w:t>
      </w:r>
      <w:r>
        <w:t xml:space="preserve">”</w:t>
      </w:r>
      <w:r>
        <w:t xml:space="preserve">). The findings below are based on our review of the following source documents: (i) the audited consolidated financial statements for fiscal years 2023 and 2024 (the</w:t>
      </w:r>
      <w:r>
        <w:t xml:space="preserve"> </w:t>
      </w:r>
      <w:r>
        <w:t xml:space="preserve">“</w:t>
      </w:r>
      <w:r>
        <w:t xml:space="preserve">Audited Financials</w:t>
      </w:r>
      <w:r>
        <w:t xml:space="preserve">”</w:t>
      </w:r>
      <w:r>
        <w:t xml:space="preserve">); (ii) the CFO IPO readiness memorandum dated February 14, 2025 (the</w:t>
      </w:r>
      <w:r>
        <w:t xml:space="preserve"> </w:t>
      </w:r>
      <w:r>
        <w:t xml:space="preserve">“</w:t>
      </w:r>
      <w:r>
        <w:t xml:space="preserve">CFO Memo</w:t>
      </w:r>
      <w:r>
        <w:t xml:space="preserve">”</w:t>
      </w:r>
      <w:r>
        <w:t xml:space="preserve">); (iii) the amended and restated certificate of incorporation and bylaws (the</w:t>
      </w:r>
      <w:r>
        <w:t xml:space="preserve"> </w:t>
      </w:r>
      <w:r>
        <w:t xml:space="preserve">“</w:t>
      </w:r>
      <w:r>
        <w:t xml:space="preserve">Charter Documents</w:t>
      </w:r>
      <w:r>
        <w:t xml:space="preserve">”</w:t>
      </w:r>
      <w:r>
        <w:t xml:space="preserve">); (iv) the equity plan summary and grant schedule (the</w:t>
      </w:r>
      <w:r>
        <w:t xml:space="preserve"> </w:t>
      </w:r>
      <w:r>
        <w:t xml:space="preserve">“</w:t>
      </w:r>
      <w:r>
        <w:t xml:space="preserve">Equity Schedule</w:t>
      </w:r>
      <w:r>
        <w:t xml:space="preserve">”</w:t>
      </w:r>
      <w:r>
        <w:t xml:space="preserve">); (v) the director and officer questionnaire responses (the</w:t>
      </w:r>
      <w:r>
        <w:t xml:space="preserve"> </w:t>
      </w:r>
      <w:r>
        <w:t xml:space="preserve">“</w:t>
      </w:r>
      <w:r>
        <w:t xml:space="preserve">D&amp;O Questionnaires</w:t>
      </w:r>
      <w:r>
        <w:t xml:space="preserve">”</w:t>
      </w:r>
      <w:r>
        <w:t xml:space="preserve">); (vi) the term loan summary (the</w:t>
      </w:r>
      <w:r>
        <w:t xml:space="preserve"> </w:t>
      </w:r>
      <w:r>
        <w:t xml:space="preserve">“</w:t>
      </w:r>
      <w:r>
        <w:t xml:space="preserve">Term Loan Summary</w:t>
      </w:r>
      <w:r>
        <w:t xml:space="preserve">”</w:t>
      </w:r>
      <w:r>
        <w:t xml:space="preserve">); (vii) the underwriting term sheet and lock-up (the</w:t>
      </w:r>
      <w:r>
        <w:t xml:space="preserve"> </w:t>
      </w:r>
      <w:r>
        <w:t xml:space="preserve">“</w:t>
      </w:r>
      <w:r>
        <w:t xml:space="preserve">Term Sheet</w:t>
      </w:r>
      <w:r>
        <w:t xml:space="preserve">”</w:t>
      </w:r>
      <w:r>
        <w:t xml:space="preserve">); and (viii) the draft roadshow presentation (the</w:t>
      </w:r>
      <w:r>
        <w:t xml:space="preserve"> </w:t>
      </w:r>
      <w:r>
        <w:t xml:space="preserve">“</w:t>
      </w:r>
      <w:r>
        <w:t xml:space="preserve">Roadshow</w:t>
      </w:r>
      <w:r>
        <w:t xml:space="preserve">”</w:t>
      </w:r>
      <w:r>
        <w:t xml:space="preserve">).</w:t>
      </w:r>
    </w:p>
    <w:p>
      <w:pPr>
        <w:pStyle w:val="BodyText"/>
      </w:pPr>
      <w:r>
        <w:t xml:space="preserve">Each item is rated by severity:</w:t>
      </w:r>
      <w:r>
        <w:t xml:space="preserve"> </w:t>
      </w:r>
      <w:r>
        <w:rPr>
          <w:b/>
          <w:bCs/>
        </w:rPr>
        <w:t xml:space="preserve">High</w:t>
      </w:r>
      <w:r>
        <w:t xml:space="preserve"> </w:t>
      </w:r>
      <w:r>
        <w:t xml:space="preserve">(must be resolved before filing; potential SEC comment, liability, or material misstatement risk),</w:t>
      </w:r>
      <w:r>
        <w:t xml:space="preserve"> </w:t>
      </w:r>
      <w:r>
        <w:rPr>
          <w:b/>
          <w:bCs/>
        </w:rPr>
        <w:t xml:space="preserve">Medium</w:t>
      </w:r>
      <w:r>
        <w:t xml:space="preserve"> </w:t>
      </w:r>
      <w:r>
        <w:t xml:space="preserve">(should be resolved before filing; disclosure accuracy or consistency), and</w:t>
      </w:r>
      <w:r>
        <w:t xml:space="preserve"> </w:t>
      </w:r>
      <w:r>
        <w:rPr>
          <w:b/>
          <w:bCs/>
        </w:rPr>
        <w:t xml:space="preserve">Low</w:t>
      </w:r>
      <w:r>
        <w:t xml:space="preserve"> </w:t>
      </w:r>
      <w:r>
        <w:t xml:space="preserve">(confirm and reconcile; minor accuracy). The Draft S-1 has been prepared using the Audited Financials as the authoritative source for all financial figures, and reflects corrections to certain errors identified below. This memorandum should be read together with the Draft S-1.</w:t>
      </w:r>
    </w:p>
    <w:bookmarkEnd w:id="21"/>
    <w:bookmarkStart w:id="22" w:name="ii.-executive-summary"/>
    <w:p>
      <w:pPr>
        <w:pStyle w:val="Heading2"/>
      </w:pPr>
      <w:r>
        <w:t xml:space="preserve">II. Executive Summary</w:t>
      </w:r>
    </w:p>
    <w:p>
      <w:pPr>
        <w:pStyle w:val="FirstParagraph"/>
      </w:pPr>
      <w:r>
        <w:t xml:space="preserve">We identified</w:t>
      </w:r>
      <w:r>
        <w:t xml:space="preserve"> </w:t>
      </w:r>
      <w:r>
        <w:rPr>
          <w:b/>
          <w:bCs/>
        </w:rPr>
        <w:t xml:space="preserve">37 discrete items</w:t>
      </w:r>
      <w:r>
        <w:t xml:space="preserve"> </w:t>
      </w:r>
      <w:r>
        <w:t xml:space="preserve">requiring attention, of which</w:t>
      </w:r>
      <w:r>
        <w:t xml:space="preserve"> </w:t>
      </w:r>
      <w:r>
        <w:rPr>
          <w:b/>
          <w:bCs/>
        </w:rPr>
        <w:t xml:space="preserve">16 are High severity</w:t>
      </w:r>
      <w:r>
        <w:t xml:space="preserve">,</w:t>
      </w:r>
      <w:r>
        <w:t xml:space="preserve"> </w:t>
      </w:r>
      <w:r>
        <w:rPr>
          <w:b/>
          <w:bCs/>
        </w:rPr>
        <w:t xml:space="preserve">17 are Medium severity</w:t>
      </w:r>
      <w:r>
        <w:t xml:space="preserve">, and</w:t>
      </w:r>
      <w:r>
        <w:t xml:space="preserve"> </w:t>
      </w:r>
      <w:r>
        <w:rPr>
          <w:b/>
          <w:bCs/>
        </w:rPr>
        <w:t xml:space="preserve">4 are Low severity</w:t>
      </w:r>
      <w:r>
        <w:t xml:space="preserve">. The most significant findings are:</w:t>
      </w:r>
    </w:p>
    <w:p>
      <w:pPr>
        <w:numPr>
          <w:ilvl w:val="0"/>
          <w:numId w:val="1001"/>
        </w:numPr>
      </w:pPr>
      <w:r>
        <w:rPr>
          <w:b/>
          <w:bCs/>
        </w:rPr>
        <w:t xml:space="preserve">Adjusted EBITDA reconciliation error.</w:t>
      </w:r>
      <w:r>
        <w:t xml:space="preserve"> </w:t>
      </w:r>
      <w:r>
        <w:t xml:space="preserve">The CFO Memo and Roadshow state FY2024 Adjusted EBITDA of $22.8 million, but the stated add-backs arithmetically yield $20.5 million. The FY2023 figure of $7.6 million is based on inputs that do not match the Audited Financials (correct figure: $3.5 million). Presenting an incorrect non-GAAP reconciliation risks a Regulation G / Item 10(e) violation. (Item A1)</w:t>
      </w:r>
    </w:p>
    <w:p>
      <w:pPr>
        <w:numPr>
          <w:ilvl w:val="0"/>
          <w:numId w:val="1001"/>
        </w:numPr>
      </w:pPr>
      <w:r>
        <w:rPr>
          <w:b/>
          <w:bCs/>
        </w:rPr>
        <w:t xml:space="preserve">Term loan balance does not reconcile to the cash flow statement.</w:t>
      </w:r>
      <w:r>
        <w:t xml:space="preserve"> </w:t>
      </w:r>
      <w:r>
        <w:t xml:space="preserve">The Audited Financials report a $40.0 million term loan balance at both December 31, 2023 and 2024, but the cash flow statement reports a $5.0 million repayment in FY2024 with no offsetting borrowings. (Item A5)</w:t>
      </w:r>
    </w:p>
    <w:p>
      <w:pPr>
        <w:numPr>
          <w:ilvl w:val="0"/>
          <w:numId w:val="1001"/>
        </w:numPr>
      </w:pPr>
      <w:r>
        <w:rPr>
          <w:b/>
          <w:bCs/>
        </w:rPr>
        <w:t xml:space="preserve">Term loan date and lender name inconsistent across documents.</w:t>
      </w:r>
      <w:r>
        <w:t xml:space="preserve"> </w:t>
      </w:r>
      <w:r>
        <w:t xml:space="preserve">The Audited Financials state the facility was entered into in June 2023; the Term Loan Summary states December 15, 2022. The lender is referred to as both</w:t>
      </w:r>
      <w:r>
        <w:t xml:space="preserve"> </w:t>
      </w:r>
      <w:r>
        <w:t xml:space="preserve">“</w:t>
      </w:r>
      <w:r>
        <w:t xml:space="preserve">Kestridge West Credit Partners</w:t>
      </w:r>
      <w:r>
        <w:t xml:space="preserve">”</w:t>
      </w:r>
      <w:r>
        <w:t xml:space="preserve"> </w:t>
      </w:r>
      <w:r>
        <w:t xml:space="preserve">and</w:t>
      </w:r>
      <w:r>
        <w:t xml:space="preserve"> </w:t>
      </w:r>
      <w:r>
        <w:t xml:space="preserve">“</w:t>
      </w:r>
      <w:r>
        <w:t xml:space="preserve">Silicon Valley Credit Partners.</w:t>
      </w:r>
      <w:r>
        <w:t xml:space="preserve">”</w:t>
      </w:r>
      <w:r>
        <w:t xml:space="preserve"> </w:t>
      </w:r>
      <w:r>
        <w:t xml:space="preserve">(Items B1, B2)</w:t>
      </w:r>
    </w:p>
    <w:p>
      <w:pPr>
        <w:numPr>
          <w:ilvl w:val="0"/>
          <w:numId w:val="1001"/>
        </w:numPr>
      </w:pPr>
      <w:r>
        <w:rPr>
          <w:b/>
          <w:bCs/>
        </w:rPr>
        <w:t xml:space="preserve">409A valuation history and equity award activity inconsistent</w:t>
      </w:r>
      <w:r>
        <w:t xml:space="preserve"> </w:t>
      </w:r>
      <w:r>
        <w:t xml:space="preserve">between the Audited Financials and the Equity Schedule, including a cheap-stock risk on Q1 2023 option grants priced at $9.50 shortly before a $14.20 valuation and a $24.00 Series D round. (Items C1–C4)</w:t>
      </w:r>
    </w:p>
    <w:p>
      <w:pPr>
        <w:numPr>
          <w:ilvl w:val="0"/>
          <w:numId w:val="1001"/>
        </w:numPr>
      </w:pPr>
      <w:r>
        <w:rPr>
          <w:b/>
          <w:bCs/>
        </w:rPr>
        <w:t xml:space="preserve">Board size and controlled-company status unresolved.</w:t>
      </w:r>
      <w:r>
        <w:t xml:space="preserve"> </w:t>
      </w:r>
      <w:r>
        <w:t xml:space="preserve">The Charter provides for seven directors, but only six are identified; no board resolution electing the controlled-company exemption is on record. (Items D1, D2)</w:t>
      </w:r>
    </w:p>
    <w:p>
      <w:pPr>
        <w:numPr>
          <w:ilvl w:val="0"/>
          <w:numId w:val="1001"/>
        </w:numPr>
      </w:pPr>
      <w:r>
        <w:rPr>
          <w:b/>
          <w:bCs/>
        </w:rPr>
        <w:t xml:space="preserve">Related-party disclosure gaps.</w:t>
      </w:r>
      <w:r>
        <w:t xml:space="preserve"> </w:t>
      </w:r>
      <w:r>
        <w:t xml:space="preserve">The Vantara Logistics related-party relationship is omitted from the CFO Memo and the Roadshow, and the Series B investor Aldersgate Capital’s current ownership is unconfirmed. (Items E1, E2)</w:t>
      </w:r>
    </w:p>
    <w:p>
      <w:pPr>
        <w:numPr>
          <w:ilvl w:val="0"/>
          <w:numId w:val="1001"/>
        </w:numPr>
      </w:pPr>
      <w:r>
        <w:rPr>
          <w:b/>
          <w:bCs/>
        </w:rPr>
        <w:t xml:space="preserve">Filing-date / audit-report-date sequencing issue.</w:t>
      </w:r>
      <w:r>
        <w:t xml:space="preserve"> </w:t>
      </w:r>
      <w:r>
        <w:t xml:space="preserve">The Audited Financials state the S-1 was filed in February 2025, but the audit report is dated “March __, 2025” and the CFO Memo targets a March 2025 filing. (Item G1)</w:t>
      </w:r>
    </w:p>
    <w:p>
      <w:pPr>
        <w:pStyle w:val="FirstParagraph"/>
      </w:pPr>
      <w:r>
        <w:t xml:space="preserve">A summary table of all items appears in Section IV.</w:t>
      </w:r>
    </w:p>
    <w:bookmarkEnd w:id="22"/>
    <w:bookmarkStart w:id="31" w:name="iii.-detailed-findings"/>
    <w:p>
      <w:pPr>
        <w:pStyle w:val="Heading2"/>
      </w:pPr>
      <w:r>
        <w:t xml:space="preserve">III. Detailed Findings</w:t>
      </w:r>
    </w:p>
    <w:bookmarkStart w:id="23" w:name="X46b258a8f7349ace29297e754b33fa05bb6b013"/>
    <w:p>
      <w:pPr>
        <w:pStyle w:val="Heading3"/>
      </w:pPr>
      <w:r>
        <w:t xml:space="preserve">A. Financial Statement and Non-GAAP Measurement Issues</w:t>
      </w:r>
    </w:p>
    <w:p>
      <w:pPr>
        <w:pStyle w:val="FirstParagraph"/>
      </w:pPr>
      <w:r>
        <w:rPr>
          <w:b/>
          <w:bCs/>
        </w:rPr>
        <w:t xml:space="preserve">A1. [High] Adjusted EBITDA reconciliation does not foot; FY2023 inputs do not match the Audited Financials.</w:t>
      </w:r>
    </w:p>
    <w:p>
      <w:pPr>
        <w:pStyle w:val="BodyText"/>
      </w:pPr>
      <w:r>
        <w:t xml:space="preserve">The CFO Memo (Section 5.2) and the Roadshow (Slides 3, 23, 34, and 35) state FY2024 Adjusted EBITDA of $22.8 million. However, the stated add-backs do not sum to that figure: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FY2024 Reconciliation (as stated)</w:t>
            </w:r>
          </w:p>
        </w:tc>
        <w:tc>
          <w:tcPr/>
          <w:p>
            <w:pPr>
              <w:pStyle w:val="Compact"/>
              <w:jc w:val="right"/>
            </w:pPr>
            <w:r>
              <w:t xml:space="preserve">Amount ($M)</w:t>
            </w:r>
          </w:p>
        </w:tc>
      </w:tr>
      <w:tr>
        <w:tc>
          <w:tcPr/>
          <w:p>
            <w:pPr>
              <w:pStyle w:val="Compact"/>
              <w:jc w:val="left"/>
            </w:pPr>
            <w:r>
              <w:t xml:space="preserve">Net loss (GAAP)</w:t>
            </w:r>
          </w:p>
        </w:tc>
        <w:tc>
          <w:tcPr/>
          <w:p>
            <w:pPr>
              <w:pStyle w:val="Compact"/>
              <w:jc w:val="right"/>
            </w:pPr>
            <w:r>
              <w:t xml:space="preserve">(24.8)</w:t>
            </w:r>
          </w:p>
        </w:tc>
      </w:tr>
      <w:tr>
        <w:tc>
          <w:tcPr/>
          <w:p>
            <w:pPr>
              <w:pStyle w:val="Compact"/>
              <w:jc w:val="left"/>
            </w:pPr>
            <w:r>
              <w:t xml:space="preserve">Add: Depreciation and amortization</w:t>
            </w:r>
          </w:p>
        </w:tc>
        <w:tc>
          <w:tcPr/>
          <w:p>
            <w:pPr>
              <w:pStyle w:val="Compact"/>
              <w:jc w:val="right"/>
            </w:pPr>
            <w:r>
              <w:t xml:space="preserve">8.7</w:t>
            </w:r>
          </w:p>
        </w:tc>
      </w:tr>
      <w:tr>
        <w:tc>
          <w:tcPr/>
          <w:p>
            <w:pPr>
              <w:pStyle w:val="Compact"/>
              <w:jc w:val="left"/>
            </w:pPr>
            <w:r>
              <w:t xml:space="preserve">Add: Stock-based compensation</w:t>
            </w:r>
          </w:p>
        </w:tc>
        <w:tc>
          <w:tcPr/>
          <w:p>
            <w:pPr>
              <w:pStyle w:val="Compact"/>
              <w:jc w:val="right"/>
            </w:pPr>
            <w:r>
              <w:t xml:space="preserve">38.2</w:t>
            </w:r>
          </w:p>
        </w:tc>
      </w:tr>
      <w:tr>
        <w:tc>
          <w:tcPr/>
          <w:p>
            <w:pPr>
              <w:pStyle w:val="Compact"/>
              <w:jc w:val="left"/>
            </w:pPr>
            <w:r>
              <w:t xml:space="preserve">Add: Interest expense</w:t>
            </w:r>
          </w:p>
        </w:tc>
        <w:tc>
          <w:tcPr/>
          <w:p>
            <w:pPr>
              <w:pStyle w:val="Compact"/>
              <w:jc w:val="right"/>
            </w:pPr>
            <w:r>
              <w:t xml:space="preserve">3.1</w:t>
            </w:r>
          </w:p>
        </w:tc>
      </w:tr>
      <w:tr>
        <w:tc>
          <w:tcPr/>
          <w:p>
            <w:pPr>
              <w:pStyle w:val="Compact"/>
              <w:jc w:val="left"/>
            </w:pPr>
            <w:r>
              <w:t xml:space="preserve">Less: Interest income</w:t>
            </w:r>
          </w:p>
        </w:tc>
        <w:tc>
          <w:tcPr/>
          <w:p>
            <w:pPr>
              <w:pStyle w:val="Compact"/>
              <w:jc w:val="right"/>
            </w:pPr>
            <w:r>
              <w:t xml:space="preserve">(6.2)</w:t>
            </w:r>
          </w:p>
        </w:tc>
      </w:tr>
      <w:tr>
        <w:tc>
          <w:tcPr/>
          <w:p>
            <w:pPr>
              <w:pStyle w:val="Compact"/>
              <w:jc w:val="left"/>
            </w:pPr>
            <w:r>
              <w:t xml:space="preserve">Add: Income tax provision</w:t>
            </w:r>
          </w:p>
        </w:tc>
        <w:tc>
          <w:tcPr/>
          <w:p>
            <w:pPr>
              <w:pStyle w:val="Compact"/>
              <w:jc w:val="right"/>
            </w:pPr>
            <w:r>
              <w:t xml:space="preserve">0.3</w:t>
            </w:r>
          </w:p>
        </w:tc>
      </w:tr>
      <w:tr>
        <w:tc>
          <w:tcPr/>
          <w:p>
            <w:pPr>
              <w:pStyle w:val="Compact"/>
              <w:jc w:val="left"/>
            </w:pPr>
            <w:r>
              <w:t xml:space="preserve">Add: Restructuring charges</w:t>
            </w:r>
          </w:p>
        </w:tc>
        <w:tc>
          <w:tcPr/>
          <w:p>
            <w:pPr>
              <w:pStyle w:val="Compact"/>
              <w:jc w:val="right"/>
            </w:pPr>
            <w:r>
              <w:t xml:space="preserve">1.2</w:t>
            </w:r>
          </w:p>
        </w:tc>
      </w:tr>
      <w:tr>
        <w:tc>
          <w:tcPr/>
          <w:p>
            <w:pPr>
              <w:pStyle w:val="Compact"/>
              <w:jc w:val="left"/>
            </w:pPr>
            <w:r>
              <w:rPr>
                <w:b/>
                <w:bCs/>
              </w:rPr>
              <w:t xml:space="preserve">Computed total</w:t>
            </w:r>
          </w:p>
        </w:tc>
        <w:tc>
          <w:tcPr/>
          <w:p>
            <w:pPr>
              <w:pStyle w:val="Compact"/>
              <w:jc w:val="right"/>
            </w:pPr>
            <w:r>
              <w:rPr>
                <w:b/>
                <w:bCs/>
              </w:rPr>
              <w:t xml:space="preserve">20.5</w:t>
            </w:r>
          </w:p>
        </w:tc>
      </w:tr>
      <w:tr>
        <w:tc>
          <w:tcPr/>
          <w:p>
            <w:pPr>
              <w:pStyle w:val="Compact"/>
              <w:jc w:val="left"/>
            </w:pPr>
            <w:r>
              <w:rPr>
                <w:b/>
                <w:bCs/>
              </w:rPr>
              <w:t xml:space="preserve">Amount stated</w:t>
            </w:r>
          </w:p>
        </w:tc>
        <w:tc>
          <w:tcPr/>
          <w:p>
            <w:pPr>
              <w:pStyle w:val="Compact"/>
              <w:jc w:val="right"/>
            </w:pPr>
            <w:r>
              <w:rPr>
                <w:b/>
                <w:bCs/>
              </w:rPr>
              <w:t xml:space="preserve">22.8</w:t>
            </w:r>
          </w:p>
        </w:tc>
      </w:tr>
      <w:tr>
        <w:tc>
          <w:tcPr/>
          <w:p>
            <w:pPr>
              <w:pStyle w:val="Compact"/>
              <w:jc w:val="left"/>
            </w:pPr>
            <w:r>
              <w:rPr>
                <w:b/>
                <w:bCs/>
              </w:rPr>
              <w:t xml:space="preserve">Unexplained discrepancy</w:t>
            </w:r>
          </w:p>
        </w:tc>
        <w:tc>
          <w:tcPr/>
          <w:p>
            <w:pPr>
              <w:pStyle w:val="Compact"/>
              <w:jc w:val="right"/>
            </w:pPr>
            <w:r>
              <w:rPr>
                <w:b/>
                <w:bCs/>
              </w:rPr>
              <w:t xml:space="preserve">2.3</w:t>
            </w:r>
          </w:p>
        </w:tc>
      </w:tr>
    </w:tbl>
    <w:p>
      <w:pPr>
        <w:pStyle w:val="BodyText"/>
      </w:pPr>
      <w:r>
        <w:t xml:space="preserve">The Roadshow’s own notes acknowledge this error. The Draft S-1 reflects the corrected $20.5 million (and a corrected margin of approximately 10.9%, not the 12.2% stated in the Roadshow).</w:t>
      </w:r>
    </w:p>
    <w:p>
      <w:pPr>
        <w:pStyle w:val="BodyText"/>
      </w:pPr>
      <w:r>
        <w:t xml:space="preserve">The FY2023 Adjusted EBITDA of $7.6 million stated in the CFO Memo is based on inputs that do not match the Audited Financials: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FY2023 line item</w:t>
            </w:r>
          </w:p>
        </w:tc>
        <w:tc>
          <w:tcPr/>
          <w:p>
            <w:pPr>
              <w:pStyle w:val="Compact"/>
              <w:jc w:val="right"/>
            </w:pPr>
            <w:r>
              <w:t xml:space="preserve">CFO Memo</w:t>
            </w:r>
          </w:p>
        </w:tc>
        <w:tc>
          <w:tcPr/>
          <w:p>
            <w:pPr>
              <w:pStyle w:val="Compact"/>
              <w:jc w:val="right"/>
            </w:pPr>
            <w:r>
              <w:t xml:space="preserve">Audited Financials</w:t>
            </w:r>
          </w:p>
        </w:tc>
      </w:tr>
      <w:tr>
        <w:tc>
          <w:tcPr/>
          <w:p>
            <w:pPr>
              <w:pStyle w:val="Compact"/>
              <w:jc w:val="left"/>
            </w:pPr>
            <w:r>
              <w:t xml:space="preserve">Stock-based compensation</w:t>
            </w:r>
          </w:p>
        </w:tc>
        <w:tc>
          <w:tcPr/>
          <w:p>
            <w:pPr>
              <w:pStyle w:val="Compact"/>
              <w:jc w:val="right"/>
            </w:pPr>
            <w:r>
              <w:t xml:space="preserve">$29.1M</w:t>
            </w:r>
          </w:p>
        </w:tc>
        <w:tc>
          <w:tcPr/>
          <w:p>
            <w:pPr>
              <w:pStyle w:val="Compact"/>
              <w:jc w:val="right"/>
            </w:pPr>
            <w:r>
              <w:t xml:space="preserve">$26.4M</w:t>
            </w:r>
          </w:p>
        </w:tc>
      </w:tr>
      <w:tr>
        <w:tc>
          <w:tcPr/>
          <w:p>
            <w:pPr>
              <w:pStyle w:val="Compact"/>
              <w:jc w:val="left"/>
            </w:pPr>
            <w:r>
              <w:t xml:space="preserve">Depreciation and amortization</w:t>
            </w:r>
          </w:p>
        </w:tc>
        <w:tc>
          <w:tcPr/>
          <w:p>
            <w:pPr>
              <w:pStyle w:val="Compact"/>
              <w:jc w:val="right"/>
            </w:pPr>
            <w:r>
              <w:t xml:space="preserve">$6.9M</w:t>
            </w:r>
          </w:p>
        </w:tc>
        <w:tc>
          <w:tcPr/>
          <w:p>
            <w:pPr>
              <w:pStyle w:val="Compact"/>
              <w:jc w:val="right"/>
            </w:pPr>
            <w:r>
              <w:t xml:space="preserve">$7.1M (per cash flow statement)</w:t>
            </w:r>
          </w:p>
        </w:tc>
      </w:tr>
      <w:tr>
        <w:tc>
          <w:tcPr/>
          <w:p>
            <w:pPr>
              <w:pStyle w:val="Compact"/>
              <w:jc w:val="left"/>
            </w:pPr>
            <w:r>
              <w:t xml:space="preserve">Interest income</w:t>
            </w:r>
          </w:p>
        </w:tc>
        <w:tc>
          <w:tcPr/>
          <w:p>
            <w:pPr>
              <w:pStyle w:val="Compact"/>
              <w:jc w:val="right"/>
            </w:pPr>
            <w:r>
              <w:t xml:space="preserve">$4.6M</w:t>
            </w:r>
          </w:p>
        </w:tc>
        <w:tc>
          <w:tcPr/>
          <w:p>
            <w:pPr>
              <w:pStyle w:val="Compact"/>
              <w:jc w:val="right"/>
            </w:pPr>
            <w:r>
              <w:t xml:space="preserve">$5.8M</w:t>
            </w:r>
          </w:p>
        </w:tc>
      </w:tr>
      <w:tr>
        <w:tc>
          <w:tcPr/>
          <w:p>
            <w:pPr>
              <w:pStyle w:val="Compact"/>
              <w:jc w:val="left"/>
            </w:pPr>
            <w:r>
              <w:t xml:space="preserve">Interest expense</w:t>
            </w:r>
          </w:p>
        </w:tc>
        <w:tc>
          <w:tcPr/>
          <w:p>
            <w:pPr>
              <w:pStyle w:val="Compact"/>
              <w:jc w:val="right"/>
            </w:pPr>
            <w:r>
              <w:t xml:space="preserve">$2.8M</w:t>
            </w:r>
          </w:p>
        </w:tc>
        <w:tc>
          <w:tcPr/>
          <w:p>
            <w:pPr>
              <w:pStyle w:val="Compact"/>
              <w:jc w:val="right"/>
            </w:pPr>
            <w:r>
              <w:t xml:space="preserve">$3.1M</w:t>
            </w:r>
          </w:p>
        </w:tc>
      </w:tr>
      <w:tr>
        <w:tc>
          <w:tcPr/>
          <w:p>
            <w:pPr>
              <w:pStyle w:val="Compact"/>
              <w:jc w:val="left"/>
            </w:pPr>
            <w:r>
              <w:t xml:space="preserve">Income tax provision</w:t>
            </w:r>
          </w:p>
        </w:tc>
        <w:tc>
          <w:tcPr/>
          <w:p>
            <w:pPr>
              <w:pStyle w:val="Compact"/>
              <w:jc w:val="right"/>
            </w:pPr>
            <w:r>
              <w:t xml:space="preserve">$0.2M</w:t>
            </w:r>
          </w:p>
        </w:tc>
        <w:tc>
          <w:tcPr/>
          <w:p>
            <w:pPr>
              <w:pStyle w:val="Compact"/>
              <w:jc w:val="right"/>
            </w:pPr>
            <w:r>
              <w:t xml:space="preserve">$0.1M</w:t>
            </w:r>
          </w:p>
        </w:tc>
      </w:tr>
      <w:tr>
        <w:tc>
          <w:tcPr/>
          <w:p>
            <w:pPr>
              <w:pStyle w:val="Compact"/>
              <w:jc w:val="left"/>
            </w:pPr>
            <w:r>
              <w:t xml:space="preserve">Restructuring charges</w:t>
            </w:r>
          </w:p>
        </w:tc>
        <w:tc>
          <w:tcPr/>
          <w:p>
            <w:pPr>
              <w:pStyle w:val="Compact"/>
              <w:jc w:val="right"/>
            </w:pPr>
            <w:r>
              <w:t xml:space="preserve">$0.6M</w:t>
            </w:r>
          </w:p>
        </w:tc>
        <w:tc>
          <w:tcPr/>
          <w:p>
            <w:pPr>
              <w:pStyle w:val="Compact"/>
              <w:jc w:val="right"/>
            </w:pPr>
            <w:r>
              <w:t xml:space="preserve">$0 (none recorded in FY2023)</w:t>
            </w:r>
          </w:p>
        </w:tc>
      </w:tr>
    </w:tbl>
    <w:p>
      <w:pPr>
        <w:pStyle w:val="BodyText"/>
      </w:pPr>
      <w:r>
        <w:t xml:space="preserve">Using the Audited Financials inputs, FY2023 Adjusted EBITDA is $3.5 million, not $7.6 million.</w:t>
      </w:r>
    </w:p>
    <w:p>
      <w:pPr>
        <w:pStyle w:val="BodyText"/>
      </w:pPr>
      <w:r>
        <w:rPr>
          <w:i/>
          <w:iCs/>
        </w:rPr>
        <w:t xml:space="preserve">Recommended action:</w:t>
      </w:r>
      <w:r>
        <w:t xml:space="preserve"> </w:t>
      </w:r>
      <w:r>
        <w:t xml:space="preserve">Recompute Adjusted EBITDA for both years using only inputs that tie to the Audited Financials; reconcile every add-back to a specific line in the audited statements; correct the Roadshow and all investor materials; confirm the non-GAAP presentation complies with Regulation G and Item 10(e) of Regulation S-K before filing.</w:t>
      </w:r>
    </w:p>
    <w:p>
      <w:pPr>
        <w:pStyle w:val="BodyText"/>
      </w:pPr>
      <w:r>
        <w:rPr>
          <w:b/>
          <w:bCs/>
        </w:rPr>
        <w:t xml:space="preserve">A2. [High] Professional services described as</w:t>
      </w:r>
      <w:r>
        <w:rPr>
          <w:b/>
          <w:bCs/>
        </w:rPr>
        <w:t xml:space="preserve"> </w:t>
      </w:r>
      <w:r>
        <w:rPr>
          <w:b/>
          <w:bCs/>
        </w:rPr>
        <w:t xml:space="preserve">“</w:t>
      </w:r>
      <w:r>
        <w:rPr>
          <w:b/>
          <w:bCs/>
        </w:rPr>
        <w:t xml:space="preserve">high-margin</w:t>
      </w:r>
      <w:r>
        <w:rPr>
          <w:b/>
          <w:bCs/>
        </w:rPr>
        <w:t xml:space="preserve">”</w:t>
      </w:r>
      <w:r>
        <w:rPr>
          <w:b/>
          <w:bCs/>
        </w:rPr>
        <w:t xml:space="preserve"> </w:t>
      </w:r>
      <w:r>
        <w:rPr>
          <w:b/>
          <w:bCs/>
        </w:rPr>
        <w:t xml:space="preserve">despite a negative gross margin.</w:t>
      </w:r>
    </w:p>
    <w:p>
      <w:pPr>
        <w:pStyle w:val="BodyText"/>
      </w:pPr>
      <w:r>
        <w:t xml:space="preserve">The Roadshow (Slides 12, 17, 21, and 27) describes professional services as</w:t>
      </w:r>
      <w:r>
        <w:t xml:space="preserve"> </w:t>
      </w:r>
      <w:r>
        <w:t xml:space="preserve">“</w:t>
      </w:r>
      <w:r>
        <w:t xml:space="preserve">high-margin and accretive</w:t>
      </w:r>
      <w:r>
        <w:t xml:space="preserve">”</w:t>
      </w:r>
      <w:r>
        <w:t xml:space="preserve"> </w:t>
      </w:r>
      <w:r>
        <w:t xml:space="preserve">and projects 15–20% gross margins. The Audited Financials show professional services revenue of $18.7 million against professional services cost of revenue of $18.8 million, a gross margin of approximately (0.5)%. The Roadshow appendix (Slide 35) correctly shows professional services at (0.5)%, creating an internal inconsistency within the same presentation. The Draft S-1 discloses the (0.5)% margin.</w:t>
      </w:r>
    </w:p>
    <w:p>
      <w:pPr>
        <w:pStyle w:val="BodyText"/>
      </w:pPr>
      <w:r>
        <w:rPr>
          <w:i/>
          <w:iCs/>
        </w:rPr>
        <w:t xml:space="preserve">Recommended action:</w:t>
      </w:r>
      <w:r>
        <w:t xml:space="preserve"> </w:t>
      </w:r>
      <w:r>
        <w:t xml:space="preserve">Remove</w:t>
      </w:r>
      <w:r>
        <w:t xml:space="preserve"> </w:t>
      </w:r>
      <w:r>
        <w:t xml:space="preserve">“</w:t>
      </w:r>
      <w:r>
        <w:t xml:space="preserve">high-margin</w:t>
      </w:r>
      <w:r>
        <w:t xml:space="preserve">”</w:t>
      </w:r>
      <w:r>
        <w:t xml:space="preserve"> </w:t>
      </w:r>
      <w:r>
        <w:t xml:space="preserve">language from all investor materials; disclose the current negative professional services margin in the S-1; if forward-looking margin targets are presented, frame them as targets with appropriate cautionary language and reconcile to current results.</w:t>
      </w:r>
    </w:p>
    <w:p>
      <w:pPr>
        <w:pStyle w:val="BodyText"/>
      </w:pPr>
      <w:r>
        <w:rPr>
          <w:b/>
          <w:bCs/>
        </w:rPr>
        <w:t xml:space="preserve">A3. [Medium] CFO Memo condensed balance sheet differs from the Audited Financials.</w:t>
      </w:r>
    </w:p>
    <w:p>
      <w:pPr>
        <w:pStyle w:val="BodyText"/>
      </w:pPr>
      <w:r>
        <w:t xml:space="preserve">The CFO Memo (Section 6.1) reports the following balances, which differ from the Audited Financials: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Balance sheet line</w:t>
            </w:r>
          </w:p>
        </w:tc>
        <w:tc>
          <w:tcPr/>
          <w:p>
            <w:pPr>
              <w:pStyle w:val="Compact"/>
              <w:jc w:val="right"/>
            </w:pPr>
            <w:r>
              <w:t xml:space="preserve">CFO Memo</w:t>
            </w:r>
          </w:p>
        </w:tc>
        <w:tc>
          <w:tcPr/>
          <w:p>
            <w:pPr>
              <w:pStyle w:val="Compact"/>
              <w:jc w:val="right"/>
            </w:pPr>
            <w:r>
              <w:t xml:space="preserve">Audited Financials</w:t>
            </w:r>
          </w:p>
        </w:tc>
      </w:tr>
      <w:tr>
        <w:tc>
          <w:tcPr/>
          <w:p>
            <w:pPr>
              <w:pStyle w:val="Compact"/>
              <w:jc w:val="left"/>
            </w:pPr>
            <w:r>
              <w:t xml:space="preserve">Accounts receivable, net</w:t>
            </w:r>
          </w:p>
        </w:tc>
        <w:tc>
          <w:tcPr/>
          <w:p>
            <w:pPr>
              <w:pStyle w:val="Compact"/>
              <w:jc w:val="right"/>
            </w:pPr>
            <w:r>
              <w:t xml:space="preserve">$28.2M</w:t>
            </w:r>
          </w:p>
        </w:tc>
        <w:tc>
          <w:tcPr/>
          <w:p>
            <w:pPr>
              <w:pStyle w:val="Compact"/>
              <w:jc w:val="right"/>
            </w:pPr>
            <w:r>
              <w:t xml:space="preserve">$29.8M</w:t>
            </w:r>
          </w:p>
        </w:tc>
      </w:tr>
      <w:tr>
        <w:tc>
          <w:tcPr/>
          <w:p>
            <w:pPr>
              <w:pStyle w:val="Compact"/>
              <w:jc w:val="left"/>
            </w:pPr>
            <w:r>
              <w:t xml:space="preserve">Prepaid expenses and other current assets</w:t>
            </w:r>
          </w:p>
        </w:tc>
        <w:tc>
          <w:tcPr/>
          <w:p>
            <w:pPr>
              <w:pStyle w:val="Compact"/>
              <w:jc w:val="right"/>
            </w:pPr>
            <w:r>
              <w:t xml:space="preserve">$13.2M</w:t>
            </w:r>
          </w:p>
        </w:tc>
        <w:tc>
          <w:tcPr/>
          <w:p>
            <w:pPr>
              <w:pStyle w:val="Compact"/>
              <w:jc w:val="right"/>
            </w:pPr>
            <w:r>
              <w:t xml:space="preserve">$11.6M</w:t>
            </w:r>
          </w:p>
        </w:tc>
      </w:tr>
      <w:tr>
        <w:tc>
          <w:tcPr/>
          <w:p>
            <w:pPr>
              <w:pStyle w:val="Compact"/>
              <w:jc w:val="left"/>
            </w:pPr>
            <w:r>
              <w:t xml:space="preserve">Accounts payable</w:t>
            </w:r>
          </w:p>
        </w:tc>
        <w:tc>
          <w:tcPr/>
          <w:p>
            <w:pPr>
              <w:pStyle w:val="Compact"/>
              <w:jc w:val="right"/>
            </w:pPr>
            <w:r>
              <w:t xml:space="preserve">$9.8M</w:t>
            </w:r>
          </w:p>
        </w:tc>
        <w:tc>
          <w:tcPr/>
          <w:p>
            <w:pPr>
              <w:pStyle w:val="Compact"/>
              <w:jc w:val="right"/>
            </w:pPr>
            <w:r>
              <w:t xml:space="preserve">$8.2M</w:t>
            </w:r>
          </w:p>
        </w:tc>
      </w:tr>
      <w:tr>
        <w:tc>
          <w:tcPr/>
          <w:p>
            <w:pPr>
              <w:pStyle w:val="Compact"/>
              <w:jc w:val="left"/>
            </w:pPr>
            <w:r>
              <w:t xml:space="preserve">Accrued liabilities</w:t>
            </w:r>
          </w:p>
        </w:tc>
        <w:tc>
          <w:tcPr/>
          <w:p>
            <w:pPr>
              <w:pStyle w:val="Compact"/>
              <w:jc w:val="right"/>
            </w:pPr>
            <w:r>
              <w:t xml:space="preserve">$14.7M</w:t>
            </w:r>
          </w:p>
        </w:tc>
        <w:tc>
          <w:tcPr/>
          <w:p>
            <w:pPr>
              <w:pStyle w:val="Compact"/>
              <w:jc w:val="right"/>
            </w:pPr>
            <w:r>
              <w:t xml:space="preserve">$12.1M</w:t>
            </w:r>
          </w:p>
        </w:tc>
      </w:tr>
    </w:tbl>
    <w:p>
      <w:pPr>
        <w:pStyle w:val="BodyText"/>
      </w:pPr>
      <w:r>
        <w:t xml:space="preserve">The Draft S-1 uses the Audited Financials figures.</w:t>
      </w:r>
    </w:p>
    <w:p>
      <w:pPr>
        <w:pStyle w:val="BodyText"/>
      </w:pPr>
      <w:r>
        <w:rPr>
          <w:i/>
          <w:iCs/>
        </w:rPr>
        <w:t xml:space="preserve">Recommended action:</w:t>
      </w:r>
      <w:r>
        <w:t xml:space="preserve"> </w:t>
      </w:r>
      <w:r>
        <w:t xml:space="preserve">Reconcile the CFO Memo to the Audited Financials; use only audited figures in the S-1 and all offering documents.</w:t>
      </w:r>
    </w:p>
    <w:p>
      <w:pPr>
        <w:pStyle w:val="BodyText"/>
      </w:pPr>
      <w:r>
        <w:rPr>
          <w:b/>
          <w:bCs/>
        </w:rPr>
        <w:t xml:space="preserve">A4. [Medium] CFO Memo FY2023 revenue mix differs from the Audited Financials.</w:t>
      </w:r>
    </w:p>
    <w:p>
      <w:pPr>
        <w:pStyle w:val="BodyText"/>
      </w:pPr>
      <w:r>
        <w:t xml:space="preserve">The CFO Memo (Section 4.1) reports FY2023 subscription revenue of $113.4 million and professional services revenue of $15.5 million. The Audited Financials report FY2023 subscription revenue of $116.4 million and professional services revenue of $12.5 million. The Draft S-1 uses the audited figures.</w:t>
      </w:r>
    </w:p>
    <w:p>
      <w:pPr>
        <w:pStyle w:val="BodyText"/>
      </w:pPr>
      <w:r>
        <w:rPr>
          <w:i/>
          <w:iCs/>
        </w:rPr>
        <w:t xml:space="preserve">Recommended action:</w:t>
      </w:r>
      <w:r>
        <w:t xml:space="preserve"> </w:t>
      </w:r>
      <w:r>
        <w:t xml:space="preserve">Use the audited figures ($116.4M subscription; $12.5M professional services) in the S-1.</w:t>
      </w:r>
    </w:p>
    <w:p>
      <w:pPr>
        <w:pStyle w:val="BodyText"/>
      </w:pPr>
      <w:r>
        <w:rPr>
          <w:b/>
          <w:bCs/>
        </w:rPr>
        <w:t xml:space="preserve">A5. [High] Term loan balance does not reconcile to the cash flow statement (internal inconsistency in the Audited Financials).</w:t>
      </w:r>
    </w:p>
    <w:p>
      <w:pPr>
        <w:pStyle w:val="BodyText"/>
      </w:pPr>
      <w:r>
        <w:t xml:space="preserve">The Audited Financials report a term loan balance of $40.0 million at both December 31, 2023 and December 31, 2024. However, the consolidated statement of cash flows reports (i) $15.0 million of term loan borrowings in FY2023 and (ii) a $5.0 million repayment in FY2024, with no offsetting borrowings in FY2024. A $5.0 million repayment with no corresponding draw should reduce the balance from $40.0 million to $35.0 million, yet the balance remains $40.0 million. Conversely, if the December 31, 2023 balance was $40.0 million, the $5.0 million FY2024 repayment implies a $45.0 million balance at December 31, 2023, which is not reflected. The debt rollforward therefore does not reconcile.</w:t>
      </w:r>
    </w:p>
    <w:p>
      <w:pPr>
        <w:pStyle w:val="BodyText"/>
      </w:pPr>
      <w:r>
        <w:rPr>
          <w:i/>
          <w:iCs/>
        </w:rPr>
        <w:t xml:space="preserve">Recommended action:</w:t>
      </w:r>
      <w:r>
        <w:t xml:space="preserve"> </w:t>
      </w:r>
      <w:r>
        <w:t xml:space="preserve">Reconcile the term loan rollforward (beginning balance + borrowings − repayments = ending balance) for FY2023 and FY2024; confirm whether additional draws occurred that are not reflected in the cash flow statement; correct the Audited Financials if necessary before filing, as the SEC will scrutinize debt-rollforward consistency.</w:t>
      </w:r>
    </w:p>
    <w:bookmarkEnd w:id="23"/>
    <w:bookmarkStart w:id="24" w:name="b.-debt-and-term-loan-issues"/>
    <w:p>
      <w:pPr>
        <w:pStyle w:val="Heading3"/>
      </w:pPr>
      <w:r>
        <w:t xml:space="preserve">B. Debt and Term Loan Issues</w:t>
      </w:r>
    </w:p>
    <w:p>
      <w:pPr>
        <w:pStyle w:val="FirstParagraph"/>
      </w:pPr>
      <w:r>
        <w:rPr>
          <w:b/>
          <w:bCs/>
        </w:rPr>
        <w:t xml:space="preserve">B1. [High] Date of the term loan facility is inconsistent.</w:t>
      </w:r>
    </w:p>
    <w:p>
      <w:pPr>
        <w:pStyle w:val="BodyText"/>
      </w:pPr>
      <w:r>
        <w:t xml:space="preserve">The Audited Financials (Note 8) state that</w:t>
      </w:r>
      <w:r>
        <w:t xml:space="preserve"> </w:t>
      </w:r>
      <w:r>
        <w:t xml:space="preserve">“</w:t>
      </w:r>
      <w:r>
        <w:t xml:space="preserve">In June 2023, the Company entered into a term loan facility with Kestridge West Credit Partners.</w:t>
      </w:r>
      <w:r>
        <w:t xml:space="preserve">”</w:t>
      </w:r>
      <w:r>
        <w:t xml:space="preserve"> </w:t>
      </w:r>
      <w:r>
        <w:t xml:space="preserve">The Term Loan Summary states that the Credit Agreement is</w:t>
      </w:r>
      <w:r>
        <w:t xml:space="preserve"> </w:t>
      </w:r>
      <w:r>
        <w:t xml:space="preserve">“</w:t>
      </w:r>
      <w:r>
        <w:t xml:space="preserve">Dated as of December 15, 2022,</w:t>
      </w:r>
      <w:r>
        <w:t xml:space="preserve">”</w:t>
      </w:r>
      <w:r>
        <w:t xml:space="preserve"> </w:t>
      </w:r>
      <w:r>
        <w:t xml:space="preserve">with a closing date of December 15, 2022 and an initial draw of $40.0 million on the closing date. These are inconsistent and have cascading effects on the debt rollforward (see Item A5).</w:t>
      </w:r>
    </w:p>
    <w:p>
      <w:pPr>
        <w:pStyle w:val="BodyText"/>
      </w:pPr>
      <w:r>
        <w:rPr>
          <w:i/>
          <w:iCs/>
        </w:rPr>
        <w:t xml:space="preserve">Recommended action:</w:t>
      </w:r>
      <w:r>
        <w:t xml:space="preserve"> </w:t>
      </w:r>
      <w:r>
        <w:t xml:space="preserve">Confirm the actual closing date from the Credit Agreement; correct Note 8 and the S-1 debt disclosure; reconcile the draw history.</w:t>
      </w:r>
    </w:p>
    <w:p>
      <w:pPr>
        <w:pStyle w:val="BodyText"/>
      </w:pPr>
      <w:r>
        <w:rPr>
          <w:b/>
          <w:bCs/>
        </w:rPr>
        <w:t xml:space="preserve">B2. [Medium] Term loan lender name is inconsistent.</w:t>
      </w:r>
    </w:p>
    <w:p>
      <w:pPr>
        <w:pStyle w:val="BodyText"/>
      </w:pPr>
      <w:r>
        <w:t xml:space="preserve">The Audited Financials, CFO Memo, and Term Sheet refer to the lender as</w:t>
      </w:r>
      <w:r>
        <w:t xml:space="preserve"> </w:t>
      </w:r>
      <w:r>
        <w:t xml:space="preserve">“</w:t>
      </w:r>
      <w:r>
        <w:t xml:space="preserve">Kestridge West Credit Partners.</w:t>
      </w:r>
      <w:r>
        <w:t xml:space="preserve">”</w:t>
      </w:r>
      <w:r>
        <w:t xml:space="preserve"> </w:t>
      </w:r>
      <w:r>
        <w:t xml:space="preserve">The Roadshow (Slides 20, 24, and 27) refers to</w:t>
      </w:r>
      <w:r>
        <w:t xml:space="preserve"> </w:t>
      </w:r>
      <w:r>
        <w:t xml:space="preserve">“</w:t>
      </w:r>
      <w:r>
        <w:t xml:space="preserve">Silicon Valley Credit Partners.</w:t>
      </w:r>
      <w:r>
        <w:t xml:space="preserve">”</w:t>
      </w:r>
      <w:r>
        <w:t xml:space="preserve"> </w:t>
      </w:r>
      <w:r>
        <w:t xml:space="preserve">The Term Loan Summary names the lender</w:t>
      </w:r>
      <w:r>
        <w:t xml:space="preserve"> </w:t>
      </w:r>
      <w:r>
        <w:t xml:space="preserve">“</w:t>
      </w:r>
      <w:r>
        <w:t xml:space="preserve">Kestridge West Credit Partners</w:t>
      </w:r>
      <w:r>
        <w:t xml:space="preserve">”</w:t>
      </w:r>
      <w:r>
        <w:t xml:space="preserve"> </w:t>
      </w:r>
      <w:r>
        <w:t xml:space="preserve">but abbreviates it</w:t>
      </w:r>
      <w:r>
        <w:t xml:space="preserve"> </w:t>
      </w:r>
      <w:r>
        <w:t xml:space="preserve">“</w:t>
      </w:r>
      <w:r>
        <w:t xml:space="preserve">SVCP,</w:t>
      </w:r>
      <w:r>
        <w:t xml:space="preserve">”</w:t>
      </w:r>
      <w:r>
        <w:t xml:space="preserve"> </w:t>
      </w:r>
      <w:r>
        <w:t xml:space="preserve">which corresponds to</w:t>
      </w:r>
      <w:r>
        <w:t xml:space="preserve"> </w:t>
      </w:r>
      <w:r>
        <w:t xml:space="preserve">“</w:t>
      </w:r>
      <w:r>
        <w:t xml:space="preserve">Silicon Valley Credit Partners.</w:t>
      </w:r>
      <w:r>
        <w:t xml:space="preserve">”</w:t>
      </w:r>
      <w:r>
        <w:t xml:space="preserve"> </w:t>
      </w:r>
      <w:r>
        <w:t xml:space="preserve">The Draft S-1 uses</w:t>
      </w:r>
      <w:r>
        <w:t xml:space="preserve"> </w:t>
      </w:r>
      <w:r>
        <w:t xml:space="preserve">“</w:t>
      </w:r>
      <w:r>
        <w:t xml:space="preserve">Kestridge West Credit Partners</w:t>
      </w:r>
      <w:r>
        <w:t xml:space="preserve">”</w:t>
      </w:r>
      <w:r>
        <w:t xml:space="preserve"> </w:t>
      </w:r>
      <w:r>
        <w:t xml:space="preserve">pending confirmation.</w:t>
      </w:r>
    </w:p>
    <w:p>
      <w:pPr>
        <w:pStyle w:val="BodyText"/>
      </w:pPr>
      <w:r>
        <w:rPr>
          <w:i/>
          <w:iCs/>
        </w:rPr>
        <w:t xml:space="preserve">Recommended action:</w:t>
      </w:r>
      <w:r>
        <w:t xml:space="preserve"> </w:t>
      </w:r>
      <w:r>
        <w:t xml:space="preserve">Confirm the lender’s correct legal name from the Credit Agreement; correct all references consistently; resolve the</w:t>
      </w:r>
      <w:r>
        <w:t xml:space="preserve"> </w:t>
      </w:r>
      <w:r>
        <w:t xml:space="preserve">“</w:t>
      </w:r>
      <w:r>
        <w:t xml:space="preserve">SVCP</w:t>
      </w:r>
      <w:r>
        <w:t xml:space="preserve">”</w:t>
      </w:r>
      <w:r>
        <w:t xml:space="preserve"> </w:t>
      </w:r>
      <w:r>
        <w:t xml:space="preserve">abbreviation in the Term Loan Summary.</w:t>
      </w:r>
    </w:p>
    <w:p>
      <w:pPr>
        <w:pStyle w:val="BodyText"/>
      </w:pPr>
      <w:r>
        <w:rPr>
          <w:b/>
          <w:bCs/>
        </w:rPr>
        <w:t xml:space="preserve">B3. [Medium] Change-of-control analysis uses an imprecise voting-power metric.</w:t>
      </w:r>
    </w:p>
    <w:p>
      <w:pPr>
        <w:pStyle w:val="BodyText"/>
      </w:pPr>
      <w:r>
        <w:t xml:space="preserve">Both the CFO Memo (Section 3.2) and the Term Loan Summary (Section 5.3) conclude that the IPO does not trigger a change of control because</w:t>
      </w:r>
      <w:r>
        <w:t xml:space="preserve"> </w:t>
      </w:r>
      <w:r>
        <w:t xml:space="preserve">“</w:t>
      </w:r>
      <w:r>
        <w:t xml:space="preserve">existing stockholders will retain approximately 71.8% of voting power.</w:t>
      </w:r>
      <w:r>
        <w:t xml:space="preserve">”</w:t>
      </w:r>
      <w:r>
        <w:t xml:space="preserve"> </w:t>
      </w:r>
      <w:r>
        <w:t xml:space="preserve">However, 71.8% is the co-founders’ Class B voting power alone. The Credit Agreement’s change-of-control definition (clause (b)) measures whether the</w:t>
      </w:r>
      <w:r>
        <w:t xml:space="preserve"> </w:t>
      </w:r>
      <w:r>
        <w:t xml:space="preserve">“</w:t>
      </w:r>
      <w:r>
        <w:t xml:space="preserve">Existing Holders</w:t>
      </w:r>
      <w:r>
        <w:t xml:space="preserve">”</w:t>
      </w:r>
      <w:r>
        <w:t xml:space="preserve"> </w:t>
      </w:r>
      <w:r>
        <w:t xml:space="preserve">(all pre-IPO stockholders) retain at least 50% of aggregate voting power. Post-IPO, the Existing Holders will retain approximately 94.8% of voting power (274,616,667 of 289,616,667 total votes: 208,000,000 Class B votes plus 66,616,667 Class A votes held by converted preferred and other pre-IPO common holders). The conclusion (no change of control) is correct under either measure, but the analysis cites the wrong metric.</w:t>
      </w:r>
    </w:p>
    <w:p>
      <w:pPr>
        <w:pStyle w:val="BodyText"/>
      </w:pPr>
      <w:r>
        <w:rPr>
          <w:i/>
          <w:iCs/>
        </w:rPr>
        <w:t xml:space="preserve">Recommended action:</w:t>
      </w:r>
      <w:r>
        <w:t xml:space="preserve"> </w:t>
      </w:r>
      <w:r>
        <w:t xml:space="preserve">Recompute the Existing Holders’ voting power (94.8%); revise the change-of-control analysis and the IPO notice to the lender accordingly; ensure the S-1 debt disclosure states the correct metric.</w:t>
      </w:r>
    </w:p>
    <w:p>
      <w:pPr>
        <w:pStyle w:val="BodyText"/>
      </w:pPr>
      <w:r>
        <w:rPr>
          <w:b/>
          <w:bCs/>
        </w:rPr>
        <w:t xml:space="preserve">B4. [Medium] 30-day IPO notice requirement and Optivance judgment-default threshold.</w:t>
      </w:r>
    </w:p>
    <w:p>
      <w:pPr>
        <w:pStyle w:val="BodyText"/>
      </w:pPr>
      <w:r>
        <w:t xml:space="preserve">The Credit Agreement (Section 7.14) requires written notice to the lender not less than 30 days before the IPO; failure to deliver is an event of default (subject to a 10-business-day cure). Separately, Section 8.1(h) provides that judgments exceeding $5.0 million that remain undischarged for 60 days constitute an event of default — directly relevant given the Optivance exposure estimate of up to $20.0 million (see Item F1). The Term Loan is secured by substantially all of the Company’s assets, including its intellectual property, and carries a 1.0% exit fee and mandatory prepayment triggers (including an excess-cash-flow sweep if the leverage ratio exceeds 1.5x).</w:t>
      </w:r>
    </w:p>
    <w:p>
      <w:pPr>
        <w:pStyle w:val="BodyText"/>
      </w:pPr>
      <w:r>
        <w:rPr>
          <w:i/>
          <w:iCs/>
        </w:rPr>
        <w:t xml:space="preserve">Recommended action:</w:t>
      </w:r>
      <w:r>
        <w:t xml:space="preserve"> </w:t>
      </w:r>
      <w:r>
        <w:t xml:space="preserve">Deliver the IPO notice at least 35 days before pricing; disclose the notice requirement and the judgment-default threshold in the S-1 risk factors and debt disclosure; develop bonding, appeal, or stay strategy for the Optivance matter.</w:t>
      </w:r>
    </w:p>
    <w:bookmarkEnd w:id="24"/>
    <w:bookmarkStart w:id="25" w:name="c.-equity-capitalization-and-409a-issues"/>
    <w:p>
      <w:pPr>
        <w:pStyle w:val="Heading3"/>
      </w:pPr>
      <w:r>
        <w:t xml:space="preserve">C. Equity, Capitalization, and 409A Issues</w:t>
      </w:r>
    </w:p>
    <w:p>
      <w:pPr>
        <w:pStyle w:val="FirstParagraph"/>
      </w:pPr>
      <w:r>
        <w:rPr>
          <w:b/>
          <w:bCs/>
        </w:rPr>
        <w:t xml:space="preserve">C1. [High] 409A valuation history is inconsistent between the Audited Financials and the Equity Schedule.</w:t>
      </w:r>
    </w:p>
    <w:p>
      <w:pPr>
        <w:pStyle w:val="BodyText"/>
      </w:pPr>
      <w:r>
        <w:t xml:space="preserve">The Audited Financials (Note 12(e)) list the following 409A valuations: June 30, 2022 ($7.80); September 30, 2022 ($9.50); March 31, 2023 ($14.20); September 30, 2023 ($16.50); March 31, 2024 ($18.20); and September 30, 2024 ($19.60). The Equity Schedule (409A Valuations tab) lists: March 14, 2017 ($0.10); September 30, 2018 ($0.85); March 31, 2020 ($2.40); September 30, 2020 ($3.10); December 31, 2021 ($7.20); September 30, 2022 ($9.50); March 31, 2023 ($14.20); December 31, 2023 ($16.80); and December 31, 2024 preliminary ($18.50). The dates and fair values diverge for all periods after March 31, 2023. This affects the stock-based compensation expense disclosure and the 409A compliance narrative.</w:t>
      </w:r>
    </w:p>
    <w:p>
      <w:pPr>
        <w:pStyle w:val="BodyText"/>
      </w:pPr>
      <w:r>
        <w:rPr>
          <w:i/>
          <w:iCs/>
        </w:rPr>
        <w:t xml:space="preserve">Recommended action:</w:t>
      </w:r>
      <w:r>
        <w:t xml:space="preserve"> </w:t>
      </w:r>
      <w:r>
        <w:t xml:space="preserve">Reconcile the 409A valuation history; confirm which valuations were relied upon for which grants; ensure the S-1 stock-based compensation disclosure is consistent with both the Equity Schedule and the Audited Financials.</w:t>
      </w:r>
    </w:p>
    <w:p>
      <w:pPr>
        <w:pStyle w:val="BodyText"/>
      </w:pPr>
      <w:r>
        <w:rPr>
          <w:b/>
          <w:bCs/>
        </w:rPr>
        <w:t xml:space="preserve">C2. [High] Cheap-stock / Section 409A risk on Q1 2023 option grants.</w:t>
      </w:r>
    </w:p>
    <w:p>
      <w:pPr>
        <w:pStyle w:val="BodyText"/>
      </w:pPr>
      <w:r>
        <w:t xml:space="preserve">In Q1 2023, the Company granted 2,400,000 stock options at an exercise price of $9.50 per share, based on the September 30, 2022 409A valuation. A subsequent 409A valuation as of March 31, 2023 determined a fair value of $14.20 per share (a 49.5% increase), and the Series D term sheet was executed March 15, 2023 at $22–$26 per share (closing June 2023 at $24.00, implying a $1.92 billion post-money valuation). The auditor identified the valuation of common stock underlying stock-based compensation as a critical audit matter. The rapid appreciation from $9.50 to $14.20 to $24.00 raises potential Section 409A compliance questions and a possible additional stock-based compensation expense adjustment if the grant-date fair value is determined to have been understated.</w:t>
      </w:r>
    </w:p>
    <w:p>
      <w:pPr>
        <w:pStyle w:val="BodyText"/>
      </w:pPr>
      <w:r>
        <w:rPr>
          <w:i/>
          <w:iCs/>
        </w:rPr>
        <w:t xml:space="preserve">Recommended action:</w:t>
      </w:r>
      <w:r>
        <w:t xml:space="preserve"> </w:t>
      </w:r>
      <w:r>
        <w:t xml:space="preserve">Assemble a Section 409A</w:t>
      </w:r>
      <w:r>
        <w:t xml:space="preserve"> </w:t>
      </w:r>
      <w:r>
        <w:t xml:space="preserve">“</w:t>
      </w:r>
      <w:r>
        <w:t xml:space="preserve">reasonable valuation</w:t>
      </w:r>
      <w:r>
        <w:t xml:space="preserve">”</w:t>
      </w:r>
      <w:r>
        <w:t xml:space="preserve"> </w:t>
      </w:r>
      <w:r>
        <w:t xml:space="preserve">defense file; assess whether the grants qualify for the 409A safe harbor; quantify any potential additional stock-based compensation expense; consider disclosure in the S-1; coordinate with the auditor.</w:t>
      </w:r>
    </w:p>
    <w:p>
      <w:pPr>
        <w:pStyle w:val="BodyText"/>
      </w:pPr>
      <w:r>
        <w:rPr>
          <w:b/>
          <w:bCs/>
        </w:rPr>
        <w:t xml:space="preserve">C3. [High] Option activity inconsistent between the Audited Financials and the Equity Schedule.</w:t>
      </w:r>
    </w:p>
    <w:p>
      <w:pPr>
        <w:pStyle w:val="BodyText"/>
      </w:pPr>
      <w:r>
        <w:t xml:space="preserve">The Audited Financials (Note 12(b)) report FY2024 option grants of 2,100,000 shares at a weighted-average exercise price of $14.80 and exercises of 800,000 shares. The Equity Schedule shows FY2024 grants totaling 2,940,000 shares at $16.80 per share and only 60,000 shares exercised (cumulative). The grant counts, exercise prices, and exercise activity do not reconcile.</w:t>
      </w:r>
    </w:p>
    <w:p>
      <w:pPr>
        <w:pStyle w:val="BodyText"/>
      </w:pPr>
      <w:r>
        <w:rPr>
          <w:i/>
          <w:iCs/>
        </w:rPr>
        <w:t xml:space="preserve">Recommended action:</w:t>
      </w:r>
      <w:r>
        <w:t xml:space="preserve"> </w:t>
      </w:r>
      <w:r>
        <w:t xml:space="preserve">Reconcile the option activity between the Audited Financials and the Equity Schedule; confirm the correct grant counts, exercise prices, and exercise activity; correct whichever record is in error.</w:t>
      </w:r>
    </w:p>
    <w:p>
      <w:pPr>
        <w:pStyle w:val="BodyText"/>
      </w:pPr>
      <w:r>
        <w:rPr>
          <w:b/>
          <w:bCs/>
        </w:rPr>
        <w:t xml:space="preserve">C4. [High] RSU activity inconsistent, including a double-trigger feature not reflected in the Audited Financials.</w:t>
      </w:r>
    </w:p>
    <w:p>
      <w:pPr>
        <w:pStyle w:val="BodyText"/>
      </w:pPr>
      <w:r>
        <w:t xml:space="preserve">The Audited Financials (Note 12(c)) report 700,000 RSUs vested and 300,000 forfeited in FY2024, with a January 1, 2024 unvested balance of 2,800,000. The Equity Schedule shows 0 RSUs vested (all subject to a double-trigger IPO liquidity condition), 180,000 forfeited (cumulative), and 2023 RSU grants of only 950,000 — which cannot support a 2,800,000 beginning balance. The double-trigger settlement feature in the Equity Schedule is not reflected in the Audited Financials’ vesting disclosure, and the forfeiture figures differ.</w:t>
      </w:r>
    </w:p>
    <w:p>
      <w:pPr>
        <w:pStyle w:val="BodyText"/>
      </w:pPr>
      <w:r>
        <w:rPr>
          <w:i/>
          <w:iCs/>
        </w:rPr>
        <w:t xml:space="preserve">Recommended action:</w:t>
      </w:r>
      <w:r>
        <w:t xml:space="preserve"> </w:t>
      </w:r>
      <w:r>
        <w:t xml:space="preserve">Reconcile RSU vesting, forfeiture, and the double-trigger liquidity condition; confirm whether RSUs have vested for accounting purposes; identify the RSU grants comprising the 2,800,000 beginning balance; ensure the S-1 cap table and stock-based compensation disclosures are consistent.</w:t>
      </w:r>
    </w:p>
    <w:p>
      <w:pPr>
        <w:pStyle w:val="BodyText"/>
      </w:pPr>
      <w:r>
        <w:rPr>
          <w:b/>
          <w:bCs/>
        </w:rPr>
        <w:t xml:space="preserve">C5. [Medium] Equity Schedule internal reconciliation errors.</w:t>
      </w:r>
    </w:p>
    <w:p>
      <w:pPr>
        <w:pStyle w:val="BodyText"/>
      </w:pPr>
      <w:r>
        <w:t xml:space="preserve">The Equity Schedule Option Grants tab totals row states 18,910,000 shares granted, but the detail rows sum to approximately 21,490,000. The</w:t>
      </w:r>
      <w:r>
        <w:t xml:space="preserve"> </w:t>
      </w:r>
      <w:r>
        <w:t xml:space="preserve">“</w:t>
      </w:r>
      <w:r>
        <w:t xml:space="preserve">Shares Vested</w:t>
      </w:r>
      <w:r>
        <w:t xml:space="preserve">”</w:t>
      </w:r>
      <w:r>
        <w:t xml:space="preserve"> </w:t>
      </w:r>
      <w:r>
        <w:t xml:space="preserve">and</w:t>
      </w:r>
      <w:r>
        <w:t xml:space="preserve"> </w:t>
      </w:r>
      <w:r>
        <w:t xml:space="preserve">“</w:t>
      </w:r>
      <w:r>
        <w:t xml:space="preserve">Shares Unvested</w:t>
      </w:r>
      <w:r>
        <w:t xml:space="preserve">”</w:t>
      </w:r>
      <w:r>
        <w:t xml:space="preserve"> </w:t>
      </w:r>
      <w:r>
        <w:t xml:space="preserve">columns do not reconcile to</w:t>
      </w:r>
      <w:r>
        <w:t xml:space="preserve"> </w:t>
      </w:r>
      <w:r>
        <w:t xml:space="preserve">“</w:t>
      </w:r>
      <w:r>
        <w:t xml:space="preserve">Shares Outstanding</w:t>
      </w:r>
      <w:r>
        <w:t xml:space="preserve">”</w:t>
      </w:r>
      <w:r>
        <w:t xml:space="preserve"> </w:t>
      </w:r>
      <w:r>
        <w:t xml:space="preserve">(14,750,000).</w:t>
      </w:r>
    </w:p>
    <w:p>
      <w:pPr>
        <w:pStyle w:val="BodyText"/>
      </w:pPr>
      <w:r>
        <w:rPr>
          <w:i/>
          <w:iCs/>
        </w:rPr>
        <w:t xml:space="preserve">Recommended action:</w:t>
      </w:r>
      <w:r>
        <w:t xml:space="preserve"> </w:t>
      </w:r>
      <w:r>
        <w:t xml:space="preserve">Correct the spreadsheet totals; reconcile the option rollforward to the cap table and the Audited Financials.</w:t>
      </w:r>
    </w:p>
    <w:p>
      <w:pPr>
        <w:pStyle w:val="BodyText"/>
      </w:pPr>
      <w:r>
        <w:rPr>
          <w:b/>
          <w:bCs/>
        </w:rPr>
        <w:t xml:space="preserve">C6. [Medium] Post-IPO ownership percentages in the CFO Memo do not reconcile.</w:t>
      </w:r>
    </w:p>
    <w:p>
      <w:pPr>
        <w:pStyle w:val="BodyText"/>
      </w:pPr>
      <w:r>
        <w:t xml:space="preserve">The CFO Memo (Section 7.2) states post-IPO ownership on a stated denominator of 102,416,667 shares as: Graymont ~19.3%; Ridgeline ~12.7%; Arun ~11.9%; Kate ~8.4%; new public ~14.6%; other ~33.1%. Using the Section 7.1 share counts and the 102,416,667 denominator, the correct figures are: Graymont 23.0% (23,607,067 / 102,416,667); Ridgeline 15.2%; Kate 9.5%; and</w:t>
      </w:r>
      <w:r>
        <w:t xml:space="preserve"> </w:t>
      </w:r>
      <w:r>
        <w:t xml:space="preserve">“</w:t>
      </w:r>
      <w:r>
        <w:t xml:space="preserve">other</w:t>
      </w:r>
      <w:r>
        <w:t xml:space="preserve">”</w:t>
      </w:r>
      <w:r>
        <w:t xml:space="preserve"> </w:t>
      </w:r>
      <w:r>
        <w:t xml:space="preserve">25.7%. Only Arun (11.9%) and new public (14.6%) reconcile to the stated denominator.</w:t>
      </w:r>
    </w:p>
    <w:p>
      <w:pPr>
        <w:pStyle w:val="BodyText"/>
      </w:pPr>
      <w:r>
        <w:rPr>
          <w:i/>
          <w:iCs/>
        </w:rPr>
        <w:t xml:space="preserve">Recommended action:</w:t>
      </w:r>
      <w:r>
        <w:t xml:space="preserve"> </w:t>
      </w:r>
      <w:r>
        <w:t xml:space="preserve">Recompute the post-IPO ownership table using a consistent denominator and verified share counts; correct the CFO Memo and ensure the S-1 principal stockholders table is accurate.</w:t>
      </w:r>
    </w:p>
    <w:p>
      <w:pPr>
        <w:pStyle w:val="BodyText"/>
      </w:pPr>
      <w:r>
        <w:rPr>
          <w:b/>
          <w:bCs/>
        </w:rPr>
        <w:t xml:space="preserve">C7. [Low] Graymont share count and Ridgeline fund name inconsistencies.</w:t>
      </w:r>
    </w:p>
    <w:p>
      <w:pPr>
        <w:pStyle w:val="BodyText"/>
      </w:pPr>
      <w:r>
        <w:t xml:space="preserve">The CFO Memo reports Graymont’s holdings as 23,607,067 shares, while the D&amp;O Questionnaires report 23,602,133 shares. The CFO Memo refers to</w:t>
      </w:r>
      <w:r>
        <w:t xml:space="preserve"> </w:t>
      </w:r>
      <w:r>
        <w:t xml:space="preserve">“</w:t>
      </w:r>
      <w:r>
        <w:t xml:space="preserve">Ridgeline Growth Partners Fund II, L.P.,</w:t>
      </w:r>
      <w:r>
        <w:t xml:space="preserve">”</w:t>
      </w:r>
      <w:r>
        <w:t xml:space="preserve"> </w:t>
      </w:r>
      <w:r>
        <w:t xml:space="preserve">while the D&amp;O Questionnaires refer to</w:t>
      </w:r>
      <w:r>
        <w:t xml:space="preserve"> </w:t>
      </w:r>
      <w:r>
        <w:t xml:space="preserve">“</w:t>
      </w:r>
      <w:r>
        <w:t xml:space="preserve">Ridgeline Growth Partners Fund V, LP.</w:t>
      </w:r>
      <w:r>
        <w:t xml:space="preserve">”</w:t>
      </w:r>
    </w:p>
    <w:p>
      <w:pPr>
        <w:pStyle w:val="BodyText"/>
      </w:pPr>
      <w:r>
        <w:rPr>
          <w:i/>
          <w:iCs/>
        </w:rPr>
        <w:t xml:space="preserve">Recommended action:</w:t>
      </w:r>
      <w:r>
        <w:t xml:space="preserve"> </w:t>
      </w:r>
      <w:r>
        <w:t xml:space="preserve">Confirm the correct share counts and fund names from the cap table and transfer agent records; correct the S-1 footnotes.</w:t>
      </w:r>
    </w:p>
    <w:bookmarkEnd w:id="25"/>
    <w:bookmarkStart w:id="26" w:name="d.-governance-and-charter-issues"/>
    <w:p>
      <w:pPr>
        <w:pStyle w:val="Heading3"/>
      </w:pPr>
      <w:r>
        <w:t xml:space="preserve">D. Governance and Charter Issues</w:t>
      </w:r>
    </w:p>
    <w:p>
      <w:pPr>
        <w:pStyle w:val="FirstParagraph"/>
      </w:pPr>
      <w:r>
        <w:rPr>
          <w:b/>
          <w:bCs/>
        </w:rPr>
        <w:t xml:space="preserve">D1. [High] Board size is inconsistent; only six directors are identified.</w:t>
      </w:r>
    </w:p>
    <w:p>
      <w:pPr>
        <w:pStyle w:val="BodyText"/>
      </w:pPr>
      <w:r>
        <w:t xml:space="preserve">The amended and restated certificate of incorporation provides for an initial board of seven directors, classified into three classes (Class I: Venkatesh, Moreno; Class II: Park, Kwon; Class III: Ramaswamy, Litvanova, Obi). The D&amp;O Questionnaires (Section 6) state the board consists of six members and identify only six directors. The Roadshow is internally inconsistent (Slide 7 implies six directors; Slide 30 states</w:t>
      </w:r>
      <w:r>
        <w:t xml:space="preserve"> </w:t>
      </w:r>
      <w:r>
        <w:t xml:space="preserve">“</w:t>
      </w:r>
      <w:r>
        <w:t xml:space="preserve">3 of 7 total directors</w:t>
      </w:r>
      <w:r>
        <w:t xml:space="preserve">”</w:t>
      </w:r>
      <w:r>
        <w:t xml:space="preserve">). Only six directors are identified by name; the seventh seat appears vacant or unidentified. This affects the classified-board balance and the independence analysis (3 of 6 = 50% independent, not a majority).</w:t>
      </w:r>
    </w:p>
    <w:p>
      <w:pPr>
        <w:pStyle w:val="BodyText"/>
      </w:pPr>
      <w:r>
        <w:rPr>
          <w:i/>
          <w:iCs/>
        </w:rPr>
        <w:t xml:space="preserve">Recommended action:</w:t>
      </w:r>
      <w:r>
        <w:t xml:space="preserve"> </w:t>
      </w:r>
      <w:r>
        <w:t xml:space="preserve">Confirm the intended board size; identify and appoint the seventh director or amend the charter; reconcile all disclosures (Charter, D&amp;O Questionnaires, Roadshow, and S-1).</w:t>
      </w:r>
    </w:p>
    <w:p>
      <w:pPr>
        <w:pStyle w:val="BodyText"/>
      </w:pPr>
      <w:r>
        <w:rPr>
          <w:b/>
          <w:bCs/>
        </w:rPr>
        <w:t xml:space="preserve">D2. [High] Controlled-company exemption has not been formally elected.</w:t>
      </w:r>
    </w:p>
    <w:p>
      <w:pPr>
        <w:pStyle w:val="BodyText"/>
      </w:pPr>
      <w:r>
        <w:t xml:space="preserve">No board resolution is on record regarding reliance on the controlled-company exemption under Nasdaq Listing Rule 5615(c). With only 50% independent directors, reliance on at least the majority-independent-board exemption appears necessary unless an additional independent director is appointed before the IPO. The Draft S-1 risk factors and corporate governance disclosure assume the exemption will be elected.</w:t>
      </w:r>
    </w:p>
    <w:p>
      <w:pPr>
        <w:pStyle w:val="BodyText"/>
      </w:pPr>
      <w:r>
        <w:rPr>
          <w:i/>
          <w:iCs/>
        </w:rPr>
        <w:t xml:space="preserve">Recommended action:</w:t>
      </w:r>
      <w:r>
        <w:t xml:space="preserve"> </w:t>
      </w:r>
      <w:r>
        <w:t xml:space="preserve">Obtain a formal board resolution electing (or declining) the controlled-company exemption before filing; finalize the S-1 disclosure accordingly; consider appointing an additional independent director.</w:t>
      </w:r>
    </w:p>
    <w:p>
      <w:pPr>
        <w:pStyle w:val="BodyText"/>
      </w:pPr>
      <w:r>
        <w:rPr>
          <w:b/>
          <w:bCs/>
        </w:rPr>
        <w:t xml:space="preserve">D3. [High] Dual-class structure has no sunset provision.</w:t>
      </w:r>
    </w:p>
    <w:p>
      <w:pPr>
        <w:pStyle w:val="BodyText"/>
      </w:pPr>
      <w:r>
        <w:t xml:space="preserve">The Class B common stock has no time-based or ownership-percentage sunset provision; it converts only upon transfer to a non-permitted transferee or upon the holder’s death or incapacity. This is flagged in the Charter’s own summary. The absence of a sunset may lead to exclusion of the Class A common stock from certain major stock indices and is a significant governance risk factor.</w:t>
      </w:r>
    </w:p>
    <w:p>
      <w:pPr>
        <w:pStyle w:val="BodyText"/>
      </w:pPr>
      <w:r>
        <w:rPr>
          <w:i/>
          <w:iCs/>
        </w:rPr>
        <w:t xml:space="preserve">Recommended action:</w:t>
      </w:r>
      <w:r>
        <w:t xml:space="preserve"> </w:t>
      </w:r>
      <w:r>
        <w:t xml:space="preserve">Consider whether to adopt a sunset provision; ensure robust risk-factor disclosure; disclose the index-exclusion risk.</w:t>
      </w:r>
    </w:p>
    <w:p>
      <w:pPr>
        <w:pStyle w:val="BodyText"/>
      </w:pPr>
      <w:r>
        <w:rPr>
          <w:b/>
          <w:bCs/>
        </w:rPr>
        <w:t xml:space="preserve">D4. [Medium] Transfer agent name is inconsistent.</w:t>
      </w:r>
    </w:p>
    <w:p>
      <w:pPr>
        <w:pStyle w:val="BodyText"/>
      </w:pPr>
      <w:r>
        <w:t xml:space="preserve">The bylaws (Section 5.1) name the transfer agent as</w:t>
      </w:r>
      <w:r>
        <w:t xml:space="preserve"> </w:t>
      </w:r>
      <w:r>
        <w:t xml:space="preserve">“</w:t>
      </w:r>
      <w:r>
        <w:t xml:space="preserve">Computershare Transfer Co.,</w:t>
      </w:r>
      <w:r>
        <w:t xml:space="preserve">”</w:t>
      </w:r>
      <w:r>
        <w:t xml:space="preserve"> </w:t>
      </w:r>
      <w:r>
        <w:t xml:space="preserve">while the CFO Memo, D&amp;O Questionnaires, and Term Sheet name</w:t>
      </w:r>
      <w:r>
        <w:t xml:space="preserve"> </w:t>
      </w:r>
      <w:r>
        <w:t xml:space="preserve">“</w:t>
      </w:r>
      <w:r>
        <w:t xml:space="preserve">Oakvale Transfer Transfer Co.</w:t>
      </w:r>
      <w:r>
        <w:t xml:space="preserve">”</w:t>
      </w:r>
      <w:r>
        <w:t xml:space="preserve"> </w:t>
      </w:r>
      <w:r>
        <w:t xml:space="preserve">(with a doubled</w:t>
      </w:r>
      <w:r>
        <w:t xml:space="preserve"> </w:t>
      </w:r>
      <w:r>
        <w:t xml:space="preserve">“</w:t>
      </w:r>
      <w:r>
        <w:t xml:space="preserve">Transfer,</w:t>
      </w:r>
      <w:r>
        <w:t xml:space="preserve">”</w:t>
      </w:r>
      <w:r>
        <w:t xml:space="preserve"> </w:t>
      </w:r>
      <w:r>
        <w:t xml:space="preserve">likely a typo).</w:t>
      </w:r>
    </w:p>
    <w:p>
      <w:pPr>
        <w:pStyle w:val="BodyText"/>
      </w:pPr>
      <w:r>
        <w:rPr>
          <w:i/>
          <w:iCs/>
        </w:rPr>
        <w:t xml:space="preserve">Recommended action:</w:t>
      </w:r>
      <w:r>
        <w:t xml:space="preserve"> </w:t>
      </w:r>
      <w:r>
        <w:t xml:space="preserve">Confirm the transfer agent’s correct legal name; correct the bylaws and all offering documents.</w:t>
      </w:r>
    </w:p>
    <w:p>
      <w:pPr>
        <w:pStyle w:val="BodyText"/>
      </w:pPr>
      <w:r>
        <w:rPr>
          <w:b/>
          <w:bCs/>
        </w:rPr>
        <w:t xml:space="preserve">D5. [Medium] Co-founder’s name is inconsistent across legal documents.</w:t>
      </w:r>
    </w:p>
    <w:p>
      <w:pPr>
        <w:pStyle w:val="BodyText"/>
      </w:pPr>
      <w:r>
        <w:t xml:space="preserve">The CFO Memo, D&amp;O Questionnaires, and Roadshow refer to the co-founder/CTO as</w:t>
      </w:r>
      <w:r>
        <w:t xml:space="preserve"> </w:t>
      </w:r>
      <w:r>
        <w:t xml:space="preserve">“</w:t>
      </w:r>
      <w:r>
        <w:t xml:space="preserve">Katerina</w:t>
      </w:r>
      <w:r>
        <w:t xml:space="preserve"> </w:t>
      </w:r>
      <w:r>
        <w:t xml:space="preserve">‘</w:t>
      </w:r>
      <w:r>
        <w:t xml:space="preserve">Kate</w:t>
      </w:r>
      <w:r>
        <w:t xml:space="preserve">’</w:t>
      </w:r>
      <w:r>
        <w:t xml:space="preserve"> </w:t>
      </w:r>
      <w:r>
        <w:t xml:space="preserve">Litvanova,</w:t>
      </w:r>
      <w:r>
        <w:t xml:space="preserve">”</w:t>
      </w:r>
      <w:r>
        <w:t xml:space="preserve"> </w:t>
      </w:r>
      <w:r>
        <w:t xml:space="preserve">while the amended and restated certificate of incorporation, bylaws, and Term Sheet (Schedule 1) refer to her as</w:t>
      </w:r>
      <w:r>
        <w:t xml:space="preserve"> </w:t>
      </w:r>
      <w:r>
        <w:t xml:space="preserve">“</w:t>
      </w:r>
      <w:r>
        <w:t xml:space="preserve">Katerina Litvak.</w:t>
      </w:r>
      <w:r>
        <w:t xml:space="preserve">”</w:t>
      </w:r>
      <w:r>
        <w:t xml:space="preserve"> </w:t>
      </w:r>
      <w:r>
        <w:t xml:space="preserve">Legal documents must use a consistent legal name.</w:t>
      </w:r>
    </w:p>
    <w:p>
      <w:pPr>
        <w:pStyle w:val="BodyText"/>
      </w:pPr>
      <w:r>
        <w:rPr>
          <w:i/>
          <w:iCs/>
        </w:rPr>
        <w:t xml:space="preserve">Recommended action:</w:t>
      </w:r>
      <w:r>
        <w:t xml:space="preserve"> </w:t>
      </w:r>
      <w:r>
        <w:t xml:space="preserve">Confirm the correct legal name; correct all Charter Documents, the Term Sheet, and the S-1.</w:t>
      </w:r>
    </w:p>
    <w:p>
      <w:pPr>
        <w:pStyle w:val="BodyText"/>
      </w:pPr>
      <w:r>
        <w:rPr>
          <w:b/>
          <w:bCs/>
        </w:rPr>
        <w:t xml:space="preserve">D6. [Low] Issuer’s counsel address is inconsistent.</w:t>
      </w:r>
    </w:p>
    <w:p>
      <w:pPr>
        <w:pStyle w:val="BodyText"/>
      </w:pPr>
      <w:r>
        <w:t xml:space="preserve">The D&amp;O Questionnaires list Thorncroft &amp; Wexler LLP’s address as</w:t>
      </w:r>
      <w:r>
        <w:t xml:space="preserve"> </w:t>
      </w:r>
      <w:r>
        <w:t xml:space="preserve">“</w:t>
      </w:r>
      <w:r>
        <w:t xml:space="preserve">610 Lexington Avenue,</w:t>
      </w:r>
      <w:r>
        <w:t xml:space="preserve">”</w:t>
      </w:r>
      <w:r>
        <w:t xml:space="preserve"> </w:t>
      </w:r>
      <w:r>
        <w:t xml:space="preserve">while the Term Sheet and Term Loan Summary list</w:t>
      </w:r>
      <w:r>
        <w:t xml:space="preserve"> </w:t>
      </w:r>
      <w:r>
        <w:t xml:space="preserve">“</w:t>
      </w:r>
      <w:r>
        <w:t xml:space="preserve">600 Lexington Avenue.</w:t>
      </w:r>
      <w:r>
        <w:t xml:space="preserve">”</w:t>
      </w:r>
    </w:p>
    <w:p>
      <w:pPr>
        <w:pStyle w:val="BodyText"/>
      </w:pPr>
      <w:r>
        <w:rPr>
          <w:i/>
          <w:iCs/>
        </w:rPr>
        <w:t xml:space="preserve">Recommended action:</w:t>
      </w:r>
      <w:r>
        <w:t xml:space="preserve"> </w:t>
      </w:r>
      <w:r>
        <w:t xml:space="preserve">Confirm the correct address; correct the S-1 and related documents.</w:t>
      </w:r>
    </w:p>
    <w:p>
      <w:pPr>
        <w:pStyle w:val="BodyText"/>
      </w:pPr>
      <w:r>
        <w:rPr>
          <w:b/>
          <w:bCs/>
        </w:rPr>
        <w:t xml:space="preserve">D7. [Medium] Forum-selection and corporate-opportunities provisions require disclosure.</w:t>
      </w:r>
    </w:p>
    <w:p>
      <w:pPr>
        <w:pStyle w:val="BodyText"/>
      </w:pPr>
      <w:r>
        <w:t xml:space="preserve">The Charter designates federal district courts as the exclusive forum for Securities Act claims (Section 10.2) and renounces corporate opportunities for directors affiliated with investment funds, specifically naming Graymont Ventures and Ridgeline Growth Partners (Article XI).</w:t>
      </w:r>
    </w:p>
    <w:p>
      <w:pPr>
        <w:pStyle w:val="BodyText"/>
      </w:pPr>
      <w:r>
        <w:rPr>
          <w:i/>
          <w:iCs/>
        </w:rPr>
        <w:t xml:space="preserve">Recommended action:</w:t>
      </w:r>
      <w:r>
        <w:t xml:space="preserve"> </w:t>
      </w:r>
      <w:r>
        <w:t xml:space="preserve">Ensure appropriate risk-factor disclosure of the forum-selection provision (post-</w:t>
      </w:r>
      <w:r>
        <w:rPr>
          <w:i/>
          <w:iCs/>
        </w:rPr>
        <w:t xml:space="preserve">Salzberg v. Sciabacucchi</w:t>
      </w:r>
      <w:r>
        <w:t xml:space="preserve"> </w:t>
      </w:r>
      <w:r>
        <w:t xml:space="preserve">/</w:t>
      </w:r>
      <w:r>
        <w:t xml:space="preserve"> </w:t>
      </w:r>
      <w:r>
        <w:rPr>
          <w:i/>
          <w:iCs/>
        </w:rPr>
        <w:t xml:space="preserve">Cyan</w:t>
      </w:r>
      <w:r>
        <w:t xml:space="preserve"> </w:t>
      </w:r>
      <w:r>
        <w:t xml:space="preserve">implications) and disclosure of the corporate-opportunities renunciation as it relates to affiliated directors.</w:t>
      </w:r>
    </w:p>
    <w:bookmarkEnd w:id="26"/>
    <w:bookmarkStart w:id="27" w:name="e.-related-party-and-disclosure-issues"/>
    <w:p>
      <w:pPr>
        <w:pStyle w:val="Heading3"/>
      </w:pPr>
      <w:r>
        <w:t xml:space="preserve">E. Related-Party and Disclosure Issues</w:t>
      </w:r>
    </w:p>
    <w:p>
      <w:pPr>
        <w:pStyle w:val="FirstParagraph"/>
      </w:pPr>
      <w:r>
        <w:rPr>
          <w:b/>
          <w:bCs/>
        </w:rPr>
        <w:t xml:space="preserve">E1. [High] Vantara Logistics related-party disclosure is inconsistent.</w:t>
      </w:r>
    </w:p>
    <w:p>
      <w:pPr>
        <w:pStyle w:val="BodyText"/>
      </w:pPr>
      <w:r>
        <w:t xml:space="preserve">The Vantara Logistics SaaS license agreement ($1.2 million annually, three-year term, entered April 2023) is a related-party transaction because Vantara is a portfolio company of Graymont Ventures (a 22.4% holder) and director Priya Venkatesh is Graymont’s Managing Partner and serves on Vantara’s board. Ms. Venkatesh disclosed the transaction in her questionnaire, but CFO Michael Hartwell did not identify it as a related-party transaction in his questionnaire. The CFO Memo and the Roadshow (Slide 14 customer case study) present Vantara as a standard arm’s-length customer without related-party notation. The Draft S-1 includes full Item 404 disclosure.</w:t>
      </w:r>
    </w:p>
    <w:p>
      <w:pPr>
        <w:pStyle w:val="BodyText"/>
      </w:pPr>
      <w:r>
        <w:rPr>
          <w:i/>
          <w:iCs/>
        </w:rPr>
        <w:t xml:space="preserve">Recommended action:</w:t>
      </w:r>
      <w:r>
        <w:t xml:space="preserve"> </w:t>
      </w:r>
      <w:r>
        <w:t xml:space="preserve">Ensure all investor-facing materials identify Vantara as a related party; confirm the arm’s-length pricing determination with the Audit Committee and obtain supporting documentation; verify the lender was notified of the Vantara transaction under the credit agreement’s affiliate-transactions covenant (see Item E6).</w:t>
      </w:r>
    </w:p>
    <w:p>
      <w:pPr>
        <w:pStyle w:val="BodyText"/>
      </w:pPr>
      <w:r>
        <w:rPr>
          <w:b/>
          <w:bCs/>
        </w:rPr>
        <w:t xml:space="preserve">E2. [High] Aldersgate Capital beneficial ownership is unconfirmed.</w:t>
      </w:r>
    </w:p>
    <w:p>
      <w:pPr>
        <w:pStyle w:val="BodyText"/>
      </w:pPr>
      <w:r>
        <w:t xml:space="preserve">Aldersgate Capital participated in the Series B financing (April 2020) but does not appear in any current beneficial ownership disclosure. If Aldersgate Capital holds 5% or more of any class of securities, it must be included in the S-1 principal stockholders table (Item 403 of Regulation S-K). Separately, the Roadshow (Slide 29) refers to the Series B participant as</w:t>
      </w:r>
      <w:r>
        <w:t xml:space="preserve"> </w:t>
      </w:r>
      <w:r>
        <w:t xml:space="preserve">“</w:t>
      </w:r>
      <w:r>
        <w:t xml:space="preserve">Crestview Capital,</w:t>
      </w:r>
      <w:r>
        <w:t xml:space="preserve">”</w:t>
      </w:r>
      <w:r>
        <w:t xml:space="preserve"> </w:t>
      </w:r>
      <w:r>
        <w:t xml:space="preserve">not</w:t>
      </w:r>
      <w:r>
        <w:t xml:space="preserve"> </w:t>
      </w:r>
      <w:r>
        <w:t xml:space="preserve">“</w:t>
      </w:r>
      <w:r>
        <w:t xml:space="preserve">Aldersgate Capital</w:t>
      </w:r>
      <w:r>
        <w:t xml:space="preserve">”</w:t>
      </w:r>
      <w:r>
        <w:t xml:space="preserve"> </w:t>
      </w:r>
      <w:r>
        <w:t xml:space="preserve">— a name inconsistency.</w:t>
      </w:r>
    </w:p>
    <w:p>
      <w:pPr>
        <w:pStyle w:val="BodyText"/>
      </w:pPr>
      <w:r>
        <w:rPr>
          <w:i/>
          <w:iCs/>
        </w:rPr>
        <w:t xml:space="preserve">Recommended action:</w:t>
      </w:r>
      <w:r>
        <w:t xml:space="preserve"> </w:t>
      </w:r>
      <w:r>
        <w:t xml:space="preserve">Confirm Aldersgate Capital’s current holdings from the transfer agent records; if it holds 5% or more, obtain disclosure and include it in the Item 403 table; reconcile the</w:t>
      </w:r>
      <w:r>
        <w:t xml:space="preserve"> </w:t>
      </w:r>
      <w:r>
        <w:t xml:space="preserve">“</w:t>
      </w:r>
      <w:r>
        <w:t xml:space="preserve">Aldersgate Capital</w:t>
      </w:r>
      <w:r>
        <w:t xml:space="preserve">”</w:t>
      </w:r>
      <w:r>
        <w:t xml:space="preserve"> </w:t>
      </w:r>
      <w:r>
        <w:t xml:space="preserve">/</w:t>
      </w:r>
      <w:r>
        <w:t xml:space="preserve"> </w:t>
      </w:r>
      <w:r>
        <w:t xml:space="preserve">“</w:t>
      </w:r>
      <w:r>
        <w:t xml:space="preserve">Crestview Capital</w:t>
      </w:r>
      <w:r>
        <w:t xml:space="preserve">”</w:t>
      </w:r>
      <w:r>
        <w:t xml:space="preserve"> </w:t>
      </w:r>
      <w:r>
        <w:t xml:space="preserve">name discrepancy.</w:t>
      </w:r>
    </w:p>
    <w:p>
      <w:pPr>
        <w:pStyle w:val="BodyText"/>
      </w:pPr>
      <w:r>
        <w:rPr>
          <w:b/>
          <w:bCs/>
        </w:rPr>
        <w:t xml:space="preserve">E3. [Medium] General Counsel’s former employment at issuer’s counsel.</w:t>
      </w:r>
    </w:p>
    <w:p>
      <w:pPr>
        <w:pStyle w:val="BodyText"/>
      </w:pPr>
      <w:r>
        <w:t xml:space="preserve">Sandra Y. Chen, the General Counsel and Corporate Secretary, was formerly an associate at Thorncroft &amp; Wexler LLP, which serves as issuer’s counsel in this offering. She reports no ongoing financial interest in the firm.</w:t>
      </w:r>
    </w:p>
    <w:p>
      <w:pPr>
        <w:pStyle w:val="BodyText"/>
      </w:pPr>
      <w:r>
        <w:rPr>
          <w:i/>
          <w:iCs/>
        </w:rPr>
        <w:t xml:space="preserve">Recommended action:</w:t>
      </w:r>
      <w:r>
        <w:t xml:space="preserve"> </w:t>
      </w:r>
      <w:r>
        <w:t xml:space="preserve">Disclose in the S-1 (included in the Draft S-1); consider whether conflict-screening procedures are appropriate.</w:t>
      </w:r>
    </w:p>
    <w:p>
      <w:pPr>
        <w:pStyle w:val="BodyText"/>
      </w:pPr>
      <w:r>
        <w:rPr>
          <w:b/>
          <w:bCs/>
        </w:rPr>
        <w:t xml:space="preserve">E4. [Medium] Director ages were not provided.</w:t>
      </w:r>
    </w:p>
    <w:p>
      <w:pPr>
        <w:pStyle w:val="BodyText"/>
      </w:pPr>
      <w:r>
        <w:t xml:space="preserve">Ages for the non-employee directors (Venkatesh, Moreno, Park, Kwon, Obi) were not provided in the D&amp;O Questionnaires. Item 401 of Regulation S-K requires disclosure of each director’s and executive officer’s age.</w:t>
      </w:r>
    </w:p>
    <w:p>
      <w:pPr>
        <w:pStyle w:val="BodyText"/>
      </w:pPr>
      <w:r>
        <w:rPr>
          <w:i/>
          <w:iCs/>
        </w:rPr>
        <w:t xml:space="preserve">Recommended action:</w:t>
      </w:r>
      <w:r>
        <w:t xml:space="preserve"> </w:t>
      </w:r>
      <w:r>
        <w:t xml:space="preserve">Obtain and confirm each director’s age; complete the S-1 management table.</w:t>
      </w:r>
    </w:p>
    <w:p>
      <w:pPr>
        <w:pStyle w:val="BodyText"/>
      </w:pPr>
      <w:r>
        <w:rPr>
          <w:b/>
          <w:bCs/>
        </w:rPr>
        <w:t xml:space="preserve">E5. [Medium] Lock-up agreements must bind the fund-level entities.</w:t>
      </w:r>
    </w:p>
    <w:p>
      <w:pPr>
        <w:pStyle w:val="BodyText"/>
      </w:pPr>
      <w:r>
        <w:t xml:space="preserve">The Crestline shares held by Graymont and Ridgeline are held at the fund level (Graymont Ventures Fund III and IV; Ridgeline Growth Partners Fund), not in the individual directors’ names. The lock-up agreements must bind the fund-level entities, not merely the individual directors who serve as representatives on the board.</w:t>
      </w:r>
    </w:p>
    <w:p>
      <w:pPr>
        <w:pStyle w:val="BodyText"/>
      </w:pPr>
      <w:r>
        <w:rPr>
          <w:i/>
          <w:iCs/>
        </w:rPr>
        <w:t xml:space="preserve">Recommended action:</w:t>
      </w:r>
      <w:r>
        <w:t xml:space="preserve"> </w:t>
      </w:r>
      <w:r>
        <w:t xml:space="preserve">Ensure lock-up agreements are executed by the appropriate fund entities; cross-reference with the underwriting agreement and lock-up letter forms.</w:t>
      </w:r>
    </w:p>
    <w:p>
      <w:pPr>
        <w:pStyle w:val="BodyText"/>
      </w:pPr>
      <w:r>
        <w:rPr>
          <w:b/>
          <w:bCs/>
        </w:rPr>
        <w:t xml:space="preserve">E6. [Medium] Credit agreement affiliate-transactions covenant and the Vantara transaction.</w:t>
      </w:r>
    </w:p>
    <w:p>
      <w:pPr>
        <w:pStyle w:val="BodyText"/>
      </w:pPr>
      <w:r>
        <w:t xml:space="preserve">The credit agreement’s negative covenant on affiliate transactions requires prior written notification to the lender for affiliate transactions exceeding $500,000. The Vantara agreement ($1.2 million annually) would appear to require such notification.</w:t>
      </w:r>
    </w:p>
    <w:p>
      <w:pPr>
        <w:pStyle w:val="BodyText"/>
      </w:pPr>
      <w:r>
        <w:rPr>
          <w:i/>
          <w:iCs/>
        </w:rPr>
        <w:t xml:space="preserve">Recommended action:</w:t>
      </w:r>
      <w:r>
        <w:t xml:space="preserve"> </w:t>
      </w:r>
      <w:r>
        <w:t xml:space="preserve">Confirm whether the lender was notified of the Vantara transaction; cure any notification default if necessary.</w:t>
      </w:r>
    </w:p>
    <w:bookmarkEnd w:id="27"/>
    <w:bookmarkStart w:id="28" w:name="f.-litigation-and-tax-risk-issues"/>
    <w:p>
      <w:pPr>
        <w:pStyle w:val="Heading3"/>
      </w:pPr>
      <w:r>
        <w:t xml:space="preserve">F. Litigation and Tax Risk Issues</w:t>
      </w:r>
    </w:p>
    <w:p>
      <w:pPr>
        <w:pStyle w:val="FirstParagraph"/>
      </w:pPr>
      <w:r>
        <w:rPr>
          <w:b/>
          <w:bCs/>
        </w:rPr>
        <w:t xml:space="preserve">F1. [High] Optivance litigation and term loan default risk.</w:t>
      </w:r>
    </w:p>
    <w:p>
      <w:pPr>
        <w:pStyle w:val="BodyText"/>
      </w:pPr>
      <w:r>
        <w:t xml:space="preserve">The Optivance patent infringement litigation (Case No. 6:24-cv-00831, E.D. Tex., filed September 12, 2024) carries an estimated exposure of $5.0 million to $20.0 million in the event of an adverse judgment (assessed as low probability). Under the credit agreement (Section 8.1(h)), judgments exceeding $5.0 million that remain undischarged for 60 days constitute an event of default. No loss accrual has been recorded.</w:t>
      </w:r>
    </w:p>
    <w:p>
      <w:pPr>
        <w:pStyle w:val="BodyText"/>
      </w:pPr>
      <w:r>
        <w:rPr>
          <w:i/>
          <w:iCs/>
        </w:rPr>
        <w:t xml:space="preserve">Recommended action:</w:t>
      </w:r>
      <w:r>
        <w:t xml:space="preserve"> </w:t>
      </w:r>
      <w:r>
        <w:t xml:space="preserve">Disclose the litigation and the default threshold in the S-1 (included in the Draft S-1); monitor the matter; develop bonding, appeal, or stay strategy in the event of an unfavorable result.</w:t>
      </w:r>
    </w:p>
    <w:p>
      <w:pPr>
        <w:pStyle w:val="BodyText"/>
      </w:pPr>
      <w:r>
        <w:rPr>
          <w:b/>
          <w:bCs/>
        </w:rPr>
        <w:t xml:space="preserve">F2. [High] Section 382 NOL limitation risk.</w:t>
      </w:r>
    </w:p>
    <w:p>
      <w:pPr>
        <w:pStyle w:val="BodyText"/>
      </w:pPr>
      <w:r>
        <w:t xml:space="preserve">The Company has approximately $228.0 million of federal NOL carryforwards and $166.0 million of state NOL carryforwards, but has not completed a Section 382 study. An ownership change — which could occur in connection with the IPO or other equity transactions — may materially limit the Company’s ability to utilize these NOLs.</w:t>
      </w:r>
    </w:p>
    <w:p>
      <w:pPr>
        <w:pStyle w:val="BodyText"/>
      </w:pPr>
      <w:r>
        <w:rPr>
          <w:i/>
          <w:iCs/>
        </w:rPr>
        <w:t xml:space="preserve">Recommended action:</w:t>
      </w:r>
      <w:r>
        <w:t xml:space="preserve"> </w:t>
      </w:r>
      <w:r>
        <w:t xml:space="preserve">Complete a Section 382 study; disclose the limitation risk in the S-1 risk factors (included in the Draft S-1).</w:t>
      </w:r>
    </w:p>
    <w:p>
      <w:pPr>
        <w:pStyle w:val="BodyText"/>
      </w:pPr>
      <w:r>
        <w:rPr>
          <w:b/>
          <w:bCs/>
        </w:rPr>
        <w:t xml:space="preserve">F3. [Medium] Customer concentration.</w:t>
      </w:r>
    </w:p>
    <w:p>
      <w:pPr>
        <w:pStyle w:val="BodyText"/>
      </w:pPr>
      <w:r>
        <w:t xml:space="preserve">Harmon Industries represents 8.2% of FY2024 revenue; the top 10 customers represent 31.7%.</w:t>
      </w:r>
    </w:p>
    <w:p>
      <w:pPr>
        <w:pStyle w:val="BodyText"/>
      </w:pPr>
      <w:r>
        <w:rPr>
          <w:i/>
          <w:iCs/>
        </w:rPr>
        <w:t xml:space="preserve">Recommended action:</w:t>
      </w:r>
      <w:r>
        <w:t xml:space="preserve"> </w:t>
      </w:r>
      <w:r>
        <w:t xml:space="preserve">Disclose customer concentration in the S-1 risk factors and business section (included in the Draft S-1).</w:t>
      </w:r>
    </w:p>
    <w:bookmarkEnd w:id="28"/>
    <w:bookmarkStart w:id="29" w:name="g.-filing-timing-and-process-issues"/>
    <w:p>
      <w:pPr>
        <w:pStyle w:val="Heading3"/>
      </w:pPr>
      <w:r>
        <w:t xml:space="preserve">G. Filing, Timing, and Process Issues</w:t>
      </w:r>
    </w:p>
    <w:p>
      <w:pPr>
        <w:pStyle w:val="FirstParagraph"/>
      </w:pPr>
      <w:r>
        <w:rPr>
          <w:b/>
          <w:bCs/>
        </w:rPr>
        <w:t xml:space="preserve">G1. [High] Filing date and audit report date are inconsistent.</w:t>
      </w:r>
    </w:p>
    <w:p>
      <w:pPr>
        <w:pStyle w:val="BodyText"/>
      </w:pPr>
      <w:r>
        <w:t xml:space="preserve">The CFO Memo (dated February 14, 2025) states the Company</w:t>
      </w:r>
      <w:r>
        <w:t xml:space="preserve"> </w:t>
      </w:r>
      <w:r>
        <w:t xml:space="preserve">“</w:t>
      </w:r>
      <w:r>
        <w:t xml:space="preserve">anticipate[s] filing the initial Form S-1 in March 2025</w:t>
      </w:r>
      <w:r>
        <w:t xml:space="preserve">”</w:t>
      </w:r>
      <w:r>
        <w:t xml:space="preserve"> </w:t>
      </w:r>
      <w:r>
        <w:t xml:space="preserve">and references a</w:t>
      </w:r>
      <w:r>
        <w:t xml:space="preserve"> </w:t>
      </w:r>
      <w:r>
        <w:t xml:space="preserve">“</w:t>
      </w:r>
      <w:r>
        <w:t xml:space="preserve">Target confidential filing date: March 2025.</w:t>
      </w:r>
      <w:r>
        <w:t xml:space="preserve">”</w:t>
      </w:r>
      <w:r>
        <w:t xml:space="preserve"> </w:t>
      </w:r>
      <w:r>
        <w:t xml:space="preserve">The Audited Financials (Note 17) state that</w:t>
      </w:r>
      <w:r>
        <w:t xml:space="preserve"> </w:t>
      </w:r>
      <w:r>
        <w:t xml:space="preserve">“</w:t>
      </w:r>
      <w:r>
        <w:t xml:space="preserve">In February 2025, the Company filed a Registration Statement on Form S-1.</w:t>
      </w:r>
      <w:r>
        <w:t xml:space="preserve">”</w:t>
      </w:r>
      <w:r>
        <w:t xml:space="preserve"> </w:t>
      </w:r>
      <w:r>
        <w:t xml:space="preserve">Additionally, the auditor’s report is dated</w:t>
      </w:r>
      <w:r>
        <w:t xml:space="preserve"> </w:t>
      </w:r>
      <w:r>
        <w:t xml:space="preserve">“</w:t>
      </w:r>
      <w:r>
        <w:t xml:space="preserve">March</w:t>
      </w:r>
      <w:r>
        <w:t xml:space="preserve"> </w:t>
      </w:r>
      <w:r>
        <w:rPr>
          <w:b/>
          <w:bCs/>
        </w:rPr>
        <w:t xml:space="preserve">, 2025” (blank) and subsequent events are evaluated ”through March</w:t>
      </w:r>
      <w:r>
        <w:rPr>
          <w:b/>
          <w:bCs/>
        </w:rPr>
        <w:t xml:space="preserve"> </w:t>
      </w:r>
      <w:r>
        <w:t xml:space="preserve">, 2025,</w:t>
      </w:r>
      <w:r>
        <w:t xml:space="preserve">”</w:t>
      </w:r>
      <w:r>
        <w:t xml:space="preserve"> </w:t>
      </w:r>
      <w:r>
        <w:t xml:space="preserve">which is after the February filing date stated in Note 17. Audited financial statements cannot be filed before the audit report is dated.</w:t>
      </w:r>
    </w:p>
    <w:p>
      <w:pPr>
        <w:pStyle w:val="BodyText"/>
      </w:pPr>
      <w:r>
        <w:rPr>
          <w:i/>
          <w:iCs/>
        </w:rPr>
        <w:t xml:space="preserve">Recommended action:</w:t>
      </w:r>
      <w:r>
        <w:t xml:space="preserve"> </w:t>
      </w:r>
      <w:r>
        <w:t xml:space="preserve">Reconcile the filing date and the audit report date; confirm whether a confidential EGC submission occurred in February 2025 and a public filing is planned for March 2025; ensure the audit report is dated on or before the filing date; correct Note 17 if necessary.</w:t>
      </w:r>
    </w:p>
    <w:p>
      <w:pPr>
        <w:pStyle w:val="BodyText"/>
      </w:pPr>
      <w:r>
        <w:rPr>
          <w:b/>
          <w:bCs/>
        </w:rPr>
        <w:t xml:space="preserve">G2. [Medium] Use of proceeds is not finalized.</w:t>
      </w:r>
    </w:p>
    <w:p>
      <w:pPr>
        <w:pStyle w:val="BodyText"/>
      </w:pPr>
      <w:r>
        <w:t xml:space="preserve">The CFO Memo (Section 3.2) allocates net proceeds as 35% R&amp;D, 25% S&amp;M, 15% debt/general, 10% acquisitions, and 15% general. The Roadshow (Slide 27) allocates 40% R&amp;D, 30% S&amp;M, 15% acquisitions, 10% working capital, and 5% term loan. The Term Sheet states the allocation</w:t>
      </w:r>
      <w:r>
        <w:t xml:space="preserve"> </w:t>
      </w:r>
      <w:r>
        <w:t xml:space="preserve">“</w:t>
      </w:r>
      <w:r>
        <w:t xml:space="preserve">has not [been] determined.</w:t>
      </w:r>
      <w:r>
        <w:t xml:space="preserve">”</w:t>
      </w:r>
      <w:r>
        <w:t xml:space="preserve"> </w:t>
      </w:r>
      <w:r>
        <w:t xml:space="preserve">The Draft S-1 uses the CFO Memo allocation.</w:t>
      </w:r>
    </w:p>
    <w:p>
      <w:pPr>
        <w:pStyle w:val="BodyText"/>
      </w:pPr>
      <w:r>
        <w:rPr>
          <w:i/>
          <w:iCs/>
        </w:rPr>
        <w:t xml:space="preserve">Recommended action:</w:t>
      </w:r>
      <w:r>
        <w:t xml:space="preserve"> </w:t>
      </w:r>
      <w:r>
        <w:t xml:space="preserve">Finalize the use of proceeds allocation; ensure consistency across the S-1, the Roadshow, and the underwriting agreement.</w:t>
      </w:r>
    </w:p>
    <w:p>
      <w:pPr>
        <w:pStyle w:val="BodyText"/>
      </w:pPr>
      <w:r>
        <w:rPr>
          <w:b/>
          <w:bCs/>
        </w:rPr>
        <w:t xml:space="preserve">G3. [Low] EGC accommodations and confidential submission.</w:t>
      </w:r>
    </w:p>
    <w:p>
      <w:pPr>
        <w:pStyle w:val="BodyText"/>
      </w:pPr>
      <w:r>
        <w:t xml:space="preserve">The Term Sheet and Roadshow confirm EGC status and the Company’s intent to use reduced disclosure (including the exemption from SOX 404(b) auditor attestation). The CFO Memo references a</w:t>
      </w:r>
      <w:r>
        <w:t xml:space="preserve"> </w:t>
      </w:r>
      <w:r>
        <w:t xml:space="preserve">“</w:t>
      </w:r>
      <w:r>
        <w:t xml:space="preserve">confidential filing.</w:t>
      </w:r>
      <w:r>
        <w:t xml:space="preserve">”</w:t>
      </w:r>
    </w:p>
    <w:p>
      <w:pPr>
        <w:pStyle w:val="BodyText"/>
      </w:pPr>
      <w:r>
        <w:rPr>
          <w:i/>
          <w:iCs/>
        </w:rPr>
        <w:t xml:space="preserve">Recommended action:</w:t>
      </w:r>
      <w:r>
        <w:t xml:space="preserve"> </w:t>
      </w:r>
      <w:r>
        <w:t xml:space="preserve">Confirm the EGC election and which accommodations the Company will adopt; ensure consistent disclosure in the S-1.</w:t>
      </w:r>
    </w:p>
    <w:bookmarkEnd w:id="29"/>
    <w:bookmarkStart w:id="30" w:name="h.-other-inconsistencies"/>
    <w:p>
      <w:pPr>
        <w:pStyle w:val="Heading3"/>
      </w:pPr>
      <w:r>
        <w:t xml:space="preserve">H. Other Inconsistencies</w:t>
      </w:r>
    </w:p>
    <w:p>
      <w:pPr>
        <w:pStyle w:val="FirstParagraph"/>
      </w:pPr>
      <w:r>
        <w:rPr>
          <w:b/>
          <w:bCs/>
        </w:rPr>
        <w:t xml:space="preserve">H1. [Medium] Restructuring description is inconsistent.</w:t>
      </w:r>
    </w:p>
    <w:p>
      <w:pPr>
        <w:pStyle w:val="BodyText"/>
      </w:pPr>
      <w:r>
        <w:t xml:space="preserve">The Audited Financials (Note 9) describe a Q3 2024 workforce reduction affecting approximately 46 employees. The CFO Memo (Section 5.3) describes a Q2 2024 workforce reduction of approximately 30 positions in the professional services organization. Both cite $1.2 million in restructuring charges.</w:t>
      </w:r>
    </w:p>
    <w:p>
      <w:pPr>
        <w:pStyle w:val="BodyText"/>
      </w:pPr>
      <w:r>
        <w:rPr>
          <w:i/>
          <w:iCs/>
        </w:rPr>
        <w:t xml:space="preserve">Recommended action:</w:t>
      </w:r>
      <w:r>
        <w:t xml:space="preserve"> </w:t>
      </w:r>
      <w:r>
        <w:t xml:space="preserve">Reconcile the number of employees affected (46 vs 30) and the timing (Q3 vs Q2); ensure consistent disclosure in the S-1.</w:t>
      </w:r>
    </w:p>
    <w:p>
      <w:pPr>
        <w:pStyle w:val="BodyText"/>
      </w:pPr>
      <w:r>
        <w:rPr>
          <w:b/>
          <w:bCs/>
        </w:rPr>
        <w:t xml:space="preserve">H2. [Low] Auditor tenure.</w:t>
      </w:r>
    </w:p>
    <w:p>
      <w:pPr>
        <w:pStyle w:val="BodyText"/>
      </w:pPr>
      <w:r>
        <w:t xml:space="preserve">Archer Pryce LLP has served as the Company’s auditor since 2022 (approximately two to three years). This is relatively short tenure for an IPO audit.</w:t>
      </w:r>
    </w:p>
    <w:p>
      <w:pPr>
        <w:pStyle w:val="BodyText"/>
      </w:pPr>
      <w:r>
        <w:rPr>
          <w:i/>
          <w:iCs/>
        </w:rPr>
        <w:t xml:space="preserve">Recommended action:</w:t>
      </w:r>
      <w:r>
        <w:t xml:space="preserve"> </w:t>
      </w:r>
      <w:r>
        <w:t xml:space="preserve">Confirm the auditor-tenure disclosure in the S-1.</w:t>
      </w:r>
    </w:p>
    <w:bookmarkEnd w:id="30"/>
    <w:bookmarkEnd w:id="31"/>
    <w:bookmarkStart w:id="32" w:name="iv.-summary-table-of-open-items"/>
    <w:p>
      <w:pPr>
        <w:pStyle w:val="Heading2"/>
      </w:pPr>
      <w:r>
        <w:t xml:space="preserve">IV. Summary Table of Open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Source(s)</w:t>
            </w:r>
          </w:p>
        </w:tc>
      </w:tr>
      <w:tr>
        <w:tc>
          <w:tcPr/>
          <w:p>
            <w:pPr>
              <w:pStyle w:val="Compact"/>
              <w:jc w:val="left"/>
            </w:pPr>
            <w:r>
              <w:t xml:space="preserve">A1</w:t>
            </w:r>
          </w:p>
        </w:tc>
        <w:tc>
          <w:tcPr/>
          <w:p>
            <w:pPr>
              <w:pStyle w:val="Compact"/>
              <w:jc w:val="left"/>
            </w:pPr>
            <w:r>
              <w:t xml:space="preserve">Adjusted EBITDA reconciliation does not foot; FY2023 inputs do not match audited financials</w:t>
            </w:r>
          </w:p>
        </w:tc>
        <w:tc>
          <w:tcPr/>
          <w:p>
            <w:pPr>
              <w:pStyle w:val="Compact"/>
              <w:jc w:val="left"/>
            </w:pPr>
            <w:r>
              <w:t xml:space="preserve">High</w:t>
            </w:r>
          </w:p>
        </w:tc>
        <w:tc>
          <w:tcPr/>
          <w:p>
            <w:pPr>
              <w:pStyle w:val="Compact"/>
              <w:jc w:val="left"/>
            </w:pPr>
            <w:r>
              <w:t xml:space="preserve">CFO Memo; Roadshow; Audited Financials</w:t>
            </w:r>
          </w:p>
        </w:tc>
      </w:tr>
      <w:tr>
        <w:tc>
          <w:tcPr/>
          <w:p>
            <w:pPr>
              <w:pStyle w:val="Compact"/>
              <w:jc w:val="left"/>
            </w:pPr>
            <w:r>
              <w:t xml:space="preserve">A2</w:t>
            </w:r>
          </w:p>
        </w:tc>
        <w:tc>
          <w:tcPr/>
          <w:p>
            <w:pPr>
              <w:pStyle w:val="Compact"/>
              <w:jc w:val="left"/>
            </w:pPr>
            <w:r>
              <w:t xml:space="preserve">Professional services described as</w:t>
            </w:r>
            <w:r>
              <w:t xml:space="preserve"> </w:t>
            </w:r>
            <w:r>
              <w:t xml:space="preserve">“</w:t>
            </w:r>
            <w:r>
              <w:t xml:space="preserve">high-margin</w:t>
            </w:r>
            <w:r>
              <w:t xml:space="preserve">”</w:t>
            </w:r>
            <w:r>
              <w:t xml:space="preserve"> </w:t>
            </w:r>
            <w:r>
              <w:t xml:space="preserve">despite negative gross margin</w:t>
            </w:r>
          </w:p>
        </w:tc>
        <w:tc>
          <w:tcPr/>
          <w:p>
            <w:pPr>
              <w:pStyle w:val="Compact"/>
              <w:jc w:val="left"/>
            </w:pPr>
            <w:r>
              <w:t xml:space="preserve">High</w:t>
            </w:r>
          </w:p>
        </w:tc>
        <w:tc>
          <w:tcPr/>
          <w:p>
            <w:pPr>
              <w:pStyle w:val="Compact"/>
              <w:jc w:val="left"/>
            </w:pPr>
            <w:r>
              <w:t xml:space="preserve">Roadshow; Audited Financials</w:t>
            </w:r>
          </w:p>
        </w:tc>
      </w:tr>
      <w:tr>
        <w:tc>
          <w:tcPr/>
          <w:p>
            <w:pPr>
              <w:pStyle w:val="Compact"/>
              <w:jc w:val="left"/>
            </w:pPr>
            <w:r>
              <w:t xml:space="preserve">A3</w:t>
            </w:r>
          </w:p>
        </w:tc>
        <w:tc>
          <w:tcPr/>
          <w:p>
            <w:pPr>
              <w:pStyle w:val="Compact"/>
              <w:jc w:val="left"/>
            </w:pPr>
            <w:r>
              <w:t xml:space="preserve">CFO Memo condensed balance sheet differs from audited financials</w:t>
            </w:r>
          </w:p>
        </w:tc>
        <w:tc>
          <w:tcPr/>
          <w:p>
            <w:pPr>
              <w:pStyle w:val="Compact"/>
              <w:jc w:val="left"/>
            </w:pPr>
            <w:r>
              <w:t xml:space="preserve">Medium</w:t>
            </w:r>
          </w:p>
        </w:tc>
        <w:tc>
          <w:tcPr/>
          <w:p>
            <w:pPr>
              <w:pStyle w:val="Compact"/>
              <w:jc w:val="left"/>
            </w:pPr>
            <w:r>
              <w:t xml:space="preserve">CFO Memo; Audited Financials</w:t>
            </w:r>
          </w:p>
        </w:tc>
      </w:tr>
      <w:tr>
        <w:tc>
          <w:tcPr/>
          <w:p>
            <w:pPr>
              <w:pStyle w:val="Compact"/>
              <w:jc w:val="left"/>
            </w:pPr>
            <w:r>
              <w:t xml:space="preserve">A4</w:t>
            </w:r>
          </w:p>
        </w:tc>
        <w:tc>
          <w:tcPr/>
          <w:p>
            <w:pPr>
              <w:pStyle w:val="Compact"/>
              <w:jc w:val="left"/>
            </w:pPr>
            <w:r>
              <w:t xml:space="preserve">CFO Memo FY2023 revenue mix differs from audited financials</w:t>
            </w:r>
          </w:p>
        </w:tc>
        <w:tc>
          <w:tcPr/>
          <w:p>
            <w:pPr>
              <w:pStyle w:val="Compact"/>
              <w:jc w:val="left"/>
            </w:pPr>
            <w:r>
              <w:t xml:space="preserve">Medium</w:t>
            </w:r>
          </w:p>
        </w:tc>
        <w:tc>
          <w:tcPr/>
          <w:p>
            <w:pPr>
              <w:pStyle w:val="Compact"/>
              <w:jc w:val="left"/>
            </w:pPr>
            <w:r>
              <w:t xml:space="preserve">CFO Memo; Audited Financials</w:t>
            </w:r>
          </w:p>
        </w:tc>
      </w:tr>
      <w:tr>
        <w:tc>
          <w:tcPr/>
          <w:p>
            <w:pPr>
              <w:pStyle w:val="Compact"/>
              <w:jc w:val="left"/>
            </w:pPr>
            <w:r>
              <w:t xml:space="preserve">A5</w:t>
            </w:r>
          </w:p>
        </w:tc>
        <w:tc>
          <w:tcPr/>
          <w:p>
            <w:pPr>
              <w:pStyle w:val="Compact"/>
              <w:jc w:val="left"/>
            </w:pPr>
            <w:r>
              <w:t xml:space="preserve">Term loan balance does not reconcile to cash flow statement</w:t>
            </w:r>
          </w:p>
        </w:tc>
        <w:tc>
          <w:tcPr/>
          <w:p>
            <w:pPr>
              <w:pStyle w:val="Compact"/>
              <w:jc w:val="left"/>
            </w:pPr>
            <w:r>
              <w:t xml:space="preserve">High</w:t>
            </w:r>
          </w:p>
        </w:tc>
        <w:tc>
          <w:tcPr/>
          <w:p>
            <w:pPr>
              <w:pStyle w:val="Compact"/>
              <w:jc w:val="left"/>
            </w:pPr>
            <w:r>
              <w:t xml:space="preserve">Audited Financials</w:t>
            </w:r>
          </w:p>
        </w:tc>
      </w:tr>
      <w:tr>
        <w:tc>
          <w:tcPr/>
          <w:p>
            <w:pPr>
              <w:pStyle w:val="Compact"/>
              <w:jc w:val="left"/>
            </w:pPr>
            <w:r>
              <w:t xml:space="preserve">B1</w:t>
            </w:r>
          </w:p>
        </w:tc>
        <w:tc>
          <w:tcPr/>
          <w:p>
            <w:pPr>
              <w:pStyle w:val="Compact"/>
              <w:jc w:val="left"/>
            </w:pPr>
            <w:r>
              <w:t xml:space="preserve">Date of term loan facility inconsistent (June 2023 vs Dec 15, 2022)</w:t>
            </w:r>
          </w:p>
        </w:tc>
        <w:tc>
          <w:tcPr/>
          <w:p>
            <w:pPr>
              <w:pStyle w:val="Compact"/>
              <w:jc w:val="left"/>
            </w:pPr>
            <w:r>
              <w:t xml:space="preserve">High</w:t>
            </w:r>
          </w:p>
        </w:tc>
        <w:tc>
          <w:tcPr/>
          <w:p>
            <w:pPr>
              <w:pStyle w:val="Compact"/>
              <w:jc w:val="left"/>
            </w:pPr>
            <w:r>
              <w:t xml:space="preserve">Audited Financials; Term Loan Summary</w:t>
            </w:r>
          </w:p>
        </w:tc>
      </w:tr>
      <w:tr>
        <w:tc>
          <w:tcPr/>
          <w:p>
            <w:pPr>
              <w:pStyle w:val="Compact"/>
              <w:jc w:val="left"/>
            </w:pPr>
            <w:r>
              <w:t xml:space="preserve">B2</w:t>
            </w:r>
          </w:p>
        </w:tc>
        <w:tc>
          <w:tcPr/>
          <w:p>
            <w:pPr>
              <w:pStyle w:val="Compact"/>
              <w:jc w:val="left"/>
            </w:pPr>
            <w:r>
              <w:t xml:space="preserve">Term loan lender name inconsistent (Kestridge West vs Silicon Valley)</w:t>
            </w:r>
          </w:p>
        </w:tc>
        <w:tc>
          <w:tcPr/>
          <w:p>
            <w:pPr>
              <w:pStyle w:val="Compact"/>
              <w:jc w:val="left"/>
            </w:pPr>
            <w:r>
              <w:t xml:space="preserve">Medium</w:t>
            </w:r>
          </w:p>
        </w:tc>
        <w:tc>
          <w:tcPr/>
          <w:p>
            <w:pPr>
              <w:pStyle w:val="Compact"/>
              <w:jc w:val="left"/>
            </w:pPr>
            <w:r>
              <w:t xml:space="preserve">Audited Financials; Roadshow; Term Loan Summary</w:t>
            </w:r>
          </w:p>
        </w:tc>
      </w:tr>
      <w:tr>
        <w:tc>
          <w:tcPr/>
          <w:p>
            <w:pPr>
              <w:pStyle w:val="Compact"/>
              <w:jc w:val="left"/>
            </w:pPr>
            <w:r>
              <w:t xml:space="preserve">B3</w:t>
            </w:r>
          </w:p>
        </w:tc>
        <w:tc>
          <w:tcPr/>
          <w:p>
            <w:pPr>
              <w:pStyle w:val="Compact"/>
              <w:jc w:val="left"/>
            </w:pPr>
            <w:r>
              <w:t xml:space="preserve">Change-of-control analysis uses imprecise voting-power metric (71.8% vs 94.8%)</w:t>
            </w:r>
          </w:p>
        </w:tc>
        <w:tc>
          <w:tcPr/>
          <w:p>
            <w:pPr>
              <w:pStyle w:val="Compact"/>
              <w:jc w:val="left"/>
            </w:pPr>
            <w:r>
              <w:t xml:space="preserve">Medium</w:t>
            </w:r>
          </w:p>
        </w:tc>
        <w:tc>
          <w:tcPr/>
          <w:p>
            <w:pPr>
              <w:pStyle w:val="Compact"/>
              <w:jc w:val="left"/>
            </w:pPr>
            <w:r>
              <w:t xml:space="preserve">CFO Memo; Term Loan Summary</w:t>
            </w:r>
          </w:p>
        </w:tc>
      </w:tr>
      <w:tr>
        <w:tc>
          <w:tcPr/>
          <w:p>
            <w:pPr>
              <w:pStyle w:val="Compact"/>
              <w:jc w:val="left"/>
            </w:pPr>
            <w:r>
              <w:t xml:space="preserve">B4</w:t>
            </w:r>
          </w:p>
        </w:tc>
        <w:tc>
          <w:tcPr/>
          <w:p>
            <w:pPr>
              <w:pStyle w:val="Compact"/>
              <w:jc w:val="left"/>
            </w:pPr>
            <w:r>
              <w:t xml:space="preserve">30-day IPO notice and Optivance judgment-default threshold</w:t>
            </w:r>
          </w:p>
        </w:tc>
        <w:tc>
          <w:tcPr/>
          <w:p>
            <w:pPr>
              <w:pStyle w:val="Compact"/>
              <w:jc w:val="left"/>
            </w:pPr>
            <w:r>
              <w:t xml:space="preserve">Medium</w:t>
            </w:r>
          </w:p>
        </w:tc>
        <w:tc>
          <w:tcPr/>
          <w:p>
            <w:pPr>
              <w:pStyle w:val="Compact"/>
              <w:jc w:val="left"/>
            </w:pPr>
            <w:r>
              <w:t xml:space="preserve">Term Loan Summary</w:t>
            </w:r>
          </w:p>
        </w:tc>
      </w:tr>
      <w:tr>
        <w:tc>
          <w:tcPr/>
          <w:p>
            <w:pPr>
              <w:pStyle w:val="Compact"/>
              <w:jc w:val="left"/>
            </w:pPr>
            <w:r>
              <w:t xml:space="preserve">C1</w:t>
            </w:r>
          </w:p>
        </w:tc>
        <w:tc>
          <w:tcPr/>
          <w:p>
            <w:pPr>
              <w:pStyle w:val="Compact"/>
              <w:jc w:val="left"/>
            </w:pPr>
            <w:r>
              <w:t xml:space="preserve">409A valuation history inconsistent</w:t>
            </w:r>
          </w:p>
        </w:tc>
        <w:tc>
          <w:tcPr/>
          <w:p>
            <w:pPr>
              <w:pStyle w:val="Compact"/>
              <w:jc w:val="left"/>
            </w:pPr>
            <w:r>
              <w:t xml:space="preserve">High</w:t>
            </w:r>
          </w:p>
        </w:tc>
        <w:tc>
          <w:tcPr/>
          <w:p>
            <w:pPr>
              <w:pStyle w:val="Compact"/>
              <w:jc w:val="left"/>
            </w:pPr>
            <w:r>
              <w:t xml:space="preserve">Audited Financials; Equity Schedule</w:t>
            </w:r>
          </w:p>
        </w:tc>
      </w:tr>
      <w:tr>
        <w:tc>
          <w:tcPr/>
          <w:p>
            <w:pPr>
              <w:pStyle w:val="Compact"/>
              <w:jc w:val="left"/>
            </w:pPr>
            <w:r>
              <w:t xml:space="preserve">C2</w:t>
            </w:r>
          </w:p>
        </w:tc>
        <w:tc>
          <w:tcPr/>
          <w:p>
            <w:pPr>
              <w:pStyle w:val="Compact"/>
              <w:jc w:val="left"/>
            </w:pPr>
            <w:r>
              <w:t xml:space="preserve">Cheap-stock / 409A risk on Q1 2023 option grants</w:t>
            </w:r>
          </w:p>
        </w:tc>
        <w:tc>
          <w:tcPr/>
          <w:p>
            <w:pPr>
              <w:pStyle w:val="Compact"/>
              <w:jc w:val="left"/>
            </w:pPr>
            <w:r>
              <w:t xml:space="preserve">High</w:t>
            </w:r>
          </w:p>
        </w:tc>
        <w:tc>
          <w:tcPr/>
          <w:p>
            <w:pPr>
              <w:pStyle w:val="Compact"/>
              <w:jc w:val="left"/>
            </w:pPr>
            <w:r>
              <w:t xml:space="preserve">Audited Financials; Equity Schedule</w:t>
            </w:r>
          </w:p>
        </w:tc>
      </w:tr>
      <w:tr>
        <w:tc>
          <w:tcPr/>
          <w:p>
            <w:pPr>
              <w:pStyle w:val="Compact"/>
              <w:jc w:val="left"/>
            </w:pPr>
            <w:r>
              <w:t xml:space="preserve">C3</w:t>
            </w:r>
          </w:p>
        </w:tc>
        <w:tc>
          <w:tcPr/>
          <w:p>
            <w:pPr>
              <w:pStyle w:val="Compact"/>
              <w:jc w:val="left"/>
            </w:pPr>
            <w:r>
              <w:t xml:space="preserve">Option activity inconsistent (grants, exercise price, exercises)</w:t>
            </w:r>
          </w:p>
        </w:tc>
        <w:tc>
          <w:tcPr/>
          <w:p>
            <w:pPr>
              <w:pStyle w:val="Compact"/>
              <w:jc w:val="left"/>
            </w:pPr>
            <w:r>
              <w:t xml:space="preserve">High</w:t>
            </w:r>
          </w:p>
        </w:tc>
        <w:tc>
          <w:tcPr/>
          <w:p>
            <w:pPr>
              <w:pStyle w:val="Compact"/>
              <w:jc w:val="left"/>
            </w:pPr>
            <w:r>
              <w:t xml:space="preserve">Audited Financials; Equity Schedule</w:t>
            </w:r>
          </w:p>
        </w:tc>
      </w:tr>
      <w:tr>
        <w:tc>
          <w:tcPr/>
          <w:p>
            <w:pPr>
              <w:pStyle w:val="Compact"/>
              <w:jc w:val="left"/>
            </w:pPr>
            <w:r>
              <w:t xml:space="preserve">C4</w:t>
            </w:r>
          </w:p>
        </w:tc>
        <w:tc>
          <w:tcPr/>
          <w:p>
            <w:pPr>
              <w:pStyle w:val="Compact"/>
              <w:jc w:val="left"/>
            </w:pPr>
            <w:r>
              <w:t xml:space="preserve">RSU activity inconsistent; double-trigger feature not reflected</w:t>
            </w:r>
          </w:p>
        </w:tc>
        <w:tc>
          <w:tcPr/>
          <w:p>
            <w:pPr>
              <w:pStyle w:val="Compact"/>
              <w:jc w:val="left"/>
            </w:pPr>
            <w:r>
              <w:t xml:space="preserve">High</w:t>
            </w:r>
          </w:p>
        </w:tc>
        <w:tc>
          <w:tcPr/>
          <w:p>
            <w:pPr>
              <w:pStyle w:val="Compact"/>
              <w:jc w:val="left"/>
            </w:pPr>
            <w:r>
              <w:t xml:space="preserve">Audited Financials; Equity Schedule</w:t>
            </w:r>
          </w:p>
        </w:tc>
      </w:tr>
      <w:tr>
        <w:tc>
          <w:tcPr/>
          <w:p>
            <w:pPr>
              <w:pStyle w:val="Compact"/>
              <w:jc w:val="left"/>
            </w:pPr>
            <w:r>
              <w:t xml:space="preserve">C5</w:t>
            </w:r>
          </w:p>
        </w:tc>
        <w:tc>
          <w:tcPr/>
          <w:p>
            <w:pPr>
              <w:pStyle w:val="Compact"/>
              <w:jc w:val="left"/>
            </w:pPr>
            <w:r>
              <w:t xml:space="preserve">Equity Schedule internal reconciliation errors</w:t>
            </w:r>
          </w:p>
        </w:tc>
        <w:tc>
          <w:tcPr/>
          <w:p>
            <w:pPr>
              <w:pStyle w:val="Compact"/>
              <w:jc w:val="left"/>
            </w:pPr>
            <w:r>
              <w:t xml:space="preserve">Medium</w:t>
            </w:r>
          </w:p>
        </w:tc>
        <w:tc>
          <w:tcPr/>
          <w:p>
            <w:pPr>
              <w:pStyle w:val="Compact"/>
              <w:jc w:val="left"/>
            </w:pPr>
            <w:r>
              <w:t xml:space="preserve">Equity Schedule</w:t>
            </w:r>
          </w:p>
        </w:tc>
      </w:tr>
      <w:tr>
        <w:tc>
          <w:tcPr/>
          <w:p>
            <w:pPr>
              <w:pStyle w:val="Compact"/>
              <w:jc w:val="left"/>
            </w:pPr>
            <w:r>
              <w:t xml:space="preserve">C6</w:t>
            </w:r>
          </w:p>
        </w:tc>
        <w:tc>
          <w:tcPr/>
          <w:p>
            <w:pPr>
              <w:pStyle w:val="Compact"/>
              <w:jc w:val="left"/>
            </w:pPr>
            <w:r>
              <w:t xml:space="preserve">Post-IPO ownership percentages in CFO Memo do not reconcile</w:t>
            </w:r>
          </w:p>
        </w:tc>
        <w:tc>
          <w:tcPr/>
          <w:p>
            <w:pPr>
              <w:pStyle w:val="Compact"/>
              <w:jc w:val="left"/>
            </w:pPr>
            <w:r>
              <w:t xml:space="preserve">Medium</w:t>
            </w:r>
          </w:p>
        </w:tc>
        <w:tc>
          <w:tcPr/>
          <w:p>
            <w:pPr>
              <w:pStyle w:val="Compact"/>
              <w:jc w:val="left"/>
            </w:pPr>
            <w:r>
              <w:t xml:space="preserve">CFO Memo</w:t>
            </w:r>
          </w:p>
        </w:tc>
      </w:tr>
      <w:tr>
        <w:tc>
          <w:tcPr/>
          <w:p>
            <w:pPr>
              <w:pStyle w:val="Compact"/>
              <w:jc w:val="left"/>
            </w:pPr>
            <w:r>
              <w:t xml:space="preserve">C7</w:t>
            </w:r>
          </w:p>
        </w:tc>
        <w:tc>
          <w:tcPr/>
          <w:p>
            <w:pPr>
              <w:pStyle w:val="Compact"/>
              <w:jc w:val="left"/>
            </w:pPr>
            <w:r>
              <w:t xml:space="preserve">Graymont share count and Ridgeline fund name inconsistencies</w:t>
            </w:r>
          </w:p>
        </w:tc>
        <w:tc>
          <w:tcPr/>
          <w:p>
            <w:pPr>
              <w:pStyle w:val="Compact"/>
              <w:jc w:val="left"/>
            </w:pPr>
            <w:r>
              <w:t xml:space="preserve">Low</w:t>
            </w:r>
          </w:p>
        </w:tc>
        <w:tc>
          <w:tcPr/>
          <w:p>
            <w:pPr>
              <w:pStyle w:val="Compact"/>
              <w:jc w:val="left"/>
            </w:pPr>
            <w:r>
              <w:t xml:space="preserve">CFO Memo; D&amp;O Questionnaires</w:t>
            </w:r>
          </w:p>
        </w:tc>
      </w:tr>
      <w:tr>
        <w:tc>
          <w:tcPr/>
          <w:p>
            <w:pPr>
              <w:pStyle w:val="Compact"/>
              <w:jc w:val="left"/>
            </w:pPr>
            <w:r>
              <w:t xml:space="preserve">D1</w:t>
            </w:r>
          </w:p>
        </w:tc>
        <w:tc>
          <w:tcPr/>
          <w:p>
            <w:pPr>
              <w:pStyle w:val="Compact"/>
              <w:jc w:val="left"/>
            </w:pPr>
            <w:r>
              <w:t xml:space="preserve">Board size inconsistent; only six directors identified</w:t>
            </w:r>
          </w:p>
        </w:tc>
        <w:tc>
          <w:tcPr/>
          <w:p>
            <w:pPr>
              <w:pStyle w:val="Compact"/>
              <w:jc w:val="left"/>
            </w:pPr>
            <w:r>
              <w:t xml:space="preserve">High</w:t>
            </w:r>
          </w:p>
        </w:tc>
        <w:tc>
          <w:tcPr/>
          <w:p>
            <w:pPr>
              <w:pStyle w:val="Compact"/>
              <w:jc w:val="left"/>
            </w:pPr>
            <w:r>
              <w:t xml:space="preserve">Charter; D&amp;O Questionnaires; Roadshow</w:t>
            </w:r>
          </w:p>
        </w:tc>
      </w:tr>
      <w:tr>
        <w:tc>
          <w:tcPr/>
          <w:p>
            <w:pPr>
              <w:pStyle w:val="Compact"/>
              <w:jc w:val="left"/>
            </w:pPr>
            <w:r>
              <w:t xml:space="preserve">D2</w:t>
            </w:r>
          </w:p>
        </w:tc>
        <w:tc>
          <w:tcPr/>
          <w:p>
            <w:pPr>
              <w:pStyle w:val="Compact"/>
              <w:jc w:val="left"/>
            </w:pPr>
            <w:r>
              <w:t xml:space="preserve">Controlled-company exemption not formally elected</w:t>
            </w:r>
          </w:p>
        </w:tc>
        <w:tc>
          <w:tcPr/>
          <w:p>
            <w:pPr>
              <w:pStyle w:val="Compact"/>
              <w:jc w:val="left"/>
            </w:pPr>
            <w:r>
              <w:t xml:space="preserve">High</w:t>
            </w:r>
          </w:p>
        </w:tc>
        <w:tc>
          <w:tcPr/>
          <w:p>
            <w:pPr>
              <w:pStyle w:val="Compact"/>
              <w:jc w:val="left"/>
            </w:pPr>
            <w:r>
              <w:t xml:space="preserve">D&amp;O Questionnaires</w:t>
            </w:r>
          </w:p>
        </w:tc>
      </w:tr>
      <w:tr>
        <w:tc>
          <w:tcPr/>
          <w:p>
            <w:pPr>
              <w:pStyle w:val="Compact"/>
              <w:jc w:val="left"/>
            </w:pPr>
            <w:r>
              <w:t xml:space="preserve">D3</w:t>
            </w:r>
          </w:p>
        </w:tc>
        <w:tc>
          <w:tcPr/>
          <w:p>
            <w:pPr>
              <w:pStyle w:val="Compact"/>
              <w:jc w:val="left"/>
            </w:pPr>
            <w:r>
              <w:t xml:space="preserve">Dual-class structure has no sunset provision</w:t>
            </w:r>
          </w:p>
        </w:tc>
        <w:tc>
          <w:tcPr/>
          <w:p>
            <w:pPr>
              <w:pStyle w:val="Compact"/>
              <w:jc w:val="left"/>
            </w:pPr>
            <w:r>
              <w:t xml:space="preserve">High</w:t>
            </w:r>
          </w:p>
        </w:tc>
        <w:tc>
          <w:tcPr/>
          <w:p>
            <w:pPr>
              <w:pStyle w:val="Compact"/>
              <w:jc w:val="left"/>
            </w:pPr>
            <w:r>
              <w:t xml:space="preserve">Charter</w:t>
            </w:r>
          </w:p>
        </w:tc>
      </w:tr>
      <w:tr>
        <w:tc>
          <w:tcPr/>
          <w:p>
            <w:pPr>
              <w:pStyle w:val="Compact"/>
              <w:jc w:val="left"/>
            </w:pPr>
            <w:r>
              <w:t xml:space="preserve">D4</w:t>
            </w:r>
          </w:p>
        </w:tc>
        <w:tc>
          <w:tcPr/>
          <w:p>
            <w:pPr>
              <w:pStyle w:val="Compact"/>
              <w:jc w:val="left"/>
            </w:pPr>
            <w:r>
              <w:t xml:space="preserve">Transfer agent name inconsistent (Computershare vs Oakvale)</w:t>
            </w:r>
          </w:p>
        </w:tc>
        <w:tc>
          <w:tcPr/>
          <w:p>
            <w:pPr>
              <w:pStyle w:val="Compact"/>
              <w:jc w:val="left"/>
            </w:pPr>
            <w:r>
              <w:t xml:space="preserve">Medium</w:t>
            </w:r>
          </w:p>
        </w:tc>
        <w:tc>
          <w:tcPr/>
          <w:p>
            <w:pPr>
              <w:pStyle w:val="Compact"/>
              <w:jc w:val="left"/>
            </w:pPr>
            <w:r>
              <w:t xml:space="preserve">Bylaws; CFO Memo; Term Sheet</w:t>
            </w:r>
          </w:p>
        </w:tc>
      </w:tr>
      <w:tr>
        <w:tc>
          <w:tcPr/>
          <w:p>
            <w:pPr>
              <w:pStyle w:val="Compact"/>
              <w:jc w:val="left"/>
            </w:pPr>
            <w:r>
              <w:t xml:space="preserve">D5</w:t>
            </w:r>
          </w:p>
        </w:tc>
        <w:tc>
          <w:tcPr/>
          <w:p>
            <w:pPr>
              <w:pStyle w:val="Compact"/>
              <w:jc w:val="left"/>
            </w:pPr>
            <w:r>
              <w:t xml:space="preserve">Co-founder name inconsistent (Litvanova vs Litvak)</w:t>
            </w:r>
          </w:p>
        </w:tc>
        <w:tc>
          <w:tcPr/>
          <w:p>
            <w:pPr>
              <w:pStyle w:val="Compact"/>
              <w:jc w:val="left"/>
            </w:pPr>
            <w:r>
              <w:t xml:space="preserve">Medium</w:t>
            </w:r>
          </w:p>
        </w:tc>
        <w:tc>
          <w:tcPr/>
          <w:p>
            <w:pPr>
              <w:pStyle w:val="Compact"/>
              <w:jc w:val="left"/>
            </w:pPr>
            <w:r>
              <w:t xml:space="preserve">Charter; CFO Memo; Term Sheet</w:t>
            </w:r>
          </w:p>
        </w:tc>
      </w:tr>
      <w:tr>
        <w:tc>
          <w:tcPr/>
          <w:p>
            <w:pPr>
              <w:pStyle w:val="Compact"/>
              <w:jc w:val="left"/>
            </w:pPr>
            <w:r>
              <w:t xml:space="preserve">D6</w:t>
            </w:r>
          </w:p>
        </w:tc>
        <w:tc>
          <w:tcPr/>
          <w:p>
            <w:pPr>
              <w:pStyle w:val="Compact"/>
              <w:jc w:val="left"/>
            </w:pPr>
            <w:r>
              <w:t xml:space="preserve">Issuer’s counsel address inconsistent (610 vs 600 Lexington)</w:t>
            </w:r>
          </w:p>
        </w:tc>
        <w:tc>
          <w:tcPr/>
          <w:p>
            <w:pPr>
              <w:pStyle w:val="Compact"/>
              <w:jc w:val="left"/>
            </w:pPr>
            <w:r>
              <w:t xml:space="preserve">Low</w:t>
            </w:r>
          </w:p>
        </w:tc>
        <w:tc>
          <w:tcPr/>
          <w:p>
            <w:pPr>
              <w:pStyle w:val="Compact"/>
              <w:jc w:val="left"/>
            </w:pPr>
            <w:r>
              <w:t xml:space="preserve">D&amp;O Questionnaires; Term Sheet</w:t>
            </w:r>
          </w:p>
        </w:tc>
      </w:tr>
      <w:tr>
        <w:tc>
          <w:tcPr/>
          <w:p>
            <w:pPr>
              <w:pStyle w:val="Compact"/>
              <w:jc w:val="left"/>
            </w:pPr>
            <w:r>
              <w:t xml:space="preserve">D7</w:t>
            </w:r>
          </w:p>
        </w:tc>
        <w:tc>
          <w:tcPr/>
          <w:p>
            <w:pPr>
              <w:pStyle w:val="Compact"/>
              <w:jc w:val="left"/>
            </w:pPr>
            <w:r>
              <w:t xml:space="preserve">Forum-selection and corporate-opportunities provisions require disclosure</w:t>
            </w:r>
          </w:p>
        </w:tc>
        <w:tc>
          <w:tcPr/>
          <w:p>
            <w:pPr>
              <w:pStyle w:val="Compact"/>
              <w:jc w:val="left"/>
            </w:pPr>
            <w:r>
              <w:t xml:space="preserve">Medium</w:t>
            </w:r>
          </w:p>
        </w:tc>
        <w:tc>
          <w:tcPr/>
          <w:p>
            <w:pPr>
              <w:pStyle w:val="Compact"/>
              <w:jc w:val="left"/>
            </w:pPr>
            <w:r>
              <w:t xml:space="preserve">Charter</w:t>
            </w:r>
          </w:p>
        </w:tc>
      </w:tr>
      <w:tr>
        <w:tc>
          <w:tcPr/>
          <w:p>
            <w:pPr>
              <w:pStyle w:val="Compact"/>
              <w:jc w:val="left"/>
            </w:pPr>
            <w:r>
              <w:t xml:space="preserve">E1</w:t>
            </w:r>
          </w:p>
        </w:tc>
        <w:tc>
          <w:tcPr/>
          <w:p>
            <w:pPr>
              <w:pStyle w:val="Compact"/>
              <w:jc w:val="left"/>
            </w:pPr>
            <w:r>
              <w:t xml:space="preserve">Vantara Logistics related-party disclosure inconsistent</w:t>
            </w:r>
          </w:p>
        </w:tc>
        <w:tc>
          <w:tcPr/>
          <w:p>
            <w:pPr>
              <w:pStyle w:val="Compact"/>
              <w:jc w:val="left"/>
            </w:pPr>
            <w:r>
              <w:t xml:space="preserve">High</w:t>
            </w:r>
          </w:p>
        </w:tc>
        <w:tc>
          <w:tcPr/>
          <w:p>
            <w:pPr>
              <w:pStyle w:val="Compact"/>
              <w:jc w:val="left"/>
            </w:pPr>
            <w:r>
              <w:t xml:space="preserve">D&amp;O Questionnaires; CFO Memo; Roadshow</w:t>
            </w:r>
          </w:p>
        </w:tc>
      </w:tr>
      <w:tr>
        <w:tc>
          <w:tcPr/>
          <w:p>
            <w:pPr>
              <w:pStyle w:val="Compact"/>
              <w:jc w:val="left"/>
            </w:pPr>
            <w:r>
              <w:t xml:space="preserve">E2</w:t>
            </w:r>
          </w:p>
        </w:tc>
        <w:tc>
          <w:tcPr/>
          <w:p>
            <w:pPr>
              <w:pStyle w:val="Compact"/>
              <w:jc w:val="left"/>
            </w:pPr>
            <w:r>
              <w:t xml:space="preserve">Aldersgate Capital beneficial ownership unconfirmed; name inconsistency</w:t>
            </w:r>
          </w:p>
        </w:tc>
        <w:tc>
          <w:tcPr/>
          <w:p>
            <w:pPr>
              <w:pStyle w:val="Compact"/>
              <w:jc w:val="left"/>
            </w:pPr>
            <w:r>
              <w:t xml:space="preserve">High</w:t>
            </w:r>
          </w:p>
        </w:tc>
        <w:tc>
          <w:tcPr/>
          <w:p>
            <w:pPr>
              <w:pStyle w:val="Compact"/>
              <w:jc w:val="left"/>
            </w:pPr>
            <w:r>
              <w:t xml:space="preserve">D&amp;O Questionnaires; Roadshow</w:t>
            </w:r>
          </w:p>
        </w:tc>
      </w:tr>
      <w:tr>
        <w:tc>
          <w:tcPr/>
          <w:p>
            <w:pPr>
              <w:pStyle w:val="Compact"/>
              <w:jc w:val="left"/>
            </w:pPr>
            <w:r>
              <w:t xml:space="preserve">E3</w:t>
            </w:r>
          </w:p>
        </w:tc>
        <w:tc>
          <w:tcPr/>
          <w:p>
            <w:pPr>
              <w:pStyle w:val="Compact"/>
              <w:jc w:val="left"/>
            </w:pPr>
            <w:r>
              <w:t xml:space="preserve">General Counsel’s former employment at issuer’s counsel</w:t>
            </w:r>
          </w:p>
        </w:tc>
        <w:tc>
          <w:tcPr/>
          <w:p>
            <w:pPr>
              <w:pStyle w:val="Compact"/>
              <w:jc w:val="left"/>
            </w:pPr>
            <w:r>
              <w:t xml:space="preserve">Medium</w:t>
            </w:r>
          </w:p>
        </w:tc>
        <w:tc>
          <w:tcPr/>
          <w:p>
            <w:pPr>
              <w:pStyle w:val="Compact"/>
              <w:jc w:val="left"/>
            </w:pPr>
            <w:r>
              <w:t xml:space="preserve">D&amp;O Questionnaires</w:t>
            </w:r>
          </w:p>
        </w:tc>
      </w:tr>
      <w:tr>
        <w:tc>
          <w:tcPr/>
          <w:p>
            <w:pPr>
              <w:pStyle w:val="Compact"/>
              <w:jc w:val="left"/>
            </w:pPr>
            <w:r>
              <w:t xml:space="preserve">E4</w:t>
            </w:r>
          </w:p>
        </w:tc>
        <w:tc>
          <w:tcPr/>
          <w:p>
            <w:pPr>
              <w:pStyle w:val="Compact"/>
              <w:jc w:val="left"/>
            </w:pPr>
            <w:r>
              <w:t xml:space="preserve">Director ages not provided</w:t>
            </w:r>
          </w:p>
        </w:tc>
        <w:tc>
          <w:tcPr/>
          <w:p>
            <w:pPr>
              <w:pStyle w:val="Compact"/>
              <w:jc w:val="left"/>
            </w:pPr>
            <w:r>
              <w:t xml:space="preserve">Medium</w:t>
            </w:r>
          </w:p>
        </w:tc>
        <w:tc>
          <w:tcPr/>
          <w:p>
            <w:pPr>
              <w:pStyle w:val="Compact"/>
              <w:jc w:val="left"/>
            </w:pPr>
            <w:r>
              <w:t xml:space="preserve">D&amp;O Questionnaires</w:t>
            </w:r>
          </w:p>
        </w:tc>
      </w:tr>
      <w:tr>
        <w:tc>
          <w:tcPr/>
          <w:p>
            <w:pPr>
              <w:pStyle w:val="Compact"/>
              <w:jc w:val="left"/>
            </w:pPr>
            <w:r>
              <w:t xml:space="preserve">E5</w:t>
            </w:r>
          </w:p>
        </w:tc>
        <w:tc>
          <w:tcPr/>
          <w:p>
            <w:pPr>
              <w:pStyle w:val="Compact"/>
              <w:jc w:val="left"/>
            </w:pPr>
            <w:r>
              <w:t xml:space="preserve">Lock-up must bind fund-level entities</w:t>
            </w:r>
          </w:p>
        </w:tc>
        <w:tc>
          <w:tcPr/>
          <w:p>
            <w:pPr>
              <w:pStyle w:val="Compact"/>
              <w:jc w:val="left"/>
            </w:pPr>
            <w:r>
              <w:t xml:space="preserve">Medium</w:t>
            </w:r>
          </w:p>
        </w:tc>
        <w:tc>
          <w:tcPr/>
          <w:p>
            <w:pPr>
              <w:pStyle w:val="Compact"/>
              <w:jc w:val="left"/>
            </w:pPr>
            <w:r>
              <w:t xml:space="preserve">D&amp;O Questionnaires; Term Sheet</w:t>
            </w:r>
          </w:p>
        </w:tc>
      </w:tr>
      <w:tr>
        <w:tc>
          <w:tcPr/>
          <w:p>
            <w:pPr>
              <w:pStyle w:val="Compact"/>
              <w:jc w:val="left"/>
            </w:pPr>
            <w:r>
              <w:t xml:space="preserve">E6</w:t>
            </w:r>
          </w:p>
        </w:tc>
        <w:tc>
          <w:tcPr/>
          <w:p>
            <w:pPr>
              <w:pStyle w:val="Compact"/>
              <w:jc w:val="left"/>
            </w:pPr>
            <w:r>
              <w:t xml:space="preserve">Credit agreement affiliate-transactions covenant and Vantara</w:t>
            </w:r>
          </w:p>
        </w:tc>
        <w:tc>
          <w:tcPr/>
          <w:p>
            <w:pPr>
              <w:pStyle w:val="Compact"/>
              <w:jc w:val="left"/>
            </w:pPr>
            <w:r>
              <w:t xml:space="preserve">Medium</w:t>
            </w:r>
          </w:p>
        </w:tc>
        <w:tc>
          <w:tcPr/>
          <w:p>
            <w:pPr>
              <w:pStyle w:val="Compact"/>
              <w:jc w:val="left"/>
            </w:pPr>
            <w:r>
              <w:t xml:space="preserve">Term Loan Summary</w:t>
            </w:r>
          </w:p>
        </w:tc>
      </w:tr>
      <w:tr>
        <w:tc>
          <w:tcPr/>
          <w:p>
            <w:pPr>
              <w:pStyle w:val="Compact"/>
              <w:jc w:val="left"/>
            </w:pPr>
            <w:r>
              <w:t xml:space="preserve">F1</w:t>
            </w:r>
          </w:p>
        </w:tc>
        <w:tc>
          <w:tcPr/>
          <w:p>
            <w:pPr>
              <w:pStyle w:val="Compact"/>
              <w:jc w:val="left"/>
            </w:pPr>
            <w:r>
              <w:t xml:space="preserve">Optivance litigation and term loan default risk</w:t>
            </w:r>
          </w:p>
        </w:tc>
        <w:tc>
          <w:tcPr/>
          <w:p>
            <w:pPr>
              <w:pStyle w:val="Compact"/>
              <w:jc w:val="left"/>
            </w:pPr>
            <w:r>
              <w:t xml:space="preserve">High</w:t>
            </w:r>
          </w:p>
        </w:tc>
        <w:tc>
          <w:tcPr/>
          <w:p>
            <w:pPr>
              <w:pStyle w:val="Compact"/>
              <w:jc w:val="left"/>
            </w:pPr>
            <w:r>
              <w:t xml:space="preserve">Audited Financials; Term Loan Summary</w:t>
            </w:r>
          </w:p>
        </w:tc>
      </w:tr>
      <w:tr>
        <w:tc>
          <w:tcPr/>
          <w:p>
            <w:pPr>
              <w:pStyle w:val="Compact"/>
              <w:jc w:val="left"/>
            </w:pPr>
            <w:r>
              <w:t xml:space="preserve">F2</w:t>
            </w:r>
          </w:p>
        </w:tc>
        <w:tc>
          <w:tcPr/>
          <w:p>
            <w:pPr>
              <w:pStyle w:val="Compact"/>
              <w:jc w:val="left"/>
            </w:pPr>
            <w:r>
              <w:t xml:space="preserve">Section 382 NOL limitation risk</w:t>
            </w:r>
          </w:p>
        </w:tc>
        <w:tc>
          <w:tcPr/>
          <w:p>
            <w:pPr>
              <w:pStyle w:val="Compact"/>
              <w:jc w:val="left"/>
            </w:pPr>
            <w:r>
              <w:t xml:space="preserve">High</w:t>
            </w:r>
          </w:p>
        </w:tc>
        <w:tc>
          <w:tcPr/>
          <w:p>
            <w:pPr>
              <w:pStyle w:val="Compact"/>
              <w:jc w:val="left"/>
            </w:pPr>
            <w:r>
              <w:t xml:space="preserve">Audited Financials</w:t>
            </w:r>
          </w:p>
        </w:tc>
      </w:tr>
      <w:tr>
        <w:tc>
          <w:tcPr/>
          <w:p>
            <w:pPr>
              <w:pStyle w:val="Compact"/>
              <w:jc w:val="left"/>
            </w:pPr>
            <w:r>
              <w:t xml:space="preserve">F3</w:t>
            </w:r>
          </w:p>
        </w:tc>
        <w:tc>
          <w:tcPr/>
          <w:p>
            <w:pPr>
              <w:pStyle w:val="Compact"/>
              <w:jc w:val="left"/>
            </w:pPr>
            <w:r>
              <w:t xml:space="preserve">Customer concentration</w:t>
            </w:r>
          </w:p>
        </w:tc>
        <w:tc>
          <w:tcPr/>
          <w:p>
            <w:pPr>
              <w:pStyle w:val="Compact"/>
              <w:jc w:val="left"/>
            </w:pPr>
            <w:r>
              <w:t xml:space="preserve">Medium</w:t>
            </w:r>
          </w:p>
        </w:tc>
        <w:tc>
          <w:tcPr/>
          <w:p>
            <w:pPr>
              <w:pStyle w:val="Compact"/>
              <w:jc w:val="left"/>
            </w:pPr>
            <w:r>
              <w:t xml:space="preserve">Audited Financials; CFO Memo</w:t>
            </w:r>
          </w:p>
        </w:tc>
      </w:tr>
      <w:tr>
        <w:tc>
          <w:tcPr/>
          <w:p>
            <w:pPr>
              <w:pStyle w:val="Compact"/>
              <w:jc w:val="left"/>
            </w:pPr>
            <w:r>
              <w:t xml:space="preserve">G1</w:t>
            </w:r>
          </w:p>
        </w:tc>
        <w:tc>
          <w:tcPr/>
          <w:p>
            <w:pPr>
              <w:pStyle w:val="Compact"/>
              <w:jc w:val="left"/>
            </w:pPr>
            <w:r>
              <w:t xml:space="preserve">Filing date and audit report date inconsistent</w:t>
            </w:r>
          </w:p>
        </w:tc>
        <w:tc>
          <w:tcPr/>
          <w:p>
            <w:pPr>
              <w:pStyle w:val="Compact"/>
              <w:jc w:val="left"/>
            </w:pPr>
            <w:r>
              <w:t xml:space="preserve">High</w:t>
            </w:r>
          </w:p>
        </w:tc>
        <w:tc>
          <w:tcPr/>
          <w:p>
            <w:pPr>
              <w:pStyle w:val="Compact"/>
              <w:jc w:val="left"/>
            </w:pPr>
            <w:r>
              <w:t xml:space="preserve">CFO Memo; Audited Financials</w:t>
            </w:r>
          </w:p>
        </w:tc>
      </w:tr>
      <w:tr>
        <w:tc>
          <w:tcPr/>
          <w:p>
            <w:pPr>
              <w:pStyle w:val="Compact"/>
              <w:jc w:val="left"/>
            </w:pPr>
            <w:r>
              <w:t xml:space="preserve">G2</w:t>
            </w:r>
          </w:p>
        </w:tc>
        <w:tc>
          <w:tcPr/>
          <w:p>
            <w:pPr>
              <w:pStyle w:val="Compact"/>
              <w:jc w:val="left"/>
            </w:pPr>
            <w:r>
              <w:t xml:space="preserve">Use of proceeds not finalized</w:t>
            </w:r>
          </w:p>
        </w:tc>
        <w:tc>
          <w:tcPr/>
          <w:p>
            <w:pPr>
              <w:pStyle w:val="Compact"/>
              <w:jc w:val="left"/>
            </w:pPr>
            <w:r>
              <w:t xml:space="preserve">Medium</w:t>
            </w:r>
          </w:p>
        </w:tc>
        <w:tc>
          <w:tcPr/>
          <w:p>
            <w:pPr>
              <w:pStyle w:val="Compact"/>
              <w:jc w:val="left"/>
            </w:pPr>
            <w:r>
              <w:t xml:space="preserve">CFO Memo; Roadshow; Term Sheet</w:t>
            </w:r>
          </w:p>
        </w:tc>
      </w:tr>
      <w:tr>
        <w:tc>
          <w:tcPr/>
          <w:p>
            <w:pPr>
              <w:pStyle w:val="Compact"/>
              <w:jc w:val="left"/>
            </w:pPr>
            <w:r>
              <w:t xml:space="preserve">G3</w:t>
            </w:r>
          </w:p>
        </w:tc>
        <w:tc>
          <w:tcPr/>
          <w:p>
            <w:pPr>
              <w:pStyle w:val="Compact"/>
              <w:jc w:val="left"/>
            </w:pPr>
            <w:r>
              <w:t xml:space="preserve">EGC accommodations and confidential submission</w:t>
            </w:r>
          </w:p>
        </w:tc>
        <w:tc>
          <w:tcPr/>
          <w:p>
            <w:pPr>
              <w:pStyle w:val="Compact"/>
              <w:jc w:val="left"/>
            </w:pPr>
            <w:r>
              <w:t xml:space="preserve">Low</w:t>
            </w:r>
          </w:p>
        </w:tc>
        <w:tc>
          <w:tcPr/>
          <w:p>
            <w:pPr>
              <w:pStyle w:val="Compact"/>
              <w:jc w:val="left"/>
            </w:pPr>
            <w:r>
              <w:t xml:space="preserve">Term Sheet; Roadshow; CFO Memo</w:t>
            </w:r>
          </w:p>
        </w:tc>
      </w:tr>
      <w:tr>
        <w:tc>
          <w:tcPr/>
          <w:p>
            <w:pPr>
              <w:pStyle w:val="Compact"/>
              <w:jc w:val="left"/>
            </w:pPr>
            <w:r>
              <w:t xml:space="preserve">H1</w:t>
            </w:r>
          </w:p>
        </w:tc>
        <w:tc>
          <w:tcPr/>
          <w:p>
            <w:pPr>
              <w:pStyle w:val="Compact"/>
              <w:jc w:val="left"/>
            </w:pPr>
            <w:r>
              <w:t xml:space="preserve">Restructuring description inconsistent (46 vs 30; Q3 vs Q2)</w:t>
            </w:r>
          </w:p>
        </w:tc>
        <w:tc>
          <w:tcPr/>
          <w:p>
            <w:pPr>
              <w:pStyle w:val="Compact"/>
              <w:jc w:val="left"/>
            </w:pPr>
            <w:r>
              <w:t xml:space="preserve">Medium</w:t>
            </w:r>
          </w:p>
        </w:tc>
        <w:tc>
          <w:tcPr/>
          <w:p>
            <w:pPr>
              <w:pStyle w:val="Compact"/>
              <w:jc w:val="left"/>
            </w:pPr>
            <w:r>
              <w:t xml:space="preserve">Audited Financials; CFO Memo</w:t>
            </w:r>
          </w:p>
        </w:tc>
      </w:tr>
      <w:tr>
        <w:tc>
          <w:tcPr/>
          <w:p>
            <w:pPr>
              <w:pStyle w:val="Compact"/>
              <w:jc w:val="left"/>
            </w:pPr>
            <w:r>
              <w:t xml:space="preserve">H2</w:t>
            </w:r>
          </w:p>
        </w:tc>
        <w:tc>
          <w:tcPr/>
          <w:p>
            <w:pPr>
              <w:pStyle w:val="Compact"/>
              <w:jc w:val="left"/>
            </w:pPr>
            <w:r>
              <w:t xml:space="preserve">Auditor tenure</w:t>
            </w:r>
          </w:p>
        </w:tc>
        <w:tc>
          <w:tcPr/>
          <w:p>
            <w:pPr>
              <w:pStyle w:val="Compact"/>
              <w:jc w:val="left"/>
            </w:pPr>
            <w:r>
              <w:t xml:space="preserve">Low</w:t>
            </w:r>
          </w:p>
        </w:tc>
        <w:tc>
          <w:tcPr/>
          <w:p>
            <w:pPr>
              <w:pStyle w:val="Compact"/>
              <w:jc w:val="left"/>
            </w:pPr>
            <w:r>
              <w:t xml:space="preserve">Audited Financials</w:t>
            </w:r>
          </w:p>
        </w:tc>
      </w:tr>
    </w:tbl>
    <w:bookmarkEnd w:id="32"/>
    <w:bookmarkStart w:id="33" w:name="X227246589d9cc398d0bc0373429144f658b789a"/>
    <w:p>
      <w:pPr>
        <w:pStyle w:val="Heading2"/>
      </w:pPr>
      <w:r>
        <w:t xml:space="preserve">V. Recommended Next Steps and Prioritization</w:t>
      </w:r>
    </w:p>
    <w:p>
      <w:pPr>
        <w:pStyle w:val="FirstParagraph"/>
      </w:pPr>
      <w:r>
        <w:t xml:space="preserve">We recommend that the working group prioritize resolution of the High-severity items before the next drafting cycle, in the following order:</w:t>
      </w:r>
    </w:p>
    <w:p>
      <w:pPr>
        <w:numPr>
          <w:ilvl w:val="0"/>
          <w:numId w:val="1002"/>
        </w:numPr>
      </w:pPr>
      <w:r>
        <w:rPr>
          <w:b/>
          <w:bCs/>
        </w:rPr>
        <w:t xml:space="preserve">Financial accuracy (Items A1, A5, B1):</w:t>
      </w:r>
      <w:r>
        <w:t xml:space="preserve"> </w:t>
      </w:r>
      <w:r>
        <w:t xml:space="preserve">Recompute Adjusted EBITDA using audited inputs; reconcile the term loan rollforward; confirm the term loan closing date. These items affect the core financial disclosures and are likely to draw SEC comments if not corrected.</w:t>
      </w:r>
    </w:p>
    <w:p>
      <w:pPr>
        <w:numPr>
          <w:ilvl w:val="0"/>
          <w:numId w:val="1002"/>
        </w:numPr>
      </w:pPr>
      <w:r>
        <w:rPr>
          <w:b/>
          <w:bCs/>
        </w:rPr>
        <w:t xml:space="preserve">Equity and 409A (Items C1–C4):</w:t>
      </w:r>
      <w:r>
        <w:t xml:space="preserve"> </w:t>
      </w:r>
      <w:r>
        <w:t xml:space="preserve">Reconcile the 409A valuation history and the option/RSU activity between the Audited Financials and the Equity Schedule; assemble the 409A defense file for the Q1 2023 grants; quantify any additional stock-based compensation expense. These items affect both the financial statements and the cap table.</w:t>
      </w:r>
    </w:p>
    <w:p>
      <w:pPr>
        <w:numPr>
          <w:ilvl w:val="0"/>
          <w:numId w:val="1002"/>
        </w:numPr>
      </w:pPr>
      <w:r>
        <w:rPr>
          <w:b/>
          <w:bCs/>
        </w:rPr>
        <w:t xml:space="preserve">Governance (Items D1, D2, D3):</w:t>
      </w:r>
      <w:r>
        <w:t xml:space="preserve"> </w:t>
      </w:r>
      <w:r>
        <w:t xml:space="preserve">Confirm the board size and appoint the seventh director or amend the charter; obtain the controlled-company exemption resolution; decide whether to adopt a dual-class sunset.</w:t>
      </w:r>
    </w:p>
    <w:p>
      <w:pPr>
        <w:numPr>
          <w:ilvl w:val="0"/>
          <w:numId w:val="1002"/>
        </w:numPr>
      </w:pPr>
      <w:r>
        <w:rPr>
          <w:b/>
          <w:bCs/>
        </w:rPr>
        <w:t xml:space="preserve">Related-party and ownership disclosure (Items E1, E2):</w:t>
      </w:r>
      <w:r>
        <w:t xml:space="preserve"> </w:t>
      </w:r>
      <w:r>
        <w:t xml:space="preserve">Finalize the Vantara related-party disclosure across all materials; confirm Aldersgate Capital’s ownership; reconcile the principal stockholders table.</w:t>
      </w:r>
    </w:p>
    <w:p>
      <w:pPr>
        <w:numPr>
          <w:ilvl w:val="0"/>
          <w:numId w:val="1002"/>
        </w:numPr>
      </w:pPr>
      <w:r>
        <w:rPr>
          <w:b/>
          <w:bCs/>
        </w:rPr>
        <w:t xml:space="preserve">Filing sequencing (Item G1):</w:t>
      </w:r>
      <w:r>
        <w:t xml:space="preserve"> </w:t>
      </w:r>
      <w:r>
        <w:t xml:space="preserve">Reconcile the filing date and the audit report date; confirm the confidential-submission timeline.</w:t>
      </w:r>
    </w:p>
    <w:p>
      <w:pPr>
        <w:numPr>
          <w:ilvl w:val="0"/>
          <w:numId w:val="1002"/>
        </w:numPr>
      </w:pPr>
      <w:r>
        <w:rPr>
          <w:b/>
          <w:bCs/>
        </w:rPr>
        <w:t xml:space="preserve">Litigation and tax (Items F1, F2):</w:t>
      </w:r>
      <w:r>
        <w:t xml:space="preserve"> </w:t>
      </w:r>
      <w:r>
        <w:t xml:space="preserve">Complete the Section 382 study; finalize the Optivance disclosure and the term loan default-threshold risk factor.</w:t>
      </w:r>
    </w:p>
    <w:p>
      <w:pPr>
        <w:pStyle w:val="FirstParagraph"/>
      </w:pPr>
      <w:r>
        <w:t xml:space="preserve">We are available to discuss any of these items and to assist in their resolution. Please direct questions to Sarah K. Norden or James T. Okafor.</w:t>
      </w:r>
    </w:p>
    <w:p>
      <w:pPr>
        <w:pStyle w:val="BodyText"/>
      </w:pPr>
      <w:r>
        <w:rPr>
          <w:i/>
          <w:iCs/>
        </w:rPr>
        <w:t xml:space="preserve">This memorandum is privileged and confidential, constitutes attorney work product, and is prepared at the direction of counsel in anticipation of the Company’s proposed initial public offering. It should not be distributed outside the IPO working group without the express written authorization of Thorncroft &amp; Wexler LLP.</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Issues Memorandum</dc:title>
  <dc:creator/>
  <cp:keywords/>
  <dcterms:created xsi:type="dcterms:W3CDTF">2026-06-28T18:05:42Z</dcterms:created>
  <dcterms:modified xsi:type="dcterms:W3CDTF">2026-06-28T18:05:42Z</dcterms:modified>
</cp:coreProperties>
</file>

<file path=docProps/custom.xml><?xml version="1.0" encoding="utf-8"?>
<Properties xmlns="http://schemas.openxmlformats.org/officeDocument/2006/custom-properties" xmlns:vt="http://schemas.openxmlformats.org/officeDocument/2006/docPropsVTypes"/>
</file>