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Issues</w:t>
      </w:r>
      <w:r>
        <w:t xml:space="preserve"> </w:t>
      </w:r>
      <w:r>
        <w:t xml:space="preserve">Memorandum</w:t>
      </w:r>
    </w:p>
    <w:bookmarkStart w:id="20" w:name="X472ae9d0d4fe6d54f67c0cecbe6e87c2dd2eb7a"/>
    <w:p>
      <w:pPr>
        <w:pStyle w:val="Heading1"/>
      </w:pPr>
      <w:r>
        <w:t xml:space="preserve">PRIVILEGED AND CONFIDENTIAL — ATTORNEY WORK PRODUCT</w:t>
      </w:r>
    </w:p>
    <w:bookmarkEnd w:id="20"/>
    <w:bookmarkStart w:id="21" w:name="memorandum"/>
    <w:p>
      <w:pPr>
        <w:pStyle w:val="Heading1"/>
      </w:pPr>
      <w:r>
        <w:t xml:space="preserve">MEMORANDUM</w:t>
      </w:r>
    </w:p>
    <w:p>
      <w:pPr>
        <w:pStyle w:val="FirstParagraph"/>
      </w:pPr>
      <w:r>
        <w:rPr>
          <w:b/>
          <w:bCs/>
        </w:rPr>
        <w:t xml:space="preserve">TO:</w:t>
      </w:r>
      <w:r>
        <w:t xml:space="preserve"> </w:t>
      </w:r>
      <w:r>
        <w:t xml:space="preserve">Board of Directors and Management, Crestline Software, Inc.; Michael D. Hartwell, Chief Financial Officer; Sandra Y. Chen, General Counsel and Corporate Secretary</w:t>
      </w:r>
    </w:p>
    <w:p>
      <w:pPr>
        <w:pStyle w:val="BodyText"/>
      </w:pPr>
      <w:r>
        <w:rPr>
          <w:b/>
          <w:bCs/>
        </w:rPr>
        <w:t xml:space="preserve">FROM:</w:t>
      </w:r>
      <w:r>
        <w:t xml:space="preserve"> </w:t>
      </w:r>
      <w:r>
        <w:t xml:space="preserve">Thorncroft &amp; Wexler LLP — Sarah K. Norden, Lead Partner; James T. Okafor, Associate</w:t>
      </w:r>
    </w:p>
    <w:p>
      <w:pPr>
        <w:pStyle w:val="BodyText"/>
      </w:pPr>
      <w:r>
        <w:rPr>
          <w:b/>
          <w:bCs/>
        </w:rPr>
        <w:t xml:space="preserve">DATE:</w:t>
      </w:r>
      <w:r>
        <w:t xml:space="preserve"> </w:t>
      </w:r>
      <w:r>
        <w:t xml:space="preserve">February [●], 2025</w:t>
      </w:r>
    </w:p>
    <w:p>
      <w:pPr>
        <w:pStyle w:val="BodyText"/>
      </w:pPr>
      <w:r>
        <w:rPr>
          <w:b/>
          <w:bCs/>
        </w:rPr>
        <w:t xml:space="preserve">RE:</w:t>
      </w:r>
      <w:r>
        <w:t xml:space="preserve"> </w:t>
      </w:r>
      <w:r>
        <w:t xml:space="preserve">Inconsistencies, Disclosure Risks, and Open Items Identified in Connection with the Preparation of the Form S-1 Registration Statement for the Proposed Initial Public Offering of Crestline Software, Inc.</w:t>
      </w:r>
    </w:p>
    <w:p>
      <w:pPr>
        <w:pStyle w:val="BodyText"/>
      </w:pPr>
      <w:r>
        <w:rPr>
          <w:b/>
          <w:bCs/>
        </w:rPr>
        <w:t xml:space="preserve">CLASSIFICATION:</w:t>
      </w:r>
      <w:r>
        <w:t xml:space="preserve"> </w:t>
      </w:r>
      <w:r>
        <w:t xml:space="preserve">PRIVILEGED AND CONFIDENTIAL — PREPARED AT THE DIRECTION OF COUNSEL IN ANTICIPATION OF LITIGATION AND FOR THE SECURITIES OFFERING</w:t>
      </w:r>
    </w:p>
    <w:bookmarkEnd w:id="21"/>
    <w:bookmarkStart w:id="22" w:name="i.-introduction-and-scope"/>
    <w:p>
      <w:pPr>
        <w:pStyle w:val="Heading2"/>
      </w:pPr>
      <w:r>
        <w:t xml:space="preserve">I. Introduction and Scope</w:t>
      </w:r>
    </w:p>
    <w:p>
      <w:pPr>
        <w:pStyle w:val="FirstParagraph"/>
      </w:pPr>
      <w:r>
        <w:t xml:space="preserve">This memorandum is provided to the Board of Directors and management of Crestline Software, Inc. (the</w:t>
      </w:r>
      <w:r>
        <w:t xml:space="preserve"> </w:t>
      </w:r>
      <w:r>
        <w:t xml:space="preserve">“</w:t>
      </w:r>
      <w:r>
        <w:t xml:space="preserve">Company</w:t>
      </w:r>
      <w:r>
        <w:t xml:space="preserve">”</w:t>
      </w:r>
      <w:r>
        <w:t xml:space="preserve">) by outside counsel in connection with the preparation of the Company’s Registration Statement on Form S-1 (the</w:t>
      </w:r>
      <w:r>
        <w:t xml:space="preserve"> </w:t>
      </w:r>
      <w:r>
        <w:t xml:space="preserve">“</w:t>
      </w:r>
      <w:r>
        <w:t xml:space="preserve">Form S-1</w:t>
      </w:r>
      <w:r>
        <w:t xml:space="preserve">”</w:t>
      </w:r>
      <w:r>
        <w:t xml:space="preserve">) for the proposed initial public offering (the</w:t>
      </w:r>
      <w:r>
        <w:t xml:space="preserve"> </w:t>
      </w:r>
      <w:r>
        <w:t xml:space="preserve">“</w:t>
      </w:r>
      <w:r>
        <w:t xml:space="preserve">IPO</w:t>
      </w:r>
      <w:r>
        <w:t xml:space="preserve">”</w:t>
      </w:r>
      <w:r>
        <w:t xml:space="preserve">) of the Company’s Class A common stock. In the course of reviewing the source documents made available to the working group — including the audited consolidated financial statements for fiscal years 2023 and 2024 (the</w:t>
      </w:r>
      <w:r>
        <w:t xml:space="preserve"> </w:t>
      </w:r>
      <w:r>
        <w:t xml:space="preserve">“</w:t>
      </w:r>
      <w:r>
        <w:t xml:space="preserve">Audited Financials</w:t>
      </w:r>
      <w:r>
        <w:t xml:space="preserve">”</w:t>
      </w:r>
      <w:r>
        <w:t xml:space="preserve">), the Chief Financial Officer’s IPO readiness memorandum (the</w:t>
      </w:r>
      <w:r>
        <w:t xml:space="preserve"> </w:t>
      </w:r>
      <w:r>
        <w:t xml:space="preserve">“</w:t>
      </w:r>
      <w:r>
        <w:t xml:space="preserve">CFO Memo</w:t>
      </w:r>
      <w:r>
        <w:t xml:space="preserve">”</w:t>
      </w:r>
      <w:r>
        <w:t xml:space="preserve">), the amended and restated certificate of incorporation and bylaws (the</w:t>
      </w:r>
      <w:r>
        <w:t xml:space="preserve"> </w:t>
      </w:r>
      <w:r>
        <w:t xml:space="preserve">“</w:t>
      </w:r>
      <w:r>
        <w:t xml:space="preserve">Charter Documents</w:t>
      </w:r>
      <w:r>
        <w:t xml:space="preserve">”</w:t>
      </w:r>
      <w:r>
        <w:t xml:space="preserve">), the management questionnaire responses (the</w:t>
      </w:r>
      <w:r>
        <w:t xml:space="preserve"> </w:t>
      </w:r>
      <w:r>
        <w:t xml:space="preserve">“</w:t>
      </w:r>
      <w:r>
        <w:t xml:space="preserve">Questionnaire</w:t>
      </w:r>
      <w:r>
        <w:t xml:space="preserve">”</w:t>
      </w:r>
      <w:r>
        <w:t xml:space="preserve">), the term loan summary (the</w:t>
      </w:r>
      <w:r>
        <w:t xml:space="preserve"> </w:t>
      </w:r>
      <w:r>
        <w:t xml:space="preserve">“</w:t>
      </w:r>
      <w:r>
        <w:t xml:space="preserve">Term Loan Summary</w:t>
      </w:r>
      <w:r>
        <w:t xml:space="preserve">”</w:t>
      </w:r>
      <w:r>
        <w:t xml:space="preserve">), the underwriting term sheet and lock-up (the</w:t>
      </w:r>
      <w:r>
        <w:t xml:space="preserve"> </w:t>
      </w:r>
      <w:r>
        <w:t xml:space="preserve">“</w:t>
      </w:r>
      <w:r>
        <w:t xml:space="preserve">Term Sheet</w:t>
      </w:r>
      <w:r>
        <w:t xml:space="preserve">”</w:t>
      </w:r>
      <w:r>
        <w:t xml:space="preserve">), the equity plan summary and grant schedule (the</w:t>
      </w:r>
      <w:r>
        <w:t xml:space="preserve"> </w:t>
      </w:r>
      <w:r>
        <w:t xml:space="preserve">“</w:t>
      </w:r>
      <w:r>
        <w:t xml:space="preserve">Equity Schedule</w:t>
      </w:r>
      <w:r>
        <w:t xml:space="preserve">”</w:t>
      </w:r>
      <w:r>
        <w:t xml:space="preserve">), and the draft roadshow presentation (the</w:t>
      </w:r>
      <w:r>
        <w:t xml:space="preserve"> </w:t>
      </w:r>
      <w:r>
        <w:t xml:space="preserve">“</w:t>
      </w:r>
      <w:r>
        <w:t xml:space="preserve">Roadshow</w:t>
      </w:r>
      <w:r>
        <w:t xml:space="preserve">”</w:t>
      </w:r>
      <w:r>
        <w:t xml:space="preserve">) — we have identified a number of inconsistencies among the documents, certain disclosure risks, and open items that must be resolved before the Form S-1 is filed and declared effective.</w:t>
      </w:r>
    </w:p>
    <w:p>
      <w:pPr>
        <w:pStyle w:val="BodyText"/>
      </w:pPr>
      <w:r>
        <w:t xml:space="preserve">This memorandum is intended to assist the Company in (i) reconciling conflicting information, (ii) ensuring that the Form S-1 contains accurate and consistent disclosure, and (iii) addressing the disclosure and risk-factor items that the record supports. The items below are organized by category and, within each category, are prioritized. Each item identifies the conflicting sources, the nature of the discrepancy, and our recommended action. A consolidated priority summary appears in Section II.</w:t>
      </w:r>
    </w:p>
    <w:p>
      <w:pPr>
        <w:pStyle w:val="BodyText"/>
      </w:pPr>
      <w:r>
        <w:t xml:space="preserve">This memorandum is privileged and confidential, is protected by the attorney-client privilege and the work product doctrine, and is intended solely for the use of the Company and its counsel in connection with the IPO. It should not be distributed to the underwriting syndicate or their counsel without the prior consent of the General Counsel.</w:t>
      </w:r>
    </w:p>
    <w:bookmarkEnd w:id="22"/>
    <w:bookmarkStart w:id="23" w:name="ii.-executive-summary-priority-ranking"/>
    <w:p>
      <w:pPr>
        <w:pStyle w:val="Heading2"/>
      </w:pPr>
      <w:r>
        <w:t xml:space="preserve">II. Executive Summary — Priority Ranking</w:t>
      </w:r>
    </w:p>
    <w:p>
      <w:pPr>
        <w:pStyle w:val="FirstParagraph"/>
      </w:pPr>
      <w:r>
        <w:t xml:space="preserve">The following table summarizes the most significant items, ranked by our assessment of their potential impact on the accuracy of the Form S-1, the likelihood of an SEC comment letter, and the IPO timeline.</w:t>
      </w:r>
      <w:r>
        <w:t xml:space="preserve"> </w:t>
      </w:r>
      <w:r>
        <w:t xml:space="preserve">“</w:t>
      </w:r>
      <w:r>
        <w:t xml:space="preserve">Priority 1</w:t>
      </w:r>
      <w:r>
        <w:t xml:space="preserve">”</w:t>
      </w:r>
      <w:r>
        <w:t xml:space="preserve"> </w:t>
      </w:r>
      <w:r>
        <w:t xml:space="preserve">items should be resolved before the initial filing of the Form S-1;</w:t>
      </w:r>
      <w:r>
        <w:t xml:space="preserve"> </w:t>
      </w:r>
      <w:r>
        <w:t xml:space="preserve">“</w:t>
      </w:r>
      <w:r>
        <w:t xml:space="preserve">Priority 2</w:t>
      </w:r>
      <w:r>
        <w:t xml:space="preserve">”</w:t>
      </w:r>
      <w:r>
        <w:t xml:space="preserve"> </w:t>
      </w:r>
      <w:r>
        <w:t xml:space="preserve">items should be resolved before effectiveness;</w:t>
      </w:r>
      <w:r>
        <w:t xml:space="preserve"> </w:t>
      </w:r>
      <w:r>
        <w:t xml:space="preserve">“</w:t>
      </w:r>
      <w:r>
        <w:t xml:space="preserve">Priority 3</w:t>
      </w:r>
      <w:r>
        <w:t xml:space="preserve">”</w:t>
      </w:r>
      <w:r>
        <w:t xml:space="preserve"> </w:t>
      </w:r>
      <w:r>
        <w:t xml:space="preserve">items should be confirmed and documented but are less likely to delay the offering.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Category</w:t>
            </w:r>
          </w:p>
        </w:tc>
        <w:tc>
          <w:tcPr/>
          <w:p>
            <w:pPr>
              <w:pStyle w:val="Compact"/>
              <w:jc w:val="left"/>
            </w:pPr>
            <w:r>
              <w:t xml:space="preserve">Priority</w:t>
            </w:r>
          </w:p>
        </w:tc>
      </w:tr>
      <w:tr>
        <w:tc>
          <w:tcPr/>
          <w:p>
            <w:pPr>
              <w:pStyle w:val="Compact"/>
              <w:jc w:val="left"/>
            </w:pPr>
            <w:r>
              <w:t xml:space="preserve">1</w:t>
            </w:r>
          </w:p>
        </w:tc>
        <w:tc>
          <w:tcPr/>
          <w:p>
            <w:pPr>
              <w:pStyle w:val="Compact"/>
              <w:jc w:val="left"/>
            </w:pPr>
            <w:r>
              <w:t xml:space="preserve">Adjusted EBITDA does not foot; FY2024 figure overstated by $2.3M; FY2023 inputs conflict with Audited Financials</w:t>
            </w:r>
          </w:p>
        </w:tc>
        <w:tc>
          <w:tcPr/>
          <w:p>
            <w:pPr>
              <w:pStyle w:val="Compact"/>
              <w:jc w:val="left"/>
            </w:pPr>
            <w:r>
              <w:t xml:space="preserve">Financial</w:t>
            </w:r>
          </w:p>
        </w:tc>
        <w:tc>
          <w:tcPr/>
          <w:p>
            <w:pPr>
              <w:pStyle w:val="Compact"/>
              <w:jc w:val="left"/>
            </w:pPr>
            <w:r>
              <w:t xml:space="preserve">1</w:t>
            </w:r>
          </w:p>
        </w:tc>
      </w:tr>
      <w:tr>
        <w:tc>
          <w:tcPr/>
          <w:p>
            <w:pPr>
              <w:pStyle w:val="Compact"/>
              <w:jc w:val="left"/>
            </w:pPr>
            <w:r>
              <w:t xml:space="preserve">2</w:t>
            </w:r>
          </w:p>
        </w:tc>
        <w:tc>
          <w:tcPr/>
          <w:p>
            <w:pPr>
              <w:pStyle w:val="Compact"/>
              <w:jc w:val="left"/>
            </w:pPr>
            <w:r>
              <w:t xml:space="preserve">Term loan: origination date, draw amount, amortization, and balance do not reconcile across the Audited Financials, the cash flow statement, and the Term Loan Summary</w:t>
            </w:r>
          </w:p>
        </w:tc>
        <w:tc>
          <w:tcPr/>
          <w:p>
            <w:pPr>
              <w:pStyle w:val="Compact"/>
              <w:jc w:val="left"/>
            </w:pPr>
            <w:r>
              <w:t xml:space="preserve">Financial</w:t>
            </w:r>
          </w:p>
        </w:tc>
        <w:tc>
          <w:tcPr/>
          <w:p>
            <w:pPr>
              <w:pStyle w:val="Compact"/>
              <w:jc w:val="left"/>
            </w:pPr>
            <w:r>
              <w:t xml:space="preserve">1</w:t>
            </w:r>
          </w:p>
        </w:tc>
      </w:tr>
      <w:tr>
        <w:tc>
          <w:tcPr/>
          <w:p>
            <w:pPr>
              <w:pStyle w:val="Compact"/>
              <w:jc w:val="left"/>
            </w:pPr>
            <w:r>
              <w:t xml:space="preserve">3</w:t>
            </w:r>
          </w:p>
        </w:tc>
        <w:tc>
          <w:tcPr/>
          <w:p>
            <w:pPr>
              <w:pStyle w:val="Compact"/>
              <w:jc w:val="left"/>
            </w:pPr>
            <w:r>
              <w:t xml:space="preserve">Equity Schedule option grants do not reconcile to the audited total (detail sums to 20.34M vs. 14.75M reported)</w:t>
            </w:r>
          </w:p>
        </w:tc>
        <w:tc>
          <w:tcPr/>
          <w:p>
            <w:pPr>
              <w:pStyle w:val="Compact"/>
              <w:jc w:val="left"/>
            </w:pPr>
            <w:r>
              <w:t xml:space="preserve">Financial</w:t>
            </w:r>
          </w:p>
        </w:tc>
        <w:tc>
          <w:tcPr/>
          <w:p>
            <w:pPr>
              <w:pStyle w:val="Compact"/>
              <w:jc w:val="left"/>
            </w:pPr>
            <w:r>
              <w:t xml:space="preserve">1</w:t>
            </w:r>
          </w:p>
        </w:tc>
      </w:tr>
      <w:tr>
        <w:tc>
          <w:tcPr/>
          <w:p>
            <w:pPr>
              <w:pStyle w:val="Compact"/>
              <w:jc w:val="left"/>
            </w:pPr>
            <w:r>
              <w:t xml:space="preserve">4</w:t>
            </w:r>
          </w:p>
        </w:tc>
        <w:tc>
          <w:tcPr/>
          <w:p>
            <w:pPr>
              <w:pStyle w:val="Compact"/>
              <w:jc w:val="left"/>
            </w:pPr>
            <w:r>
              <w:t xml:space="preserve">409A valuation history in the Audited Financials conflicts with the Equity Schedule; preferred-stock pricing inputs in the 409A tab are incorrect</w:t>
            </w:r>
          </w:p>
        </w:tc>
        <w:tc>
          <w:tcPr/>
          <w:p>
            <w:pPr>
              <w:pStyle w:val="Compact"/>
              <w:jc w:val="left"/>
            </w:pPr>
            <w:r>
              <w:t xml:space="preserve">Financial / SBC</w:t>
            </w:r>
          </w:p>
        </w:tc>
        <w:tc>
          <w:tcPr/>
          <w:p>
            <w:pPr>
              <w:pStyle w:val="Compact"/>
              <w:jc w:val="left"/>
            </w:pPr>
            <w:r>
              <w:t xml:space="preserve">1</w:t>
            </w:r>
          </w:p>
        </w:tc>
      </w:tr>
      <w:tr>
        <w:tc>
          <w:tcPr/>
          <w:p>
            <w:pPr>
              <w:pStyle w:val="Compact"/>
              <w:jc w:val="left"/>
            </w:pPr>
            <w:r>
              <w:t xml:space="preserve">5</w:t>
            </w:r>
          </w:p>
        </w:tc>
        <w:tc>
          <w:tcPr/>
          <w:p>
            <w:pPr>
              <w:pStyle w:val="Compact"/>
              <w:jc w:val="left"/>
            </w:pPr>
            <w:r>
              <w:t xml:space="preserve">Board size and Dr. Litvanova’s directorship inconsistent (Charter: 7 directors; Questionnaire: 6)</w:t>
            </w:r>
          </w:p>
        </w:tc>
        <w:tc>
          <w:tcPr/>
          <w:p>
            <w:pPr>
              <w:pStyle w:val="Compact"/>
              <w:jc w:val="left"/>
            </w:pPr>
            <w:r>
              <w:t xml:space="preserve">Governance</w:t>
            </w:r>
          </w:p>
        </w:tc>
        <w:tc>
          <w:tcPr/>
          <w:p>
            <w:pPr>
              <w:pStyle w:val="Compact"/>
              <w:jc w:val="left"/>
            </w:pPr>
            <w:r>
              <w:t xml:space="preserve">1</w:t>
            </w:r>
          </w:p>
        </w:tc>
      </w:tr>
      <w:tr>
        <w:tc>
          <w:tcPr/>
          <w:p>
            <w:pPr>
              <w:pStyle w:val="Compact"/>
              <w:jc w:val="left"/>
            </w:pPr>
            <w:r>
              <w:t xml:space="preserve">6</w:t>
            </w:r>
          </w:p>
        </w:tc>
        <w:tc>
          <w:tcPr/>
          <w:p>
            <w:pPr>
              <w:pStyle w:val="Compact"/>
              <w:jc w:val="left"/>
            </w:pPr>
            <w:r>
              <w:t xml:space="preserve">Co-founder surname rendered as both</w:t>
            </w:r>
            <w:r>
              <w:t xml:space="preserve"> </w:t>
            </w:r>
            <w:r>
              <w:t xml:space="preserve">“</w:t>
            </w:r>
            <w:r>
              <w:t xml:space="preserve">Litvak</w:t>
            </w:r>
            <w:r>
              <w:t xml:space="preserve">”</w:t>
            </w:r>
            <w:r>
              <w:t xml:space="preserve"> </w:t>
            </w:r>
            <w:r>
              <w:t xml:space="preserve">and</w:t>
            </w:r>
            <w:r>
              <w:t xml:space="preserve"> </w:t>
            </w:r>
            <w:r>
              <w:t xml:space="preserve">“</w:t>
            </w:r>
            <w:r>
              <w:t xml:space="preserve">Litvanova</w:t>
            </w:r>
            <w:r>
              <w:t xml:space="preserve">”</w:t>
            </w:r>
            <w:r>
              <w:t xml:space="preserve"> </w:t>
            </w:r>
            <w:r>
              <w:t xml:space="preserve">across (and within) documents</w:t>
            </w:r>
          </w:p>
        </w:tc>
        <w:tc>
          <w:tcPr/>
          <w:p>
            <w:pPr>
              <w:pStyle w:val="Compact"/>
              <w:jc w:val="left"/>
            </w:pPr>
            <w:r>
              <w:t xml:space="preserve">Governance</w:t>
            </w:r>
          </w:p>
        </w:tc>
        <w:tc>
          <w:tcPr/>
          <w:p>
            <w:pPr>
              <w:pStyle w:val="Compact"/>
              <w:jc w:val="left"/>
            </w:pPr>
            <w:r>
              <w:t xml:space="preserve">1</w:t>
            </w:r>
          </w:p>
        </w:tc>
      </w:tr>
      <w:tr>
        <w:tc>
          <w:tcPr/>
          <w:p>
            <w:pPr>
              <w:pStyle w:val="Compact"/>
              <w:jc w:val="left"/>
            </w:pPr>
            <w:r>
              <w:t xml:space="preserve">7</w:t>
            </w:r>
          </w:p>
        </w:tc>
        <w:tc>
          <w:tcPr/>
          <w:p>
            <w:pPr>
              <w:pStyle w:val="Compact"/>
              <w:jc w:val="left"/>
            </w:pPr>
            <w:r>
              <w:t xml:space="preserve">Vantara Logistics related-party treatment inconsistent across documents; omitted from Roadshow and CFO Memo</w:t>
            </w:r>
          </w:p>
        </w:tc>
        <w:tc>
          <w:tcPr/>
          <w:p>
            <w:pPr>
              <w:pStyle w:val="Compact"/>
              <w:jc w:val="left"/>
            </w:pPr>
            <w:r>
              <w:t xml:space="preserve">Related Party</w:t>
            </w:r>
          </w:p>
        </w:tc>
        <w:tc>
          <w:tcPr/>
          <w:p>
            <w:pPr>
              <w:pStyle w:val="Compact"/>
              <w:jc w:val="left"/>
            </w:pPr>
            <w:r>
              <w:t xml:space="preserve">1</w:t>
            </w:r>
          </w:p>
        </w:tc>
      </w:tr>
      <w:tr>
        <w:tc>
          <w:tcPr/>
          <w:p>
            <w:pPr>
              <w:pStyle w:val="Compact"/>
              <w:jc w:val="left"/>
            </w:pPr>
            <w:r>
              <w:t xml:space="preserve">8</w:t>
            </w:r>
          </w:p>
        </w:tc>
        <w:tc>
          <w:tcPr/>
          <w:p>
            <w:pPr>
              <w:pStyle w:val="Compact"/>
              <w:jc w:val="left"/>
            </w:pPr>
            <w:r>
              <w:t xml:space="preserve">Controlled company exemption election not yet resolved by the Board</w:t>
            </w:r>
          </w:p>
        </w:tc>
        <w:tc>
          <w:tcPr/>
          <w:p>
            <w:pPr>
              <w:pStyle w:val="Compact"/>
              <w:jc w:val="left"/>
            </w:pPr>
            <w:r>
              <w:t xml:space="preserve">Governance</w:t>
            </w:r>
          </w:p>
        </w:tc>
        <w:tc>
          <w:tcPr/>
          <w:p>
            <w:pPr>
              <w:pStyle w:val="Compact"/>
              <w:jc w:val="left"/>
            </w:pPr>
            <w:r>
              <w:t xml:space="preserve">1</w:t>
            </w:r>
          </w:p>
        </w:tc>
      </w:tr>
      <w:tr>
        <w:tc>
          <w:tcPr/>
          <w:p>
            <w:pPr>
              <w:pStyle w:val="Compact"/>
              <w:jc w:val="left"/>
            </w:pPr>
            <w:r>
              <w:t xml:space="preserve">9</w:t>
            </w:r>
          </w:p>
        </w:tc>
        <w:tc>
          <w:tcPr/>
          <w:p>
            <w:pPr>
              <w:pStyle w:val="Compact"/>
              <w:jc w:val="left"/>
            </w:pPr>
            <w:r>
              <w:t xml:space="preserve">FY2023 revenue mix misstated in CFO Memo (subscription/professional services)</w:t>
            </w:r>
          </w:p>
        </w:tc>
        <w:tc>
          <w:tcPr/>
          <w:p>
            <w:pPr>
              <w:pStyle w:val="Compact"/>
              <w:jc w:val="left"/>
            </w:pPr>
            <w:r>
              <w:t xml:space="preserve">Financial</w:t>
            </w:r>
          </w:p>
        </w:tc>
        <w:tc>
          <w:tcPr/>
          <w:p>
            <w:pPr>
              <w:pStyle w:val="Compact"/>
              <w:jc w:val="left"/>
            </w:pPr>
            <w:r>
              <w:t xml:space="preserve">2</w:t>
            </w:r>
          </w:p>
        </w:tc>
      </w:tr>
      <w:tr>
        <w:tc>
          <w:tcPr/>
          <w:p>
            <w:pPr>
              <w:pStyle w:val="Compact"/>
              <w:jc w:val="left"/>
            </w:pPr>
            <w:r>
              <w:t xml:space="preserve">10</w:t>
            </w:r>
          </w:p>
        </w:tc>
        <w:tc>
          <w:tcPr/>
          <w:p>
            <w:pPr>
              <w:pStyle w:val="Compact"/>
              <w:jc w:val="left"/>
            </w:pPr>
            <w:r>
              <w:t xml:space="preserve">Restructuring: headcount, timing, and FY2023 amount inconsistent</w:t>
            </w:r>
          </w:p>
        </w:tc>
        <w:tc>
          <w:tcPr/>
          <w:p>
            <w:pPr>
              <w:pStyle w:val="Compact"/>
              <w:jc w:val="left"/>
            </w:pPr>
            <w:r>
              <w:t xml:space="preserve">Financial</w:t>
            </w:r>
          </w:p>
        </w:tc>
        <w:tc>
          <w:tcPr/>
          <w:p>
            <w:pPr>
              <w:pStyle w:val="Compact"/>
              <w:jc w:val="left"/>
            </w:pPr>
            <w:r>
              <w:t xml:space="preserve">2</w:t>
            </w:r>
          </w:p>
        </w:tc>
      </w:tr>
      <w:tr>
        <w:tc>
          <w:tcPr/>
          <w:p>
            <w:pPr>
              <w:pStyle w:val="Compact"/>
              <w:jc w:val="left"/>
            </w:pPr>
            <w:r>
              <w:t xml:space="preserve">11</w:t>
            </w:r>
          </w:p>
        </w:tc>
        <w:tc>
          <w:tcPr/>
          <w:p>
            <w:pPr>
              <w:pStyle w:val="Compact"/>
              <w:jc w:val="left"/>
            </w:pPr>
            <w:r>
              <w:t xml:space="preserve">CFO Memo condensed balance sheet does not reconcile to Audited Financials</w:t>
            </w:r>
          </w:p>
        </w:tc>
        <w:tc>
          <w:tcPr/>
          <w:p>
            <w:pPr>
              <w:pStyle w:val="Compact"/>
              <w:jc w:val="left"/>
            </w:pPr>
            <w:r>
              <w:t xml:space="preserve">Financial</w:t>
            </w:r>
          </w:p>
        </w:tc>
        <w:tc>
          <w:tcPr/>
          <w:p>
            <w:pPr>
              <w:pStyle w:val="Compact"/>
              <w:jc w:val="left"/>
            </w:pPr>
            <w:r>
              <w:t xml:space="preserve">2</w:t>
            </w:r>
          </w:p>
        </w:tc>
      </w:tr>
      <w:tr>
        <w:tc>
          <w:tcPr/>
          <w:p>
            <w:pPr>
              <w:pStyle w:val="Compact"/>
              <w:jc w:val="left"/>
            </w:pPr>
            <w:r>
              <w:t xml:space="preserve">12</w:t>
            </w:r>
          </w:p>
        </w:tc>
        <w:tc>
          <w:tcPr/>
          <w:p>
            <w:pPr>
              <w:pStyle w:val="Compact"/>
              <w:jc w:val="left"/>
            </w:pPr>
            <w:r>
              <w:t xml:space="preserve">Professional services described as</w:t>
            </w:r>
            <w:r>
              <w:t xml:space="preserve"> </w:t>
            </w:r>
            <w:r>
              <w:t xml:space="preserve">“</w:t>
            </w:r>
            <w:r>
              <w:t xml:space="preserve">high-margin</w:t>
            </w:r>
            <w:r>
              <w:t xml:space="preserve">”</w:t>
            </w:r>
            <w:r>
              <w:t xml:space="preserve"> </w:t>
            </w:r>
            <w:r>
              <w:t xml:space="preserve">despite negative gross margin</w:t>
            </w:r>
          </w:p>
        </w:tc>
        <w:tc>
          <w:tcPr/>
          <w:p>
            <w:pPr>
              <w:pStyle w:val="Compact"/>
              <w:jc w:val="left"/>
            </w:pPr>
            <w:r>
              <w:t xml:space="preserve">Disclosure</w:t>
            </w:r>
          </w:p>
        </w:tc>
        <w:tc>
          <w:tcPr/>
          <w:p>
            <w:pPr>
              <w:pStyle w:val="Compact"/>
              <w:jc w:val="left"/>
            </w:pPr>
            <w:r>
              <w:t xml:space="preserve">2</w:t>
            </w:r>
          </w:p>
        </w:tc>
      </w:tr>
      <w:tr>
        <w:tc>
          <w:tcPr/>
          <w:p>
            <w:pPr>
              <w:pStyle w:val="Compact"/>
              <w:jc w:val="left"/>
            </w:pPr>
            <w:r>
              <w:t xml:space="preserve">13</w:t>
            </w:r>
          </w:p>
        </w:tc>
        <w:tc>
          <w:tcPr/>
          <w:p>
            <w:pPr>
              <w:pStyle w:val="Compact"/>
              <w:jc w:val="left"/>
            </w:pPr>
            <w:r>
              <w:t xml:space="preserve">Use of proceeds allocation inconsistent across documents</w:t>
            </w:r>
          </w:p>
        </w:tc>
        <w:tc>
          <w:tcPr/>
          <w:p>
            <w:pPr>
              <w:pStyle w:val="Compact"/>
              <w:jc w:val="left"/>
            </w:pPr>
            <w:r>
              <w:t xml:space="preserve">Disclosure</w:t>
            </w:r>
          </w:p>
        </w:tc>
        <w:tc>
          <w:tcPr/>
          <w:p>
            <w:pPr>
              <w:pStyle w:val="Compact"/>
              <w:jc w:val="left"/>
            </w:pPr>
            <w:r>
              <w:t xml:space="preserve">2</w:t>
            </w:r>
          </w:p>
        </w:tc>
      </w:tr>
      <w:tr>
        <w:tc>
          <w:tcPr/>
          <w:p>
            <w:pPr>
              <w:pStyle w:val="Compact"/>
              <w:jc w:val="left"/>
            </w:pPr>
            <w:r>
              <w:t xml:space="preserve">14</w:t>
            </w:r>
          </w:p>
        </w:tc>
        <w:tc>
          <w:tcPr/>
          <w:p>
            <w:pPr>
              <w:pStyle w:val="Compact"/>
              <w:jc w:val="left"/>
            </w:pPr>
            <w:r>
              <w:t xml:space="preserve">Transfer agent identity inconsistent (Computershare vs. Oakvale)</w:t>
            </w:r>
          </w:p>
        </w:tc>
        <w:tc>
          <w:tcPr/>
          <w:p>
            <w:pPr>
              <w:pStyle w:val="Compact"/>
              <w:jc w:val="left"/>
            </w:pPr>
            <w:r>
              <w:t xml:space="preserve">Governance</w:t>
            </w:r>
          </w:p>
        </w:tc>
        <w:tc>
          <w:tcPr/>
          <w:p>
            <w:pPr>
              <w:pStyle w:val="Compact"/>
              <w:jc w:val="left"/>
            </w:pPr>
            <w:r>
              <w:t xml:space="preserve">2</w:t>
            </w:r>
          </w:p>
        </w:tc>
      </w:tr>
      <w:tr>
        <w:tc>
          <w:tcPr/>
          <w:p>
            <w:pPr>
              <w:pStyle w:val="Compact"/>
              <w:jc w:val="left"/>
            </w:pPr>
            <w:r>
              <w:t xml:space="preserve">15</w:t>
            </w:r>
          </w:p>
        </w:tc>
        <w:tc>
          <w:tcPr/>
          <w:p>
            <w:pPr>
              <w:pStyle w:val="Compact"/>
              <w:jc w:val="left"/>
            </w:pPr>
            <w:r>
              <w:t xml:space="preserve">Lender name inconsistent (Kestridge West vs. Silicon Valley Credit Partners)</w:t>
            </w:r>
          </w:p>
        </w:tc>
        <w:tc>
          <w:tcPr/>
          <w:p>
            <w:pPr>
              <w:pStyle w:val="Compact"/>
              <w:jc w:val="left"/>
            </w:pPr>
            <w:r>
              <w:t xml:space="preserve">Financial</w:t>
            </w:r>
          </w:p>
        </w:tc>
        <w:tc>
          <w:tcPr/>
          <w:p>
            <w:pPr>
              <w:pStyle w:val="Compact"/>
              <w:jc w:val="left"/>
            </w:pPr>
            <w:r>
              <w:t xml:space="preserve">2</w:t>
            </w:r>
          </w:p>
        </w:tc>
      </w:tr>
      <w:tr>
        <w:tc>
          <w:tcPr/>
          <w:p>
            <w:pPr>
              <w:pStyle w:val="Compact"/>
              <w:jc w:val="left"/>
            </w:pPr>
            <w:r>
              <w:t xml:space="preserve">16</w:t>
            </w:r>
          </w:p>
        </w:tc>
        <w:tc>
          <w:tcPr/>
          <w:p>
            <w:pPr>
              <w:pStyle w:val="Compact"/>
              <w:jc w:val="left"/>
            </w:pPr>
            <w:r>
              <w:t xml:space="preserve">Series B participant identity inconsistent (Aldersgate Capital vs. Crestview Capital); current ownership unconfirmed</w:t>
            </w:r>
          </w:p>
        </w:tc>
        <w:tc>
          <w:tcPr/>
          <w:p>
            <w:pPr>
              <w:pStyle w:val="Compact"/>
              <w:jc w:val="left"/>
            </w:pPr>
            <w:r>
              <w:t xml:space="preserve">Capitalization</w:t>
            </w:r>
          </w:p>
        </w:tc>
        <w:tc>
          <w:tcPr/>
          <w:p>
            <w:pPr>
              <w:pStyle w:val="Compact"/>
              <w:jc w:val="left"/>
            </w:pPr>
            <w:r>
              <w:t xml:space="preserve">2</w:t>
            </w:r>
          </w:p>
        </w:tc>
      </w:tr>
      <w:tr>
        <w:tc>
          <w:tcPr/>
          <w:p>
            <w:pPr>
              <w:pStyle w:val="Compact"/>
              <w:jc w:val="left"/>
            </w:pPr>
            <w:r>
              <w:t xml:space="preserve">17</w:t>
            </w:r>
          </w:p>
        </w:tc>
        <w:tc>
          <w:tcPr/>
          <w:p>
            <w:pPr>
              <w:pStyle w:val="Compact"/>
              <w:jc w:val="left"/>
            </w:pPr>
            <w:r>
              <w:t xml:space="preserve">Beneficial ownership figures not reconciled to Equity Schedule / transfer agent records</w:t>
            </w:r>
          </w:p>
        </w:tc>
        <w:tc>
          <w:tcPr/>
          <w:p>
            <w:pPr>
              <w:pStyle w:val="Compact"/>
              <w:jc w:val="left"/>
            </w:pPr>
            <w:r>
              <w:t xml:space="preserve">Capitalization</w:t>
            </w:r>
          </w:p>
        </w:tc>
        <w:tc>
          <w:tcPr/>
          <w:p>
            <w:pPr>
              <w:pStyle w:val="Compact"/>
              <w:jc w:val="left"/>
            </w:pPr>
            <w:r>
              <w:t xml:space="preserve">2</w:t>
            </w:r>
          </w:p>
        </w:tc>
      </w:tr>
      <w:tr>
        <w:tc>
          <w:tcPr/>
          <w:p>
            <w:pPr>
              <w:pStyle w:val="Compact"/>
              <w:jc w:val="left"/>
            </w:pPr>
            <w:r>
              <w:t xml:space="preserve">18</w:t>
            </w:r>
          </w:p>
        </w:tc>
        <w:tc>
          <w:tcPr/>
          <w:p>
            <w:pPr>
              <w:pStyle w:val="Compact"/>
              <w:jc w:val="left"/>
            </w:pPr>
            <w:r>
              <w:t xml:space="preserve">Director RSU grantee names do not match named directors</w:t>
            </w:r>
          </w:p>
        </w:tc>
        <w:tc>
          <w:tcPr/>
          <w:p>
            <w:pPr>
              <w:pStyle w:val="Compact"/>
              <w:jc w:val="left"/>
            </w:pPr>
            <w:r>
              <w:t xml:space="preserve">Capitalization</w:t>
            </w:r>
          </w:p>
        </w:tc>
        <w:tc>
          <w:tcPr/>
          <w:p>
            <w:pPr>
              <w:pStyle w:val="Compact"/>
              <w:jc w:val="left"/>
            </w:pPr>
            <w:r>
              <w:t xml:space="preserve">2</w:t>
            </w:r>
          </w:p>
        </w:tc>
      </w:tr>
      <w:tr>
        <w:tc>
          <w:tcPr/>
          <w:p>
            <w:pPr>
              <w:pStyle w:val="Compact"/>
              <w:jc w:val="left"/>
            </w:pPr>
            <w:r>
              <w:t xml:space="preserve">19</w:t>
            </w:r>
          </w:p>
        </w:tc>
        <w:tc>
          <w:tcPr/>
          <w:p>
            <w:pPr>
              <w:pStyle w:val="Compact"/>
              <w:jc w:val="left"/>
            </w:pPr>
            <w:r>
              <w:t xml:space="preserve">Executive officer titles in Equity Schedule conflict with Charter/Questionnaire (Sandra Chen; Thomas Brennan)</w:t>
            </w:r>
          </w:p>
        </w:tc>
        <w:tc>
          <w:tcPr/>
          <w:p>
            <w:pPr>
              <w:pStyle w:val="Compact"/>
              <w:jc w:val="left"/>
            </w:pPr>
            <w:r>
              <w:t xml:space="preserve">Governance</w:t>
            </w:r>
          </w:p>
        </w:tc>
        <w:tc>
          <w:tcPr/>
          <w:p>
            <w:pPr>
              <w:pStyle w:val="Compact"/>
              <w:jc w:val="left"/>
            </w:pPr>
            <w:r>
              <w:t xml:space="preserve">2</w:t>
            </w:r>
          </w:p>
        </w:tc>
      </w:tr>
      <w:tr>
        <w:tc>
          <w:tcPr/>
          <w:p>
            <w:pPr>
              <w:pStyle w:val="Compact"/>
              <w:jc w:val="left"/>
            </w:pPr>
            <w:r>
              <w:t xml:space="preserve">20</w:t>
            </w:r>
          </w:p>
        </w:tc>
        <w:tc>
          <w:tcPr/>
          <w:p>
            <w:pPr>
              <w:pStyle w:val="Compact"/>
              <w:jc w:val="left"/>
            </w:pPr>
            <w:r>
              <w:t xml:space="preserve">Ridgeline fund entity name inconsistent (Fund II vs. Fund V)</w:t>
            </w:r>
          </w:p>
        </w:tc>
        <w:tc>
          <w:tcPr/>
          <w:p>
            <w:pPr>
              <w:pStyle w:val="Compact"/>
              <w:jc w:val="left"/>
            </w:pPr>
            <w:r>
              <w:t xml:space="preserve">Capitalization</w:t>
            </w:r>
          </w:p>
        </w:tc>
        <w:tc>
          <w:tcPr/>
          <w:p>
            <w:pPr>
              <w:pStyle w:val="Compact"/>
              <w:jc w:val="left"/>
            </w:pPr>
            <w:r>
              <w:t xml:space="preserve">2</w:t>
            </w:r>
          </w:p>
        </w:tc>
      </w:tr>
      <w:tr>
        <w:tc>
          <w:tcPr/>
          <w:p>
            <w:pPr>
              <w:pStyle w:val="Compact"/>
              <w:jc w:val="left"/>
            </w:pPr>
            <w:r>
              <w:t xml:space="preserve">21</w:t>
            </w:r>
          </w:p>
        </w:tc>
        <w:tc>
          <w:tcPr/>
          <w:p>
            <w:pPr>
              <w:pStyle w:val="Compact"/>
              <w:jc w:val="left"/>
            </w:pPr>
            <w:r>
              <w:t xml:space="preserve">S-1 filing date narrative inconsistent (February 2025 vs. March 2025); audit report date</w:t>
            </w:r>
          </w:p>
        </w:tc>
        <w:tc>
          <w:tcPr/>
          <w:p>
            <w:pPr>
              <w:pStyle w:val="Compact"/>
              <w:jc w:val="left"/>
            </w:pPr>
            <w:r>
              <w:t xml:space="preserve">Disclosure</w:t>
            </w:r>
          </w:p>
        </w:tc>
        <w:tc>
          <w:tcPr/>
          <w:p>
            <w:pPr>
              <w:pStyle w:val="Compact"/>
              <w:jc w:val="left"/>
            </w:pPr>
            <w:r>
              <w:t xml:space="preserve">2</w:t>
            </w:r>
          </w:p>
        </w:tc>
      </w:tr>
      <w:tr>
        <w:tc>
          <w:tcPr/>
          <w:p>
            <w:pPr>
              <w:pStyle w:val="Compact"/>
              <w:jc w:val="left"/>
            </w:pPr>
            <w:r>
              <w:t xml:space="preserve">22</w:t>
            </w:r>
          </w:p>
        </w:tc>
        <w:tc>
          <w:tcPr/>
          <w:p>
            <w:pPr>
              <w:pStyle w:val="Compact"/>
              <w:jc w:val="left"/>
            </w:pPr>
            <w:r>
              <w:t xml:space="preserve">D&amp;A in cash flow statement exceeds sum of Note 5 + Note 6 by $0.6M each year</w:t>
            </w:r>
          </w:p>
        </w:tc>
        <w:tc>
          <w:tcPr/>
          <w:p>
            <w:pPr>
              <w:pStyle w:val="Compact"/>
              <w:jc w:val="left"/>
            </w:pPr>
            <w:r>
              <w:t xml:space="preserve">Financial</w:t>
            </w:r>
          </w:p>
        </w:tc>
        <w:tc>
          <w:tcPr/>
          <w:p>
            <w:pPr>
              <w:pStyle w:val="Compact"/>
              <w:jc w:val="left"/>
            </w:pPr>
            <w:r>
              <w:t xml:space="preserve">3</w:t>
            </w:r>
          </w:p>
        </w:tc>
      </w:tr>
      <w:tr>
        <w:tc>
          <w:tcPr/>
          <w:p>
            <w:pPr>
              <w:pStyle w:val="Compact"/>
              <w:jc w:val="left"/>
            </w:pPr>
            <w:r>
              <w:t xml:space="preserve">23</w:t>
            </w:r>
          </w:p>
        </w:tc>
        <w:tc>
          <w:tcPr/>
          <w:p>
            <w:pPr>
              <w:pStyle w:val="Compact"/>
              <w:jc w:val="left"/>
            </w:pPr>
            <w:r>
              <w:t xml:space="preserve">RSU detail does not reconcile to audited total (3.22M vs. 3.20M)</w:t>
            </w:r>
          </w:p>
        </w:tc>
        <w:tc>
          <w:tcPr/>
          <w:p>
            <w:pPr>
              <w:pStyle w:val="Compact"/>
              <w:jc w:val="left"/>
            </w:pPr>
            <w:r>
              <w:t xml:space="preserve">Financial</w:t>
            </w:r>
          </w:p>
        </w:tc>
        <w:tc>
          <w:tcPr/>
          <w:p>
            <w:pPr>
              <w:pStyle w:val="Compact"/>
              <w:jc w:val="left"/>
            </w:pPr>
            <w:r>
              <w:t xml:space="preserve">3</w:t>
            </w:r>
          </w:p>
        </w:tc>
      </w:tr>
      <w:tr>
        <w:tc>
          <w:tcPr/>
          <w:p>
            <w:pPr>
              <w:pStyle w:val="Compact"/>
              <w:jc w:val="left"/>
            </w:pPr>
            <w:r>
              <w:t xml:space="preserve">24</w:t>
            </w:r>
          </w:p>
        </w:tc>
        <w:tc>
          <w:tcPr/>
          <w:p>
            <w:pPr>
              <w:pStyle w:val="Compact"/>
              <w:jc w:val="left"/>
            </w:pPr>
            <w:r>
              <w:t xml:space="preserve">Director ages not provided (Item 401)</w:t>
            </w:r>
          </w:p>
        </w:tc>
        <w:tc>
          <w:tcPr/>
          <w:p>
            <w:pPr>
              <w:pStyle w:val="Compact"/>
              <w:jc w:val="left"/>
            </w:pPr>
            <w:r>
              <w:t xml:space="preserve">Disclosure</w:t>
            </w:r>
          </w:p>
        </w:tc>
        <w:tc>
          <w:tcPr/>
          <w:p>
            <w:pPr>
              <w:pStyle w:val="Compact"/>
              <w:jc w:val="left"/>
            </w:pPr>
            <w:r>
              <w:t xml:space="preserve">3</w:t>
            </w:r>
          </w:p>
        </w:tc>
      </w:tr>
      <w:tr>
        <w:tc>
          <w:tcPr/>
          <w:p>
            <w:pPr>
              <w:pStyle w:val="Compact"/>
              <w:jc w:val="left"/>
            </w:pPr>
            <w:r>
              <w:t xml:space="preserve">25</w:t>
            </w:r>
          </w:p>
        </w:tc>
        <w:tc>
          <w:tcPr/>
          <w:p>
            <w:pPr>
              <w:pStyle w:val="Compact"/>
              <w:jc w:val="left"/>
            </w:pPr>
            <w:r>
              <w:t xml:space="preserve">Lock-up must bind fund-level entities</w:t>
            </w:r>
          </w:p>
        </w:tc>
        <w:tc>
          <w:tcPr/>
          <w:p>
            <w:pPr>
              <w:pStyle w:val="Compact"/>
              <w:jc w:val="left"/>
            </w:pPr>
            <w:r>
              <w:t xml:space="preserve">Offering</w:t>
            </w:r>
          </w:p>
        </w:tc>
        <w:tc>
          <w:tcPr/>
          <w:p>
            <w:pPr>
              <w:pStyle w:val="Compact"/>
              <w:jc w:val="left"/>
            </w:pPr>
            <w:r>
              <w:t xml:space="preserve">3</w:t>
            </w:r>
          </w:p>
        </w:tc>
      </w:tr>
      <w:tr>
        <w:tc>
          <w:tcPr/>
          <w:p>
            <w:pPr>
              <w:pStyle w:val="Compact"/>
              <w:jc w:val="left"/>
            </w:pPr>
            <w:r>
              <w:t xml:space="preserve">26</w:t>
            </w:r>
          </w:p>
        </w:tc>
        <w:tc>
          <w:tcPr/>
          <w:p>
            <w:pPr>
              <w:pStyle w:val="Compact"/>
              <w:jc w:val="left"/>
            </w:pPr>
            <w:r>
              <w:t xml:space="preserve">Section 382 study not completed; NOL utilization risk</w:t>
            </w:r>
          </w:p>
        </w:tc>
        <w:tc>
          <w:tcPr/>
          <w:p>
            <w:pPr>
              <w:pStyle w:val="Compact"/>
              <w:jc w:val="left"/>
            </w:pPr>
            <w:r>
              <w:t xml:space="preserve">Tax / Risk</w:t>
            </w:r>
          </w:p>
        </w:tc>
        <w:tc>
          <w:tcPr/>
          <w:p>
            <w:pPr>
              <w:pStyle w:val="Compact"/>
              <w:jc w:val="left"/>
            </w:pPr>
            <w:r>
              <w:t xml:space="preserve">2</w:t>
            </w:r>
          </w:p>
        </w:tc>
      </w:tr>
      <w:tr>
        <w:tc>
          <w:tcPr/>
          <w:p>
            <w:pPr>
              <w:pStyle w:val="Compact"/>
              <w:jc w:val="left"/>
            </w:pPr>
            <w:r>
              <w:t xml:space="preserve">27</w:t>
            </w:r>
          </w:p>
        </w:tc>
        <w:tc>
          <w:tcPr/>
          <w:p>
            <w:pPr>
              <w:pStyle w:val="Compact"/>
              <w:jc w:val="left"/>
            </w:pPr>
            <w:r>
              <w:t xml:space="preserve">Optivance litigation cross-default to term loan</w:t>
            </w:r>
          </w:p>
        </w:tc>
        <w:tc>
          <w:tcPr/>
          <w:p>
            <w:pPr>
              <w:pStyle w:val="Compact"/>
              <w:jc w:val="left"/>
            </w:pPr>
            <w:r>
              <w:t xml:space="preserve">Legal / Risk</w:t>
            </w:r>
          </w:p>
        </w:tc>
        <w:tc>
          <w:tcPr/>
          <w:p>
            <w:pPr>
              <w:pStyle w:val="Compact"/>
              <w:jc w:val="left"/>
            </w:pPr>
            <w:r>
              <w:t xml:space="preserve">2</w:t>
            </w:r>
          </w:p>
        </w:tc>
      </w:tr>
      <w:tr>
        <w:tc>
          <w:tcPr/>
          <w:p>
            <w:pPr>
              <w:pStyle w:val="Compact"/>
              <w:jc w:val="left"/>
            </w:pPr>
            <w:r>
              <w:t xml:space="preserve">28</w:t>
            </w:r>
          </w:p>
        </w:tc>
        <w:tc>
          <w:tcPr/>
          <w:p>
            <w:pPr>
              <w:pStyle w:val="Compact"/>
              <w:jc w:val="left"/>
            </w:pPr>
            <w:r>
              <w:t xml:space="preserve">Dual-class structure has no sunset; index exclusion risk</w:t>
            </w:r>
          </w:p>
        </w:tc>
        <w:tc>
          <w:tcPr/>
          <w:p>
            <w:pPr>
              <w:pStyle w:val="Compact"/>
              <w:jc w:val="left"/>
            </w:pPr>
            <w:r>
              <w:t xml:space="preserve">Governance / Risk</w:t>
            </w:r>
          </w:p>
        </w:tc>
        <w:tc>
          <w:tcPr/>
          <w:p>
            <w:pPr>
              <w:pStyle w:val="Compact"/>
              <w:jc w:val="left"/>
            </w:pPr>
            <w:r>
              <w:t xml:space="preserve">2</w:t>
            </w:r>
          </w:p>
        </w:tc>
      </w:tr>
      <w:tr>
        <w:tc>
          <w:tcPr/>
          <w:p>
            <w:pPr>
              <w:pStyle w:val="Compact"/>
              <w:jc w:val="left"/>
            </w:pPr>
            <w:r>
              <w:t xml:space="preserve">29</w:t>
            </w:r>
          </w:p>
        </w:tc>
        <w:tc>
          <w:tcPr/>
          <w:p>
            <w:pPr>
              <w:pStyle w:val="Compact"/>
              <w:jc w:val="left"/>
            </w:pPr>
            <w:r>
              <w:t xml:space="preserve">ICFR / material weakness disclosure; data reconciliation issues raise ICFR concerns</w:t>
            </w:r>
          </w:p>
        </w:tc>
        <w:tc>
          <w:tcPr/>
          <w:p>
            <w:pPr>
              <w:pStyle w:val="Compact"/>
              <w:jc w:val="left"/>
            </w:pPr>
            <w:r>
              <w:t xml:space="preserve">Disclosure / Risk</w:t>
            </w:r>
          </w:p>
        </w:tc>
        <w:tc>
          <w:tcPr/>
          <w:p>
            <w:pPr>
              <w:pStyle w:val="Compact"/>
              <w:jc w:val="left"/>
            </w:pPr>
            <w:r>
              <w:t xml:space="preserve">2</w:t>
            </w:r>
          </w:p>
        </w:tc>
      </w:tr>
      <w:tr>
        <w:tc>
          <w:tcPr/>
          <w:p>
            <w:pPr>
              <w:pStyle w:val="Compact"/>
              <w:jc w:val="left"/>
            </w:pPr>
            <w:r>
              <w:t xml:space="preserve">30</w:t>
            </w:r>
          </w:p>
        </w:tc>
        <w:tc>
          <w:tcPr/>
          <w:p>
            <w:pPr>
              <w:pStyle w:val="Compact"/>
              <w:jc w:val="left"/>
            </w:pPr>
            <w:r>
              <w:t xml:space="preserve">Affiliate-transaction notice to lender re: Vantara ($1.2M &gt; $500K threshold)</w:t>
            </w:r>
          </w:p>
        </w:tc>
        <w:tc>
          <w:tcPr/>
          <w:p>
            <w:pPr>
              <w:pStyle w:val="Compact"/>
              <w:jc w:val="left"/>
            </w:pPr>
            <w:r>
              <w:t xml:space="preserve">Related Party</w:t>
            </w:r>
          </w:p>
        </w:tc>
        <w:tc>
          <w:tcPr/>
          <w:p>
            <w:pPr>
              <w:pStyle w:val="Compact"/>
              <w:jc w:val="left"/>
            </w:pPr>
            <w:r>
              <w:t xml:space="preserve">2</w:t>
            </w:r>
          </w:p>
        </w:tc>
      </w:tr>
    </w:tbl>
    <w:bookmarkEnd w:id="23"/>
    <w:bookmarkStart w:id="33" w:name="X4b4ec8c897cc9a55719106d94d9bff7e83eed1e"/>
    <w:p>
      <w:pPr>
        <w:pStyle w:val="Heading2"/>
      </w:pPr>
      <w:r>
        <w:t xml:space="preserve">III. Financial Statement and Numerical Inconsistencies</w:t>
      </w:r>
    </w:p>
    <w:bookmarkStart w:id="24" w:name="Xeb40cdb6df28cc88b44479d48847e0eab92322c"/>
    <w:p>
      <w:pPr>
        <w:pStyle w:val="Heading3"/>
      </w:pPr>
      <w:r>
        <w:t xml:space="preserve">1. Adjusted EBITDA does not foot; FY2024 figure overstated; FY2023 inputs conflict with the Audited Financials —</w:t>
      </w:r>
      <w:r>
        <w:t xml:space="preserve"> </w:t>
      </w:r>
      <w:r>
        <w:rPr>
          <w:b/>
          <w:bCs/>
        </w:rPr>
        <w:t xml:space="preserve">Priority 1</w:t>
      </w:r>
    </w:p>
    <w:p>
      <w:pPr>
        <w:pStyle w:val="FirstParagraph"/>
      </w:pPr>
      <w:r>
        <w:rPr>
          <w:b/>
          <w:bCs/>
        </w:rPr>
        <w:t xml:space="preserve">Sources.</w:t>
      </w:r>
      <w:r>
        <w:t xml:space="preserve"> </w:t>
      </w:r>
      <w:r>
        <w:t xml:space="preserve">CFO Memo §5.2; Roadshow Slides 3, 23, 34, and 35; Audited Financials, Consolidated Statements of Operations and Cash Flows, and Note 9.</w:t>
      </w:r>
    </w:p>
    <w:p>
      <w:pPr>
        <w:pStyle w:val="BodyText"/>
      </w:pPr>
      <w:r>
        <w:rPr>
          <w:b/>
          <w:bCs/>
        </w:rPr>
        <w:t xml:space="preserve">Discrepancy.</w:t>
      </w:r>
      <w:r>
        <w:t xml:space="preserve"> </w:t>
      </w:r>
      <w:r>
        <w:t xml:space="preserve">The CFO Memo and the Roadshow present FY2024 Adjusted EBITDA of $22.8 million. However, the stated add-backs do not sum to that figure. Using the add-backs as presented (net loss $(24.8)M + D&amp;A $8.7M + stock-based compensation $38.2M + interest expense $3.1M − interest income $6.2M + income tax $0.3M + restructuring $1.2M), the arithmetic yields</w:t>
      </w:r>
      <w:r>
        <w:t xml:space="preserve"> </w:t>
      </w:r>
      <w:r>
        <w:rPr>
          <w:b/>
          <w:bCs/>
        </w:rPr>
        <w:t xml:space="preserve">$20.5 million</w:t>
      </w:r>
      <w:r>
        <w:t xml:space="preserve">, not $22.8 million — an unexplained $2.3 million overstatement. The Roadshow’s own speaker notes (Slides 3, 23, 34, and 35) acknowledge that the $22.8 million figure is</w:t>
      </w:r>
      <w:r>
        <w:t xml:space="preserve"> </w:t>
      </w:r>
      <w:r>
        <w:t xml:space="preserve">“</w:t>
      </w:r>
      <w:r>
        <w:t xml:space="preserve">erroneous</w:t>
      </w:r>
      <w:r>
        <w:t xml:space="preserve">”</w:t>
      </w:r>
      <w:r>
        <w:t xml:space="preserve"> </w:t>
      </w:r>
      <w:r>
        <w:t xml:space="preserve">and that the correct figure is $20.5 million. The corresponding Adjusted EBITDA margin should be approximately 10.9% ($20.5M / $187.3M), not the 12.2% stated on Roadshow Slide 23.</w:t>
      </w:r>
    </w:p>
    <w:p>
      <w:pPr>
        <w:pStyle w:val="BodyText"/>
      </w:pPr>
      <w:r>
        <w:t xml:space="preserve">In addition, the FY2023 Adjusted EBITDA reconciliation in the CFO Memo uses inputs that conflict with the Audited Financials:</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Line item</w:t>
            </w:r>
          </w:p>
        </w:tc>
        <w:tc>
          <w:tcPr/>
          <w:p>
            <w:pPr>
              <w:pStyle w:val="Compact"/>
              <w:jc w:val="right"/>
            </w:pPr>
            <w:r>
              <w:t xml:space="preserve">CFO Memo (FY2023)</w:t>
            </w:r>
          </w:p>
        </w:tc>
        <w:tc>
          <w:tcPr/>
          <w:p>
            <w:pPr>
              <w:pStyle w:val="Compact"/>
              <w:jc w:val="right"/>
            </w:pPr>
            <w:r>
              <w:t xml:space="preserve">Audited Financials (FY2023)</w:t>
            </w:r>
          </w:p>
        </w:tc>
      </w:tr>
      <w:tr>
        <w:tc>
          <w:tcPr/>
          <w:p>
            <w:pPr>
              <w:pStyle w:val="Compact"/>
              <w:jc w:val="left"/>
            </w:pPr>
            <w:r>
              <w:t xml:space="preserve">Stock-based compensation</w:t>
            </w:r>
          </w:p>
        </w:tc>
        <w:tc>
          <w:tcPr/>
          <w:p>
            <w:pPr>
              <w:pStyle w:val="Compact"/>
              <w:jc w:val="right"/>
            </w:pPr>
            <w:r>
              <w:t xml:space="preserve">$29.1M</w:t>
            </w:r>
          </w:p>
        </w:tc>
        <w:tc>
          <w:tcPr/>
          <w:p>
            <w:pPr>
              <w:pStyle w:val="Compact"/>
              <w:jc w:val="right"/>
            </w:pPr>
            <w:r>
              <w:t xml:space="preserve">$26.4M</w:t>
            </w:r>
          </w:p>
        </w:tc>
      </w:tr>
      <w:tr>
        <w:tc>
          <w:tcPr/>
          <w:p>
            <w:pPr>
              <w:pStyle w:val="Compact"/>
              <w:jc w:val="left"/>
            </w:pPr>
            <w:r>
              <w:t xml:space="preserve">Interest expense</w:t>
            </w:r>
          </w:p>
        </w:tc>
        <w:tc>
          <w:tcPr/>
          <w:p>
            <w:pPr>
              <w:pStyle w:val="Compact"/>
              <w:jc w:val="right"/>
            </w:pPr>
            <w:r>
              <w:t xml:space="preserve">$2.8M</w:t>
            </w:r>
          </w:p>
        </w:tc>
        <w:tc>
          <w:tcPr/>
          <w:p>
            <w:pPr>
              <w:pStyle w:val="Compact"/>
              <w:jc w:val="right"/>
            </w:pPr>
            <w:r>
              <w:t xml:space="preserve">$3.1M</w:t>
            </w:r>
          </w:p>
        </w:tc>
      </w:tr>
      <w:tr>
        <w:tc>
          <w:tcPr/>
          <w:p>
            <w:pPr>
              <w:pStyle w:val="Compact"/>
              <w:jc w:val="left"/>
            </w:pPr>
            <w:r>
              <w:t xml:space="preserve">Interest income</w:t>
            </w:r>
          </w:p>
        </w:tc>
        <w:tc>
          <w:tcPr/>
          <w:p>
            <w:pPr>
              <w:pStyle w:val="Compact"/>
              <w:jc w:val="right"/>
            </w:pPr>
            <w:r>
              <w:t xml:space="preserve">$4.6M</w:t>
            </w:r>
          </w:p>
        </w:tc>
        <w:tc>
          <w:tcPr/>
          <w:p>
            <w:pPr>
              <w:pStyle w:val="Compact"/>
              <w:jc w:val="right"/>
            </w:pPr>
            <w:r>
              <w:t xml:space="preserve">$5.8M</w:t>
            </w:r>
          </w:p>
        </w:tc>
      </w:tr>
      <w:tr>
        <w:tc>
          <w:tcPr/>
          <w:p>
            <w:pPr>
              <w:pStyle w:val="Compact"/>
              <w:jc w:val="left"/>
            </w:pPr>
            <w:r>
              <w:t xml:space="preserve">Income tax provision</w:t>
            </w:r>
          </w:p>
        </w:tc>
        <w:tc>
          <w:tcPr/>
          <w:p>
            <w:pPr>
              <w:pStyle w:val="Compact"/>
              <w:jc w:val="right"/>
            </w:pPr>
            <w:r>
              <w:t xml:space="preserve">$0.2M</w:t>
            </w:r>
          </w:p>
        </w:tc>
        <w:tc>
          <w:tcPr/>
          <w:p>
            <w:pPr>
              <w:pStyle w:val="Compact"/>
              <w:jc w:val="right"/>
            </w:pPr>
            <w:r>
              <w:t xml:space="preserve">$0.1M</w:t>
            </w:r>
          </w:p>
        </w:tc>
      </w:tr>
      <w:tr>
        <w:tc>
          <w:tcPr/>
          <w:p>
            <w:pPr>
              <w:pStyle w:val="Compact"/>
              <w:jc w:val="left"/>
            </w:pPr>
            <w:r>
              <w:t xml:space="preserve">Restructuring charges</w:t>
            </w:r>
          </w:p>
        </w:tc>
        <w:tc>
          <w:tcPr/>
          <w:p>
            <w:pPr>
              <w:pStyle w:val="Compact"/>
              <w:jc w:val="right"/>
            </w:pPr>
            <w:r>
              <w:t xml:space="preserve">$0.6M</w:t>
            </w:r>
          </w:p>
        </w:tc>
        <w:tc>
          <w:tcPr/>
          <w:p>
            <w:pPr>
              <w:pStyle w:val="Compact"/>
              <w:jc w:val="right"/>
            </w:pPr>
            <w:r>
              <w:t xml:space="preserve">$0 (none recorded)</w:t>
            </w:r>
          </w:p>
        </w:tc>
      </w:tr>
      <w:tr>
        <w:tc>
          <w:tcPr/>
          <w:p>
            <w:pPr>
              <w:pStyle w:val="Compact"/>
              <w:jc w:val="left"/>
            </w:pPr>
            <w:r>
              <w:t xml:space="preserve">Depreciation &amp; amortization</w:t>
            </w:r>
          </w:p>
        </w:tc>
        <w:tc>
          <w:tcPr/>
          <w:p>
            <w:pPr>
              <w:pStyle w:val="Compact"/>
              <w:jc w:val="right"/>
            </w:pPr>
            <w:r>
              <w:t xml:space="preserve">$6.9M</w:t>
            </w:r>
          </w:p>
        </w:tc>
        <w:tc>
          <w:tcPr/>
          <w:p>
            <w:pPr>
              <w:pStyle w:val="Compact"/>
              <w:jc w:val="right"/>
            </w:pPr>
            <w:r>
              <w:t xml:space="preserve">$7.1M (per cash flow statement)</w:t>
            </w:r>
          </w:p>
        </w:tc>
      </w:tr>
    </w:tbl>
    <w:p>
      <w:pPr>
        <w:pStyle w:val="BodyText"/>
      </w:pPr>
      <w:r>
        <w:t xml:space="preserve">Using the audited inputs, FY2023 Adjusted EBITDA would be approximately</w:t>
      </w:r>
      <w:r>
        <w:t xml:space="preserve"> </w:t>
      </w:r>
      <w:r>
        <w:rPr>
          <w:b/>
          <w:bCs/>
        </w:rPr>
        <w:t xml:space="preserve">$3.5 million</w:t>
      </w:r>
      <w:r>
        <w:t xml:space="preserve">, not the $7.6 million stated in the CFO Memo. The CFO Memo’s FY2023 reconciliation does foot internally to $7.6 million, but only because it uses the incorrect inputs above (including a $0.6 million restructuring charge in FY2023 for which there is no support in the Audited Financials — see Item 10 below).</w:t>
      </w:r>
    </w:p>
    <w:p>
      <w:pPr>
        <w:pStyle w:val="BodyText"/>
      </w:pPr>
      <w:r>
        <w:rPr>
          <w:b/>
          <w:bCs/>
        </w:rPr>
        <w:t xml:space="preserve">Risk.</w:t>
      </w:r>
      <w:r>
        <w:t xml:space="preserve"> </w:t>
      </w:r>
      <w:r>
        <w:t xml:space="preserve">Presenting a non-GAAP measure that does not reconcile to its stated components, or that uses inputs inconsistent with the GAAP financial statements, violates Regulation G and Item 10(e) of Regulation S-K and is highly likely to generate an SEC comment letter. The error has propagated from the CFO Memo into the Roadshow (at least four slides).</w:t>
      </w:r>
    </w:p>
    <w:p>
      <w:pPr>
        <w:pStyle w:val="BodyText"/>
      </w:pPr>
      <w:r>
        <w:rPr>
          <w:b/>
          <w:bCs/>
        </w:rPr>
        <w:t xml:space="preserve">Recommended action.</w:t>
      </w:r>
      <w:r>
        <w:t xml:space="preserve"> </w:t>
      </w:r>
      <w:r>
        <w:t xml:space="preserve">(i) Use the corrected FY2024 Adjusted EBITDA of $20.5 million and FY2023 Adjusted EBITDA of $3.5 million (computed from audited inputs) in the Form S-1, with a full Regulation G / Item 10(e) reconciliation and appropriate cautionary language; (ii) correct the Roadshow and all other investor-facing materials; (iii) confirm with the CFO whether any additional adjustments (beyond those listed) were intended to support the $22.8 million figure, and if so, document them; and (iv) consider whether the error indicates a broader issue with non-GAAP measure controls. The Form S-1 draft we have prepared reflects the corrected figures.</w:t>
      </w:r>
    </w:p>
    <w:bookmarkEnd w:id="24"/>
    <w:bookmarkStart w:id="25" w:name="Xba1c77e86b49e44b3ca0a74e4e0b88d2267aa9d"/>
    <w:p>
      <w:pPr>
        <w:pStyle w:val="Heading3"/>
      </w:pPr>
      <w:r>
        <w:t xml:space="preserve">2. Term loan: origination date, draw amount, amortization, and balance do not reconcile —</w:t>
      </w:r>
      <w:r>
        <w:t xml:space="preserve"> </w:t>
      </w:r>
      <w:r>
        <w:rPr>
          <w:b/>
          <w:bCs/>
        </w:rPr>
        <w:t xml:space="preserve">Priority 1</w:t>
      </w:r>
    </w:p>
    <w:p>
      <w:pPr>
        <w:pStyle w:val="FirstParagraph"/>
      </w:pPr>
      <w:r>
        <w:rPr>
          <w:b/>
          <w:bCs/>
        </w:rPr>
        <w:t xml:space="preserve">Sources.</w:t>
      </w:r>
      <w:r>
        <w:t xml:space="preserve"> </w:t>
      </w:r>
      <w:r>
        <w:t xml:space="preserve">Audited Financials Note 8 and Consolidated Statements of Cash Flows; Term Loan Summary §§1, 3, 12.</w:t>
      </w:r>
    </w:p>
    <w:p>
      <w:pPr>
        <w:pStyle w:val="BodyText"/>
      </w:pPr>
      <w:r>
        <w:rPr>
          <w:b/>
          <w:bCs/>
        </w:rPr>
        <w:t xml:space="preserve">Discrepancy.</w:t>
      </w:r>
      <w:r>
        <w:t xml:space="preserve"> </w:t>
      </w:r>
      <w:r>
        <w:t xml:space="preserve">Multiple aspects of the term loan do not reconcile across documents:</w:t>
      </w:r>
    </w:p>
    <w:p>
      <w:pPr>
        <w:pStyle w:val="Compact"/>
        <w:numPr>
          <w:ilvl w:val="0"/>
          <w:numId w:val="1001"/>
        </w:numPr>
      </w:pPr>
      <w:r>
        <w:rPr>
          <w:b/>
          <w:bCs/>
        </w:rPr>
        <w:t xml:space="preserve">Origination date.</w:t>
      </w:r>
      <w:r>
        <w:t xml:space="preserve"> </w:t>
      </w:r>
      <w:r>
        <w:t xml:space="preserve">The Term Loan Summary states that the Credit Agreement is</w:t>
      </w:r>
      <w:r>
        <w:t xml:space="preserve"> </w:t>
      </w:r>
      <w:r>
        <w:t xml:space="preserve">“</w:t>
      </w:r>
      <w:r>
        <w:t xml:space="preserve">Dated as of December 15, 2022,</w:t>
      </w:r>
      <w:r>
        <w:t xml:space="preserve">”</w:t>
      </w:r>
      <w:r>
        <w:t xml:space="preserve"> </w:t>
      </w:r>
      <w:r>
        <w:t xml:space="preserve">that the closing date was December 15, 2022, and that the initial draw of $40.0 million was made on the closing date (with initial draw conditions referencing delivery of audited financial statements for the fiscal year ended December 31, 2021, which is consistent with a December 2022 closing). The Audited Financials Note 8, however, state that</w:t>
      </w:r>
      <w:r>
        <w:t xml:space="preserve"> </w:t>
      </w:r>
      <w:r>
        <w:t xml:space="preserve">“</w:t>
      </w:r>
      <w:r>
        <w:t xml:space="preserve">In June 2023, the Company entered into a term loan facility.</w:t>
      </w:r>
      <w:r>
        <w:t xml:space="preserve">”</w:t>
      </w:r>
      <w:r>
        <w:t xml:space="preserve"> </w:t>
      </w:r>
      <w:r>
        <w:t xml:space="preserve">These cannot both be correct.</w:t>
      </w:r>
    </w:p>
    <w:p>
      <w:pPr>
        <w:pStyle w:val="Compact"/>
        <w:numPr>
          <w:ilvl w:val="0"/>
          <w:numId w:val="1001"/>
        </w:numPr>
      </w:pPr>
      <w:r>
        <w:rPr>
          <w:b/>
          <w:bCs/>
        </w:rPr>
        <w:t xml:space="preserve">Cash flow vs. balance.</w:t>
      </w:r>
      <w:r>
        <w:t xml:space="preserve"> </w:t>
      </w:r>
      <w:r>
        <w:t xml:space="preserve">The Consolidated Statements of Cash Flows reflect $15.0 million of</w:t>
      </w:r>
      <w:r>
        <w:t xml:space="preserve"> </w:t>
      </w:r>
      <w:r>
        <w:t xml:space="preserve">“</w:t>
      </w:r>
      <w:r>
        <w:t xml:space="preserve">Proceeds from term loan borrowings</w:t>
      </w:r>
      <w:r>
        <w:t xml:space="preserve">”</w:t>
      </w:r>
      <w:r>
        <w:t xml:space="preserve"> </w:t>
      </w:r>
      <w:r>
        <w:t xml:space="preserve">in FY2023 and $5.0 million of</w:t>
      </w:r>
      <w:r>
        <w:t xml:space="preserve"> </w:t>
      </w:r>
      <w:r>
        <w:t xml:space="preserve">“</w:t>
      </w:r>
      <w:r>
        <w:t xml:space="preserve">Repayment of term loan</w:t>
      </w:r>
      <w:r>
        <w:t xml:space="preserve">”</w:t>
      </w:r>
      <w:r>
        <w:t xml:space="preserve"> </w:t>
      </w:r>
      <w:r>
        <w:t xml:space="preserve">in FY2024. These amounts are inconsistent with a $40.0 million inception draw (which would produce $40.0 million of proceeds in the year of closing, not $15.0 million) and with the reported $40.0 million outstanding balance at both December 31, 2023 and December 31, 2024 (a $5.0 million repayment in FY2024 with no offsetting draw should reduce the balance to $35.0 million).</w:t>
      </w:r>
    </w:p>
    <w:p>
      <w:pPr>
        <w:pStyle w:val="Compact"/>
        <w:numPr>
          <w:ilvl w:val="0"/>
          <w:numId w:val="1001"/>
        </w:numPr>
      </w:pPr>
      <w:r>
        <w:rPr>
          <w:b/>
          <w:bCs/>
        </w:rPr>
        <w:t xml:space="preserve">Amortization.</w:t>
      </w:r>
      <w:r>
        <w:t xml:space="preserve"> </w:t>
      </w:r>
      <w:r>
        <w:t xml:space="preserve">The Term Loan Summary states that the facility amortizes at 1.25% of the original drawn amount per quarter, i.e., $500,000 per quarter ($2.0 million per year), with the balance due as a bullet at maturity. Note 8’s future principal repayment schedule, however, is $5.0 million (2025), $10.0 million (2026), and $25.0 million (2027), and the FY2024 cash flow reflects a $5.0 million repayment — neither is consistent with $2.0 million per year.</w:t>
      </w:r>
    </w:p>
    <w:p>
      <w:pPr>
        <w:pStyle w:val="FirstParagraph"/>
      </w:pPr>
      <w:r>
        <w:rPr>
          <w:b/>
          <w:bCs/>
        </w:rPr>
        <w:t xml:space="preserve">Risk.</w:t>
      </w:r>
      <w:r>
        <w:t xml:space="preserve"> </w:t>
      </w:r>
      <w:r>
        <w:t xml:space="preserve">The Form S-1</w:t>
      </w:r>
      <w:r>
        <w:t xml:space="preserve"> </w:t>
      </w:r>
      <w:r>
        <w:t xml:space="preserve">“</w:t>
      </w:r>
      <w:r>
        <w:t xml:space="preserve">Description of Indebtedness</w:t>
      </w:r>
      <w:r>
        <w:t xml:space="preserve">”</w:t>
      </w:r>
      <w:r>
        <w:t xml:space="preserve"> </w:t>
      </w:r>
      <w:r>
        <w:t xml:space="preserve">and the financial statement notes must be internally consistent and consistent with the underlying credit agreement. Inconsistencies of this nature are likely to generate SEC comments and raise auditor comfort and negative assurance concerns.</w:t>
      </w:r>
    </w:p>
    <w:p>
      <w:pPr>
        <w:pStyle w:val="BodyText"/>
      </w:pPr>
      <w:r>
        <w:rPr>
          <w:b/>
          <w:bCs/>
        </w:rPr>
        <w:t xml:space="preserve">Recommended action.</w:t>
      </w:r>
      <w:r>
        <w:t xml:space="preserve"> </w:t>
      </w:r>
      <w:r>
        <w:t xml:space="preserve">(i) Reconcile the origination date, the draw history, and the amortization schedule against the actual Credit Agreement and the general ledger, and correct Note 8 and the cash flow statement as necessary (in coordination with Archer Pryce LLP); (ii) confirm the correct future principal repayment schedule; (iii) ensure the Form S-1</w:t>
      </w:r>
      <w:r>
        <w:t xml:space="preserve"> </w:t>
      </w:r>
      <w:r>
        <w:t xml:space="preserve">“</w:t>
      </w:r>
      <w:r>
        <w:t xml:space="preserve">Description of Indebtedness</w:t>
      </w:r>
      <w:r>
        <w:t xml:space="preserve">”</w:t>
      </w:r>
      <w:r>
        <w:t xml:space="preserve"> </w:t>
      </w:r>
      <w:r>
        <w:t xml:space="preserve">matches the corrected financial statements; and (iv) confirm whether any amendment or restatement of the Credit Agreement occurred in 2023 that might explain the</w:t>
      </w:r>
      <w:r>
        <w:t xml:space="preserve"> </w:t>
      </w:r>
      <w:r>
        <w:t xml:space="preserve">“</w:t>
      </w:r>
      <w:r>
        <w:t xml:space="preserve">June 2023</w:t>
      </w:r>
      <w:r>
        <w:t xml:space="preserve">”</w:t>
      </w:r>
      <w:r>
        <w:t xml:space="preserve"> </w:t>
      </w:r>
      <w:r>
        <w:t xml:space="preserve">reference. The Form S-1 draft flags this item in a footnote pending reconciliation.</w:t>
      </w:r>
    </w:p>
    <w:bookmarkEnd w:id="25"/>
    <w:bookmarkStart w:id="26" w:name="Xe3764a19ea513711056ba96f9b70747a56478bc"/>
    <w:p>
      <w:pPr>
        <w:pStyle w:val="Heading3"/>
      </w:pPr>
      <w:r>
        <w:t xml:space="preserve">3. Equity Schedule option grants do not reconcile to the audited total —</w:t>
      </w:r>
      <w:r>
        <w:t xml:space="preserve"> </w:t>
      </w:r>
      <w:r>
        <w:rPr>
          <w:b/>
          <w:bCs/>
        </w:rPr>
        <w:t xml:space="preserve">Priority 1</w:t>
      </w:r>
    </w:p>
    <w:p>
      <w:pPr>
        <w:pStyle w:val="FirstParagraph"/>
      </w:pPr>
      <w:r>
        <w:rPr>
          <w:b/>
          <w:bCs/>
        </w:rPr>
        <w:t xml:space="preserve">Sources.</w:t>
      </w:r>
      <w:r>
        <w:t xml:space="preserve"> </w:t>
      </w:r>
      <w:r>
        <w:t xml:space="preserve">Equity Schedule,</w:t>
      </w:r>
      <w:r>
        <w:t xml:space="preserve"> </w:t>
      </w:r>
      <w:r>
        <w:t xml:space="preserve">“</w:t>
      </w:r>
      <w:r>
        <w:t xml:space="preserve">Option Grants</w:t>
      </w:r>
      <w:r>
        <w:t xml:space="preserve">”</w:t>
      </w:r>
      <w:r>
        <w:t xml:space="preserve"> </w:t>
      </w:r>
      <w:r>
        <w:t xml:space="preserve">tab; Audited Financials Note 12.</w:t>
      </w:r>
    </w:p>
    <w:p>
      <w:pPr>
        <w:pStyle w:val="BodyText"/>
      </w:pPr>
      <w:r>
        <w:rPr>
          <w:b/>
          <w:bCs/>
        </w:rPr>
        <w:t xml:space="preserve">Discrepancy.</w:t>
      </w:r>
      <w:r>
        <w:t xml:space="preserve"> </w:t>
      </w:r>
      <w:r>
        <w:t xml:space="preserve">The</w:t>
      </w:r>
      <w:r>
        <w:t xml:space="preserve"> </w:t>
      </w:r>
      <w:r>
        <w:t xml:space="preserve">“</w:t>
      </w:r>
      <w:r>
        <w:t xml:space="preserve">Option Grants</w:t>
      </w:r>
      <w:r>
        <w:t xml:space="preserve">”</w:t>
      </w:r>
      <w:r>
        <w:t xml:space="preserve"> </w:t>
      </w:r>
      <w:r>
        <w:t xml:space="preserve">tab of the Equity Schedule contains 32 individual grant records. Summing the</w:t>
      </w:r>
      <w:r>
        <w:t xml:space="preserve"> </w:t>
      </w:r>
      <w:r>
        <w:t xml:space="preserve">“</w:t>
      </w:r>
      <w:r>
        <w:t xml:space="preserve">Shares Outstanding</w:t>
      </w:r>
      <w:r>
        <w:t xml:space="preserve">”</w:t>
      </w:r>
      <w:r>
        <w:t xml:space="preserve"> </w:t>
      </w:r>
      <w:r>
        <w:t xml:space="preserve">column across those records yields</w:t>
      </w:r>
      <w:r>
        <w:t xml:space="preserve"> </w:t>
      </w:r>
      <w:r>
        <w:rPr>
          <w:b/>
          <w:bCs/>
        </w:rPr>
        <w:t xml:space="preserve">20,340,000 shares</w:t>
      </w:r>
      <w:r>
        <w:t xml:space="preserve">, and summing the</w:t>
      </w:r>
      <w:r>
        <w:t xml:space="preserve"> </w:t>
      </w:r>
      <w:r>
        <w:t xml:space="preserve">“</w:t>
      </w:r>
      <w:r>
        <w:t xml:space="preserve">Number of Shares</w:t>
      </w:r>
      <w:r>
        <w:t xml:space="preserve">”</w:t>
      </w:r>
      <w:r>
        <w:t xml:space="preserve"> </w:t>
      </w:r>
      <w:r>
        <w:t xml:space="preserve">(granted) column yields</w:t>
      </w:r>
      <w:r>
        <w:t xml:space="preserve"> </w:t>
      </w:r>
      <w:r>
        <w:rPr>
          <w:b/>
          <w:bCs/>
        </w:rPr>
        <w:t xml:space="preserve">21,490,000 shares</w:t>
      </w:r>
      <w:r>
        <w:t xml:space="preserve">. The tab’s own TOTALS row, however, reports 14,750,000 shares outstanding and 18,910,000 shares granted, and Note 12 to the Audited Financials likewise reports 14,750,000 options outstanding at a weighted-average exercise price of $8.42 per share. There is therefore a</w:t>
      </w:r>
      <w:r>
        <w:t xml:space="preserve"> </w:t>
      </w:r>
      <w:r>
        <w:rPr>
          <w:b/>
          <w:bCs/>
        </w:rPr>
        <w:t xml:space="preserve">5,590,000-share discrepancy</w:t>
      </w:r>
      <w:r>
        <w:t xml:space="preserve"> </w:t>
      </w:r>
      <w:r>
        <w:t xml:space="preserve">between the grant-level detail and the reported outstanding total, and a 2,580,000-share discrepancy between the grant-level detail and the reported granted total. (Within each individual row,</w:t>
      </w:r>
      <w:r>
        <w:t xml:space="preserve"> </w:t>
      </w:r>
      <w:r>
        <w:t xml:space="preserve">“</w:t>
      </w:r>
      <w:r>
        <w:t xml:space="preserve">Shares Outstanding</w:t>
      </w:r>
      <w:r>
        <w:t xml:space="preserve">”</w:t>
      </w:r>
      <w:r>
        <w:t xml:space="preserve"> </w:t>
      </w:r>
      <w:r>
        <w:t xml:space="preserve">does equal</w:t>
      </w:r>
      <w:r>
        <w:t xml:space="preserve"> </w:t>
      </w:r>
      <w:r>
        <w:t xml:space="preserve">“</w:t>
      </w:r>
      <w:r>
        <w:t xml:space="preserve">Granted − Exercised − Cancelled,</w:t>
      </w:r>
      <w:r>
        <w:t xml:space="preserve">”</w:t>
      </w:r>
      <w:r>
        <w:t xml:space="preserve"> </w:t>
      </w:r>
      <w:r>
        <w:t xml:space="preserve">so the detail rows are internally consistent on that basis; the discrepancy is between the sum of the detail and the stated/audited totals.)</w:t>
      </w:r>
    </w:p>
    <w:p>
      <w:pPr>
        <w:pStyle w:val="BodyText"/>
      </w:pPr>
      <w:r>
        <w:rPr>
          <w:b/>
          <w:bCs/>
        </w:rPr>
        <w:t xml:space="preserve">Risk.</w:t>
      </w:r>
      <w:r>
        <w:t xml:space="preserve"> </w:t>
      </w:r>
      <w:r>
        <w:t xml:space="preserve">The Form S-1 stock-based compensation footnote and the equity award tables must reconcile to the audited financial statements and to the equity plan records. A 5.59 million share discrepancy is material and indicates that the Equity Schedule is either stale, double-counting certain grants, or missing cancellation/exercise adjustments. This also raises internal control over financial reporting (</w:t>
      </w:r>
      <w:r>
        <w:t xml:space="preserve">“</w:t>
      </w:r>
      <w:r>
        <w:t xml:space="preserve">ICFR</w:t>
      </w:r>
      <w:r>
        <w:t xml:space="preserve">”</w:t>
      </w:r>
      <w:r>
        <w:t xml:space="preserve">) concerns (see Item 29).</w:t>
      </w:r>
    </w:p>
    <w:p>
      <w:pPr>
        <w:pStyle w:val="BodyText"/>
      </w:pPr>
      <w:r>
        <w:rPr>
          <w:b/>
          <w:bCs/>
        </w:rPr>
        <w:t xml:space="preserve">Recommended action.</w:t>
      </w:r>
      <w:r>
        <w:t xml:space="preserve"> </w:t>
      </w:r>
      <w:r>
        <w:t xml:space="preserve">(i) Reconcile the Equity Schedule to the equity plan administration records and the transfer agent, and to the audited Note 12 totals; (ii) identify the source of the 5,590,000-share difference (e.g., grants recorded in the schedule that were subsequently cancelled, exercised, or transferred between plans); (iii) provide Archer Pryce LLP with a reconciled schedule; and (iv) do not finalize the Form S-1 equity award tables until the reconciliation is complete.</w:t>
      </w:r>
    </w:p>
    <w:bookmarkEnd w:id="26"/>
    <w:bookmarkStart w:id="27" w:name="Xeddeebc27d0e653e10d61c3defa4f2ecec24f9a"/>
    <w:p>
      <w:pPr>
        <w:pStyle w:val="Heading3"/>
      </w:pPr>
      <w:r>
        <w:t xml:space="preserve">4. 409A valuation history conflicts; preferred-stock pricing inputs in the 409A tab are incorrect —</w:t>
      </w:r>
      <w:r>
        <w:t xml:space="preserve"> </w:t>
      </w:r>
      <w:r>
        <w:rPr>
          <w:b/>
          <w:bCs/>
        </w:rPr>
        <w:t xml:space="preserve">Priority 1</w:t>
      </w:r>
    </w:p>
    <w:p>
      <w:pPr>
        <w:pStyle w:val="FirstParagraph"/>
      </w:pPr>
      <w:r>
        <w:rPr>
          <w:b/>
          <w:bCs/>
        </w:rPr>
        <w:t xml:space="preserve">Sources.</w:t>
      </w:r>
      <w:r>
        <w:t xml:space="preserve"> </w:t>
      </w:r>
      <w:r>
        <w:t xml:space="preserve">Audited Financials Note 12(e); Equity Schedule,</w:t>
      </w:r>
      <w:r>
        <w:t xml:space="preserve"> </w:t>
      </w:r>
      <w:r>
        <w:t xml:space="preserve">“</w:t>
      </w:r>
      <w:r>
        <w:t xml:space="preserve">409A Valuations</w:t>
      </w:r>
      <w:r>
        <w:t xml:space="preserve">”</w:t>
      </w:r>
      <w:r>
        <w:t xml:space="preserve"> </w:t>
      </w:r>
      <w:r>
        <w:t xml:space="preserve">tab.</w:t>
      </w:r>
    </w:p>
    <w:p>
      <w:pPr>
        <w:pStyle w:val="BodyText"/>
      </w:pPr>
      <w:r>
        <w:rPr>
          <w:b/>
          <w:bCs/>
        </w:rPr>
        <w:t xml:space="preserve">Discrepancy (a) — divergent valuation histories.</w:t>
      </w:r>
      <w:r>
        <w:t xml:space="preserve"> </w:t>
      </w:r>
      <w:r>
        <w:t xml:space="preserve">Note 12(e) lists the following 409A valuations: June 30, 2022 ($7.80); September 30, 2022 ($9.50); March 31, 2023 ($14.20); September 30, 2023 ($16.50); March 31, 2024 ($18.20); and September 30, 2024 ($19.60). The</w:t>
      </w:r>
      <w:r>
        <w:t xml:space="preserve"> </w:t>
      </w:r>
      <w:r>
        <w:t xml:space="preserve">“</w:t>
      </w:r>
      <w:r>
        <w:t xml:space="preserve">409A Valuations</w:t>
      </w:r>
      <w:r>
        <w:t xml:space="preserve">”</w:t>
      </w:r>
      <w:r>
        <w:t xml:space="preserve"> </w:t>
      </w:r>
      <w:r>
        <w:t xml:space="preserve">tab of the Equity Schedule lists: December 31, 2021 ($7.20); September 30, 2022 ($9.50); March 31, 2023 ($14.20); December 31, 2023 ($16.80); and December 31, 2024 (preliminary) ($18.50). After September 30, 2022, the two histories diverge entirely — different valuation dates and different fair values. The audited option intrinsic value of $165.4 million as of December 31, 2024 is consistent with a common stock fair value of approximately $19.60 per share (the September 30, 2024 valuation in Note 12(e)), and is not consistent with the $18.50 per share preliminary December 31, 2024 valuation referenced in the Equity Schedule as the basis for the Form S-1 stock-based compensation disclosure.</w:t>
      </w:r>
    </w:p>
    <w:p>
      <w:pPr>
        <w:pStyle w:val="BodyText"/>
      </w:pPr>
      <w:r>
        <w:rPr>
          <w:b/>
          <w:bCs/>
        </w:rPr>
        <w:t xml:space="preserve">Discrepancy (b) — incorrect preferred-stock pricing inputs.</w:t>
      </w:r>
      <w:r>
        <w:t xml:space="preserve"> </w:t>
      </w:r>
      <w:r>
        <w:t xml:space="preserve">The</w:t>
      </w:r>
      <w:r>
        <w:t xml:space="preserve"> </w:t>
      </w:r>
      <w:r>
        <w:t xml:space="preserve">“</w:t>
      </w:r>
      <w:r>
        <w:t xml:space="preserve">409A Valuations</w:t>
      </w:r>
      <w:r>
        <w:t xml:space="preserve">”</w:t>
      </w:r>
      <w:r>
        <w:t xml:space="preserve"> </w:t>
      </w:r>
      <w:r>
        <w:t xml:space="preserve">tab describes the Company’s preferred-stock financings as follows: Series A</w:t>
      </w:r>
      <w:r>
        <w:t xml:space="preserve"> </w:t>
      </w:r>
      <w:r>
        <w:t xml:space="preserve">“</w:t>
      </w:r>
      <w:r>
        <w:t xml:space="preserve">closed July 2018 at $2.50/share ($25M round, $50M post-money)</w:t>
      </w:r>
      <w:r>
        <w:t xml:space="preserve">”</w:t>
      </w:r>
      <w:r>
        <w:t xml:space="preserve">; Series B</w:t>
      </w:r>
      <w:r>
        <w:t xml:space="preserve"> </w:t>
      </w:r>
      <w:r>
        <w:t xml:space="preserve">“</w:t>
      </w:r>
      <w:r>
        <w:t xml:space="preserve">closed February 2020 at $6.00/share ($60M round, $180M post-money)</w:t>
      </w:r>
      <w:r>
        <w:t xml:space="preserve">”</w:t>
      </w:r>
      <w:r>
        <w:t xml:space="preserve">; and Series C</w:t>
      </w:r>
      <w:r>
        <w:t xml:space="preserve"> </w:t>
      </w:r>
      <w:r>
        <w:t xml:space="preserve">“</w:t>
      </w:r>
      <w:r>
        <w:t xml:space="preserve">closed November 2021 at $12.00/share ($120M round, $720M post-money).</w:t>
      </w:r>
      <w:r>
        <w:t xml:space="preserve">”</w:t>
      </w:r>
      <w:r>
        <w:t xml:space="preserve"> </w:t>
      </w:r>
      <w:r>
        <w:t xml:space="preserve">The actual issuances, as reported in Note 10 to the Audited Financials and consistently across the CFO Memo, the Questionnaire, and the Term Sheet, are: Series A — October 2018, 8,000,000 shares at $1.50 per share ($12.0 million); Series B — April 2020, 9,500,000 shares at $4.00 per share ($38.0 million); and Series C — November 2021, 7,916,667 shares at $12.00 per share ($95.0 million). The Series A and Series B prices and amounts in the 409A tab are therefore wrong, and the Series C amount ($120 million) is wrong (the correct amount is $95.0 million). Because the 409A valuations purport to use an OPM</w:t>
      </w:r>
      <w:r>
        <w:t xml:space="preserve"> </w:t>
      </w:r>
      <w:r>
        <w:t xml:space="preserve">“</w:t>
      </w:r>
      <w:r>
        <w:t xml:space="preserve">backsolve</w:t>
      </w:r>
      <w:r>
        <w:t xml:space="preserve">”</w:t>
      </w:r>
      <w:r>
        <w:t xml:space="preserve"> </w:t>
      </w:r>
      <w:r>
        <w:t xml:space="preserve">from the most recent preferred round, the use of incorrect preferred prices as inputs calls into question the reliability of the resulting common-stock fair values and the related stock-based compensation expense.</w:t>
      </w:r>
    </w:p>
    <w:p>
      <w:pPr>
        <w:pStyle w:val="BodyText"/>
      </w:pPr>
      <w:r>
        <w:rPr>
          <w:b/>
          <w:bCs/>
        </w:rPr>
        <w:t xml:space="preserve">Risk.</w:t>
      </w:r>
      <w:r>
        <w:t xml:space="preserve"> </w:t>
      </w:r>
      <w:r>
        <w:t xml:space="preserve">This is a</w:t>
      </w:r>
      <w:r>
        <w:t xml:space="preserve"> </w:t>
      </w:r>
      <w:r>
        <w:t xml:space="preserve">“</w:t>
      </w:r>
      <w:r>
        <w:t xml:space="preserve">cheap stock</w:t>
      </w:r>
      <w:r>
        <w:t xml:space="preserve">”</w:t>
      </w:r>
      <w:r>
        <w:t xml:space="preserve"> </w:t>
      </w:r>
      <w:r>
        <w:t xml:space="preserve">/ stock-based compensation accuracy exposure. The SEC routinely comments on 409A valuation support and on inconsistencies between the valuation history in the financial statements and the equity plan records. The common-stock valuation is also a critical audit matter in the auditor’s report. Inconsistent or unsupported valuations create a risk of restatement of stock-based compensation expense and a likely SEC comment.</w:t>
      </w:r>
    </w:p>
    <w:p>
      <w:pPr>
        <w:pStyle w:val="BodyText"/>
      </w:pPr>
      <w:r>
        <w:rPr>
          <w:b/>
          <w:bCs/>
        </w:rPr>
        <w:t xml:space="preserve">Recommended action.</w:t>
      </w:r>
      <w:r>
        <w:t xml:space="preserve"> </w:t>
      </w:r>
      <w:r>
        <w:t xml:space="preserve">(i) Determine which 409A valuation history is correct and conform both the Note 12(e) disclosure and the Equity Schedule; (ii) engage the valuation firm (Meridian Valuation Partners LLC) to confirm the correct valuation dates and fair values and to confirm that the OPM backsolve inputs reflect the actual preferred-stock prices ($1.50, $4.00, $12.00, $24.00); (iii) assess whether any prior stock-based compensation expense should be revised; (iv) confirm the common stock fair value to be used in the Form S-1 (including for the option intrinsic value disclosure); and (v) coordinate with Archer Pryce LLP, whose audit report identifies common stock valuation as a critical audit matter.</w:t>
      </w:r>
    </w:p>
    <w:bookmarkEnd w:id="27"/>
    <w:bookmarkStart w:id="28" w:name="Xa122555b1d918ebf852c344397ad898403c063f"/>
    <w:p>
      <w:pPr>
        <w:pStyle w:val="Heading3"/>
      </w:pPr>
      <w:r>
        <w:t xml:space="preserve">5. FY2023 revenue mix misstated in the CFO Memo —</w:t>
      </w:r>
      <w:r>
        <w:t xml:space="preserve"> </w:t>
      </w:r>
      <w:r>
        <w:rPr>
          <w:b/>
          <w:bCs/>
        </w:rPr>
        <w:t xml:space="preserve">Priority 2</w:t>
      </w:r>
    </w:p>
    <w:p>
      <w:pPr>
        <w:pStyle w:val="FirstParagraph"/>
      </w:pPr>
      <w:r>
        <w:rPr>
          <w:b/>
          <w:bCs/>
        </w:rPr>
        <w:t xml:space="preserve">Sources.</w:t>
      </w:r>
      <w:r>
        <w:t xml:space="preserve"> </w:t>
      </w:r>
      <w:r>
        <w:t xml:space="preserve">CFO Memo §4.1; Audited Financials Note 3.</w:t>
      </w:r>
    </w:p>
    <w:p>
      <w:pPr>
        <w:pStyle w:val="BodyText"/>
      </w:pPr>
      <w:r>
        <w:rPr>
          <w:b/>
          <w:bCs/>
        </w:rPr>
        <w:t xml:space="preserve">Discrepancy.</w:t>
      </w:r>
      <w:r>
        <w:t xml:space="preserve"> </w:t>
      </w:r>
      <w:r>
        <w:t xml:space="preserve">The CFO Memo §4.1 reports FY2023 subscription revenue of $113.4 million and professional services revenue of $15.5 million. The Audited Financials report FY2023 subscription revenue of $116.4 million and professional services revenue of $12.5 million. The CFO Memo has shifted $3.0 million from subscription to professional services. Notably, $15.5 million is the FY2023 professional services</w:t>
      </w:r>
      <w:r>
        <w:t xml:space="preserve"> </w:t>
      </w:r>
      <w:r>
        <w:rPr>
          <w:b/>
          <w:bCs/>
        </w:rPr>
        <w:t xml:space="preserve">cost of revenue</w:t>
      </w:r>
      <w:r>
        <w:t xml:space="preserve"> </w:t>
      </w:r>
      <w:r>
        <w:t xml:space="preserve">per the Audited Financials, suggesting the CFO Memo may have used the cost figure in place of the revenue figure. The error also misstates the year-over-year growth rates: the CFO Memo reports subscription growth of 48.7% and professional services growth of 20.6%, whereas the audited figures imply subscription growth of 44.8% and professional services growth of 49.6%. Total FY2023 revenue ($128.9 million) is correct in both documents.</w:t>
      </w:r>
    </w:p>
    <w:p>
      <w:pPr>
        <w:pStyle w:val="BodyText"/>
      </w:pPr>
      <w:r>
        <w:rPr>
          <w:b/>
          <w:bCs/>
        </w:rPr>
        <w:t xml:space="preserve">Recommended action.</w:t>
      </w:r>
      <w:r>
        <w:t xml:space="preserve"> </w:t>
      </w:r>
      <w:r>
        <w:t xml:space="preserve">Use the audited revenue mix ($116.4M subscription; $12.5M professional services) in the Form S-1, and correct the CFO Memo and any derived materials. The Form S-1 draft uses the audited figures.</w:t>
      </w:r>
    </w:p>
    <w:bookmarkEnd w:id="28"/>
    <w:bookmarkStart w:id="29" w:name="Xe8d084f799de8c5cc1e7ac91a5a8370de13c724"/>
    <w:p>
      <w:pPr>
        <w:pStyle w:val="Heading3"/>
      </w:pPr>
      <w:r>
        <w:t xml:space="preserve">6. Restructuring: headcount, timing, and FY2023 amount inconsistent —</w:t>
      </w:r>
      <w:r>
        <w:t xml:space="preserve"> </w:t>
      </w:r>
      <w:r>
        <w:rPr>
          <w:b/>
          <w:bCs/>
        </w:rPr>
        <w:t xml:space="preserve">Priority 2</w:t>
      </w:r>
    </w:p>
    <w:p>
      <w:pPr>
        <w:pStyle w:val="FirstParagraph"/>
      </w:pPr>
      <w:r>
        <w:rPr>
          <w:b/>
          <w:bCs/>
        </w:rPr>
        <w:t xml:space="preserve">Sources.</w:t>
      </w:r>
      <w:r>
        <w:t xml:space="preserve"> </w:t>
      </w:r>
      <w:r>
        <w:t xml:space="preserve">Audited Financials Note 9; CFO Memo §5.3; Roadshow Slide 22.</w:t>
      </w:r>
    </w:p>
    <w:p>
      <w:pPr>
        <w:pStyle w:val="BodyText"/>
      </w:pPr>
      <w:r>
        <w:rPr>
          <w:b/>
          <w:bCs/>
        </w:rPr>
        <w:t xml:space="preserve">Discrepancy.</w:t>
      </w:r>
      <w:r>
        <w:t xml:space="preserve"> </w:t>
      </w:r>
      <w:r>
        <w:t xml:space="preserve">Note 9 states that, during the third quarter of 2024, the Company implemented a workforce reduction affecting approximately 46 employees and recorded $1.2 million of restructuring charges, with no restructuring in FY2023. The CFO Memo §5.3 describes a workforce reduction of</w:t>
      </w:r>
      <w:r>
        <w:t xml:space="preserve"> </w:t>
      </w:r>
      <w:r>
        <w:t xml:space="preserve">“</w:t>
      </w:r>
      <w:r>
        <w:t xml:space="preserve">approximately 30 positions</w:t>
      </w:r>
      <w:r>
        <w:t xml:space="preserve">”</w:t>
      </w:r>
      <w:r>
        <w:t xml:space="preserve"> </w:t>
      </w:r>
      <w:r>
        <w:t xml:space="preserve">in the</w:t>
      </w:r>
      <w:r>
        <w:t xml:space="preserve"> </w:t>
      </w:r>
      <w:r>
        <w:t xml:space="preserve">“</w:t>
      </w:r>
      <w:r>
        <w:t xml:space="preserve">second quarter of 2024,</w:t>
      </w:r>
      <w:r>
        <w:t xml:space="preserve">”</w:t>
      </w:r>
      <w:r>
        <w:t xml:space="preserve"> </w:t>
      </w:r>
      <w:r>
        <w:t xml:space="preserve">and the CFO Memo’s Adjusted EBITDA reconciliation includes $0.6 million of restructuring charges in FY2023 (for which there is no support in the Audited Financials). The headcount (46 vs. 30), the timing (Q3 vs. Q2), and the FY2023 amount ($0 vs. $0.6M) are each inconsistent.</w:t>
      </w:r>
    </w:p>
    <w:p>
      <w:pPr>
        <w:pStyle w:val="BodyText"/>
      </w:pPr>
      <w:r>
        <w:rPr>
          <w:b/>
          <w:bCs/>
        </w:rPr>
        <w:t xml:space="preserve">Recommended action.</w:t>
      </w:r>
      <w:r>
        <w:t xml:space="preserve"> </w:t>
      </w:r>
      <w:r>
        <w:t xml:space="preserve">Conform all disclosures to the Audited Financials (approximately 46 employees, Q3 2024, $1.2 million, no FY2023 restructuring). Confirm the correct headcount and timing with management and correct the CFO Memo. The Form S-1 draft uses the audited figures.</w:t>
      </w:r>
    </w:p>
    <w:bookmarkEnd w:id="29"/>
    <w:bookmarkStart w:id="30" w:name="X5dba6c69facd46b7a11522e1847ab836cdd790c"/>
    <w:p>
      <w:pPr>
        <w:pStyle w:val="Heading3"/>
      </w:pPr>
      <w:r>
        <w:t xml:space="preserve">7. CFO Memo condensed balance sheet does not reconcile to the Audited Financials —</w:t>
      </w:r>
      <w:r>
        <w:t xml:space="preserve"> </w:t>
      </w:r>
      <w:r>
        <w:rPr>
          <w:b/>
          <w:bCs/>
        </w:rPr>
        <w:t xml:space="preserve">Priority 2</w:t>
      </w:r>
    </w:p>
    <w:p>
      <w:pPr>
        <w:pStyle w:val="FirstParagraph"/>
      </w:pPr>
      <w:r>
        <w:rPr>
          <w:b/>
          <w:bCs/>
        </w:rPr>
        <w:t xml:space="preserve">Sources.</w:t>
      </w:r>
      <w:r>
        <w:t xml:space="preserve"> </w:t>
      </w:r>
      <w:r>
        <w:t xml:space="preserve">CFO Memo §6.1; Audited Financials, Consolidated Balance Sheets.</w:t>
      </w:r>
    </w:p>
    <w:p>
      <w:pPr>
        <w:pStyle w:val="BodyText"/>
      </w:pPr>
      <w:r>
        <w:rPr>
          <w:b/>
          <w:bCs/>
        </w:rPr>
        <w:t xml:space="preserve">Discrepancy.</w:t>
      </w:r>
      <w:r>
        <w:t xml:space="preserve"> </w:t>
      </w:r>
      <w:r>
        <w:t xml:space="preserve">The condensed balance sheet in CFO Memo §6.1 differs from the Audited Financials in several line items and omits current operating lease liabilities entirely: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Line item</w:t>
            </w:r>
          </w:p>
        </w:tc>
        <w:tc>
          <w:tcPr/>
          <w:p>
            <w:pPr>
              <w:pStyle w:val="Compact"/>
              <w:jc w:val="right"/>
            </w:pPr>
            <w:r>
              <w:t xml:space="preserve">CFO Memo §6.1</w:t>
            </w:r>
          </w:p>
        </w:tc>
        <w:tc>
          <w:tcPr/>
          <w:p>
            <w:pPr>
              <w:pStyle w:val="Compact"/>
              <w:jc w:val="right"/>
            </w:pPr>
            <w:r>
              <w:t xml:space="preserve">Audited Financials</w:t>
            </w:r>
          </w:p>
        </w:tc>
      </w:tr>
      <w:tr>
        <w:tc>
          <w:tcPr/>
          <w:p>
            <w:pPr>
              <w:pStyle w:val="Compact"/>
              <w:jc w:val="left"/>
            </w:pPr>
            <w:r>
              <w:t xml:space="preserve">Accounts receivable, net</w:t>
            </w:r>
          </w:p>
        </w:tc>
        <w:tc>
          <w:tcPr/>
          <w:p>
            <w:pPr>
              <w:pStyle w:val="Compact"/>
              <w:jc w:val="right"/>
            </w:pPr>
            <w:r>
              <w:t xml:space="preserve">$28.2M</w:t>
            </w:r>
          </w:p>
        </w:tc>
        <w:tc>
          <w:tcPr/>
          <w:p>
            <w:pPr>
              <w:pStyle w:val="Compact"/>
              <w:jc w:val="right"/>
            </w:pPr>
            <w:r>
              <w:t xml:space="preserve">$29.8M</w:t>
            </w:r>
          </w:p>
        </w:tc>
      </w:tr>
      <w:tr>
        <w:tc>
          <w:tcPr/>
          <w:p>
            <w:pPr>
              <w:pStyle w:val="Compact"/>
              <w:jc w:val="left"/>
            </w:pPr>
            <w:r>
              <w:t xml:space="preserve">Prepaid expenses and other current assets</w:t>
            </w:r>
          </w:p>
        </w:tc>
        <w:tc>
          <w:tcPr/>
          <w:p>
            <w:pPr>
              <w:pStyle w:val="Compact"/>
              <w:jc w:val="right"/>
            </w:pPr>
            <w:r>
              <w:t xml:space="preserve">$13.2M</w:t>
            </w:r>
          </w:p>
        </w:tc>
        <w:tc>
          <w:tcPr/>
          <w:p>
            <w:pPr>
              <w:pStyle w:val="Compact"/>
              <w:jc w:val="right"/>
            </w:pPr>
            <w:r>
              <w:t xml:space="preserve">$11.6M</w:t>
            </w:r>
          </w:p>
        </w:tc>
      </w:tr>
      <w:tr>
        <w:tc>
          <w:tcPr/>
          <w:p>
            <w:pPr>
              <w:pStyle w:val="Compact"/>
              <w:jc w:val="left"/>
            </w:pPr>
            <w:r>
              <w:t xml:space="preserve">Accounts payable</w:t>
            </w:r>
          </w:p>
        </w:tc>
        <w:tc>
          <w:tcPr/>
          <w:p>
            <w:pPr>
              <w:pStyle w:val="Compact"/>
              <w:jc w:val="right"/>
            </w:pPr>
            <w:r>
              <w:t xml:space="preserve">$9.8M</w:t>
            </w:r>
          </w:p>
        </w:tc>
        <w:tc>
          <w:tcPr/>
          <w:p>
            <w:pPr>
              <w:pStyle w:val="Compact"/>
              <w:jc w:val="right"/>
            </w:pPr>
            <w:r>
              <w:t xml:space="preserve">$8.2M</w:t>
            </w:r>
          </w:p>
        </w:tc>
      </w:tr>
      <w:tr>
        <w:tc>
          <w:tcPr/>
          <w:p>
            <w:pPr>
              <w:pStyle w:val="Compact"/>
              <w:jc w:val="left"/>
            </w:pPr>
            <w:r>
              <w:t xml:space="preserve">Accrued expenses and other current liabilities</w:t>
            </w:r>
          </w:p>
        </w:tc>
        <w:tc>
          <w:tcPr/>
          <w:p>
            <w:pPr>
              <w:pStyle w:val="Compact"/>
              <w:jc w:val="right"/>
            </w:pPr>
            <w:r>
              <w:t xml:space="preserve">$14.7M</w:t>
            </w:r>
          </w:p>
        </w:tc>
        <w:tc>
          <w:tcPr/>
          <w:p>
            <w:pPr>
              <w:pStyle w:val="Compact"/>
              <w:jc w:val="right"/>
            </w:pPr>
            <w:r>
              <w:t xml:space="preserve">$12.1M</w:t>
            </w:r>
          </w:p>
        </w:tc>
      </w:tr>
      <w:tr>
        <w:tc>
          <w:tcPr/>
          <w:p>
            <w:pPr>
              <w:pStyle w:val="Compact"/>
              <w:jc w:val="left"/>
            </w:pPr>
            <w:r>
              <w:t xml:space="preserve">Operating lease liabilities, current</w:t>
            </w:r>
          </w:p>
        </w:tc>
        <w:tc>
          <w:tcPr/>
          <w:p>
            <w:pPr>
              <w:pStyle w:val="Compact"/>
              <w:jc w:val="right"/>
            </w:pPr>
            <w:r>
              <w:t xml:space="preserve">(omitted)</w:t>
            </w:r>
          </w:p>
        </w:tc>
        <w:tc>
          <w:tcPr/>
          <w:p>
            <w:pPr>
              <w:pStyle w:val="Compact"/>
              <w:jc w:val="right"/>
            </w:pPr>
            <w:r>
              <w:t xml:space="preserve">$4.2M</w:t>
            </w:r>
          </w:p>
        </w:tc>
      </w:tr>
    </w:tbl>
    <w:p>
      <w:pPr>
        <w:pStyle w:val="BodyText"/>
      </w:pPr>
      <w:r>
        <w:t xml:space="preserve">The CFO Memo’s total current assets ($178.4M) and total current liabilities ($72.8M) match the audited totals, but only because amounts have been reclassified among the component line items (e.g., $1.6M shifted from accounts receivable to prepaid expenses; current operating lease liabilities of $4.2M omitted and amounts shifted between accounts payable and accrued liabilities).</w:t>
      </w:r>
    </w:p>
    <w:p>
      <w:pPr>
        <w:pStyle w:val="BodyText"/>
      </w:pPr>
      <w:r>
        <w:rPr>
          <w:b/>
          <w:bCs/>
        </w:rPr>
        <w:t xml:space="preserve">Recommended action.</w:t>
      </w:r>
      <w:r>
        <w:t xml:space="preserve"> </w:t>
      </w:r>
      <w:r>
        <w:t xml:space="preserve">Use the audited balance sheet line items in the Form S-1 (including current operating lease liabilities of $4.2M). Correct the CFO Memo. The Form S-1 draft uses the audited figures.</w:t>
      </w:r>
    </w:p>
    <w:bookmarkEnd w:id="30"/>
    <w:bookmarkStart w:id="31" w:name="Xc0591449746532d685766057ac3b21a326dea9f"/>
    <w:p>
      <w:pPr>
        <w:pStyle w:val="Heading3"/>
      </w:pPr>
      <w:r>
        <w:t xml:space="preserve">8. D&amp;A in the cash flow statement exceeds the sum of Note 5 and Note 6 —</w:t>
      </w:r>
      <w:r>
        <w:t xml:space="preserve"> </w:t>
      </w:r>
      <w:r>
        <w:rPr>
          <w:b/>
          <w:bCs/>
        </w:rPr>
        <w:t xml:space="preserve">Priority 3</w:t>
      </w:r>
    </w:p>
    <w:p>
      <w:pPr>
        <w:pStyle w:val="FirstParagraph"/>
      </w:pPr>
      <w:r>
        <w:rPr>
          <w:b/>
          <w:bCs/>
        </w:rPr>
        <w:t xml:space="preserve">Sources.</w:t>
      </w:r>
      <w:r>
        <w:t xml:space="preserve"> </w:t>
      </w:r>
      <w:r>
        <w:t xml:space="preserve">Audited Financials, Consolidated Statements of Cash Flows; Note 5; Note 6.</w:t>
      </w:r>
    </w:p>
    <w:p>
      <w:pPr>
        <w:pStyle w:val="BodyText"/>
      </w:pPr>
      <w:r>
        <w:rPr>
          <w:b/>
          <w:bCs/>
        </w:rPr>
        <w:t xml:space="preserve">Discrepancy.</w:t>
      </w:r>
      <w:r>
        <w:t xml:space="preserve"> </w:t>
      </w:r>
      <w:r>
        <w:t xml:space="preserve">The cash flow statement reports depreciation and amortization of $8.7 million (FY2024) and $7.1 million (FY2023). Note 5 reports property and equipment depreciation of $6.9 million (FY2024) and $5.5 million (FY2023), and Note 6 reports intangible asset amortization of $1.2 million (FY2024) and $1.0 million (FY2023). The sum of Note 5 and Note 6 is therefore $8.1 million (FY2024) and $6.5 million (FY2023) — approximately $0.6 million less than the cash flow statement in each year. The difference is unexplained.</w:t>
      </w:r>
    </w:p>
    <w:p>
      <w:pPr>
        <w:pStyle w:val="BodyText"/>
      </w:pPr>
      <w:r>
        <w:rPr>
          <w:b/>
          <w:bCs/>
        </w:rPr>
        <w:t xml:space="preserve">Recommended action.</w:t>
      </w:r>
      <w:r>
        <w:t xml:space="preserve"> </w:t>
      </w:r>
      <w:r>
        <w:t xml:space="preserve">Confirm with Archer Pryce LLP the composition of the $8.7 million / $7.1 million D&amp;A line in the cash flow statement (e.g., whether it includes amortization of debt issuance costs, capitalized software amortization not separately disclosed, or other items) and ensure the notes reconcile to the cash flow statement. This is a minor item but should be cleaned up to avoid an SEC comment.</w:t>
      </w:r>
    </w:p>
    <w:bookmarkEnd w:id="31"/>
    <w:bookmarkStart w:id="32" w:name="X5c5b0b8909971377d9aa1b1458adf3b16684b4e"/>
    <w:p>
      <w:pPr>
        <w:pStyle w:val="Heading3"/>
      </w:pPr>
      <w:r>
        <w:t xml:space="preserve">9. RSU detail does not reconcile to the audited total —</w:t>
      </w:r>
      <w:r>
        <w:t xml:space="preserve"> </w:t>
      </w:r>
      <w:r>
        <w:rPr>
          <w:b/>
          <w:bCs/>
        </w:rPr>
        <w:t xml:space="preserve">Priority 3</w:t>
      </w:r>
    </w:p>
    <w:p>
      <w:pPr>
        <w:pStyle w:val="FirstParagraph"/>
      </w:pPr>
      <w:r>
        <w:rPr>
          <w:b/>
          <w:bCs/>
        </w:rPr>
        <w:t xml:space="preserve">Sources.</w:t>
      </w:r>
      <w:r>
        <w:t xml:space="preserve"> </w:t>
      </w:r>
      <w:r>
        <w:t xml:space="preserve">Equity Schedule,</w:t>
      </w:r>
      <w:r>
        <w:t xml:space="preserve"> </w:t>
      </w:r>
      <w:r>
        <w:t xml:space="preserve">“</w:t>
      </w:r>
      <w:r>
        <w:t xml:space="preserve">RSU Grants</w:t>
      </w:r>
      <w:r>
        <w:t xml:space="preserve">”</w:t>
      </w:r>
      <w:r>
        <w:t xml:space="preserve"> </w:t>
      </w:r>
      <w:r>
        <w:t xml:space="preserve">tab; Audited Financials Note 12.</w:t>
      </w:r>
    </w:p>
    <w:p>
      <w:pPr>
        <w:pStyle w:val="BodyText"/>
      </w:pPr>
      <w:r>
        <w:rPr>
          <w:b/>
          <w:bCs/>
        </w:rPr>
        <w:t xml:space="preserve">Discrepancy.</w:t>
      </w:r>
      <w:r>
        <w:t xml:space="preserve"> </w:t>
      </w:r>
      <w:r>
        <w:t xml:space="preserve">The</w:t>
      </w:r>
      <w:r>
        <w:t xml:space="preserve"> </w:t>
      </w:r>
      <w:r>
        <w:t xml:space="preserve">“</w:t>
      </w:r>
      <w:r>
        <w:t xml:space="preserve">RSU Grants</w:t>
      </w:r>
      <w:r>
        <w:t xml:space="preserve">”</w:t>
      </w:r>
      <w:r>
        <w:t xml:space="preserve"> </w:t>
      </w:r>
      <w:r>
        <w:t xml:space="preserve">tab’s TOTALS row reports 3,200,000 RSUs outstanding (consistent with Note 12), but summing the</w:t>
      </w:r>
      <w:r>
        <w:t xml:space="preserve"> </w:t>
      </w:r>
      <w:r>
        <w:t xml:space="preserve">“</w:t>
      </w:r>
      <w:r>
        <w:t xml:space="preserve">RSUs Outstanding</w:t>
      </w:r>
      <w:r>
        <w:t xml:space="preserve">”</w:t>
      </w:r>
      <w:r>
        <w:t xml:space="preserve"> </w:t>
      </w:r>
      <w:r>
        <w:t xml:space="preserve">column across the 20 grant records yields</w:t>
      </w:r>
      <w:r>
        <w:t xml:space="preserve"> </w:t>
      </w:r>
      <w:r>
        <w:rPr>
          <w:b/>
          <w:bCs/>
        </w:rPr>
        <w:t xml:space="preserve">3,220,000 shares</w:t>
      </w:r>
      <w:r>
        <w:t xml:space="preserve"> </w:t>
      </w:r>
      <w:r>
        <w:t xml:space="preserve">— a 20,000-share discrepancy. In addition, the TOTALS row reports</w:t>
      </w:r>
      <w:r>
        <w:t xml:space="preserve"> </w:t>
      </w:r>
      <w:r>
        <w:t xml:space="preserve">“</w:t>
      </w:r>
      <w:r>
        <w:t xml:space="preserve">Shares Unvested</w:t>
      </w:r>
      <w:r>
        <w:t xml:space="preserve">”</w:t>
      </w:r>
      <w:r>
        <w:t xml:space="preserve"> </w:t>
      </w:r>
      <w:r>
        <w:t xml:space="preserve">of 3,380,000, which does not tie to either the detail sum (3,220,000) or the outstanding total (3,200,000). Because all RSUs are subject to a liquidity-event (double-trigger) settlement condition and none have vested or settled,</w:t>
      </w:r>
      <w:r>
        <w:t xml:space="preserve"> </w:t>
      </w:r>
      <w:r>
        <w:t xml:space="preserve">“</w:t>
      </w:r>
      <w:r>
        <w:t xml:space="preserve">unvested</w:t>
      </w:r>
      <w:r>
        <w:t xml:space="preserve">”</w:t>
      </w:r>
      <w:r>
        <w:t xml:space="preserve"> </w:t>
      </w:r>
      <w:r>
        <w:t xml:space="preserve">should equal</w:t>
      </w:r>
      <w:r>
        <w:t xml:space="preserve"> </w:t>
      </w:r>
      <w:r>
        <w:t xml:space="preserve">“</w:t>
      </w:r>
      <w:r>
        <w:t xml:space="preserve">outstanding.</w:t>
      </w:r>
      <w:r>
        <w:t xml:space="preserve">”</w:t>
      </w:r>
    </w:p>
    <w:p>
      <w:pPr>
        <w:pStyle w:val="BodyText"/>
      </w:pPr>
      <w:r>
        <w:rPr>
          <w:b/>
          <w:bCs/>
        </w:rPr>
        <w:t xml:space="preserve">Recommended action.</w:t>
      </w:r>
      <w:r>
        <w:t xml:space="preserve"> </w:t>
      </w:r>
      <w:r>
        <w:t xml:space="preserve">Reconcile the RSU detail to the audited 3,200,000 total and correct the</w:t>
      </w:r>
      <w:r>
        <w:t xml:space="preserve"> </w:t>
      </w:r>
      <w:r>
        <w:t xml:space="preserve">“</w:t>
      </w:r>
      <w:r>
        <w:t xml:space="preserve">unvested</w:t>
      </w:r>
      <w:r>
        <w:t xml:space="preserve">”</w:t>
      </w:r>
      <w:r>
        <w:t xml:space="preserve"> </w:t>
      </w:r>
      <w:r>
        <w:t xml:space="preserve">figure. Coordinate with the equity plan administrator and Archer Pryce LLP.</w:t>
      </w:r>
    </w:p>
    <w:bookmarkEnd w:id="32"/>
    <w:bookmarkEnd w:id="33"/>
    <w:bookmarkStart w:id="43" w:name="X89876de2493f61a0d5369a466d62469c9d6dd4c"/>
    <w:p>
      <w:pPr>
        <w:pStyle w:val="Heading2"/>
      </w:pPr>
      <w:r>
        <w:t xml:space="preserve">IV. Corporate Governance and Capitalization Inconsistencies</w:t>
      </w:r>
    </w:p>
    <w:bookmarkStart w:id="34" w:name="X3da9a94ab1817f70ba493c7f411966a28e1905a"/>
    <w:p>
      <w:pPr>
        <w:pStyle w:val="Heading3"/>
      </w:pPr>
      <w:r>
        <w:t xml:space="preserve">10. Board size and Dr. Litvanova’s directorship inconsistent —</w:t>
      </w:r>
      <w:r>
        <w:t xml:space="preserve"> </w:t>
      </w:r>
      <w:r>
        <w:rPr>
          <w:b/>
          <w:bCs/>
        </w:rPr>
        <w:t xml:space="preserve">Priority 1</w:t>
      </w:r>
    </w:p>
    <w:p>
      <w:pPr>
        <w:pStyle w:val="FirstParagraph"/>
      </w:pPr>
      <w:r>
        <w:rPr>
          <w:b/>
          <w:bCs/>
        </w:rPr>
        <w:t xml:space="preserve">Sources.</w:t>
      </w:r>
      <w:r>
        <w:t xml:space="preserve"> </w:t>
      </w:r>
      <w:r>
        <w:t xml:space="preserve">Charter Documents, Restated Certificate Article V §§5.2–5.3; Questionnaire §6; Roadshow Slides 7 and 30.</w:t>
      </w:r>
    </w:p>
    <w:p>
      <w:pPr>
        <w:pStyle w:val="BodyText"/>
      </w:pPr>
      <w:r>
        <w:rPr>
          <w:b/>
          <w:bCs/>
        </w:rPr>
        <w:t xml:space="preserve">Discrepancy.</w:t>
      </w:r>
      <w:r>
        <w:t xml:space="preserve"> </w:t>
      </w:r>
      <w:r>
        <w:t xml:space="preserve">The Restated Certificate fixes the initial board at</w:t>
      </w:r>
      <w:r>
        <w:t xml:space="preserve"> </w:t>
      </w:r>
      <w:r>
        <w:rPr>
          <w:b/>
          <w:bCs/>
        </w:rPr>
        <w:t xml:space="preserve">seven (7) directors</w:t>
      </w:r>
      <w:r>
        <w:t xml:space="preserve"> </w:t>
      </w:r>
      <w:r>
        <w:t xml:space="preserve">and classifies them into three classes, listing</w:t>
      </w:r>
      <w:r>
        <w:t xml:space="preserve"> </w:t>
      </w:r>
      <w:r>
        <w:t xml:space="preserve">“</w:t>
      </w:r>
      <w:r>
        <w:t xml:space="preserve">Katerina Litvak</w:t>
      </w:r>
      <w:r>
        <w:t xml:space="preserve">”</w:t>
      </w:r>
      <w:r>
        <w:t xml:space="preserve"> </w:t>
      </w:r>
      <w:r>
        <w:t xml:space="preserve">as a Class III director (term expiring at the 2028 annual meeting), together with Arun Ramaswamy and Adaora Obi. The Questionnaire §6, however, states that the board</w:t>
      </w:r>
      <w:r>
        <w:t xml:space="preserve"> </w:t>
      </w:r>
      <w:r>
        <w:t xml:space="preserve">“</w:t>
      </w:r>
      <w:r>
        <w:t xml:space="preserve">consists of six members</w:t>
      </w:r>
      <w:r>
        <w:t xml:space="preserve">”</w:t>
      </w:r>
      <w:r>
        <w:t xml:space="preserve"> </w:t>
      </w:r>
      <w:r>
        <w:t xml:space="preserve">and expressly states that</w:t>
      </w:r>
      <w:r>
        <w:t xml:space="preserve"> </w:t>
      </w:r>
      <w:r>
        <w:t xml:space="preserve">“</w:t>
      </w:r>
      <w:r>
        <w:t xml:space="preserve">Katerina Litvanova, Michael D. Hartwell, and Sandra Y. Chen are executive officers but do not serve on the Board.</w:t>
      </w:r>
      <w:r>
        <w:t xml:space="preserve">”</w:t>
      </w:r>
      <w:r>
        <w:t xml:space="preserve"> </w:t>
      </w:r>
      <w:r>
        <w:t xml:space="preserve">The Roadshow is internally inconsistent: Slide 7 refers to</w:t>
      </w:r>
      <w:r>
        <w:t xml:space="preserve"> </w:t>
      </w:r>
      <w:r>
        <w:t xml:space="preserve">“</w:t>
      </w:r>
      <w:r>
        <w:t xml:space="preserve">three of five non-employee directors</w:t>
      </w:r>
      <w:r>
        <w:t xml:space="preserve">”</w:t>
      </w:r>
      <w:r>
        <w:t xml:space="preserve"> </w:t>
      </w:r>
      <w:r>
        <w:t xml:space="preserve">(implying six total), while Slide 30 refers to</w:t>
      </w:r>
      <w:r>
        <w:t xml:space="preserve"> </w:t>
      </w:r>
      <w:r>
        <w:t xml:space="preserve">“</w:t>
      </w:r>
      <w:r>
        <w:t xml:space="preserve">3 of 7 total directors.</w:t>
      </w:r>
      <w:r>
        <w:t xml:space="preserve">”</w:t>
      </w:r>
      <w:r>
        <w:t xml:space="preserve"> </w:t>
      </w:r>
      <w:r>
        <w:t xml:space="preserve">The Term Sheet Schedule 1 lists Dr. Litvanova as</w:t>
      </w:r>
      <w:r>
        <w:t xml:space="preserve"> </w:t>
      </w:r>
      <w:r>
        <w:t xml:space="preserve">“</w:t>
      </w:r>
      <w:r>
        <w:t xml:space="preserve">Co-Founder, CTO</w:t>
      </w:r>
      <w:r>
        <w:t xml:space="preserve">”</w:t>
      </w:r>
      <w:r>
        <w:t xml:space="preserve"> </w:t>
      </w:r>
      <w:r>
        <w:t xml:space="preserve">(not as a director) among the lock-up parties.</w:t>
      </w:r>
    </w:p>
    <w:p>
      <w:pPr>
        <w:pStyle w:val="BodyText"/>
      </w:pPr>
      <w:r>
        <w:rPr>
          <w:b/>
          <w:bCs/>
        </w:rPr>
        <w:t xml:space="preserve">Risk.</w:t>
      </w:r>
      <w:r>
        <w:t xml:space="preserve"> </w:t>
      </w:r>
      <w:r>
        <w:t xml:space="preserve">This affects the Item 401 director disclosure, the classified-board disclosure, the controlled-company analysis (independence is 3 of 6 or 3 of 7, in either case not a majority), and the lock-up party list. Filing a Restated Certificate that designates a director who is not in fact a director (or omitting a director who is) would be inconsistent disclosure.</w:t>
      </w:r>
    </w:p>
    <w:p>
      <w:pPr>
        <w:pStyle w:val="BodyText"/>
      </w:pPr>
      <w:r>
        <w:rPr>
          <w:b/>
          <w:bCs/>
        </w:rPr>
        <w:t xml:space="preserve">Recommended action.</w:t>
      </w:r>
      <w:r>
        <w:t xml:space="preserve"> </w:t>
      </w:r>
      <w:r>
        <w:t xml:space="preserve">(i) Confirm whether Dr. Litvanova is a director; (ii) conform the Restated Certificate, the Questionnaire, the Form S-1 director table, the classified-board disclosure, and the lock-up party list; and (iii) if the board is to be seven, confirm Dr. Litvanova’s class assignment and term. The Form S-1 draft lists Dr. Litvanova as a director consistent with the Restated Certificate, with a placeholder for her director-since date, pending confirmation.</w:t>
      </w:r>
    </w:p>
    <w:bookmarkEnd w:id="34"/>
    <w:bookmarkStart w:id="35" w:name="X547a74869a4b3ba6de9e187efb31dc6460c45a6"/>
    <w:p>
      <w:pPr>
        <w:pStyle w:val="Heading3"/>
      </w:pPr>
      <w:r>
        <w:t xml:space="preserve">11. Co-founder surname rendered as both</w:t>
      </w:r>
      <w:r>
        <w:t xml:space="preserve"> </w:t>
      </w:r>
      <w:r>
        <w:t xml:space="preserve">“</w:t>
      </w:r>
      <w:r>
        <w:t xml:space="preserve">Litvak</w:t>
      </w:r>
      <w:r>
        <w:t xml:space="preserve">”</w:t>
      </w:r>
      <w:r>
        <w:t xml:space="preserve"> </w:t>
      </w:r>
      <w:r>
        <w:t xml:space="preserve">and</w:t>
      </w:r>
      <w:r>
        <w:t xml:space="preserve"> </w:t>
      </w:r>
      <w:r>
        <w:t xml:space="preserve">“</w:t>
      </w:r>
      <w:r>
        <w:t xml:space="preserve">Litvanova</w:t>
      </w:r>
      <w:r>
        <w:t xml:space="preserve">”</w:t>
      </w:r>
      <w:r>
        <w:t xml:space="preserve"> </w:t>
      </w:r>
      <w:r>
        <w:t xml:space="preserve">—</w:t>
      </w:r>
      <w:r>
        <w:t xml:space="preserve"> </w:t>
      </w:r>
      <w:r>
        <w:rPr>
          <w:b/>
          <w:bCs/>
        </w:rPr>
        <w:t xml:space="preserve">Priority 1</w:t>
      </w:r>
    </w:p>
    <w:p>
      <w:pPr>
        <w:pStyle w:val="FirstParagraph"/>
      </w:pPr>
      <w:r>
        <w:rPr>
          <w:b/>
          <w:bCs/>
        </w:rPr>
        <w:t xml:space="preserve">Sources.</w:t>
      </w:r>
      <w:r>
        <w:t xml:space="preserve"> </w:t>
      </w:r>
      <w:r>
        <w:t xml:space="preserve">Charter Documents, Restated Certificate §§4.3 and 5.3; Term Sheet §1 and Schedule 1; Roadshow Slides 5, 25, 29, and 30; Equity Schedule,</w:t>
      </w:r>
      <w:r>
        <w:t xml:space="preserve"> </w:t>
      </w:r>
      <w:r>
        <w:t xml:space="preserve">“</w:t>
      </w:r>
      <w:r>
        <w:t xml:space="preserve">409A Valuations</w:t>
      </w:r>
      <w:r>
        <w:t xml:space="preserve">”</w:t>
      </w:r>
      <w:r>
        <w:t xml:space="preserve"> </w:t>
      </w:r>
      <w:r>
        <w:t xml:space="preserve">tab (note referencing</w:t>
      </w:r>
      <w:r>
        <w:t xml:space="preserve"> </w:t>
      </w:r>
      <w:r>
        <w:t xml:space="preserve">“</w:t>
      </w:r>
      <w:r>
        <w:t xml:space="preserve">Litvak</w:t>
      </w:r>
      <w:r>
        <w:t xml:space="preserve">”</w:t>
      </w:r>
      <w:r>
        <w:t xml:space="preserve">); CFO Memo; Questionnaire; Equity Schedule,</w:t>
      </w:r>
      <w:r>
        <w:t xml:space="preserve"> </w:t>
      </w:r>
      <w:r>
        <w:t xml:space="preserve">“</w:t>
      </w:r>
      <w:r>
        <w:t xml:space="preserve">Option Grants</w:t>
      </w:r>
      <w:r>
        <w:t xml:space="preserve">”</w:t>
      </w:r>
      <w:r>
        <w:t xml:space="preserve"> </w:t>
      </w:r>
      <w:r>
        <w:t xml:space="preserve">and</w:t>
      </w:r>
      <w:r>
        <w:t xml:space="preserve"> </w:t>
      </w:r>
      <w:r>
        <w:t xml:space="preserve">“</w:t>
      </w:r>
      <w:r>
        <w:t xml:space="preserve">RSU Grants</w:t>
      </w:r>
      <w:r>
        <w:t xml:space="preserve">”</w:t>
      </w:r>
      <w:r>
        <w:t xml:space="preserve"> </w:t>
      </w:r>
      <w:r>
        <w:t xml:space="preserve">tabs (grantee name</w:t>
      </w:r>
      <w:r>
        <w:t xml:space="preserve"> </w:t>
      </w:r>
      <w:r>
        <w:t xml:space="preserve">“</w:t>
      </w:r>
      <w:r>
        <w:t xml:space="preserve">Katerina Litvanova</w:t>
      </w:r>
      <w:r>
        <w:t xml:space="preserve">”</w:t>
      </w:r>
      <w:r>
        <w:t xml:space="preserve">).</w:t>
      </w:r>
    </w:p>
    <w:p>
      <w:pPr>
        <w:pStyle w:val="BodyText"/>
      </w:pPr>
      <w:r>
        <w:rPr>
          <w:b/>
          <w:bCs/>
        </w:rPr>
        <w:t xml:space="preserve">Discrepancy.</w:t>
      </w:r>
      <w:r>
        <w:t xml:space="preserve"> </w:t>
      </w:r>
      <w:r>
        <w:t xml:space="preserve">The co-founder and Chief Technology Officer’s surname is rendered as</w:t>
      </w:r>
      <w:r>
        <w:t xml:space="preserve"> </w:t>
      </w:r>
      <w:r>
        <w:t xml:space="preserve">“</w:t>
      </w:r>
      <w:r>
        <w:t xml:space="preserve">Litvak</w:t>
      </w:r>
      <w:r>
        <w:t xml:space="preserve">”</w:t>
      </w:r>
      <w:r>
        <w:t xml:space="preserve"> </w:t>
      </w:r>
      <w:r>
        <w:t xml:space="preserve">in the Restated Certificate (including the Permitted Transferee definition and the classified-board provision), the Term Sheet, and the Roadshow, and as</w:t>
      </w:r>
      <w:r>
        <w:t xml:space="preserve"> </w:t>
      </w:r>
      <w:r>
        <w:t xml:space="preserve">“</w:t>
      </w:r>
      <w:r>
        <w:t xml:space="preserve">Litvanova</w:t>
      </w:r>
      <w:r>
        <w:t xml:space="preserve">”</w:t>
      </w:r>
      <w:r>
        <w:t xml:space="preserve"> </w:t>
      </w:r>
      <w:r>
        <w:t xml:space="preserve">in the CFO Memo, the Questionnaire, and the Equity Schedule grant records. The Equity Schedule is itself internally inconsistent: the</w:t>
      </w:r>
      <w:r>
        <w:t xml:space="preserve"> </w:t>
      </w:r>
      <w:r>
        <w:t xml:space="preserve">“</w:t>
      </w:r>
      <w:r>
        <w:t xml:space="preserve">Option Grants</w:t>
      </w:r>
      <w:r>
        <w:t xml:space="preserve">”</w:t>
      </w:r>
      <w:r>
        <w:t xml:space="preserve"> </w:t>
      </w:r>
      <w:r>
        <w:t xml:space="preserve">and</w:t>
      </w:r>
      <w:r>
        <w:t xml:space="preserve"> </w:t>
      </w:r>
      <w:r>
        <w:t xml:space="preserve">“</w:t>
      </w:r>
      <w:r>
        <w:t xml:space="preserve">RSU Grants</w:t>
      </w:r>
      <w:r>
        <w:t xml:space="preserve">”</w:t>
      </w:r>
      <w:r>
        <w:t xml:space="preserve"> </w:t>
      </w:r>
      <w:r>
        <w:t xml:space="preserve">tabs use</w:t>
      </w:r>
      <w:r>
        <w:t xml:space="preserve"> </w:t>
      </w:r>
      <w:r>
        <w:t xml:space="preserve">“</w:t>
      </w:r>
      <w:r>
        <w:t xml:space="preserve">Litvanova</w:t>
      </w:r>
      <w:r>
        <w:t xml:space="preserve">”</w:t>
      </w:r>
      <w:r>
        <w:t xml:space="preserve"> </w:t>
      </w:r>
      <w:r>
        <w:t xml:space="preserve">as the grantee name, while the</w:t>
      </w:r>
      <w:r>
        <w:t xml:space="preserve"> </w:t>
      </w:r>
      <w:r>
        <w:t xml:space="preserve">“</w:t>
      </w:r>
      <w:r>
        <w:t xml:space="preserve">409A Valuations</w:t>
      </w:r>
      <w:r>
        <w:t xml:space="preserve">”</w:t>
      </w:r>
      <w:r>
        <w:t xml:space="preserve"> </w:t>
      </w:r>
      <w:r>
        <w:t xml:space="preserve">tab note refers to</w:t>
      </w:r>
      <w:r>
        <w:t xml:space="preserve"> </w:t>
      </w:r>
      <w:r>
        <w:t xml:space="preserve">“</w:t>
      </w:r>
      <w:r>
        <w:t xml:space="preserve">Litvak.</w:t>
      </w:r>
      <w:r>
        <w:t xml:space="preserve">”</w:t>
      </w:r>
    </w:p>
    <w:p>
      <w:pPr>
        <w:pStyle w:val="BodyText"/>
      </w:pPr>
      <w:r>
        <w:rPr>
          <w:b/>
          <w:bCs/>
        </w:rPr>
        <w:t xml:space="preserve">Risk.</w:t>
      </w:r>
      <w:r>
        <w:t xml:space="preserve"> </w:t>
      </w:r>
      <w:r>
        <w:t xml:space="preserve">The name of a director, executive officer, founder, Class B holder, and lock-up party must be stated consistently throughout the Form S-1 and the filed exhibits. Inconsistent naming of a named executive officer is a disclosure accuracy issue and could affect the validity of grants and lock-up agreements.</w:t>
      </w:r>
    </w:p>
    <w:p>
      <w:pPr>
        <w:pStyle w:val="BodyText"/>
      </w:pPr>
      <w:r>
        <w:rPr>
          <w:b/>
          <w:bCs/>
        </w:rPr>
        <w:t xml:space="preserve">Recommended action.</w:t>
      </w:r>
      <w:r>
        <w:t xml:space="preserve"> </w:t>
      </w:r>
      <w:r>
        <w:t xml:space="preserve">(i) Confirm the correct legal name with Dr. Litvanova and the stock transfer records; (ii) conform the Restated Certificate, the Term Sheet, the Form S-1, and all equity records; and (iii) if the Restated Certificate contains an error, correct it before effectiveness (a corrected certificate can be filed). The Form S-1 draft uses</w:t>
      </w:r>
      <w:r>
        <w:t xml:space="preserve"> </w:t>
      </w:r>
      <w:r>
        <w:t xml:space="preserve">“</w:t>
      </w:r>
      <w:r>
        <w:t xml:space="preserve">Litvanova</w:t>
      </w:r>
      <w:r>
        <w:t xml:space="preserve">”</w:t>
      </w:r>
      <w:r>
        <w:t xml:space="preserve"> </w:t>
      </w:r>
      <w:r>
        <w:t xml:space="preserve">with a footnote flagging the discrepancy, pending confirmation.</w:t>
      </w:r>
    </w:p>
    <w:bookmarkEnd w:id="35"/>
    <w:bookmarkStart w:id="36" w:name="Xc3660d12971f130eb8333e825fa97faeeec858b"/>
    <w:p>
      <w:pPr>
        <w:pStyle w:val="Heading3"/>
      </w:pPr>
      <w:r>
        <w:t xml:space="preserve">12. Transfer agent identity inconsistent —</w:t>
      </w:r>
      <w:r>
        <w:t xml:space="preserve"> </w:t>
      </w:r>
      <w:r>
        <w:rPr>
          <w:b/>
          <w:bCs/>
        </w:rPr>
        <w:t xml:space="preserve">Priority 2</w:t>
      </w:r>
    </w:p>
    <w:p>
      <w:pPr>
        <w:pStyle w:val="FirstParagraph"/>
      </w:pPr>
      <w:r>
        <w:rPr>
          <w:b/>
          <w:bCs/>
        </w:rPr>
        <w:t xml:space="preserve">Sources.</w:t>
      </w:r>
      <w:r>
        <w:t xml:space="preserve"> </w:t>
      </w:r>
      <w:r>
        <w:t xml:space="preserve">Charter Documents, Bylaws §5.1; CFO Memo §10 (item 6); Term Sheet §1 and lock-up §6; Questionnaire, Open Item 3.</w:t>
      </w:r>
    </w:p>
    <w:p>
      <w:pPr>
        <w:pStyle w:val="BodyText"/>
      </w:pPr>
      <w:r>
        <w:rPr>
          <w:b/>
          <w:bCs/>
        </w:rPr>
        <w:t xml:space="preserve">Discrepancy.</w:t>
      </w:r>
      <w:r>
        <w:t xml:space="preserve"> </w:t>
      </w:r>
      <w:r>
        <w:t xml:space="preserve">The Bylaws §5.1 designate</w:t>
      </w:r>
      <w:r>
        <w:t xml:space="preserve"> </w:t>
      </w:r>
      <w:r>
        <w:t xml:space="preserve">“</w:t>
      </w:r>
      <w:r>
        <w:t xml:space="preserve">Computershare Transfer Co.</w:t>
      </w:r>
      <w:r>
        <w:t xml:space="preserve">”</w:t>
      </w:r>
      <w:r>
        <w:t xml:space="preserve"> </w:t>
      </w:r>
      <w:r>
        <w:t xml:space="preserve">as the transfer agent and registrar. The CFO Memo, the Term Sheet, and the Questionnaire all refer to</w:t>
      </w:r>
      <w:r>
        <w:t xml:space="preserve"> </w:t>
      </w:r>
      <w:r>
        <w:t xml:space="preserve">“</w:t>
      </w:r>
      <w:r>
        <w:t xml:space="preserve">Oakvale Transfer Transfer Co.</w:t>
      </w:r>
      <w:r>
        <w:t xml:space="preserve">”</w:t>
      </w:r>
      <w:r>
        <w:t xml:space="preserve"> </w:t>
      </w:r>
      <w:r>
        <w:t xml:space="preserve">(which also contains a doubled</w:t>
      </w:r>
      <w:r>
        <w:t xml:space="preserve"> </w:t>
      </w:r>
      <w:r>
        <w:t xml:space="preserve">“</w:t>
      </w:r>
      <w:r>
        <w:t xml:space="preserve">Transfer</w:t>
      </w:r>
      <w:r>
        <w:t xml:space="preserve">”</w:t>
      </w:r>
      <w:r>
        <w:t xml:space="preserve"> </w:t>
      </w:r>
      <w:r>
        <w:t xml:space="preserve">that appears to be a typographical error). The Form S-1, the lock-up agreements (which contain stop-transfer instructions), and the listing application must all identify the correct transfer agent.</w:t>
      </w:r>
    </w:p>
    <w:p>
      <w:pPr>
        <w:pStyle w:val="BodyText"/>
      </w:pPr>
      <w:r>
        <w:rPr>
          <w:b/>
          <w:bCs/>
        </w:rPr>
        <w:t xml:space="preserve">Recommended action.</w:t>
      </w:r>
      <w:r>
        <w:t xml:space="preserve"> </w:t>
      </w:r>
      <w:r>
        <w:t xml:space="preserve">Confirm the engaged transfer agent, correct the doubled-</w:t>
      </w:r>
      <w:r>
        <w:t xml:space="preserve">“</w:t>
      </w:r>
      <w:r>
        <w:t xml:space="preserve">Transfer</w:t>
      </w:r>
      <w:r>
        <w:t xml:space="preserve">”</w:t>
      </w:r>
      <w:r>
        <w:t xml:space="preserve"> </w:t>
      </w:r>
      <w:r>
        <w:t xml:space="preserve">typo, and conform the Bylaws, the Term Sheet, the Form S-1, and the lock-up agreements. The Form S-1 draft uses a placeholder pending confirmation.</w:t>
      </w:r>
    </w:p>
    <w:bookmarkEnd w:id="36"/>
    <w:bookmarkStart w:id="37" w:name="lender-name-inconsistent-priority-2"/>
    <w:p>
      <w:pPr>
        <w:pStyle w:val="Heading3"/>
      </w:pPr>
      <w:r>
        <w:t xml:space="preserve">13. Lender name inconsistent —</w:t>
      </w:r>
      <w:r>
        <w:t xml:space="preserve"> </w:t>
      </w:r>
      <w:r>
        <w:rPr>
          <w:b/>
          <w:bCs/>
        </w:rPr>
        <w:t xml:space="preserve">Priority 2</w:t>
      </w:r>
    </w:p>
    <w:p>
      <w:pPr>
        <w:pStyle w:val="FirstParagraph"/>
      </w:pPr>
      <w:r>
        <w:rPr>
          <w:b/>
          <w:bCs/>
        </w:rPr>
        <w:t xml:space="preserve">Sources.</w:t>
      </w:r>
      <w:r>
        <w:t xml:space="preserve"> </w:t>
      </w:r>
      <w:r>
        <w:t xml:space="preserve">Term Loan Summary §§1 and 12; Audited Financials Note 8; CFO Memo; Roadshow Slides 20, 24, and 27.</w:t>
      </w:r>
    </w:p>
    <w:p>
      <w:pPr>
        <w:pStyle w:val="BodyText"/>
      </w:pPr>
      <w:r>
        <w:rPr>
          <w:b/>
          <w:bCs/>
        </w:rPr>
        <w:t xml:space="preserve">Discrepancy.</w:t>
      </w:r>
      <w:r>
        <w:t xml:space="preserve"> </w:t>
      </w:r>
      <w:r>
        <w:t xml:space="preserve">The Term Loan Summary, the Audited Financials Note 8, and the CFO Memo refer to the lender as</w:t>
      </w:r>
      <w:r>
        <w:t xml:space="preserve"> </w:t>
      </w:r>
      <w:r>
        <w:t xml:space="preserve">“</w:t>
      </w:r>
      <w:r>
        <w:t xml:space="preserve">Kestridge West Credit Partners.</w:t>
      </w:r>
      <w:r>
        <w:t xml:space="preserve">”</w:t>
      </w:r>
      <w:r>
        <w:t xml:space="preserve"> </w:t>
      </w:r>
      <w:r>
        <w:t xml:space="preserve">The Roadshow (Slides 20, 24, and 27) refers to the lender as</w:t>
      </w:r>
      <w:r>
        <w:t xml:space="preserve"> </w:t>
      </w:r>
      <w:r>
        <w:t xml:space="preserve">“</w:t>
      </w:r>
      <w:r>
        <w:t xml:space="preserve">Silicon Valley Credit Partners.</w:t>
      </w:r>
      <w:r>
        <w:t xml:space="preserve">”</w:t>
      </w:r>
      <w:r>
        <w:t xml:space="preserve"> </w:t>
      </w:r>
      <w:r>
        <w:t xml:space="preserve">In addition, the Term Loan Summary itself abbreviates the lender as</w:t>
      </w:r>
      <w:r>
        <w:t xml:space="preserve"> </w:t>
      </w:r>
      <w:r>
        <w:t xml:space="preserve">“</w:t>
      </w:r>
      <w:r>
        <w:t xml:space="preserve">SVCP,</w:t>
      </w:r>
      <w:r>
        <w:t xml:space="preserve">”</w:t>
      </w:r>
      <w:r>
        <w:t xml:space="preserve"> </w:t>
      </w:r>
      <w:r>
        <w:t xml:space="preserve">which corresponds to</w:t>
      </w:r>
      <w:r>
        <w:t xml:space="preserve"> </w:t>
      </w:r>
      <w:r>
        <w:t xml:space="preserve">“</w:t>
      </w:r>
      <w:r>
        <w:t xml:space="preserve">Silicon Valley Credit Partners,</w:t>
      </w:r>
      <w:r>
        <w:t xml:space="preserve">”</w:t>
      </w:r>
      <w:r>
        <w:t xml:space="preserve"> </w:t>
      </w:r>
      <w:r>
        <w:t xml:space="preserve">not</w:t>
      </w:r>
      <w:r>
        <w:t xml:space="preserve"> </w:t>
      </w:r>
      <w:r>
        <w:t xml:space="preserve">“</w:t>
      </w:r>
      <w:r>
        <w:t xml:space="preserve">Kestridge West Credit Partners</w:t>
      </w:r>
      <w:r>
        <w:t xml:space="preserve">”</w:t>
      </w:r>
      <w:r>
        <w:t xml:space="preserve"> </w:t>
      </w:r>
      <w:r>
        <w:t xml:space="preserve">(which would abbreviate</w:t>
      </w:r>
      <w:r>
        <w:t xml:space="preserve"> </w:t>
      </w:r>
      <w:r>
        <w:t xml:space="preserve">“</w:t>
      </w:r>
      <w:r>
        <w:t xml:space="preserve">KWCP</w:t>
      </w:r>
      <w:r>
        <w:t xml:space="preserve">”</w:t>
      </w:r>
      <w:r>
        <w:t xml:space="preserve">). The Term Loan Summary is therefore internally inconsistent.</w:t>
      </w:r>
    </w:p>
    <w:p>
      <w:pPr>
        <w:pStyle w:val="BodyText"/>
      </w:pPr>
      <w:r>
        <w:rPr>
          <w:b/>
          <w:bCs/>
        </w:rPr>
        <w:t xml:space="preserve">Recommended action.</w:t>
      </w:r>
      <w:r>
        <w:t xml:space="preserve"> </w:t>
      </w:r>
      <w:r>
        <w:t xml:space="preserve">Confirm the correct legal name of the lender from the Credit Agreement and conform all documents, including the Form S-1</w:t>
      </w:r>
      <w:r>
        <w:t xml:space="preserve"> </w:t>
      </w:r>
      <w:r>
        <w:t xml:space="preserve">“</w:t>
      </w:r>
      <w:r>
        <w:t xml:space="preserve">Description of Indebtedness,</w:t>
      </w:r>
      <w:r>
        <w:t xml:space="preserve">”</w:t>
      </w:r>
      <w:r>
        <w:t xml:space="preserve"> </w:t>
      </w:r>
      <w:r>
        <w:t xml:space="preserve">the financial statement notes, and the Roadshow.</w:t>
      </w:r>
    </w:p>
    <w:bookmarkEnd w:id="37"/>
    <w:bookmarkStart w:id="38" w:name="X8f2fdddb1023b9fd1a92dc1e7ee7d3b159d6ee0"/>
    <w:p>
      <w:pPr>
        <w:pStyle w:val="Heading3"/>
      </w:pPr>
      <w:r>
        <w:t xml:space="preserve">14. Series B participant identity inconsistent; current ownership unconfirmed —</w:t>
      </w:r>
      <w:r>
        <w:t xml:space="preserve"> </w:t>
      </w:r>
      <w:r>
        <w:rPr>
          <w:b/>
          <w:bCs/>
        </w:rPr>
        <w:t xml:space="preserve">Priority 2</w:t>
      </w:r>
    </w:p>
    <w:p>
      <w:pPr>
        <w:pStyle w:val="FirstParagraph"/>
      </w:pPr>
      <w:r>
        <w:rPr>
          <w:b/>
          <w:bCs/>
        </w:rPr>
        <w:t xml:space="preserve">Sources.</w:t>
      </w:r>
      <w:r>
        <w:t xml:space="preserve"> </w:t>
      </w:r>
      <w:r>
        <w:t xml:space="preserve">Audited Financials Note 10; CFO Memo §2.1; Questionnaire §§3.1 and 4.2, Open Item 3; Roadshow Slide 29 (notes).</w:t>
      </w:r>
    </w:p>
    <w:p>
      <w:pPr>
        <w:pStyle w:val="BodyText"/>
      </w:pPr>
      <w:r>
        <w:rPr>
          <w:b/>
          <w:bCs/>
        </w:rPr>
        <w:t xml:space="preserve">Discrepancy.</w:t>
      </w:r>
      <w:r>
        <w:t xml:space="preserve"> </w:t>
      </w:r>
      <w:r>
        <w:t xml:space="preserve">Note 10, the CFO Memo, and the Questionnaire identify</w:t>
      </w:r>
      <w:r>
        <w:t xml:space="preserve"> </w:t>
      </w:r>
      <w:r>
        <w:t xml:space="preserve">“</w:t>
      </w:r>
      <w:r>
        <w:t xml:space="preserve">Aldersgate Capital</w:t>
      </w:r>
      <w:r>
        <w:t xml:space="preserve">”</w:t>
      </w:r>
      <w:r>
        <w:t xml:space="preserve"> </w:t>
      </w:r>
      <w:r>
        <w:t xml:space="preserve">as the participating investor in the Series B round (April 2020). The Roadshow Slide 29 notes refer to</w:t>
      </w:r>
      <w:r>
        <w:t xml:space="preserve"> </w:t>
      </w:r>
      <w:r>
        <w:t xml:space="preserve">“</w:t>
      </w:r>
      <w:r>
        <w:t xml:space="preserve">Crestview Capital</w:t>
      </w:r>
      <w:r>
        <w:t xml:space="preserve">”</w:t>
      </w:r>
      <w:r>
        <w:t xml:space="preserve"> </w:t>
      </w:r>
      <w:r>
        <w:t xml:space="preserve">as the Series B participant. Neither Aldersgate Capital nor Crestview Capital appears in the current beneficial ownership table.</w:t>
      </w:r>
    </w:p>
    <w:p>
      <w:pPr>
        <w:pStyle w:val="BodyText"/>
      </w:pPr>
      <w:r>
        <w:rPr>
          <w:b/>
          <w:bCs/>
        </w:rPr>
        <w:t xml:space="preserve">Risk.</w:t>
      </w:r>
      <w:r>
        <w:t xml:space="preserve"> </w:t>
      </w:r>
      <w:r>
        <w:t xml:space="preserve">If either entity currently holds 5% or more of any class of the Company’s securities, it must be included in the Item 403 beneficial ownership table. The omission of a 5% holder is a disclosure violation.</w:t>
      </w:r>
    </w:p>
    <w:p>
      <w:pPr>
        <w:pStyle w:val="BodyText"/>
      </w:pPr>
      <w:r>
        <w:rPr>
          <w:b/>
          <w:bCs/>
        </w:rPr>
        <w:t xml:space="preserve">Recommended action.</w:t>
      </w:r>
      <w:r>
        <w:t xml:space="preserve"> </w:t>
      </w:r>
      <w:r>
        <w:t xml:space="preserve">(i) Confirm the correct identity of the Series B participating investor; (ii) obtain transfer agent records to confirm current holdings of that investor; and (iii) if it holds 5% or more of any class, obtain a completed D&amp;O questionnaire or equivalent disclosure and include it in the Item 403 table. This is Questionnaire Open Item 3.</w:t>
      </w:r>
    </w:p>
    <w:bookmarkEnd w:id="38"/>
    <w:bookmarkStart w:id="39" w:name="Xc9065e21c2423f9d441b7b055564105d45b3831"/>
    <w:p>
      <w:pPr>
        <w:pStyle w:val="Heading3"/>
      </w:pPr>
      <w:r>
        <w:t xml:space="preserve">15. Beneficial ownership figures not reconciled to equity records —</w:t>
      </w:r>
      <w:r>
        <w:t xml:space="preserve"> </w:t>
      </w:r>
      <w:r>
        <w:rPr>
          <w:b/>
          <w:bCs/>
        </w:rPr>
        <w:t xml:space="preserve">Priority 2</w:t>
      </w:r>
    </w:p>
    <w:p>
      <w:pPr>
        <w:pStyle w:val="FirstParagraph"/>
      </w:pPr>
      <w:r>
        <w:rPr>
          <w:b/>
          <w:bCs/>
        </w:rPr>
        <w:t xml:space="preserve">Sources.</w:t>
      </w:r>
      <w:r>
        <w:t xml:space="preserve"> </w:t>
      </w:r>
      <w:r>
        <w:t xml:space="preserve">CFO Memo §7.1; Questionnaire §4.1; Equity Schedule,</w:t>
      </w:r>
      <w:r>
        <w:t xml:space="preserve"> </w:t>
      </w:r>
      <w:r>
        <w:t xml:space="preserve">“</w:t>
      </w:r>
      <w:r>
        <w:t xml:space="preserve">Option Grants</w:t>
      </w:r>
      <w:r>
        <w:t xml:space="preserve">”</w:t>
      </w:r>
      <w:r>
        <w:t xml:space="preserve"> </w:t>
      </w:r>
      <w:r>
        <w:t xml:space="preserve">tab.</w:t>
      </w:r>
    </w:p>
    <w:p>
      <w:pPr>
        <w:pStyle w:val="BodyText"/>
      </w:pPr>
      <w:r>
        <w:rPr>
          <w:b/>
          <w:bCs/>
        </w:rPr>
        <w:t xml:space="preserve">Discrepancy.</w:t>
      </w:r>
      <w:r>
        <w:t xml:space="preserve"> </w:t>
      </w:r>
      <w:r>
        <w:t xml:space="preserve">The CFO Memo §7.1 beneficial ownership table reports, for example, Arun Ramaswamy at 12,222,533 shares (11.6%) and Dr. Litvanova at 9,693,733 shares (9.2%). These figures do not reconcile to the Equity Schedule grant records, which reflect that Mr. Ramaswamy holds 4,000,000 fully vested options at $0.10 per share (grant OPT-2017-001) and 100,000 unvested options at $16.80, in addition to 12,200,000 shares of common stock and 180,000 RSUs; and that Dr. Litvanova holds 3,500,000 fully vested options at $0.10 per share (grant OPT-2017-002) and 80,000 unvested options, in addition to 8,600,000 shares of common stock and 150,000 RSUs. Vested options exercisable within 60 days should be included in beneficial ownership; the 11.6% and 9.2% figures do not appear to reflect the founders’ large vested option positions. The Questionnaire §4.1 table contains [●] placeholders for the underlying share counts and has not been finalized.</w:t>
      </w:r>
    </w:p>
    <w:p>
      <w:pPr>
        <w:pStyle w:val="BodyText"/>
      </w:pPr>
      <w:r>
        <w:rPr>
          <w:b/>
          <w:bCs/>
        </w:rPr>
        <w:t xml:space="preserve">Recommended action.</w:t>
      </w:r>
      <w:r>
        <w:t xml:space="preserve"> </w:t>
      </w:r>
      <w:r>
        <w:t xml:space="preserve">(i) Finalize the beneficial ownership table using verified transfer agent and equity plan records, including all shares of common stock, preferred stock (on an as-converted basis), and vested options and RSUs exercisable or vesting within 60 days; (ii) reconcile to the Equity Schedule (after the reconciliation in Item 3 above); and (iii) update the Form S-1 Item 403 table prior to effectiveness. The Form S-1 draft includes the CFO Memo figures with a footnote stating that they are preliminary and subject to verification.</w:t>
      </w:r>
    </w:p>
    <w:bookmarkEnd w:id="39"/>
    <w:bookmarkStart w:id="40" w:name="Xb030150171a6b2d8d6364d15aacf6ef5b228808"/>
    <w:p>
      <w:pPr>
        <w:pStyle w:val="Heading3"/>
      </w:pPr>
      <w:r>
        <w:t xml:space="preserve">16. Director RSU grantee names do not match the named directors —</w:t>
      </w:r>
      <w:r>
        <w:t xml:space="preserve"> </w:t>
      </w:r>
      <w:r>
        <w:rPr>
          <w:b/>
          <w:bCs/>
        </w:rPr>
        <w:t xml:space="preserve">Priority 2</w:t>
      </w:r>
    </w:p>
    <w:p>
      <w:pPr>
        <w:pStyle w:val="FirstParagraph"/>
      </w:pPr>
      <w:r>
        <w:rPr>
          <w:b/>
          <w:bCs/>
        </w:rPr>
        <w:t xml:space="preserve">Sources.</w:t>
      </w:r>
      <w:r>
        <w:t xml:space="preserve"> </w:t>
      </w:r>
      <w:r>
        <w:t xml:space="preserve">Equity Schedule,</w:t>
      </w:r>
      <w:r>
        <w:t xml:space="preserve"> </w:t>
      </w:r>
      <w:r>
        <w:t xml:space="preserve">“</w:t>
      </w:r>
      <w:r>
        <w:t xml:space="preserve">RSU Grants</w:t>
      </w:r>
      <w:r>
        <w:t xml:space="preserve">”</w:t>
      </w:r>
      <w:r>
        <w:t xml:space="preserve"> </w:t>
      </w:r>
      <w:r>
        <w:t xml:space="preserve">tab (RSU-2024-009 through RSU-2024-013); Questionnaire §3; Charter Documents.</w:t>
      </w:r>
    </w:p>
    <w:p>
      <w:pPr>
        <w:pStyle w:val="BodyText"/>
      </w:pPr>
      <w:r>
        <w:rPr>
          <w:b/>
          <w:bCs/>
        </w:rPr>
        <w:t xml:space="preserve">Discrepancy.</w:t>
      </w:r>
      <w:r>
        <w:t xml:space="preserve"> </w:t>
      </w:r>
      <w:r>
        <w:t xml:space="preserve">The</w:t>
      </w:r>
      <w:r>
        <w:t xml:space="preserve"> </w:t>
      </w:r>
      <w:r>
        <w:t xml:space="preserve">“</w:t>
      </w:r>
      <w:r>
        <w:t xml:space="preserve">RSU Grants</w:t>
      </w:r>
      <w:r>
        <w:t xml:space="preserve">”</w:t>
      </w:r>
      <w:r>
        <w:t xml:space="preserve"> </w:t>
      </w:r>
      <w:r>
        <w:t xml:space="preserve">tab records non-employee director RSU grants (15,000 shares each, dated June 15, 2024, described as</w:t>
      </w:r>
      <w:r>
        <w:t xml:space="preserve"> </w:t>
      </w:r>
      <w:r>
        <w:t xml:space="preserve">“</w:t>
      </w:r>
      <w:r>
        <w:t xml:space="preserve">FY 2024 annual non-employee director equity grant</w:t>
      </w:r>
      <w:r>
        <w:t xml:space="preserve">”</w:t>
      </w:r>
      <w:r>
        <w:t xml:space="preserve">) to</w:t>
      </w:r>
      <w:r>
        <w:t xml:space="preserve"> </w:t>
      </w:r>
      <w:r>
        <w:t xml:space="preserve">“</w:t>
      </w:r>
      <w:r>
        <w:t xml:space="preserve">Anand Venkatesh, Claudia Moreno, David Park, Soo-Yeon Kwon, and Emmanuel Obi.</w:t>
      </w:r>
      <w:r>
        <w:t xml:space="preserve">”</w:t>
      </w:r>
      <w:r>
        <w:t xml:space="preserve"> </w:t>
      </w:r>
      <w:r>
        <w:t xml:space="preserve">The actual non-employee directors are Priya Venkatesh, Thomas J. Moreno, Dr. Helen Park, James Kwon, and Adaora Obi. The surnames match but the first names differ. (Separately,</w:t>
      </w:r>
      <w:r>
        <w:t xml:space="preserve"> </w:t>
      </w:r>
      <w:r>
        <w:t xml:space="preserve">“</w:t>
      </w:r>
      <w:r>
        <w:t xml:space="preserve">David Park</w:t>
      </w:r>
      <w:r>
        <w:t xml:space="preserve">”</w:t>
      </w:r>
      <w:r>
        <w:t xml:space="preserve"> </w:t>
      </w:r>
      <w:r>
        <w:t xml:space="preserve">also appears as an employee grantee — VP Product — in grant OPT-2021-002, which is a different individual from director Dr. Helen Park.)</w:t>
      </w:r>
    </w:p>
    <w:p>
      <w:pPr>
        <w:pStyle w:val="BodyText"/>
      </w:pPr>
      <w:r>
        <w:rPr>
          <w:b/>
          <w:bCs/>
        </w:rPr>
        <w:t xml:space="preserve">Risk.</w:t>
      </w:r>
      <w:r>
        <w:t xml:space="preserve"> </w:t>
      </w:r>
      <w:r>
        <w:t xml:space="preserve">The Item 402 director compensation disclosure must reflect grants to the actual directors. Grants recorded under incorrect names raise questions about the accuracy of the equity records and the director compensation disclosure.</w:t>
      </w:r>
    </w:p>
    <w:p>
      <w:pPr>
        <w:pStyle w:val="BodyText"/>
      </w:pPr>
      <w:r>
        <w:rPr>
          <w:b/>
          <w:bCs/>
        </w:rPr>
        <w:t xml:space="preserve">Recommended action.</w:t>
      </w:r>
      <w:r>
        <w:t xml:space="preserve"> </w:t>
      </w:r>
      <w:r>
        <w:t xml:space="preserve">(i) Confirm whether the director grants were made to the named directors (and the schedule contains incorrect first names) or to other individuals; (ii) correct the Equity Schedule; and (iii) ensure the Form S-1 director compensation table reflects the correct grantees.</w:t>
      </w:r>
    </w:p>
    <w:bookmarkEnd w:id="40"/>
    <w:bookmarkStart w:id="41" w:name="X4801a6d07ff05700ad98a6349a85b56011653b8"/>
    <w:p>
      <w:pPr>
        <w:pStyle w:val="Heading3"/>
      </w:pPr>
      <w:r>
        <w:t xml:space="preserve">17. Executive officer titles in the Equity Schedule conflict with the Charter and Questionnaire —</w:t>
      </w:r>
      <w:r>
        <w:t xml:space="preserve"> </w:t>
      </w:r>
      <w:r>
        <w:rPr>
          <w:b/>
          <w:bCs/>
        </w:rPr>
        <w:t xml:space="preserve">Priority 2</w:t>
      </w:r>
    </w:p>
    <w:p>
      <w:pPr>
        <w:pStyle w:val="FirstParagraph"/>
      </w:pPr>
      <w:r>
        <w:rPr>
          <w:b/>
          <w:bCs/>
        </w:rPr>
        <w:t xml:space="preserve">Sources.</w:t>
      </w:r>
      <w:r>
        <w:t xml:space="preserve"> </w:t>
      </w:r>
      <w:r>
        <w:t xml:space="preserve">Equity Schedule,</w:t>
      </w:r>
      <w:r>
        <w:t xml:space="preserve"> </w:t>
      </w:r>
      <w:r>
        <w:t xml:space="preserve">“</w:t>
      </w:r>
      <w:r>
        <w:t xml:space="preserve">Option Grants</w:t>
      </w:r>
      <w:r>
        <w:t xml:space="preserve">”</w:t>
      </w:r>
      <w:r>
        <w:t xml:space="preserve"> </w:t>
      </w:r>
      <w:r>
        <w:t xml:space="preserve">tab (OPT-2018-002, OPT-2022-002, OPT-2024-005) and</w:t>
      </w:r>
      <w:r>
        <w:t xml:space="preserve"> </w:t>
      </w:r>
      <w:r>
        <w:t xml:space="preserve">“</w:t>
      </w:r>
      <w:r>
        <w:t xml:space="preserve">RSU Grants</w:t>
      </w:r>
      <w:r>
        <w:t xml:space="preserve">”</w:t>
      </w:r>
      <w:r>
        <w:t xml:space="preserve"> </w:t>
      </w:r>
      <w:r>
        <w:t xml:space="preserve">tab (RSU-2024-005); Charter Documents, Bylaws §4.1; Questionnaire §2.4.</w:t>
      </w:r>
    </w:p>
    <w:p>
      <w:pPr>
        <w:pStyle w:val="BodyText"/>
      </w:pPr>
      <w:r>
        <w:rPr>
          <w:b/>
          <w:bCs/>
        </w:rPr>
        <w:t xml:space="preserve">Discrepancy.</w:t>
      </w:r>
      <w:r>
        <w:t xml:space="preserve"> </w:t>
      </w:r>
      <w:r>
        <w:t xml:space="preserve">The Equity Schedule lists</w:t>
      </w:r>
      <w:r>
        <w:t xml:space="preserve"> </w:t>
      </w:r>
      <w:r>
        <w:t xml:space="preserve">“</w:t>
      </w:r>
      <w:r>
        <w:t xml:space="preserve">Sandra Chen</w:t>
      </w:r>
      <w:r>
        <w:t xml:space="preserve">”</w:t>
      </w:r>
      <w:r>
        <w:t xml:space="preserve"> </w:t>
      </w:r>
      <w:r>
        <w:t xml:space="preserve">with the title</w:t>
      </w:r>
      <w:r>
        <w:t xml:space="preserve"> </w:t>
      </w:r>
      <w:r>
        <w:t xml:space="preserve">“</w:t>
      </w:r>
      <w:r>
        <w:t xml:space="preserve">VP Sales (now CRO)</w:t>
      </w:r>
      <w:r>
        <w:t xml:space="preserve">”</w:t>
      </w:r>
      <w:r>
        <w:t xml:space="preserve"> </w:t>
      </w:r>
      <w:r>
        <w:t xml:space="preserve">(OPT-2018-002) and</w:t>
      </w:r>
      <w:r>
        <w:t xml:space="preserve"> </w:t>
      </w:r>
      <w:r>
        <w:t xml:space="preserve">“</w:t>
      </w:r>
      <w:r>
        <w:t xml:space="preserve">CRO</w:t>
      </w:r>
      <w:r>
        <w:t xml:space="preserve">”</w:t>
      </w:r>
      <w:r>
        <w:t xml:space="preserve"> </w:t>
      </w:r>
      <w:r>
        <w:t xml:space="preserve">(OPT-2024-005), and lists</w:t>
      </w:r>
      <w:r>
        <w:t xml:space="preserve"> </w:t>
      </w:r>
      <w:r>
        <w:t xml:space="preserve">“</w:t>
      </w:r>
      <w:r>
        <w:t xml:space="preserve">Thomas Brennan</w:t>
      </w:r>
      <w:r>
        <w:t xml:space="preserve">”</w:t>
      </w:r>
      <w:r>
        <w:t xml:space="preserve"> </w:t>
      </w:r>
      <w:r>
        <w:t xml:space="preserve">with the title</w:t>
      </w:r>
      <w:r>
        <w:t xml:space="preserve"> </w:t>
      </w:r>
      <w:r>
        <w:t xml:space="preserve">“</w:t>
      </w:r>
      <w:r>
        <w:t xml:space="preserve">General Counsel</w:t>
      </w:r>
      <w:r>
        <w:t xml:space="preserve">”</w:t>
      </w:r>
      <w:r>
        <w:t xml:space="preserve"> </w:t>
      </w:r>
      <w:r>
        <w:t xml:space="preserve">(OPT-2022-002 and RSU-2024-005). The Charter Documents and the Questionnaire identify Sandra Y. Chen as the General Counsel and Corporate Secretary, and do not list a Chief Revenue Officer or a Thomas Brennan as General Counsel. Either the Equity Schedule contains stale or incorrect titles, or there are different individuals with similar names.</w:t>
      </w:r>
    </w:p>
    <w:p>
      <w:pPr>
        <w:pStyle w:val="BodyText"/>
      </w:pPr>
      <w:r>
        <w:rPr>
          <w:b/>
          <w:bCs/>
        </w:rPr>
        <w:t xml:space="preserve">Recommended action.</w:t>
      </w:r>
      <w:r>
        <w:t xml:space="preserve"> </w:t>
      </w:r>
      <w:r>
        <w:t xml:space="preserve">(i) Confirm the correct titles and identities (including whether</w:t>
      </w:r>
      <w:r>
        <w:t xml:space="preserve"> </w:t>
      </w:r>
      <w:r>
        <w:t xml:space="preserve">“</w:t>
      </w:r>
      <w:r>
        <w:t xml:space="preserve">Sandra Chen, CRO</w:t>
      </w:r>
      <w:r>
        <w:t xml:space="preserve">”</w:t>
      </w:r>
      <w:r>
        <w:t xml:space="preserve"> </w:t>
      </w:r>
      <w:r>
        <w:t xml:space="preserve">and</w:t>
      </w:r>
      <w:r>
        <w:t xml:space="preserve"> </w:t>
      </w:r>
      <w:r>
        <w:t xml:space="preserve">“</w:t>
      </w:r>
      <w:r>
        <w:t xml:space="preserve">Sandra Y. Chen, General Counsel</w:t>
      </w:r>
      <w:r>
        <w:t xml:space="preserve">”</w:t>
      </w:r>
      <w:r>
        <w:t xml:space="preserve"> </w:t>
      </w:r>
      <w:r>
        <w:t xml:space="preserve">are the same person or different people, and whether Thomas Brennan is or was an officer); (ii) correct the Equity Schedule; and (iii) ensure the Form S-1 Item 401 executive officer disclosure is accurate. The Form S-1 draft lists Sandra Y. Chen as General Counsel and Corporate Secretary consistent with the Charter and Questionnaire.</w:t>
      </w:r>
    </w:p>
    <w:bookmarkEnd w:id="41"/>
    <w:bookmarkStart w:id="42" w:name="X02b0fb6ededca6c64574f3d8c1eb358f0e5a214"/>
    <w:p>
      <w:pPr>
        <w:pStyle w:val="Heading3"/>
      </w:pPr>
      <w:r>
        <w:t xml:space="preserve">18. Ridgeline fund entity name inconsistent —</w:t>
      </w:r>
      <w:r>
        <w:t xml:space="preserve"> </w:t>
      </w:r>
      <w:r>
        <w:rPr>
          <w:b/>
          <w:bCs/>
        </w:rPr>
        <w:t xml:space="preserve">Priority 2</w:t>
      </w:r>
    </w:p>
    <w:p>
      <w:pPr>
        <w:pStyle w:val="FirstParagraph"/>
      </w:pPr>
      <w:r>
        <w:rPr>
          <w:b/>
          <w:bCs/>
        </w:rPr>
        <w:t xml:space="preserve">Sources.</w:t>
      </w:r>
      <w:r>
        <w:t xml:space="preserve"> </w:t>
      </w:r>
      <w:r>
        <w:t xml:space="preserve">CFO Memo §7.1; Questionnaire §3.4.</w:t>
      </w:r>
    </w:p>
    <w:p>
      <w:pPr>
        <w:pStyle w:val="BodyText"/>
      </w:pPr>
      <w:r>
        <w:rPr>
          <w:b/>
          <w:bCs/>
        </w:rPr>
        <w:t xml:space="preserve">Discrepancy.</w:t>
      </w:r>
      <w:r>
        <w:t xml:space="preserve"> </w:t>
      </w:r>
      <w:r>
        <w:t xml:space="preserve">The CFO Memo §7.1 states that Ridgeline Growth Partners’ shares are held by</w:t>
      </w:r>
      <w:r>
        <w:t xml:space="preserve"> </w:t>
      </w:r>
      <w:r>
        <w:t xml:space="preserve">“</w:t>
      </w:r>
      <w:r>
        <w:t xml:space="preserve">Ridgeline Growth Partners Fund II, L.P.</w:t>
      </w:r>
      <w:r>
        <w:t xml:space="preserve">”</w:t>
      </w:r>
      <w:r>
        <w:t xml:space="preserve"> </w:t>
      </w:r>
      <w:r>
        <w:t xml:space="preserve">The Questionnaire §3.4 states that the shares are held by</w:t>
      </w:r>
      <w:r>
        <w:t xml:space="preserve"> </w:t>
      </w:r>
      <w:r>
        <w:t xml:space="preserve">“</w:t>
      </w:r>
      <w:r>
        <w:t xml:space="preserve">Ridgeline Growth Partners Fund V, LP.</w:t>
      </w:r>
      <w:r>
        <w:t xml:space="preserve">”</w:t>
      </w:r>
      <w:r>
        <w:t xml:space="preserve"> </w:t>
      </w:r>
      <w:r>
        <w:t xml:space="preserve">The lock-up agreements and the Item 403 footnotes must identify the correct fund entity.</w:t>
      </w:r>
    </w:p>
    <w:p>
      <w:pPr>
        <w:pStyle w:val="BodyText"/>
      </w:pPr>
      <w:r>
        <w:rPr>
          <w:b/>
          <w:bCs/>
        </w:rPr>
        <w:t xml:space="preserve">Recommended action.</w:t>
      </w:r>
      <w:r>
        <w:t xml:space="preserve"> </w:t>
      </w:r>
      <w:r>
        <w:t xml:space="preserve">Confirm the correct fund entity with Ridgeline Growth Partners and the transfer agent, and conform the Form S-1, the lock-up agreements, and the Item 403 footnote. The Form S-1 draft flags both names pending confirmation.</w:t>
      </w:r>
    </w:p>
    <w:bookmarkEnd w:id="42"/>
    <w:bookmarkEnd w:id="43"/>
    <w:bookmarkStart w:id="48" w:name="Xe159236c3c8cffaadcf719067e57d340d49ea5d"/>
    <w:p>
      <w:pPr>
        <w:pStyle w:val="Heading2"/>
      </w:pPr>
      <w:r>
        <w:t xml:space="preserve">V. Disclosure, Related-Party, and Legal Inconsistencies</w:t>
      </w:r>
    </w:p>
    <w:bookmarkStart w:id="44" w:name="Xda951fb7186cf56aa0258340a5430db073071a9"/>
    <w:p>
      <w:pPr>
        <w:pStyle w:val="Heading3"/>
      </w:pPr>
      <w:r>
        <w:t xml:space="preserve">19. Vantara Logistics related-party treatment inconsistent —</w:t>
      </w:r>
      <w:r>
        <w:t xml:space="preserve"> </w:t>
      </w:r>
      <w:r>
        <w:rPr>
          <w:b/>
          <w:bCs/>
        </w:rPr>
        <w:t xml:space="preserve">Priority 1</w:t>
      </w:r>
    </w:p>
    <w:p>
      <w:pPr>
        <w:pStyle w:val="FirstParagraph"/>
      </w:pPr>
      <w:r>
        <w:rPr>
          <w:b/>
          <w:bCs/>
        </w:rPr>
        <w:t xml:space="preserve">Sources.</w:t>
      </w:r>
      <w:r>
        <w:t xml:space="preserve"> </w:t>
      </w:r>
      <w:r>
        <w:t xml:space="preserve">Questionnaire §§2.3, 3.1, and 5, Open Item 2; Audited Financials Note 15; CFO Memo §4.2 and Exhibit B; Roadshow Slide 14; Term Loan Summary §7.2.</w:t>
      </w:r>
    </w:p>
    <w:p>
      <w:pPr>
        <w:pStyle w:val="BodyText"/>
      </w:pPr>
      <w:r>
        <w:rPr>
          <w:b/>
          <w:bCs/>
        </w:rPr>
        <w:t xml:space="preserve">Discrepancy.</w:t>
      </w:r>
      <w:r>
        <w:t xml:space="preserve"> </w:t>
      </w:r>
      <w:r>
        <w:t xml:space="preserve">Director Priya Venkatesh disclosed the Vantara Logistics, Inc. SaaS license agreement ($1.2 million annual contract value; three-year term; entered April 2023) as a related-party transaction, noting that Vantara is a portfolio company of Graymont Ventures (of which Ms. Venkatesh is Managing Partner), that she also serves on the board of Vantara Logistics, that the transaction was approved by the Audit Committee, and that she recused herself from the Board vote. The Audited Financials Note 15 disclose the transaction consistently. However: (i) the CFO (Mr. Hartwell) did not identify the transaction as a related-party transaction in his questionnaire response; (ii) the CFO Memo §4.2 and Exhibit B present Vantara Logistics as a standard customer contributing to ARR growth, without related-party notation; and (iii) the Roadshow Slide 14 presents Vantara as a customer case study without any disclosure of the Graymont relationship. The Questionnaire Open Item 2 expressly flags this inconsistency.</w:t>
      </w:r>
    </w:p>
    <w:p>
      <w:pPr>
        <w:pStyle w:val="BodyText"/>
      </w:pPr>
      <w:r>
        <w:rPr>
          <w:b/>
          <w:bCs/>
        </w:rPr>
        <w:t xml:space="preserve">Additional issue — lender notification.</w:t>
      </w:r>
      <w:r>
        <w:t xml:space="preserve"> </w:t>
      </w:r>
      <w:r>
        <w:t xml:space="preserve">The Term Loan Summary §7.2 provides that all affiliate transactions exceeding $500,000 in value require prior written notification to the lender. The Vantara agreement, at $1.2 million annually (and $3.6 million total contract value), exceeds this threshold. We must confirm whether the lender was notified of this affiliate transaction.</w:t>
      </w:r>
    </w:p>
    <w:p>
      <w:pPr>
        <w:pStyle w:val="BodyText"/>
      </w:pPr>
      <w:r>
        <w:rPr>
          <w:b/>
          <w:bCs/>
        </w:rPr>
        <w:t xml:space="preserve">Risk.</w:t>
      </w:r>
      <w:r>
        <w:t xml:space="preserve"> </w:t>
      </w:r>
      <w:r>
        <w:t xml:space="preserve">Item 404 of Regulation S-K requires disclosure of related-party transactions. Inconsistent treatment across the Company’s own documents, and the omission of the related-party characterization from investor-facing materials (the Roadshow), creates a disclosure risk and an inconsistency that the SEC is likely to identify. The Roadshow’s presentation of Vantara as an arm’s-length customer case study, without the related-party disclosure, is particularly problematic.</w:t>
      </w:r>
    </w:p>
    <w:p>
      <w:pPr>
        <w:pStyle w:val="BodyText"/>
      </w:pPr>
      <w:r>
        <w:rPr>
          <w:b/>
          <w:bCs/>
        </w:rPr>
        <w:t xml:space="preserve">Recommended action.</w:t>
      </w:r>
      <w:r>
        <w:t xml:space="preserve"> </w:t>
      </w:r>
      <w:r>
        <w:t xml:space="preserve">(i) Disclose the Vantara transaction under Item 404 in the Form S-1 with full detail (the Graymont affiliation, Ms. Venkatesh’s dual board role, the Audit Committee approval, and Ms. Venkatesh’s recusal) — the Form S-1 draft includes this disclosure; (ii) update the CFO Memo, the Roadshow, and all other investor-facing materials to identify Vantara as a related party; (iii) confirm with the Audit Committee the arm’s-length pricing determination and obtain supporting documentation; and (iv) confirm whether the lender was notified of the affiliate transaction under §7.2 of the Credit Agreement, and if not, assess the consequences.</w:t>
      </w:r>
    </w:p>
    <w:bookmarkEnd w:id="44"/>
    <w:bookmarkStart w:id="45" w:name="X67dcf924575c49698b3ef46c230088034318430"/>
    <w:p>
      <w:pPr>
        <w:pStyle w:val="Heading3"/>
      </w:pPr>
      <w:r>
        <w:t xml:space="preserve">20. Professional services described as</w:t>
      </w:r>
      <w:r>
        <w:t xml:space="preserve"> </w:t>
      </w:r>
      <w:r>
        <w:t xml:space="preserve">“</w:t>
      </w:r>
      <w:r>
        <w:t xml:space="preserve">high-margin</w:t>
      </w:r>
      <w:r>
        <w:t xml:space="preserve">”</w:t>
      </w:r>
      <w:r>
        <w:t xml:space="preserve"> </w:t>
      </w:r>
      <w:r>
        <w:t xml:space="preserve">despite negative gross margin —</w:t>
      </w:r>
      <w:r>
        <w:t xml:space="preserve"> </w:t>
      </w:r>
      <w:r>
        <w:rPr>
          <w:b/>
          <w:bCs/>
        </w:rPr>
        <w:t xml:space="preserve">Priority 2</w:t>
      </w:r>
    </w:p>
    <w:p>
      <w:pPr>
        <w:pStyle w:val="FirstParagraph"/>
      </w:pPr>
      <w:r>
        <w:rPr>
          <w:b/>
          <w:bCs/>
        </w:rPr>
        <w:t xml:space="preserve">Sources.</w:t>
      </w:r>
      <w:r>
        <w:t xml:space="preserve"> </w:t>
      </w:r>
      <w:r>
        <w:t xml:space="preserve">Roadshow Slides 12, 17, 21, and 27; Audited Financials Note 4.</w:t>
      </w:r>
    </w:p>
    <w:p>
      <w:pPr>
        <w:pStyle w:val="BodyText"/>
      </w:pPr>
      <w:r>
        <w:rPr>
          <w:b/>
          <w:bCs/>
        </w:rPr>
        <w:t xml:space="preserve">Discrepancy.</w:t>
      </w:r>
      <w:r>
        <w:t xml:space="preserve"> </w:t>
      </w:r>
      <w:r>
        <w:t xml:space="preserve">The Roadshow describes professional services as</w:t>
      </w:r>
      <w:r>
        <w:t xml:space="preserve"> </w:t>
      </w:r>
      <w:r>
        <w:t xml:space="preserve">“</w:t>
      </w:r>
      <w:r>
        <w:t xml:space="preserve">high-margin and accretive</w:t>
      </w:r>
      <w:r>
        <w:t xml:space="preserve">”</w:t>
      </w:r>
      <w:r>
        <w:t xml:space="preserve"> </w:t>
      </w:r>
      <w:r>
        <w:t xml:space="preserve">(Slides 12, 17, 21) and projects professional services gross margins of 15–20% (Slides 21, 27). The Audited Financials show FY2024 professional services revenue of $18.7 million against professional services cost of revenue of $18.8 million, a gross margin of approximately (0.5)%, and FY2023 professional services revenue of $12.5 million against cost of revenue of $15.5 million, also a negative gross margin. The Roadshow’s own speaker notes (Slides 12, 17, 21, 27, and 35) acknowledge that the</w:t>
      </w:r>
      <w:r>
        <w:t xml:space="preserve"> </w:t>
      </w:r>
      <w:r>
        <w:t xml:space="preserve">“</w:t>
      </w:r>
      <w:r>
        <w:t xml:space="preserve">high-margin</w:t>
      </w:r>
      <w:r>
        <w:t xml:space="preserve">”</w:t>
      </w:r>
      <w:r>
        <w:t xml:space="preserve"> </w:t>
      </w:r>
      <w:r>
        <w:t xml:space="preserve">characterization is</w:t>
      </w:r>
      <w:r>
        <w:t xml:space="preserve"> </w:t>
      </w:r>
      <w:r>
        <w:t xml:space="preserve">“</w:t>
      </w:r>
      <w:r>
        <w:t xml:space="preserve">misleading</w:t>
      </w:r>
      <w:r>
        <w:t xml:space="preserve">”</w:t>
      </w:r>
      <w:r>
        <w:t xml:space="preserve"> </w:t>
      </w:r>
      <w:r>
        <w:t xml:space="preserve">and</w:t>
      </w:r>
      <w:r>
        <w:t xml:space="preserve"> </w:t>
      </w:r>
      <w:r>
        <w:t xml:space="preserve">“</w:t>
      </w:r>
      <w:r>
        <w:t xml:space="preserve">directly contradicted by the audited financial statements.</w:t>
      </w:r>
      <w:r>
        <w:t xml:space="preserve">”</w:t>
      </w:r>
    </w:p>
    <w:p>
      <w:pPr>
        <w:pStyle w:val="BodyText"/>
      </w:pPr>
      <w:r>
        <w:rPr>
          <w:b/>
          <w:bCs/>
        </w:rPr>
        <w:t xml:space="preserve">Risk.</w:t>
      </w:r>
      <w:r>
        <w:t xml:space="preserve"> </w:t>
      </w:r>
      <w:r>
        <w:t xml:space="preserve">Characterizing a negative-margin business as</w:t>
      </w:r>
      <w:r>
        <w:t xml:space="preserve"> </w:t>
      </w:r>
      <w:r>
        <w:t xml:space="preserve">“</w:t>
      </w:r>
      <w:r>
        <w:t xml:space="preserve">high-margin</w:t>
      </w:r>
      <w:r>
        <w:t xml:space="preserve">”</w:t>
      </w:r>
      <w:r>
        <w:t xml:space="preserve"> </w:t>
      </w:r>
      <w:r>
        <w:t xml:space="preserve">in the Form S-1 or in marketing materials used in connection with the offering would be misleading and inconsistent with the financial statements. Forward-looking margin targets are permissible with appropriate caveats, but they must not be presented alongside an inaccurate description of current margins.</w:t>
      </w:r>
    </w:p>
    <w:p>
      <w:pPr>
        <w:pStyle w:val="BodyText"/>
      </w:pPr>
      <w:r>
        <w:rPr>
          <w:b/>
          <w:bCs/>
        </w:rPr>
        <w:t xml:space="preserve">Recommended action.</w:t>
      </w:r>
      <w:r>
        <w:t xml:space="preserve"> </w:t>
      </w:r>
      <w:r>
        <w:t xml:space="preserve">(i) In the Form S-1, accurately disclose the current negative professional services gross margin and frame any 15–20% target as a forward-looking goal with appropriate cautionary language — the Form S-1 draft does so; (ii) correct the Roadshow; and (iii) ensure MD&amp;A and any non-GAAP presentations are consistent.</w:t>
      </w:r>
    </w:p>
    <w:bookmarkEnd w:id="45"/>
    <w:bookmarkStart w:id="46" w:name="Xb85c5a2cd7c27ec60de4b982aead73706acaf02"/>
    <w:p>
      <w:pPr>
        <w:pStyle w:val="Heading3"/>
      </w:pPr>
      <w:r>
        <w:t xml:space="preserve">21. Use of proceeds allocation inconsistent across documents —</w:t>
      </w:r>
      <w:r>
        <w:t xml:space="preserve"> </w:t>
      </w:r>
      <w:r>
        <w:rPr>
          <w:b/>
          <w:bCs/>
        </w:rPr>
        <w:t xml:space="preserve">Priority 2</w:t>
      </w:r>
    </w:p>
    <w:p>
      <w:pPr>
        <w:pStyle w:val="FirstParagraph"/>
      </w:pPr>
      <w:r>
        <w:rPr>
          <w:b/>
          <w:bCs/>
        </w:rPr>
        <w:t xml:space="preserve">Sources.</w:t>
      </w:r>
      <w:r>
        <w:t xml:space="preserve"> </w:t>
      </w:r>
      <w:r>
        <w:t xml:space="preserve">CFO Memo §3.2; Roadshow Slide 27; Term Sheet §4.</w:t>
      </w:r>
    </w:p>
    <w:p>
      <w:pPr>
        <w:pStyle w:val="BodyText"/>
      </w:pPr>
      <w:r>
        <w:rPr>
          <w:b/>
          <w:bCs/>
        </w:rPr>
        <w:t xml:space="preserve">Discrepancy.</w:t>
      </w:r>
      <w:r>
        <w:t xml:space="preserve"> </w:t>
      </w:r>
      <w:r>
        <w:t xml:space="preserve">The use of proceeds allocation differs across documents:</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Use</w:t>
            </w:r>
          </w:p>
        </w:tc>
        <w:tc>
          <w:tcPr/>
          <w:p>
            <w:pPr>
              <w:pStyle w:val="Compact"/>
              <w:jc w:val="right"/>
            </w:pPr>
            <w:r>
              <w:t xml:space="preserve">CFO Memo §3.2</w:t>
            </w:r>
          </w:p>
        </w:tc>
        <w:tc>
          <w:tcPr/>
          <w:p>
            <w:pPr>
              <w:pStyle w:val="Compact"/>
              <w:jc w:val="right"/>
            </w:pPr>
            <w:r>
              <w:t xml:space="preserve">Roadshow Slide 27</w:t>
            </w:r>
          </w:p>
        </w:tc>
      </w:tr>
      <w:tr>
        <w:tc>
          <w:tcPr/>
          <w:p>
            <w:pPr>
              <w:pStyle w:val="Compact"/>
              <w:jc w:val="left"/>
            </w:pPr>
            <w:r>
              <w:t xml:space="preserve">Research and development</w:t>
            </w:r>
          </w:p>
        </w:tc>
        <w:tc>
          <w:tcPr/>
          <w:p>
            <w:pPr>
              <w:pStyle w:val="Compact"/>
              <w:jc w:val="right"/>
            </w:pPr>
            <w:r>
              <w:t xml:space="preserve">35%</w:t>
            </w:r>
          </w:p>
        </w:tc>
        <w:tc>
          <w:tcPr/>
          <w:p>
            <w:pPr>
              <w:pStyle w:val="Compact"/>
              <w:jc w:val="right"/>
            </w:pPr>
            <w:r>
              <w:t xml:space="preserve">40%</w:t>
            </w:r>
          </w:p>
        </w:tc>
      </w:tr>
      <w:tr>
        <w:tc>
          <w:tcPr/>
          <w:p>
            <w:pPr>
              <w:pStyle w:val="Compact"/>
              <w:jc w:val="left"/>
            </w:pPr>
            <w:r>
              <w:t xml:space="preserve">Sales and marketing</w:t>
            </w:r>
          </w:p>
        </w:tc>
        <w:tc>
          <w:tcPr/>
          <w:p>
            <w:pPr>
              <w:pStyle w:val="Compact"/>
              <w:jc w:val="right"/>
            </w:pPr>
            <w:r>
              <w:t xml:space="preserve">25%</w:t>
            </w:r>
          </w:p>
        </w:tc>
        <w:tc>
          <w:tcPr/>
          <w:p>
            <w:pPr>
              <w:pStyle w:val="Compact"/>
              <w:jc w:val="right"/>
            </w:pPr>
            <w:r>
              <w:t xml:space="preserve">30%</w:t>
            </w:r>
          </w:p>
        </w:tc>
      </w:tr>
      <w:tr>
        <w:tc>
          <w:tcPr/>
          <w:p>
            <w:pPr>
              <w:pStyle w:val="Compact"/>
              <w:jc w:val="left"/>
            </w:pPr>
            <w:r>
              <w:t xml:space="preserve">Debt repayment / general corporate</w:t>
            </w:r>
          </w:p>
        </w:tc>
        <w:tc>
          <w:tcPr/>
          <w:p>
            <w:pPr>
              <w:pStyle w:val="Compact"/>
              <w:jc w:val="right"/>
            </w:pPr>
            <w:r>
              <w:t xml:space="preserve">15%</w:t>
            </w:r>
          </w:p>
        </w:tc>
        <w:tc>
          <w:tcPr/>
          <w:p>
            <w:pPr>
              <w:pStyle w:val="Compact"/>
              <w:jc w:val="right"/>
            </w:pPr>
            <w:r>
              <w:t xml:space="preserve">5% (debt) + 10% (working capital)</w:t>
            </w:r>
          </w:p>
        </w:tc>
      </w:tr>
      <w:tr>
        <w:tc>
          <w:tcPr/>
          <w:p>
            <w:pPr>
              <w:pStyle w:val="Compact"/>
              <w:jc w:val="left"/>
            </w:pPr>
            <w:r>
              <w:t xml:space="preserve">Acquisitions and strategic investments</w:t>
            </w:r>
          </w:p>
        </w:tc>
        <w:tc>
          <w:tcPr/>
          <w:p>
            <w:pPr>
              <w:pStyle w:val="Compact"/>
              <w:jc w:val="right"/>
            </w:pPr>
            <w:r>
              <w:t xml:space="preserve">10%</w:t>
            </w:r>
          </w:p>
        </w:tc>
        <w:tc>
          <w:tcPr/>
          <w:p>
            <w:pPr>
              <w:pStyle w:val="Compact"/>
              <w:jc w:val="right"/>
            </w:pPr>
            <w:r>
              <w:t xml:space="preserve">15%</w:t>
            </w:r>
          </w:p>
        </w:tc>
      </w:tr>
      <w:tr>
        <w:tc>
          <w:tcPr/>
          <w:p>
            <w:pPr>
              <w:pStyle w:val="Compact"/>
              <w:jc w:val="left"/>
            </w:pPr>
            <w:r>
              <w:t xml:space="preserve">General corporate purposes / working capital</w:t>
            </w:r>
          </w:p>
        </w:tc>
        <w:tc>
          <w:tcPr/>
          <w:p>
            <w:pPr>
              <w:pStyle w:val="Compact"/>
              <w:jc w:val="right"/>
            </w:pPr>
            <w:r>
              <w:t xml:space="preserve">15%</w:t>
            </w:r>
          </w:p>
        </w:tc>
        <w:tc>
          <w:tcPr/>
          <w:p>
            <w:pPr>
              <w:pStyle w:val="Compact"/>
              <w:jc w:val="right"/>
            </w:pPr>
            <w:r>
              <w:t xml:space="preserve">(included above)</w:t>
            </w:r>
          </w:p>
        </w:tc>
      </w:tr>
    </w:tbl>
    <w:p>
      <w:pPr>
        <w:pStyle w:val="BodyText"/>
      </w:pPr>
      <w:r>
        <w:t xml:space="preserve">The Term Sheet §4 provides no specific percentages. The Form S-1</w:t>
      </w:r>
      <w:r>
        <w:t xml:space="preserve"> </w:t>
      </w:r>
      <w:r>
        <w:t xml:space="preserve">“</w:t>
      </w:r>
      <w:r>
        <w:t xml:space="preserve">Use of Proceeds</w:t>
      </w:r>
      <w:r>
        <w:t xml:space="preserve">”</w:t>
      </w:r>
      <w:r>
        <w:t xml:space="preserve"> </w:t>
      </w:r>
      <w:r>
        <w:t xml:space="preserve">must state a single, consistent allocation.</w:t>
      </w:r>
    </w:p>
    <w:p>
      <w:pPr>
        <w:pStyle w:val="BodyText"/>
      </w:pPr>
      <w:r>
        <w:rPr>
          <w:b/>
          <w:bCs/>
        </w:rPr>
        <w:t xml:space="preserve">Recommended action.</w:t>
      </w:r>
      <w:r>
        <w:t xml:space="preserve"> </w:t>
      </w:r>
      <w:r>
        <w:t xml:space="preserve">Confirm the intended allocation with the CFO and the Board, and use a single consistent allocation in the Form S-1. The Form S-1 draft uses the CFO Memo allocation (35/25/15/10/15) pending confirmation. Note that any allocation to debt repayment must be coordinated with the 30-day pre-offering notice requirement under the Credit Agreement (see Item 27).</w:t>
      </w:r>
    </w:p>
    <w:bookmarkEnd w:id="46"/>
    <w:bookmarkStart w:id="47" w:name="X163a2344286c1fd6ca07e36a434f694c3844b15"/>
    <w:p>
      <w:pPr>
        <w:pStyle w:val="Heading3"/>
      </w:pPr>
      <w:r>
        <w:t xml:space="preserve">22. S-1 filing date narrative inconsistent; audit report date —</w:t>
      </w:r>
      <w:r>
        <w:t xml:space="preserve"> </w:t>
      </w:r>
      <w:r>
        <w:rPr>
          <w:b/>
          <w:bCs/>
        </w:rPr>
        <w:t xml:space="preserve">Priority 2</w:t>
      </w:r>
    </w:p>
    <w:p>
      <w:pPr>
        <w:pStyle w:val="FirstParagraph"/>
      </w:pPr>
      <w:r>
        <w:rPr>
          <w:b/>
          <w:bCs/>
        </w:rPr>
        <w:t xml:space="preserve">Sources.</w:t>
      </w:r>
      <w:r>
        <w:t xml:space="preserve"> </w:t>
      </w:r>
      <w:r>
        <w:t xml:space="preserve">Audited Financials Note 17 and the auditor’s report; CFO Memo (cover and §10); Term Sheet (cover).</w:t>
      </w:r>
    </w:p>
    <w:p>
      <w:pPr>
        <w:pStyle w:val="BodyText"/>
      </w:pPr>
      <w:r>
        <w:rPr>
          <w:b/>
          <w:bCs/>
        </w:rPr>
        <w:t xml:space="preserve">Discrepancy.</w:t>
      </w:r>
      <w:r>
        <w:t xml:space="preserve"> </w:t>
      </w:r>
      <w:r>
        <w:t xml:space="preserve">Note 17 (subsequent events) states that</w:t>
      </w:r>
      <w:r>
        <w:t xml:space="preserve"> </w:t>
      </w:r>
      <w:r>
        <w:t xml:space="preserve">“</w:t>
      </w:r>
      <w:r>
        <w:t xml:space="preserve">In February 2025, the Company filed a Registration Statement on Form S-1 with the Securities and Exchange Commission.</w:t>
      </w:r>
      <w:r>
        <w:t xml:space="preserve">”</w:t>
      </w:r>
      <w:r>
        <w:t xml:space="preserve"> </w:t>
      </w:r>
      <w:r>
        <w:t xml:space="preserve">The CFO Memo (dated February 14, 2025) and the Term Sheet (dated</w:t>
      </w:r>
      <w:r>
        <w:t xml:space="preserve"> </w:t>
      </w:r>
      <w:r>
        <w:t xml:space="preserve">“</w:t>
      </w:r>
      <w:r>
        <w:t xml:space="preserve">[●] March 2025</w:t>
      </w:r>
      <w:r>
        <w:t xml:space="preserve">”</w:t>
      </w:r>
      <w:r>
        <w:t xml:space="preserve">) anticipate a March 2025 filing. In addition, the auditor’s report is dated</w:t>
      </w:r>
      <w:r>
        <w:t xml:space="preserve"> </w:t>
      </w:r>
      <w:r>
        <w:t xml:space="preserve">“</w:t>
      </w:r>
      <w:r>
        <w:t xml:space="preserve">March</w:t>
      </w:r>
      <w:r>
        <w:t xml:space="preserve"> </w:t>
      </w:r>
      <w:r>
        <w:rPr>
          <w:b/>
          <w:bCs/>
        </w:rPr>
        <w:t xml:space="preserve">, 2025” and the subsequent-events evaluation runs ”through March</w:t>
      </w:r>
      <w:r>
        <w:rPr>
          <w:b/>
          <w:bCs/>
        </w:rPr>
        <w:t xml:space="preserve"> </w:t>
      </w:r>
      <w:r>
        <w:t xml:space="preserve">, 2025,</w:t>
      </w:r>
      <w:r>
        <w:t xml:space="preserve">”</w:t>
      </w:r>
      <w:r>
        <w:t xml:space="preserve"> </w:t>
      </w:r>
      <w:r>
        <w:t xml:space="preserve">which post-dates a February filing.</w:t>
      </w:r>
    </w:p>
    <w:p>
      <w:pPr>
        <w:pStyle w:val="BodyText"/>
      </w:pPr>
      <w:r>
        <w:rPr>
          <w:b/>
          <w:bCs/>
        </w:rPr>
        <w:t xml:space="preserve">Risk.</w:t>
      </w:r>
      <w:r>
        <w:t xml:space="preserve"> </w:t>
      </w:r>
      <w:r>
        <w:t xml:space="preserve">The subsequent-events note should accurately describe the filing. If the financial statements are included in a filing made in February 2025, the audit report should be dated no later than the filing date; a March-dated audit report accompanying a February-filed registration statement would be inconsistent. (If the February reference is to a confidential submission rather than a public filing, the disclosure should be clarified.)</w:t>
      </w:r>
    </w:p>
    <w:p>
      <w:pPr>
        <w:pStyle w:val="BodyText"/>
      </w:pPr>
      <w:r>
        <w:rPr>
          <w:b/>
          <w:bCs/>
        </w:rPr>
        <w:t xml:space="preserve">Recommended action.</w:t>
      </w:r>
      <w:r>
        <w:t xml:space="preserve"> </w:t>
      </w:r>
      <w:r>
        <w:t xml:space="preserve">(i) Confirm whether a Form S-1 was filed (or confidentially submitted) in February 2025, and correct Note 17 accordingly; (ii) ensure the audit report date is appropriate relative to the filing date; and (iii) conform the filing-date references in the CFO Memo, the Term Sheet, and the Form S-1.</w:t>
      </w:r>
    </w:p>
    <w:bookmarkEnd w:id="47"/>
    <w:bookmarkEnd w:id="48"/>
    <w:bookmarkStart w:id="66" w:name="X7069f6ebc36ee8ac55c77238d78ce3475a58b4d"/>
    <w:p>
      <w:pPr>
        <w:pStyle w:val="Heading2"/>
      </w:pPr>
      <w:r>
        <w:t xml:space="preserve">VI. Risk Factors and Disclosure Items Requiring Attention</w:t>
      </w:r>
    </w:p>
    <w:p>
      <w:pPr>
        <w:pStyle w:val="FirstParagraph"/>
      </w:pPr>
      <w:r>
        <w:t xml:space="preserve">The following items are supported by the record and should be addressed in the Form S-1 risk factors or in the applicable disclosure sections. Several are reflected in the Form S-1 draft; we list them here for completeness and to flag items requiring further action.</w:t>
      </w:r>
    </w:p>
    <w:bookmarkStart w:id="49" w:name="Xcbefed39a4ec6e4a1ab1c0f0966351f3cf62b03"/>
    <w:p>
      <w:pPr>
        <w:pStyle w:val="Heading3"/>
      </w:pPr>
      <w:r>
        <w:t xml:space="preserve">23. Dual-class structure with no sunset; index exclusion risk —</w:t>
      </w:r>
      <w:r>
        <w:t xml:space="preserve"> </w:t>
      </w:r>
      <w:r>
        <w:rPr>
          <w:b/>
          <w:bCs/>
        </w:rPr>
        <w:t xml:space="preserve">Priority 2</w:t>
      </w:r>
    </w:p>
    <w:p>
      <w:pPr>
        <w:pStyle w:val="FirstParagraph"/>
      </w:pPr>
      <w:r>
        <w:t xml:space="preserve">The Restated Certificate establishes a dual-class structure with Class B common stock carrying ten votes per share, held exclusively by the co-founders, who will control approximately 71.8% of the voting power post-IPO. There is no time-based or ownership-percentage-based sunset (Class B converts only upon transfer to a non-permitted transferee or upon death/incapacity). Certain index providers may exclude multi-class structures from certain indices. The Form S-1 draft includes a risk factor addressing this.</w:t>
      </w:r>
      <w:r>
        <w:t xml:space="preserve"> </w:t>
      </w:r>
      <w:r>
        <w:rPr>
          <w:b/>
          <w:bCs/>
        </w:rPr>
        <w:t xml:space="preserve">Recommended action:</w:t>
      </w:r>
      <w:r>
        <w:t xml:space="preserve"> </w:t>
      </w:r>
      <w:r>
        <w:t xml:space="preserve">confirm whether the Company has considered a sunset and whether to disclose any index-exclusion risk; ensure the dual-class risk factor and the description of capital stock are consistent with the Restated Certificate.</w:t>
      </w:r>
    </w:p>
    <w:bookmarkEnd w:id="49"/>
    <w:bookmarkStart w:id="50" w:name="X746a7b023beec046a220d7671013a19e0e9074c"/>
    <w:p>
      <w:pPr>
        <w:pStyle w:val="Heading3"/>
      </w:pPr>
      <w:r>
        <w:t xml:space="preserve">24. Controlled company exemption election not yet resolved —</w:t>
      </w:r>
      <w:r>
        <w:t xml:space="preserve"> </w:t>
      </w:r>
      <w:r>
        <w:rPr>
          <w:b/>
          <w:bCs/>
        </w:rPr>
        <w:t xml:space="preserve">Priority 1</w:t>
      </w:r>
    </w:p>
    <w:p>
      <w:pPr>
        <w:pStyle w:val="FirstParagraph"/>
      </w:pPr>
      <w:r>
        <w:t xml:space="preserve">The Company will be a</w:t>
      </w:r>
      <w:r>
        <w:t xml:space="preserve"> </w:t>
      </w:r>
      <w:r>
        <w:t xml:space="preserve">“</w:t>
      </w:r>
      <w:r>
        <w:t xml:space="preserve">controlled company</w:t>
      </w:r>
      <w:r>
        <w:t xml:space="preserve">”</w:t>
      </w:r>
      <w:r>
        <w:t xml:space="preserve"> </w:t>
      </w:r>
      <w:r>
        <w:t xml:space="preserve">under Nasdaq Listing Rule 5615(c). The Questionnaire (Open Item 1) confirms that no Board resolution has been adopted regarding reliance on the controlled company exemptions, and the director responses are noncommittal. The board is not majority-independent (3 of 6, or 3 of 7, depending on the resolution of Item 10).</w:t>
      </w:r>
      <w:r>
        <w:t xml:space="preserve"> </w:t>
      </w:r>
      <w:r>
        <w:rPr>
          <w:b/>
          <w:bCs/>
        </w:rPr>
        <w:t xml:space="preserve">Recommended action:</w:t>
      </w:r>
      <w:r>
        <w:t xml:space="preserve"> </w:t>
      </w:r>
      <w:r>
        <w:t xml:space="preserve">obtain a formal Board determination before effectiveness; include the controlled-company risk factor and disclosure in the Form S-1 (the draft does so, with a footnote pending the Board determination); and confirm committee compositions against Nasdaq requirements.</w:t>
      </w:r>
    </w:p>
    <w:bookmarkEnd w:id="50"/>
    <w:bookmarkStart w:id="51" w:name="Xdb6db94b86188667e002f0e4c2096aff26a47a4"/>
    <w:p>
      <w:pPr>
        <w:pStyle w:val="Heading3"/>
      </w:pPr>
      <w:r>
        <w:t xml:space="preserve">25. Other anti-takeover / entrenchment provisions —</w:t>
      </w:r>
      <w:r>
        <w:t xml:space="preserve"> </w:t>
      </w:r>
      <w:r>
        <w:rPr>
          <w:b/>
          <w:bCs/>
        </w:rPr>
        <w:t xml:space="preserve">Priority 2</w:t>
      </w:r>
    </w:p>
    <w:p>
      <w:pPr>
        <w:pStyle w:val="FirstParagraph"/>
      </w:pPr>
      <w:r>
        <w:t xml:space="preserve">The Restated Certificate and bylaws include a classified board, elimination of Class A written consent, no stockholder-called special meetings, advance-notice bylaws, a 66⅔% supermajority vote to amend certain provisions, director removal only for cause by 66⅔%, and board-filled vacancies.</w:t>
      </w:r>
      <w:r>
        <w:t xml:space="preserve"> </w:t>
      </w:r>
      <w:r>
        <w:rPr>
          <w:b/>
          <w:bCs/>
        </w:rPr>
        <w:t xml:space="preserve">Recommended action:</w:t>
      </w:r>
      <w:r>
        <w:t xml:space="preserve"> </w:t>
      </w:r>
      <w:r>
        <w:t xml:space="preserve">include a risk factor and the</w:t>
      </w:r>
      <w:r>
        <w:t xml:space="preserve"> </w:t>
      </w:r>
      <w:r>
        <w:t xml:space="preserve">“</w:t>
      </w:r>
      <w:r>
        <w:t xml:space="preserve">Description of Capital Stock—Anti-Takeover Effects</w:t>
      </w:r>
      <w:r>
        <w:t xml:space="preserve">”</w:t>
      </w:r>
      <w:r>
        <w:t xml:space="preserve"> </w:t>
      </w:r>
      <w:r>
        <w:t xml:space="preserve">disclosure (the draft includes both).</w:t>
      </w:r>
    </w:p>
    <w:bookmarkEnd w:id="51"/>
    <w:bookmarkStart w:id="52" w:name="exclusive-forum-provisions-priority-2"/>
    <w:p>
      <w:pPr>
        <w:pStyle w:val="Heading3"/>
      </w:pPr>
      <w:r>
        <w:t xml:space="preserve">26. Exclusive forum provisions —</w:t>
      </w:r>
      <w:r>
        <w:t xml:space="preserve"> </w:t>
      </w:r>
      <w:r>
        <w:rPr>
          <w:b/>
          <w:bCs/>
        </w:rPr>
        <w:t xml:space="preserve">Priority 2</w:t>
      </w:r>
    </w:p>
    <w:p>
      <w:pPr>
        <w:pStyle w:val="FirstParagraph"/>
      </w:pPr>
      <w:r>
        <w:t xml:space="preserve">The Restated Certificate provides for exclusive Delaware Court of Chancery jurisdiction for state-law claims and exclusive federal district court jurisdiction for Securities Act claims. These are enforceable under Delaware law but limit investor forum choices and have been the subject of SEC scrutiny.</w:t>
      </w:r>
      <w:r>
        <w:t xml:space="preserve"> </w:t>
      </w:r>
      <w:r>
        <w:rPr>
          <w:b/>
          <w:bCs/>
        </w:rPr>
        <w:t xml:space="preserve">Recommended action:</w:t>
      </w:r>
      <w:r>
        <w:t xml:space="preserve"> </w:t>
      </w:r>
      <w:r>
        <w:t xml:space="preserve">include a risk factor (the draft does so).</w:t>
      </w:r>
    </w:p>
    <w:bookmarkEnd w:id="52"/>
    <w:bookmarkStart w:id="53" w:name="Xc4efa8f913076ba7c2409a5a98d5109f7ab1528"/>
    <w:p>
      <w:pPr>
        <w:pStyle w:val="Heading3"/>
      </w:pPr>
      <w:r>
        <w:t xml:space="preserve">27. Corporate opportunities renunciation —</w:t>
      </w:r>
      <w:r>
        <w:t xml:space="preserve"> </w:t>
      </w:r>
      <w:r>
        <w:rPr>
          <w:b/>
          <w:bCs/>
        </w:rPr>
        <w:t xml:space="preserve">Priority 2</w:t>
      </w:r>
    </w:p>
    <w:p>
      <w:pPr>
        <w:pStyle w:val="FirstParagraph"/>
      </w:pPr>
      <w:r>
        <w:t xml:space="preserve">Article XI of the Restated Certificate renounces corporate opportunities for directors affiliated with investment funds (including Graymont Ventures and Ridgeline Growth Partners and their portfolio companies). This creates conflict-of-interest risk, particularly in light of the Vantara related-party transaction (Item 19).</w:t>
      </w:r>
      <w:r>
        <w:t xml:space="preserve"> </w:t>
      </w:r>
      <w:r>
        <w:rPr>
          <w:b/>
          <w:bCs/>
        </w:rPr>
        <w:t xml:space="preserve">Recommended action:</w:t>
      </w:r>
      <w:r>
        <w:t xml:space="preserve"> </w:t>
      </w:r>
      <w:r>
        <w:t xml:space="preserve">include a risk factor and ensure the Item 404 related-party disclosure is complete (the draft includes the related-party disclosure).</w:t>
      </w:r>
    </w:p>
    <w:bookmarkEnd w:id="53"/>
    <w:bookmarkStart w:id="54" w:name="X9b1072a75e18a4af94c8c7f1b5c5ab9e7d05f3c"/>
    <w:p>
      <w:pPr>
        <w:pStyle w:val="Heading3"/>
      </w:pPr>
      <w:r>
        <w:t xml:space="preserve">28. Section 382 / NOL utilization risk —</w:t>
      </w:r>
      <w:r>
        <w:t xml:space="preserve"> </w:t>
      </w:r>
      <w:r>
        <w:rPr>
          <w:b/>
          <w:bCs/>
        </w:rPr>
        <w:t xml:space="preserve">Priority 2</w:t>
      </w:r>
    </w:p>
    <w:p>
      <w:pPr>
        <w:pStyle w:val="FirstParagraph"/>
      </w:pPr>
      <w:r>
        <w:t xml:space="preserve">Note 13 discloses approximately $228.0 million of federal NOLs and $166.0 million of state NOLs, a full valuation allowance, and that no Section 382 study has been completed. The IPO and other equity transactions could trigger an ownership change limiting NOL utilization.</w:t>
      </w:r>
      <w:r>
        <w:t xml:space="preserve"> </w:t>
      </w:r>
      <w:r>
        <w:rPr>
          <w:b/>
          <w:bCs/>
        </w:rPr>
        <w:t xml:space="preserve">Recommended action:</w:t>
      </w:r>
      <w:r>
        <w:t xml:space="preserve"> </w:t>
      </w:r>
      <w:r>
        <w:t xml:space="preserve">(i) include a risk factor (the draft does so); (ii) consider commissioning a Section 382 study; and (iii) disclose the valuation allowance and the potential limitation.</w:t>
      </w:r>
    </w:p>
    <w:bookmarkEnd w:id="54"/>
    <w:bookmarkStart w:id="55" w:name="X7c20a488847eecfdab31523e7b3d921e4269e60"/>
    <w:p>
      <w:pPr>
        <w:pStyle w:val="Heading3"/>
      </w:pPr>
      <w:r>
        <w:t xml:space="preserve">29. Optivance litigation and cross-default to the term loan —</w:t>
      </w:r>
      <w:r>
        <w:t xml:space="preserve"> </w:t>
      </w:r>
      <w:r>
        <w:rPr>
          <w:b/>
          <w:bCs/>
        </w:rPr>
        <w:t xml:space="preserve">Priority 2</w:t>
      </w:r>
    </w:p>
    <w:p>
      <w:pPr>
        <w:pStyle w:val="FirstParagraph"/>
      </w:pPr>
      <w:r>
        <w:t xml:space="preserve">The Optivance litigation (estimated exposure $5–20 million, low probability, no accrual) is disclosed in Note 14 and the Questionnaire. Under §8.1(h) of the Credit Agreement, undischarged judgments in excess of $5.0 million remaining undischarged for 60 days constitute an event of default.</w:t>
      </w:r>
      <w:r>
        <w:t xml:space="preserve"> </w:t>
      </w:r>
      <w:r>
        <w:rPr>
          <w:b/>
          <w:bCs/>
        </w:rPr>
        <w:t xml:space="preserve">Recommended action:</w:t>
      </w:r>
      <w:r>
        <w:t xml:space="preserve"> </w:t>
      </w:r>
      <w:r>
        <w:t xml:space="preserve">(i) include the litigation risk factor and the legal proceedings disclosure (the draft does so); (ii) disclose the cross-default risk in the term loan risk factor (the draft does so); and (iii) monitor the matter and assess bonding/appeal/stay strategies in the event of an adverse result.</w:t>
      </w:r>
    </w:p>
    <w:bookmarkEnd w:id="55"/>
    <w:bookmarkStart w:id="56" w:name="X973f8754cb92e94a9743dfbbea0e1e9eb355f16"/>
    <w:p>
      <w:pPr>
        <w:pStyle w:val="Heading3"/>
      </w:pPr>
      <w:r>
        <w:t xml:space="preserve">30. Term loan 30-day pre-offering notice —</w:t>
      </w:r>
      <w:r>
        <w:t xml:space="preserve"> </w:t>
      </w:r>
      <w:r>
        <w:rPr>
          <w:b/>
          <w:bCs/>
        </w:rPr>
        <w:t xml:space="preserve">Priority 2</w:t>
      </w:r>
    </w:p>
    <w:p>
      <w:pPr>
        <w:pStyle w:val="FirstParagraph"/>
      </w:pPr>
      <w:r>
        <w:t xml:space="preserve">Section 7.14 of the Credit Agreement requires at least 30 days’ prior written notice to the lender before any IPO, including the anticipated date, gross proceeds, use of proceeds, and a pro forma capitalization table. Failure to deliver is an event of default (10-business-day cure).</w:t>
      </w:r>
      <w:r>
        <w:t xml:space="preserve"> </w:t>
      </w:r>
      <w:r>
        <w:rPr>
          <w:b/>
          <w:bCs/>
        </w:rPr>
        <w:t xml:space="preserve">Recommended action:</w:t>
      </w:r>
      <w:r>
        <w:t xml:space="preserve"> </w:t>
      </w:r>
      <w:r>
        <w:t xml:space="preserve">(i) deliver the IPO notice at least 35 days before the expected pricing date (as recommended in the Term Loan Summary §13 and the CFO Memo §10); (ii) disclose the notice requirement in the Form S-1 (the draft does so in</w:t>
      </w:r>
      <w:r>
        <w:t xml:space="preserve"> </w:t>
      </w:r>
      <w:r>
        <w:t xml:space="preserve">“</w:t>
      </w:r>
      <w:r>
        <w:t xml:space="preserve">Description of Indebtedness</w:t>
      </w:r>
      <w:r>
        <w:t xml:space="preserve">”</w:t>
      </w:r>
      <w:r>
        <w:t xml:space="preserve"> </w:t>
      </w:r>
      <w:r>
        <w:t xml:space="preserve">and</w:t>
      </w:r>
      <w:r>
        <w:t xml:space="preserve"> </w:t>
      </w:r>
      <w:r>
        <w:t xml:space="preserve">“</w:t>
      </w:r>
      <w:r>
        <w:t xml:space="preserve">Use of Proceeds</w:t>
      </w:r>
      <w:r>
        <w:t xml:space="preserve">”</w:t>
      </w:r>
      <w:r>
        <w:t xml:space="preserve">); and (iii) build the 30-day period into the offering timeline.</w:t>
      </w:r>
    </w:p>
    <w:bookmarkEnd w:id="56"/>
    <w:bookmarkStart w:id="57" w:name="Xa8e01ae0277d6c5bd1dc5970a9140e11497c57a"/>
    <w:p>
      <w:pPr>
        <w:pStyle w:val="Heading3"/>
      </w:pPr>
      <w:r>
        <w:t xml:space="preserve">31. Term loan secured by substantially all assets, including IP —</w:t>
      </w:r>
      <w:r>
        <w:t xml:space="preserve"> </w:t>
      </w:r>
      <w:r>
        <w:rPr>
          <w:b/>
          <w:bCs/>
        </w:rPr>
        <w:t xml:space="preserve">Priority 2</w:t>
      </w:r>
    </w:p>
    <w:p>
      <w:pPr>
        <w:pStyle w:val="FirstParagraph"/>
      </w:pPr>
      <w:r>
        <w:t xml:space="preserve">The term loan is secured by a first-priority lien on substantially all assets, including the 47 issued U.S. patents, the pending applications, the foreign patents, and the material trademarks, and by 65% of the voting equity of the foreign subsidiary, with a UK subsidiary guarantee capped at £5.0 million.</w:t>
      </w:r>
      <w:r>
        <w:t xml:space="preserve"> </w:t>
      </w:r>
      <w:r>
        <w:rPr>
          <w:b/>
          <w:bCs/>
        </w:rPr>
        <w:t xml:space="preserve">Recommended action:</w:t>
      </w:r>
      <w:r>
        <w:t xml:space="preserve"> </w:t>
      </w:r>
      <w:r>
        <w:t xml:space="preserve">include a risk factor (the draft does so) and ensure the IP security interest is appropriately disclosed.</w:t>
      </w:r>
    </w:p>
    <w:bookmarkEnd w:id="57"/>
    <w:bookmarkStart w:id="58" w:name="X885e9e6550d267e5b3152a38c7118229448d959"/>
    <w:p>
      <w:pPr>
        <w:pStyle w:val="Heading3"/>
      </w:pPr>
      <w:r>
        <w:t xml:space="preserve">32. Redeemable convertible preferred stock; redemption feature —</w:t>
      </w:r>
      <w:r>
        <w:t xml:space="preserve"> </w:t>
      </w:r>
      <w:r>
        <w:rPr>
          <w:b/>
          <w:bCs/>
        </w:rPr>
        <w:t xml:space="preserve">Priority 2</w:t>
      </w:r>
    </w:p>
    <w:p>
      <w:pPr>
        <w:pStyle w:val="FirstParagraph"/>
      </w:pPr>
      <w:r>
        <w:t xml:space="preserve">The preferred stock is classified in mezzanine equity and is contingently redeemable; beginning June 2028, holders of 66⅔% of the preferred may require redemption. All preferred converts on a Qualified IPO (aggregate gross proceeds of at least $100.0 million); the IPO at the midpoint ($360.0 million gross) qualifies.</w:t>
      </w:r>
      <w:r>
        <w:t xml:space="preserve"> </w:t>
      </w:r>
      <w:r>
        <w:rPr>
          <w:b/>
          <w:bCs/>
        </w:rPr>
        <w:t xml:space="preserve">Recommended action:</w:t>
      </w:r>
      <w:r>
        <w:t xml:space="preserve"> </w:t>
      </w:r>
      <w:r>
        <w:t xml:space="preserve">(i) include a risk factor (the draft does so); (ii) confirm the Qualified IPO threshold is met; and (iii) ensure the mezzanine classification and conversion disclosure are consistent with Note 10.</w:t>
      </w:r>
    </w:p>
    <w:bookmarkEnd w:id="58"/>
    <w:bookmarkStart w:id="59" w:name="X61f60ed71eee99792ca55672896f216df1f8c8c"/>
    <w:p>
      <w:pPr>
        <w:pStyle w:val="Heading3"/>
      </w:pPr>
      <w:r>
        <w:t xml:space="preserve">33. History of losses; accumulated deficit; liquidity —</w:t>
      </w:r>
      <w:r>
        <w:t xml:space="preserve"> </w:t>
      </w:r>
      <w:r>
        <w:rPr>
          <w:b/>
          <w:bCs/>
        </w:rPr>
        <w:t xml:space="preserve">Priority 2</w:t>
      </w:r>
    </w:p>
    <w:p>
      <w:pPr>
        <w:pStyle w:val="FirstParagraph"/>
      </w:pPr>
      <w:r>
        <w:t xml:space="preserve">The Company has an accumulated deficit of $312.6 million and reported net losses in both years, but management concludes liquidity is sufficient for at least 12 months (no going-concern emphasis).</w:t>
      </w:r>
      <w:r>
        <w:t xml:space="preserve"> </w:t>
      </w:r>
      <w:r>
        <w:rPr>
          <w:b/>
          <w:bCs/>
        </w:rPr>
        <w:t xml:space="preserve">Recommended action:</w:t>
      </w:r>
      <w:r>
        <w:t xml:space="preserve"> </w:t>
      </w:r>
      <w:r>
        <w:t xml:space="preserve">include risk factors (the draft does so) and ensure the liquidity discussion is consistent with Note 1.</w:t>
      </w:r>
    </w:p>
    <w:bookmarkEnd w:id="59"/>
    <w:bookmarkStart w:id="60" w:name="X7eea748e9497894abaaa4e7d1452f3582aa4465"/>
    <w:p>
      <w:pPr>
        <w:pStyle w:val="Heading3"/>
      </w:pPr>
      <w:r>
        <w:t xml:space="preserve">34. ICFR and material weakness disclosure; data reconciliation concerns —</w:t>
      </w:r>
      <w:r>
        <w:t xml:space="preserve"> </w:t>
      </w:r>
      <w:r>
        <w:rPr>
          <w:b/>
          <w:bCs/>
        </w:rPr>
        <w:t xml:space="preserve">Priority 2</w:t>
      </w:r>
    </w:p>
    <w:p>
      <w:pPr>
        <w:pStyle w:val="FirstParagraph"/>
      </w:pPr>
      <w:r>
        <w:t xml:space="preserve">The Audited Financials do not address internal control over financial reporting or material weaknesses. As an emerging growth company, the Company is not initially subject to SOX 404(b) auditor attestation, but management must disclose any material weaknesses. The reconciliation issues identified in this memorandum (particularly Items 1, 2, 3, and 4) themselves raise ICFR concerns.</w:t>
      </w:r>
      <w:r>
        <w:t xml:space="preserve"> </w:t>
      </w:r>
      <w:r>
        <w:rPr>
          <w:b/>
          <w:bCs/>
        </w:rPr>
        <w:t xml:space="preserve">Recommended action:</w:t>
      </w:r>
      <w:r>
        <w:t xml:space="preserve"> </w:t>
      </w:r>
      <w:r>
        <w:t xml:space="preserve">(i) assess whether the reconciliation failures indicate a material weakness; (ii) ensure management’s ICFR disclosure in the Form S-1 is accurate; (iii) implement remediation as appropriate; and (iv) coordinate with Archer Pryce LLP.</w:t>
      </w:r>
    </w:p>
    <w:bookmarkEnd w:id="60"/>
    <w:bookmarkStart w:id="61" w:name="X1a4ac289208771bd113dc9105ba7ace689e00ea"/>
    <w:p>
      <w:pPr>
        <w:pStyle w:val="Heading3"/>
      </w:pPr>
      <w:r>
        <w:t xml:space="preserve">35. Emerging growth company status and accommodations —</w:t>
      </w:r>
      <w:r>
        <w:t xml:space="preserve"> </w:t>
      </w:r>
      <w:r>
        <w:rPr>
          <w:b/>
          <w:bCs/>
        </w:rPr>
        <w:t xml:space="preserve">Priority 3</w:t>
      </w:r>
    </w:p>
    <w:p>
      <w:pPr>
        <w:pStyle w:val="FirstParagraph"/>
      </w:pPr>
      <w:r>
        <w:t xml:space="preserve">The Company qualifies as an emerging growth company (FY2024 revenue of $187.3 million, well below the $1.235 billion threshold) and intends to avail itself of reduced disclosure accommodations. Two years of audited financial statements are presented, consistent with EGC status.</w:t>
      </w:r>
      <w:r>
        <w:t xml:space="preserve"> </w:t>
      </w:r>
      <w:r>
        <w:rPr>
          <w:b/>
          <w:bCs/>
        </w:rPr>
        <w:t xml:space="preserve">Recommended action:</w:t>
      </w:r>
      <w:r>
        <w:t xml:space="preserve"> </w:t>
      </w:r>
      <w:r>
        <w:t xml:space="preserve">confirm the EGC election and disclose the accommodations relied upon (the draft does so).</w:t>
      </w:r>
    </w:p>
    <w:bookmarkEnd w:id="61"/>
    <w:bookmarkStart w:id="62" w:name="X0638c66f62fe3fa26034d9700c33a3d28605bca"/>
    <w:p>
      <w:pPr>
        <w:pStyle w:val="Heading3"/>
      </w:pPr>
      <w:r>
        <w:t xml:space="preserve">36. Lock-up must bind fund-level entities —</w:t>
      </w:r>
      <w:r>
        <w:t xml:space="preserve"> </w:t>
      </w:r>
      <w:r>
        <w:rPr>
          <w:b/>
          <w:bCs/>
        </w:rPr>
        <w:t xml:space="preserve">Priority 3</w:t>
      </w:r>
    </w:p>
    <w:p>
      <w:pPr>
        <w:pStyle w:val="FirstParagraph"/>
      </w:pPr>
      <w:r>
        <w:t xml:space="preserve">The Questionnaire (Open Item 5) notes that the Graymont and Ridgeline shares are held at the fund level, not in the individual directors’ names. The lock-up agreements must bind the fund-level entities.</w:t>
      </w:r>
      <w:r>
        <w:t xml:space="preserve"> </w:t>
      </w:r>
      <w:r>
        <w:rPr>
          <w:b/>
          <w:bCs/>
        </w:rPr>
        <w:t xml:space="preserve">Recommended action:</w:t>
      </w:r>
      <w:r>
        <w:t xml:space="preserve"> </w:t>
      </w:r>
      <w:r>
        <w:t xml:space="preserve">ensure the lock-up agreements are executed by the appropriate fund entities (the Form S-1</w:t>
      </w:r>
      <w:r>
        <w:t xml:space="preserve"> </w:t>
      </w:r>
      <w:r>
        <w:t xml:space="preserve">“</w:t>
      </w:r>
      <w:r>
        <w:t xml:space="preserve">Plan of Distribution</w:t>
      </w:r>
      <w:r>
        <w:t xml:space="preserve">”</w:t>
      </w:r>
      <w:r>
        <w:t xml:space="preserve"> </w:t>
      </w:r>
      <w:r>
        <w:t xml:space="preserve">disclosure in the draft notes this).</w:t>
      </w:r>
    </w:p>
    <w:bookmarkEnd w:id="62"/>
    <w:bookmarkStart w:id="63" w:name="director-ages-not-provided-priority-3"/>
    <w:p>
      <w:pPr>
        <w:pStyle w:val="Heading3"/>
      </w:pPr>
      <w:r>
        <w:t xml:space="preserve">37. Director ages not provided —</w:t>
      </w:r>
      <w:r>
        <w:t xml:space="preserve"> </w:t>
      </w:r>
      <w:r>
        <w:rPr>
          <w:b/>
          <w:bCs/>
        </w:rPr>
        <w:t xml:space="preserve">Priority 3</w:t>
      </w:r>
    </w:p>
    <w:p>
      <w:pPr>
        <w:pStyle w:val="FirstParagraph"/>
      </w:pPr>
      <w:r>
        <w:t xml:space="preserve">The Questionnaire (Open Item 4) notes that ages for the non-employee directors were not provided. Item 401 of Regulation S-K requires disclosure of the age of each director and executive officer.</w:t>
      </w:r>
      <w:r>
        <w:t xml:space="preserve"> </w:t>
      </w:r>
      <w:r>
        <w:rPr>
          <w:b/>
          <w:bCs/>
        </w:rPr>
        <w:t xml:space="preserve">Recommended action:</w:t>
      </w:r>
      <w:r>
        <w:t xml:space="preserve"> </w:t>
      </w:r>
      <w:r>
        <w:t xml:space="preserve">obtain and confirm the ages of all directors and executive officers and complete the Form S-1 director and executive officer tables (the draft uses [●] placeholders pending this).</w:t>
      </w:r>
    </w:p>
    <w:bookmarkEnd w:id="63"/>
    <w:bookmarkStart w:id="64" w:name="X31c3ccb85cced37cdc3b26a09536bf8207fe755"/>
    <w:p>
      <w:pPr>
        <w:pStyle w:val="Heading3"/>
      </w:pPr>
      <w:r>
        <w:t xml:space="preserve">38. Customer concentration and key-person risks —</w:t>
      </w:r>
      <w:r>
        <w:t xml:space="preserve"> </w:t>
      </w:r>
      <w:r>
        <w:rPr>
          <w:b/>
          <w:bCs/>
        </w:rPr>
        <w:t xml:space="preserve">Priority 2</w:t>
      </w:r>
    </w:p>
    <w:p>
      <w:pPr>
        <w:pStyle w:val="FirstParagraph"/>
      </w:pPr>
      <w:r>
        <w:t xml:space="preserve">The largest customer (Harmon Industries Inc.) represented 8.2% of FY2024 revenue; the top 10 represented 31.7%. The Audited Financials Note 3 confirm one customer at 8.2% but do not name it. The Roadshow names Harmon in its speaker notes. The term loan includes a key-person provision relating to the CEO.</w:t>
      </w:r>
      <w:r>
        <w:t xml:space="preserve"> </w:t>
      </w:r>
      <w:r>
        <w:rPr>
          <w:b/>
          <w:bCs/>
        </w:rPr>
        <w:t xml:space="preserve">Recommended action:</w:t>
      </w:r>
      <w:r>
        <w:t xml:space="preserve"> </w:t>
      </w:r>
      <w:r>
        <w:t xml:space="preserve">(i) include customer-concentration and key-person risk factors (the draft does so); (ii) determine whether to name the largest customer in the Form S-1 (naming a customer that is below the 10% SEC threshold is optional and may require customer consent); and (iii) ensure consistency between the Form S-1 and the Roadshow on customer naming.</w:t>
      </w:r>
    </w:p>
    <w:bookmarkEnd w:id="64"/>
    <w:bookmarkStart w:id="65" w:name="X13a346b685cf05279c5f5f490152c521c64f8e2"/>
    <w:p>
      <w:pPr>
        <w:pStyle w:val="Heading3"/>
      </w:pPr>
      <w:r>
        <w:t xml:space="preserve">39. Auditor tenure and critical audit matters —</w:t>
      </w:r>
      <w:r>
        <w:t xml:space="preserve"> </w:t>
      </w:r>
      <w:r>
        <w:rPr>
          <w:b/>
          <w:bCs/>
        </w:rPr>
        <w:t xml:space="preserve">Priority 3</w:t>
      </w:r>
    </w:p>
    <w:p>
      <w:pPr>
        <w:pStyle w:val="FirstParagraph"/>
      </w:pPr>
      <w:r>
        <w:t xml:space="preserve">Archer Pryce LLP has served as auditor since 2022. The audit report identifies two critical audit matters: revenue recognition for arrangements with multiple performance obligations (stand-alone selling price estimation) and the valuation of common stock underlying stock-based compensation awards. The latter ties directly to the 409A valuation issues in Item 4.</w:t>
      </w:r>
      <w:r>
        <w:t xml:space="preserve"> </w:t>
      </w:r>
      <w:r>
        <w:rPr>
          <w:b/>
          <w:bCs/>
        </w:rPr>
        <w:t xml:space="preserve">Recommended action:</w:t>
      </w:r>
      <w:r>
        <w:t xml:space="preserve"> </w:t>
      </w:r>
      <w:r>
        <w:t xml:space="preserve">ensure the critical audit matters are appropriately reflected in the Form S-1 (they are included in the audited report) and that the common stock valuation disclosure is consistent with the resolution of Item 4.</w:t>
      </w:r>
    </w:p>
    <w:bookmarkEnd w:id="65"/>
    <w:bookmarkEnd w:id="66"/>
    <w:bookmarkStart w:id="67" w:name="X09627af55855d1884bdef2a4749433fab5e0682"/>
    <w:p>
      <w:pPr>
        <w:pStyle w:val="Heading2"/>
      </w:pPr>
      <w:r>
        <w:t xml:space="preserve">VII. Consolidated Open Items and Recommended Actions</w:t>
      </w:r>
    </w:p>
    <w:p>
      <w:pPr>
        <w:pStyle w:val="FirstParagraph"/>
      </w:pPr>
      <w:r>
        <w:t xml:space="preserve">The following table consolidates the principal open items, the recommended owner, and the suggested timing.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Recommended owner</w:t>
            </w:r>
          </w:p>
        </w:tc>
        <w:tc>
          <w:tcPr/>
          <w:p>
            <w:pPr>
              <w:pStyle w:val="Compact"/>
              <w:jc w:val="left"/>
            </w:pPr>
            <w:r>
              <w:t xml:space="preserve">Timing</w:t>
            </w:r>
          </w:p>
        </w:tc>
      </w:tr>
      <w:tr>
        <w:tc>
          <w:tcPr/>
          <w:p>
            <w:pPr>
              <w:pStyle w:val="Compact"/>
              <w:jc w:val="left"/>
            </w:pPr>
            <w:r>
              <w:t xml:space="preserve">Adjusted EBITDA correction (Item 1)</w:t>
            </w:r>
          </w:p>
        </w:tc>
        <w:tc>
          <w:tcPr/>
          <w:p>
            <w:pPr>
              <w:pStyle w:val="Compact"/>
              <w:jc w:val="left"/>
            </w:pPr>
            <w:r>
              <w:t xml:space="preserve">CFO; counsel to confirm Form S-1 language</w:t>
            </w:r>
          </w:p>
        </w:tc>
        <w:tc>
          <w:tcPr/>
          <w:p>
            <w:pPr>
              <w:pStyle w:val="Compact"/>
              <w:jc w:val="left"/>
            </w:pPr>
            <w:r>
              <w:t xml:space="preserve">Before initial filing</w:t>
            </w:r>
          </w:p>
        </w:tc>
      </w:tr>
      <w:tr>
        <w:tc>
          <w:tcPr/>
          <w:p>
            <w:pPr>
              <w:pStyle w:val="Compact"/>
              <w:jc w:val="left"/>
            </w:pPr>
            <w:r>
              <w:t xml:space="preserve">Term loan reconciliation (Item 2)</w:t>
            </w:r>
          </w:p>
        </w:tc>
        <w:tc>
          <w:tcPr/>
          <w:p>
            <w:pPr>
              <w:pStyle w:val="Compact"/>
              <w:jc w:val="left"/>
            </w:pPr>
            <w:r>
              <w:t xml:space="preserve">CFO; General Counsel; Archer Pryce LLP</w:t>
            </w:r>
          </w:p>
        </w:tc>
        <w:tc>
          <w:tcPr/>
          <w:p>
            <w:pPr>
              <w:pStyle w:val="Compact"/>
              <w:jc w:val="left"/>
            </w:pPr>
            <w:r>
              <w:t xml:space="preserve">Before initial filing</w:t>
            </w:r>
          </w:p>
        </w:tc>
      </w:tr>
      <w:tr>
        <w:tc>
          <w:tcPr/>
          <w:p>
            <w:pPr>
              <w:pStyle w:val="Compact"/>
              <w:jc w:val="left"/>
            </w:pPr>
            <w:r>
              <w:t xml:space="preserve">Equity Schedule option reconciliation (Item 3)</w:t>
            </w:r>
          </w:p>
        </w:tc>
        <w:tc>
          <w:tcPr/>
          <w:p>
            <w:pPr>
              <w:pStyle w:val="Compact"/>
              <w:jc w:val="left"/>
            </w:pPr>
            <w:r>
              <w:t xml:space="preserve">CFO; equity plan administrator</w:t>
            </w:r>
          </w:p>
        </w:tc>
        <w:tc>
          <w:tcPr/>
          <w:p>
            <w:pPr>
              <w:pStyle w:val="Compact"/>
              <w:jc w:val="left"/>
            </w:pPr>
            <w:r>
              <w:t xml:space="preserve">Before initial filing</w:t>
            </w:r>
          </w:p>
        </w:tc>
      </w:tr>
      <w:tr>
        <w:tc>
          <w:tcPr/>
          <w:p>
            <w:pPr>
              <w:pStyle w:val="Compact"/>
              <w:jc w:val="left"/>
            </w:pPr>
            <w:r>
              <w:t xml:space="preserve">409A valuation reconciliation (Item 4)</w:t>
            </w:r>
          </w:p>
        </w:tc>
        <w:tc>
          <w:tcPr/>
          <w:p>
            <w:pPr>
              <w:pStyle w:val="Compact"/>
              <w:jc w:val="left"/>
            </w:pPr>
            <w:r>
              <w:t xml:space="preserve">CFO; Meridian Valuation Partners; Archer Pryce LLP</w:t>
            </w:r>
          </w:p>
        </w:tc>
        <w:tc>
          <w:tcPr/>
          <w:p>
            <w:pPr>
              <w:pStyle w:val="Compact"/>
              <w:jc w:val="left"/>
            </w:pPr>
            <w:r>
              <w:t xml:space="preserve">Before initial filing</w:t>
            </w:r>
          </w:p>
        </w:tc>
      </w:tr>
      <w:tr>
        <w:tc>
          <w:tcPr/>
          <w:p>
            <w:pPr>
              <w:pStyle w:val="Compact"/>
              <w:jc w:val="left"/>
            </w:pPr>
            <w:r>
              <w:t xml:space="preserve">Board size / Dr. Litvanova directorship (Item 10)</w:t>
            </w:r>
          </w:p>
        </w:tc>
        <w:tc>
          <w:tcPr/>
          <w:p>
            <w:pPr>
              <w:pStyle w:val="Compact"/>
              <w:jc w:val="left"/>
            </w:pPr>
            <w:r>
              <w:t xml:space="preserve">General Counsel; Board</w:t>
            </w:r>
          </w:p>
        </w:tc>
        <w:tc>
          <w:tcPr/>
          <w:p>
            <w:pPr>
              <w:pStyle w:val="Compact"/>
              <w:jc w:val="left"/>
            </w:pPr>
            <w:r>
              <w:t xml:space="preserve">Before initial filing</w:t>
            </w:r>
          </w:p>
        </w:tc>
      </w:tr>
      <w:tr>
        <w:tc>
          <w:tcPr/>
          <w:p>
            <w:pPr>
              <w:pStyle w:val="Compact"/>
              <w:jc w:val="left"/>
            </w:pPr>
            <w:r>
              <w:t xml:space="preserve">Co-founder name conformation (Item 11)</w:t>
            </w:r>
          </w:p>
        </w:tc>
        <w:tc>
          <w:tcPr/>
          <w:p>
            <w:pPr>
              <w:pStyle w:val="Compact"/>
              <w:jc w:val="left"/>
            </w:pPr>
            <w:r>
              <w:t xml:space="preserve">General Counsel; Dr. Litvanova</w:t>
            </w:r>
          </w:p>
        </w:tc>
        <w:tc>
          <w:tcPr/>
          <w:p>
            <w:pPr>
              <w:pStyle w:val="Compact"/>
              <w:jc w:val="left"/>
            </w:pPr>
            <w:r>
              <w:t xml:space="preserve">Before initial filing</w:t>
            </w:r>
          </w:p>
        </w:tc>
      </w:tr>
      <w:tr>
        <w:tc>
          <w:tcPr/>
          <w:p>
            <w:pPr>
              <w:pStyle w:val="Compact"/>
              <w:jc w:val="left"/>
            </w:pPr>
            <w:r>
              <w:t xml:space="preserve">Vantara related-party disclosure and lender notice (Items 19, 30)</w:t>
            </w:r>
          </w:p>
        </w:tc>
        <w:tc>
          <w:tcPr/>
          <w:p>
            <w:pPr>
              <w:pStyle w:val="Compact"/>
              <w:jc w:val="left"/>
            </w:pPr>
            <w:r>
              <w:t xml:space="preserve">General Counsel; Audit Committee</w:t>
            </w:r>
          </w:p>
        </w:tc>
        <w:tc>
          <w:tcPr/>
          <w:p>
            <w:pPr>
              <w:pStyle w:val="Compact"/>
              <w:jc w:val="left"/>
            </w:pPr>
            <w:r>
              <w:t xml:space="preserve">Before initial filing</w:t>
            </w:r>
          </w:p>
        </w:tc>
      </w:tr>
      <w:tr>
        <w:tc>
          <w:tcPr/>
          <w:p>
            <w:pPr>
              <w:pStyle w:val="Compact"/>
              <w:jc w:val="left"/>
            </w:pPr>
            <w:r>
              <w:t xml:space="preserve">Controlled company election (Item 24)</w:t>
            </w:r>
          </w:p>
        </w:tc>
        <w:tc>
          <w:tcPr/>
          <w:p>
            <w:pPr>
              <w:pStyle w:val="Compact"/>
              <w:jc w:val="left"/>
            </w:pPr>
            <w:r>
              <w:t xml:space="preserve">Board; General Counsel</w:t>
            </w:r>
          </w:p>
        </w:tc>
        <w:tc>
          <w:tcPr/>
          <w:p>
            <w:pPr>
              <w:pStyle w:val="Compact"/>
              <w:jc w:val="left"/>
            </w:pPr>
            <w:r>
              <w:t xml:space="preserve">Before effectiveness</w:t>
            </w:r>
          </w:p>
        </w:tc>
      </w:tr>
      <w:tr>
        <w:tc>
          <w:tcPr/>
          <w:p>
            <w:pPr>
              <w:pStyle w:val="Compact"/>
              <w:jc w:val="left"/>
            </w:pPr>
            <w:r>
              <w:t xml:space="preserve">Revenue mix, restructuring, balance sheet corrections (Items 5, 6, 7)</w:t>
            </w:r>
          </w:p>
        </w:tc>
        <w:tc>
          <w:tcPr/>
          <w:p>
            <w:pPr>
              <w:pStyle w:val="Compact"/>
              <w:jc w:val="left"/>
            </w:pPr>
            <w:r>
              <w:t xml:space="preserve">CFO</w:t>
            </w:r>
          </w:p>
        </w:tc>
        <w:tc>
          <w:tcPr/>
          <w:p>
            <w:pPr>
              <w:pStyle w:val="Compact"/>
              <w:jc w:val="left"/>
            </w:pPr>
            <w:r>
              <w:t xml:space="preserve">Before initial filing</w:t>
            </w:r>
          </w:p>
        </w:tc>
      </w:tr>
      <w:tr>
        <w:tc>
          <w:tcPr/>
          <w:p>
            <w:pPr>
              <w:pStyle w:val="Compact"/>
              <w:jc w:val="left"/>
            </w:pPr>
            <w:r>
              <w:t xml:space="preserve">Professional services margin characterization (Item 20)</w:t>
            </w:r>
          </w:p>
        </w:tc>
        <w:tc>
          <w:tcPr/>
          <w:p>
            <w:pPr>
              <w:pStyle w:val="Compact"/>
              <w:jc w:val="left"/>
            </w:pPr>
            <w:r>
              <w:t xml:space="preserve">CFO; counsel</w:t>
            </w:r>
          </w:p>
        </w:tc>
        <w:tc>
          <w:tcPr/>
          <w:p>
            <w:pPr>
              <w:pStyle w:val="Compact"/>
              <w:jc w:val="left"/>
            </w:pPr>
            <w:r>
              <w:t xml:space="preserve">Before initial filing</w:t>
            </w:r>
          </w:p>
        </w:tc>
      </w:tr>
      <w:tr>
        <w:tc>
          <w:tcPr/>
          <w:p>
            <w:pPr>
              <w:pStyle w:val="Compact"/>
              <w:jc w:val="left"/>
            </w:pPr>
            <w:r>
              <w:t xml:space="preserve">Use of proceeds confirmation (Item 21)</w:t>
            </w:r>
          </w:p>
        </w:tc>
        <w:tc>
          <w:tcPr/>
          <w:p>
            <w:pPr>
              <w:pStyle w:val="Compact"/>
              <w:jc w:val="left"/>
            </w:pPr>
            <w:r>
              <w:t xml:space="preserve">CFO; Board</w:t>
            </w:r>
          </w:p>
        </w:tc>
        <w:tc>
          <w:tcPr/>
          <w:p>
            <w:pPr>
              <w:pStyle w:val="Compact"/>
              <w:jc w:val="left"/>
            </w:pPr>
            <w:r>
              <w:t xml:space="preserve">Before initial filing</w:t>
            </w:r>
          </w:p>
        </w:tc>
      </w:tr>
      <w:tr>
        <w:tc>
          <w:tcPr/>
          <w:p>
            <w:pPr>
              <w:pStyle w:val="Compact"/>
              <w:jc w:val="left"/>
            </w:pPr>
            <w:r>
              <w:t xml:space="preserve">Transfer agent and lender name confirmation (Items 12, 13)</w:t>
            </w:r>
          </w:p>
        </w:tc>
        <w:tc>
          <w:tcPr/>
          <w:p>
            <w:pPr>
              <w:pStyle w:val="Compact"/>
              <w:jc w:val="left"/>
            </w:pPr>
            <w:r>
              <w:t xml:space="preserve">General Counsel</w:t>
            </w:r>
          </w:p>
        </w:tc>
        <w:tc>
          <w:tcPr/>
          <w:p>
            <w:pPr>
              <w:pStyle w:val="Compact"/>
              <w:jc w:val="left"/>
            </w:pPr>
            <w:r>
              <w:t xml:space="preserve">Before initial filing</w:t>
            </w:r>
          </w:p>
        </w:tc>
      </w:tr>
      <w:tr>
        <w:tc>
          <w:tcPr/>
          <w:p>
            <w:pPr>
              <w:pStyle w:val="Compact"/>
              <w:jc w:val="left"/>
            </w:pPr>
            <w:r>
              <w:t xml:space="preserve">Series B participant / 5% holder confirmation (Item 14)</w:t>
            </w:r>
          </w:p>
        </w:tc>
        <w:tc>
          <w:tcPr/>
          <w:p>
            <w:pPr>
              <w:pStyle w:val="Compact"/>
              <w:jc w:val="left"/>
            </w:pPr>
            <w:r>
              <w:t xml:space="preserve">General Counsel; transfer agent</w:t>
            </w:r>
          </w:p>
        </w:tc>
        <w:tc>
          <w:tcPr/>
          <w:p>
            <w:pPr>
              <w:pStyle w:val="Compact"/>
              <w:jc w:val="left"/>
            </w:pPr>
            <w:r>
              <w:t xml:space="preserve">Before effectiveness</w:t>
            </w:r>
          </w:p>
        </w:tc>
      </w:tr>
      <w:tr>
        <w:tc>
          <w:tcPr/>
          <w:p>
            <w:pPr>
              <w:pStyle w:val="Compact"/>
              <w:jc w:val="left"/>
            </w:pPr>
            <w:r>
              <w:t xml:space="preserve">Beneficial ownership reconciliation (Items 15, 16, 17, 18)</w:t>
            </w:r>
          </w:p>
        </w:tc>
        <w:tc>
          <w:tcPr/>
          <w:p>
            <w:pPr>
              <w:pStyle w:val="Compact"/>
              <w:jc w:val="left"/>
            </w:pPr>
            <w:r>
              <w:t xml:space="preserve">CFO; transfer agent; counsel</w:t>
            </w:r>
          </w:p>
        </w:tc>
        <w:tc>
          <w:tcPr/>
          <w:p>
            <w:pPr>
              <w:pStyle w:val="Compact"/>
              <w:jc w:val="left"/>
            </w:pPr>
            <w:r>
              <w:t xml:space="preserve">Before effectiveness</w:t>
            </w:r>
          </w:p>
        </w:tc>
      </w:tr>
      <w:tr>
        <w:tc>
          <w:tcPr/>
          <w:p>
            <w:pPr>
              <w:pStyle w:val="Compact"/>
              <w:jc w:val="left"/>
            </w:pPr>
            <w:r>
              <w:t xml:space="preserve">Filing date / audit report date (Item 22)</w:t>
            </w:r>
          </w:p>
        </w:tc>
        <w:tc>
          <w:tcPr/>
          <w:p>
            <w:pPr>
              <w:pStyle w:val="Compact"/>
              <w:jc w:val="left"/>
            </w:pPr>
            <w:r>
              <w:t xml:space="preserve">General Counsel; Archer Pryce LLP</w:t>
            </w:r>
          </w:p>
        </w:tc>
        <w:tc>
          <w:tcPr/>
          <w:p>
            <w:pPr>
              <w:pStyle w:val="Compact"/>
              <w:jc w:val="left"/>
            </w:pPr>
            <w:r>
              <w:t xml:space="preserve">Before initial filing</w:t>
            </w:r>
          </w:p>
        </w:tc>
      </w:tr>
      <w:tr>
        <w:tc>
          <w:tcPr/>
          <w:p>
            <w:pPr>
              <w:pStyle w:val="Compact"/>
              <w:jc w:val="left"/>
            </w:pPr>
            <w:r>
              <w:t xml:space="preserve">Section 382 study (Item 28)</w:t>
            </w:r>
          </w:p>
        </w:tc>
        <w:tc>
          <w:tcPr/>
          <w:p>
            <w:pPr>
              <w:pStyle w:val="Compact"/>
              <w:jc w:val="left"/>
            </w:pPr>
            <w:r>
              <w:t xml:space="preserve">CFO; tax counsel</w:t>
            </w:r>
          </w:p>
        </w:tc>
        <w:tc>
          <w:tcPr/>
          <w:p>
            <w:pPr>
              <w:pStyle w:val="Compact"/>
              <w:jc w:val="left"/>
            </w:pPr>
            <w:r>
              <w:t xml:space="preserve">Before effectiveness (study); risk factor now</w:t>
            </w:r>
          </w:p>
        </w:tc>
      </w:tr>
      <w:tr>
        <w:tc>
          <w:tcPr/>
          <w:p>
            <w:pPr>
              <w:pStyle w:val="Compact"/>
              <w:jc w:val="left"/>
            </w:pPr>
            <w:r>
              <w:t xml:space="preserve">Director ages (Item 37)</w:t>
            </w:r>
          </w:p>
        </w:tc>
        <w:tc>
          <w:tcPr/>
          <w:p>
            <w:pPr>
              <w:pStyle w:val="Compact"/>
              <w:jc w:val="left"/>
            </w:pPr>
            <w:r>
              <w:t xml:space="preserve">General Counsel</w:t>
            </w:r>
          </w:p>
        </w:tc>
        <w:tc>
          <w:tcPr/>
          <w:p>
            <w:pPr>
              <w:pStyle w:val="Compact"/>
              <w:jc w:val="left"/>
            </w:pPr>
            <w:r>
              <w:t xml:space="preserve">Before effectiveness</w:t>
            </w:r>
          </w:p>
        </w:tc>
      </w:tr>
      <w:tr>
        <w:tc>
          <w:tcPr/>
          <w:p>
            <w:pPr>
              <w:pStyle w:val="Compact"/>
              <w:jc w:val="left"/>
            </w:pPr>
            <w:r>
              <w:t xml:space="preserve">Lock-up fund entities (Item 36)</w:t>
            </w:r>
          </w:p>
        </w:tc>
        <w:tc>
          <w:tcPr/>
          <w:p>
            <w:pPr>
              <w:pStyle w:val="Compact"/>
              <w:jc w:val="left"/>
            </w:pPr>
            <w:r>
              <w:t xml:space="preserve">General Counsel; underwriters’ counsel</w:t>
            </w:r>
          </w:p>
        </w:tc>
        <w:tc>
          <w:tcPr/>
          <w:p>
            <w:pPr>
              <w:pStyle w:val="Compact"/>
              <w:jc w:val="left"/>
            </w:pPr>
            <w:r>
              <w:t xml:space="preserve">Before pricing</w:t>
            </w:r>
          </w:p>
        </w:tc>
      </w:tr>
      <w:tr>
        <w:tc>
          <w:tcPr/>
          <w:p>
            <w:pPr>
              <w:pStyle w:val="Compact"/>
              <w:jc w:val="left"/>
            </w:pPr>
            <w:r>
              <w:t xml:space="preserve">ICFR / material weakness assessment (Item 34)</w:t>
            </w:r>
          </w:p>
        </w:tc>
        <w:tc>
          <w:tcPr/>
          <w:p>
            <w:pPr>
              <w:pStyle w:val="Compact"/>
              <w:jc w:val="left"/>
            </w:pPr>
            <w:r>
              <w:t xml:space="preserve">CFO; Archer Pryce LLP</w:t>
            </w:r>
          </w:p>
        </w:tc>
        <w:tc>
          <w:tcPr/>
          <w:p>
            <w:pPr>
              <w:pStyle w:val="Compact"/>
              <w:jc w:val="left"/>
            </w:pPr>
            <w:r>
              <w:t xml:space="preserve">Before initial filing</w:t>
            </w:r>
          </w:p>
        </w:tc>
      </w:tr>
    </w:tbl>
    <w:bookmarkEnd w:id="67"/>
    <w:bookmarkStart w:id="68" w:name="viii.-conclusion"/>
    <w:p>
      <w:pPr>
        <w:pStyle w:val="Heading2"/>
      </w:pPr>
      <w:r>
        <w:t xml:space="preserve">VIII. Conclusion</w:t>
      </w:r>
    </w:p>
    <w:p>
      <w:pPr>
        <w:pStyle w:val="FirstParagraph"/>
      </w:pPr>
      <w:r>
        <w:t xml:space="preserve">The source documents reflect a company that is, in most respects, well prepared for a public offering, with audited financial statements, a defined capitalization, a clear offering structure, and substantial supporting documentation. However, the documents also contain a number of inconsistencies — several of them material — that must be reconciled before the Form S-1 is filed and declared effective. The most significant items are: (i) the Adjusted EBITDA arithmetic error and the inconsistent FY2023 inputs; (ii) the term loan reconciliation across the financial statements, the cash flow statement, and the Term Loan Summary; (iii) the equity plan records that do not reconcile to the audited totals; (iv) the 409A valuation history and preferred-stock pricing inputs; (v) the board-size and co-founder naming inconsistencies; and (vi) the inconsistent related-party treatment of the Vantara Logistics transaction.</w:t>
      </w:r>
    </w:p>
    <w:p>
      <w:pPr>
        <w:pStyle w:val="BodyText"/>
      </w:pPr>
      <w:r>
        <w:t xml:space="preserve">We have prepared a draft Form S-1 that uses the audited financial statements as the source of truth for all financial figures, corrects the Adjusted EBITDA reconciliation, includes the Vantara related-party disclosure, and includes risk factors addressing the dual-class structure, controlled company status, the term loan, the Optivance litigation, the NOL/Section 382 risk, and the other items identified above. Where information is conflicting or not yet finalized, the draft uses [●] placeholders and footnotes that cross-reference this memorandum.</w:t>
      </w:r>
    </w:p>
    <w:p>
      <w:pPr>
        <w:pStyle w:val="BodyText"/>
      </w:pPr>
      <w:r>
        <w:t xml:space="preserve">We recommend that the working group prioritize the Priority 1 items immediately, with the goal of resolving them before the initial filing of the Form S-1, and that the Priority 2 items be resolved before effectiveness. We are available to discuss any of the foregoing and to assist in the reconciliation and correction process.</w:t>
      </w:r>
    </w:p>
    <w:p>
      <w:pPr>
        <w:pStyle w:val="BodyText"/>
      </w:pPr>
      <w:r>
        <w:t xml:space="preserve">This memorandum is privileged and confidential and is provided for the use of the Company and its counsel in connection with the proposed offering. It does not constitute a legal opinion on any specific matter and should not be relied upon by any third party.</w:t>
      </w:r>
    </w:p>
    <w:p>
      <w:pPr>
        <w:pStyle w:val="BodyText"/>
      </w:pPr>
      <w:r>
        <w:t xml:space="preserve">Respectfully submitted,</w:t>
      </w:r>
    </w:p>
    <w:p>
      <w:pPr>
        <w:pStyle w:val="BodyText"/>
      </w:pPr>
      <w:r>
        <w:rPr>
          <w:b/>
          <w:bCs/>
        </w:rPr>
        <w:t xml:space="preserve">Thorncroft &amp; Wexler LLP</w:t>
      </w:r>
    </w:p>
    <w:p>
      <w:pPr>
        <w:pStyle w:val="BodyText"/>
      </w:pPr>
      <w:r>
        <w:t xml:space="preserve">Sarah K. Norden</w:t>
      </w:r>
      <w:r>
        <w:t xml:space="preserve"> </w:t>
      </w:r>
      <w:r>
        <w:t xml:space="preserve">Lead Partner</w:t>
      </w:r>
    </w:p>
    <w:p>
      <w:pPr>
        <w:pStyle w:val="BodyText"/>
      </w:pPr>
      <w:r>
        <w:t xml:space="preserve">James T. Okafor</w:t>
      </w:r>
      <w:r>
        <w:t xml:space="preserve"> </w:t>
      </w:r>
      <w:r>
        <w:t xml:space="preserve">Associate</w:t>
      </w:r>
    </w:p>
    <w:p>
      <w:pPr>
        <w:pStyle w:val="BodyText"/>
      </w:pPr>
      <w:r>
        <w:t xml:space="preserve">610 Lexington Avenue, 38th Floor</w:t>
      </w:r>
      <w:r>
        <w:t xml:space="preserve"> </w:t>
      </w:r>
      <w:r>
        <w:t xml:space="preserve">New York, NY 10022</w:t>
      </w:r>
    </w:p>
    <w:p>
      <w:pPr>
        <w:pStyle w:val="BodyText"/>
      </w:pPr>
      <w:r>
        <w:rPr>
          <w:i/>
          <w:iCs/>
        </w:rPr>
        <w:t xml:space="preserve">Attorney-Client Privileged and Confidential — Attorney Work Product</w:t>
      </w:r>
    </w:p>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Issues Memorandum</dc:title>
  <dc:creator/>
  <cp:keywords/>
  <dcterms:created xsi:type="dcterms:W3CDTF">2026-06-28T21:36:00Z</dcterms:created>
  <dcterms:modified xsi:type="dcterms:W3CDTF">2026-06-28T21:36:00Z</dcterms:modified>
</cp:coreProperties>
</file>

<file path=docProps/custom.xml><?xml version="1.0" encoding="utf-8"?>
<Properties xmlns="http://schemas.openxmlformats.org/officeDocument/2006/custom-properties" xmlns:vt="http://schemas.openxmlformats.org/officeDocument/2006/docPropsVTypes"/>
</file>