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Crestline</w:t>
      </w:r>
      <w:r>
        <w:t xml:space="preserve"> </w:t>
      </w:r>
      <w:r>
        <w:t xml:space="preserve">Software,</w:t>
      </w:r>
      <w:r>
        <w:t xml:space="preserve"> </w:t>
      </w:r>
      <w:r>
        <w:t xml:space="preserve">Inc. —</w:t>
      </w:r>
      <w:r>
        <w:t xml:space="preserve"> </w:t>
      </w:r>
      <w:r>
        <w:t xml:space="preserve">Proposed</w:t>
      </w:r>
      <w:r>
        <w:t xml:space="preserve"> </w:t>
      </w:r>
      <w:r>
        <w:t xml:space="preserve">IPO</w:t>
      </w:r>
    </w:p>
    <w:bookmarkStart w:id="69" w:name="memorandum-privileged-and-confidential"/>
    <w:p>
      <w:pPr>
        <w:pStyle w:val="Heading1"/>
      </w:pPr>
      <w:r>
        <w:t xml:space="preserve">MEMORANDUM — PRIVILEGED AND CONFIDENTIAL</w:t>
      </w:r>
    </w:p>
    <w:p>
      <w:pPr>
        <w:pStyle w:val="FirstParagraph"/>
      </w:pPr>
      <w:r>
        <w:rPr>
          <w:b/>
          <w:bCs/>
        </w:rPr>
        <w:t xml:space="preserve">TO:</w:t>
      </w:r>
      <w:r>
        <w:t xml:space="preserve"> </w:t>
      </w:r>
      <w:r>
        <w:t xml:space="preserve">Sarah K. Norden, Lead Partner, and James T. Okafor, Associate, Thorncroft &amp; Wexler LLP; Michael D. Hartwell, Chief Financial Officer; Sandra Y. Chen, General Counsel and Corporate Secretary</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Inconsistencies, Disclosure Risks, and Open Items Identified in Connection with the Drafting of the Form S-1 Registration Statement for the Proposed Initial Public Offering of Crestline Software, Inc.</w:t>
      </w:r>
    </w:p>
    <w:p>
      <w:pPr>
        <w:pStyle w:val="BodyText"/>
      </w:pPr>
      <w:r>
        <w:rPr>
          <w:b/>
          <w:bCs/>
        </w:rPr>
        <w:t xml:space="preserve">CLASSIFICATION:</w:t>
      </w:r>
      <w:r>
        <w:t xml:space="preserve"> </w:t>
      </w:r>
      <w:r>
        <w:t xml:space="preserve">Attorney-Client Privileged / Work Product — Prepared at the Direction of Counsel</w:t>
      </w:r>
    </w:p>
    <w:bookmarkStart w:id="20" w:name="purpose-and-scope"/>
    <w:p>
      <w:pPr>
        <w:pStyle w:val="Heading2"/>
      </w:pPr>
      <w:r>
        <w:t xml:space="preserve">1. Purpose and Scope</w:t>
      </w:r>
    </w:p>
    <w:p>
      <w:pPr>
        <w:pStyle w:val="FirstParagraph"/>
      </w:pPr>
      <w:r>
        <w:t xml:space="preserve">This memorandum summarizes inconsistencies, errors, and disclosure risks identified during our review of the source documents made available in connection with the preparation of the draft Registration Statement on Form S-1 (the</w:t>
      </w:r>
      <w:r>
        <w:t xml:space="preserve"> </w:t>
      </w:r>
      <w:r>
        <w:t xml:space="preserve">“</w:t>
      </w:r>
      <w:r>
        <w:t xml:space="preserve">Form S-1</w:t>
      </w:r>
      <w:r>
        <w:t xml:space="preserve">”</w:t>
      </w:r>
      <w:r>
        <w:t xml:space="preserve">) for the proposed initial public offering of Crestline Software, Inc. (the</w:t>
      </w:r>
      <w:r>
        <w:t xml:space="preserve"> </w:t>
      </w:r>
      <w:r>
        <w:t xml:space="preserve">“</w:t>
      </w:r>
      <w:r>
        <w:t xml:space="preserve">Company</w:t>
      </w:r>
      <w:r>
        <w:t xml:space="preserve">”</w:t>
      </w:r>
      <w:r>
        <w:t xml:space="preserve">). The documents reviewed include: (i) the audited consolidated financial statements for fiscal years 2023 and 2024 (the</w:t>
      </w:r>
      <w:r>
        <w:t xml:space="preserve"> </w:t>
      </w:r>
      <w:r>
        <w:t xml:space="preserve">“</w:t>
      </w:r>
      <w:r>
        <w:t xml:space="preserve">Audited Financials</w:t>
      </w:r>
      <w:r>
        <w:t xml:space="preserve">”</w:t>
      </w:r>
      <w:r>
        <w:t xml:space="preserve">); (ii) the CFO’s IPO readiness memorandum dated February 14, 2025 (the</w:t>
      </w:r>
      <w:r>
        <w:t xml:space="preserve"> </w:t>
      </w:r>
      <w:r>
        <w:t xml:space="preserve">“</w:t>
      </w:r>
      <w:r>
        <w:t xml:space="preserve">CFO Memo</w:t>
      </w:r>
      <w:r>
        <w:t xml:space="preserve">”</w:t>
      </w:r>
      <w:r>
        <w:t xml:space="preserve">); (iii) the amended and restated certificate of incorporation and bylaws (the</w:t>
      </w:r>
      <w:r>
        <w:t xml:space="preserve"> </w:t>
      </w:r>
      <w:r>
        <w:t xml:space="preserve">“</w:t>
      </w:r>
      <w:r>
        <w:t xml:space="preserve">Charter Documents</w:t>
      </w:r>
      <w:r>
        <w:t xml:space="preserve">”</w:t>
      </w:r>
      <w:r>
        <w:t xml:space="preserve">); (iv) the underwriting term sheet and form of lock-up agreement (the</w:t>
      </w:r>
      <w:r>
        <w:t xml:space="preserve"> </w:t>
      </w:r>
      <w:r>
        <w:t xml:space="preserve">“</w:t>
      </w:r>
      <w:r>
        <w:t xml:space="preserve">Term Sheet</w:t>
      </w:r>
      <w:r>
        <w:t xml:space="preserve">”</w:t>
      </w:r>
      <w:r>
        <w:t xml:space="preserve">); (v) the term loan summary (the</w:t>
      </w:r>
      <w:r>
        <w:t xml:space="preserve"> </w:t>
      </w:r>
      <w:r>
        <w:t xml:space="preserve">“</w:t>
      </w:r>
      <w:r>
        <w:t xml:space="preserve">Term Loan Summary</w:t>
      </w:r>
      <w:r>
        <w:t xml:space="preserve">”</w:t>
      </w:r>
      <w:r>
        <w:t xml:space="preserve">); (vi) the director and officer questionnaire responses compiled by Thorncroft &amp; Wexler LLP (the</w:t>
      </w:r>
      <w:r>
        <w:t xml:space="preserve"> </w:t>
      </w:r>
      <w:r>
        <w:t xml:space="preserve">“</w:t>
      </w:r>
      <w:r>
        <w:t xml:space="preserve">Questionnaires</w:t>
      </w:r>
      <w:r>
        <w:t xml:space="preserve">”</w:t>
      </w:r>
      <w:r>
        <w:t xml:space="preserve">); (vii) the equity plan summary and grant records (the</w:t>
      </w:r>
      <w:r>
        <w:t xml:space="preserve"> </w:t>
      </w:r>
      <w:r>
        <w:t xml:space="preserve">“</w:t>
      </w:r>
      <w:r>
        <w:t xml:space="preserve">Equity Records</w:t>
      </w:r>
      <w:r>
        <w:t xml:space="preserve">”</w:t>
      </w:r>
      <w:r>
        <w:t xml:space="preserve">); and (viii) the draft roadshow presentation (the</w:t>
      </w:r>
      <w:r>
        <w:t xml:space="preserve"> </w:t>
      </w:r>
      <w:r>
        <w:t xml:space="preserve">“</w:t>
      </w:r>
      <w:r>
        <w:t xml:space="preserve">Roadshow</w:t>
      </w:r>
      <w:r>
        <w:t xml:space="preserve">”</w:t>
      </w:r>
      <w:r>
        <w:t xml:space="preserve">).</w:t>
      </w:r>
    </w:p>
    <w:p>
      <w:pPr>
        <w:pStyle w:val="BodyText"/>
      </w:pPr>
      <w:r>
        <w:t xml:space="preserve">Where the source documents conflict, the draft Form S-1 has been prepared using the Audited Financials as the authoritative source for financial figures and the Charter Documents as the authoritative source for governance and capital-stock matters, with bracketed drafting notes flagging the conflicts. This memorandum should be read together with those drafting notes. Each item below is rated by severity:</w:t>
      </w:r>
      <w:r>
        <w:t xml:space="preserve"> </w:t>
      </w:r>
      <w:r>
        <w:rPr>
          <w:b/>
          <w:bCs/>
        </w:rPr>
        <w:t xml:space="preserve">CRITICAL</w:t>
      </w:r>
      <w:r>
        <w:t xml:space="preserve"> </w:t>
      </w:r>
      <w:r>
        <w:t xml:space="preserve">(must be resolved before filing),</w:t>
      </w:r>
      <w:r>
        <w:t xml:space="preserve"> </w:t>
      </w:r>
      <w:r>
        <w:rPr>
          <w:b/>
          <w:bCs/>
        </w:rPr>
        <w:t xml:space="preserve">HIGH</w:t>
      </w:r>
      <w:r>
        <w:t xml:space="preserve"> </w:t>
      </w:r>
      <w:r>
        <w:t xml:space="preserve">(resolve before effectiveness / likely SEC comment), or</w:t>
      </w:r>
      <w:r>
        <w:t xml:space="preserve"> </w:t>
      </w:r>
      <w:r>
        <w:rPr>
          <w:b/>
          <w:bCs/>
        </w:rPr>
        <w:t xml:space="preserve">MEDIUM/LOW</w:t>
      </w:r>
      <w:r>
        <w:t xml:space="preserve"> </w:t>
      </w:r>
      <w:r>
        <w:t xml:space="preserve">(conform and confirm).</w:t>
      </w:r>
    </w:p>
    <w:bookmarkEnd w:id="20"/>
    <w:bookmarkStart w:id="21" w:name="executive-summary"/>
    <w:p>
      <w:pPr>
        <w:pStyle w:val="Heading2"/>
      </w:pPr>
      <w:r>
        <w:t xml:space="preserve">2. Executive Summary</w:t>
      </w:r>
    </w:p>
    <w:p>
      <w:pPr>
        <w:pStyle w:val="FirstParagraph"/>
      </w:pPr>
      <w:r>
        <w:t xml:space="preserve">The Company is, on the whole, in reasonable shape to proceed with the Form S-1. However, our review identified a number of material inconsistencies that, if not corrected, would likely generate SEC staff comments, create liability exposure under Sections 11 and 12 of the Securities Act, or both. The most significant are:</w:t>
      </w:r>
    </w:p>
    <w:p>
      <w:pPr>
        <w:numPr>
          <w:ilvl w:val="0"/>
          <w:numId w:val="1001"/>
        </w:numPr>
      </w:pPr>
      <w:r>
        <w:rPr>
          <w:b/>
          <w:bCs/>
        </w:rPr>
        <w:t xml:space="preserve">The Adjusted EBITDA figures in the CFO Memo and Roadshow do not reconcile.</w:t>
      </w:r>
      <w:r>
        <w:t xml:space="preserve"> </w:t>
      </w:r>
      <w:r>
        <w:t xml:space="preserve">The stated FY 2024 Adjusted EBITDA of $22.8 million is arithmetically wrong; the correct figure is $20.5 million. The FY 2023 figure of $7.6 million uses inputs that do not match the Audited Financials; the correct figure is $3.5 million. Presenting an incorrect non-GAAP reconciliation would violate Regulation G and Item 10(e) of Regulation S-K.</w:t>
      </w:r>
      <w:r>
        <w:t xml:space="preserve"> </w:t>
      </w:r>
      <w:r>
        <w:rPr>
          <w:b/>
          <w:bCs/>
        </w:rPr>
        <w:t xml:space="preserve">(CRITICAL)</w:t>
      </w:r>
    </w:p>
    <w:p>
      <w:pPr>
        <w:numPr>
          <w:ilvl w:val="0"/>
          <w:numId w:val="1001"/>
        </w:numPr>
      </w:pPr>
      <w:r>
        <w:rPr>
          <w:b/>
          <w:bCs/>
        </w:rPr>
        <w:t xml:space="preserve">The size and composition of the Board of Directors is inconsistent across documents.</w:t>
      </w:r>
      <w:r>
        <w:t xml:space="preserve"> </w:t>
      </w:r>
      <w:r>
        <w:t xml:space="preserve">The Charter Documents provide for a seven-member classified board that includes co-founder Katerina</w:t>
      </w:r>
      <w:r>
        <w:t xml:space="preserve"> </w:t>
      </w:r>
      <w:r>
        <w:t xml:space="preserve">“</w:t>
      </w:r>
      <w:r>
        <w:t xml:space="preserve">Kate</w:t>
      </w:r>
      <w:r>
        <w:t xml:space="preserve">”</w:t>
      </w:r>
      <w:r>
        <w:t xml:space="preserve"> </w:t>
      </w:r>
      <w:r>
        <w:t xml:space="preserve">Litvak as a Class III director, while the Questionnaires, CFO Memo, and Term Sheet state that the Board consists of six members and that Ms. Litvak does not serve as a director. This must be reconciled before the Management and Corporate Governance sections can be finalized.</w:t>
      </w:r>
      <w:r>
        <w:t xml:space="preserve"> </w:t>
      </w:r>
      <w:r>
        <w:rPr>
          <w:b/>
          <w:bCs/>
        </w:rPr>
        <w:t xml:space="preserve">(CRITICAL)</w:t>
      </w:r>
    </w:p>
    <w:p>
      <w:pPr>
        <w:numPr>
          <w:ilvl w:val="0"/>
          <w:numId w:val="1001"/>
        </w:numPr>
      </w:pPr>
      <w:r>
        <w:rPr>
          <w:b/>
          <w:bCs/>
        </w:rPr>
        <w:t xml:space="preserve">The co-founder/CTO’s surname is inconsistent across documents</w:t>
      </w:r>
      <w:r>
        <w:t xml:space="preserve"> </w:t>
      </w:r>
      <w:r>
        <w:t xml:space="preserve">(</w:t>
      </w:r>
      <w:r>
        <w:t xml:space="preserve">“</w:t>
      </w:r>
      <w:r>
        <w:t xml:space="preserve">Litvanova</w:t>
      </w:r>
      <w:r>
        <w:t xml:space="preserve">”</w:t>
      </w:r>
      <w:r>
        <w:t xml:space="preserve"> </w:t>
      </w:r>
      <w:r>
        <w:t xml:space="preserve">vs. </w:t>
      </w:r>
      <w:r>
        <w:t xml:space="preserve">“</w:t>
      </w:r>
      <w:r>
        <w:t xml:space="preserve">Litvak</w:t>
      </w:r>
      <w:r>
        <w:t xml:space="preserve">”</w:t>
      </w:r>
      <w:r>
        <w:t xml:space="preserve">). The Charter Documents, Term Sheet, Term Loan Summary, and Roadshow use</w:t>
      </w:r>
      <w:r>
        <w:t xml:space="preserve"> </w:t>
      </w:r>
      <w:r>
        <w:t xml:space="preserve">“</w:t>
      </w:r>
      <w:r>
        <w:t xml:space="preserve">Litvak</w:t>
      </w:r>
      <w:r>
        <w:t xml:space="preserve">”</w:t>
      </w:r>
      <w:r>
        <w:t xml:space="preserve">; the CFO Memo and portions of the Equity Records and Questionnaires use</w:t>
      </w:r>
      <w:r>
        <w:t xml:space="preserve"> </w:t>
      </w:r>
      <w:r>
        <w:t xml:space="preserve">“</w:t>
      </w:r>
      <w:r>
        <w:t xml:space="preserve">Litvanova.</w:t>
      </w:r>
      <w:r>
        <w:t xml:space="preserve">”</w:t>
      </w:r>
      <w:r>
        <w:t xml:space="preserve"> </w:t>
      </w:r>
      <w:r>
        <w:t xml:space="preserve">The correct legal name must be confirmed and conformed throughout.</w:t>
      </w:r>
      <w:r>
        <w:t xml:space="preserve"> </w:t>
      </w:r>
      <w:r>
        <w:rPr>
          <w:b/>
          <w:bCs/>
        </w:rPr>
        <w:t xml:space="preserve">(CRITICAL)</w:t>
      </w:r>
    </w:p>
    <w:p>
      <w:pPr>
        <w:numPr>
          <w:ilvl w:val="0"/>
          <w:numId w:val="1001"/>
        </w:numPr>
      </w:pPr>
      <w:r>
        <w:rPr>
          <w:b/>
          <w:bCs/>
        </w:rPr>
        <w:t xml:space="preserve">The term loan origination date is inconsistent.</w:t>
      </w:r>
      <w:r>
        <w:t xml:space="preserve"> </w:t>
      </w:r>
      <w:r>
        <w:t xml:space="preserve">The Audited Financials (Note 8) state the facility was entered into in June 2023; the Term Loan Summary states the Credit Agreement is dated December 15, 2022. The draw history in the cash flow statement does not cleanly reconcile to the $40.0 million balance reported at both year-ends.</w:t>
      </w:r>
      <w:r>
        <w:t xml:space="preserve"> </w:t>
      </w:r>
      <w:r>
        <w:rPr>
          <w:b/>
          <w:bCs/>
        </w:rPr>
        <w:t xml:space="preserve">(HIGH)</w:t>
      </w:r>
    </w:p>
    <w:p>
      <w:pPr>
        <w:numPr>
          <w:ilvl w:val="0"/>
          <w:numId w:val="1001"/>
        </w:numPr>
      </w:pPr>
      <w:r>
        <w:rPr>
          <w:b/>
          <w:bCs/>
        </w:rPr>
        <w:t xml:space="preserve">The 409A valuation history in the Equity Records does not match the Audited Financials (Note 12),</w:t>
      </w:r>
      <w:r>
        <w:t xml:space="preserve"> </w:t>
      </w:r>
      <w:r>
        <w:t xml:space="preserve">and the Equity Records’ descriptions of the Series A and Series B financing terms conflict with the Audited Financials. These discrepancies bear on the cheap-stock analysis and the stock-based compensation footnote.</w:t>
      </w:r>
      <w:r>
        <w:t xml:space="preserve"> </w:t>
      </w:r>
      <w:r>
        <w:rPr>
          <w:b/>
          <w:bCs/>
        </w:rPr>
        <w:t xml:space="preserve">(HIGH)</w:t>
      </w:r>
    </w:p>
    <w:p>
      <w:pPr>
        <w:numPr>
          <w:ilvl w:val="0"/>
          <w:numId w:val="1001"/>
        </w:numPr>
      </w:pPr>
      <w:r>
        <w:rPr>
          <w:b/>
          <w:bCs/>
        </w:rPr>
        <w:t xml:space="preserve">The Vantara Logistics related-party relationship is inconsistently disclosed.</w:t>
      </w:r>
      <w:r>
        <w:t xml:space="preserve"> </w:t>
      </w:r>
      <w:r>
        <w:t xml:space="preserve">It is disclosed as a related party in the Questionnaires but treated as an ordinary customer in the CFO Memo and Roadshow. Item 404 of Regulation S-K requires full disclosure.</w:t>
      </w:r>
      <w:r>
        <w:t xml:space="preserve"> </w:t>
      </w:r>
      <w:r>
        <w:rPr>
          <w:b/>
          <w:bCs/>
        </w:rPr>
        <w:t xml:space="preserve">(HIGH)</w:t>
      </w:r>
    </w:p>
    <w:p>
      <w:pPr>
        <w:numPr>
          <w:ilvl w:val="0"/>
          <w:numId w:val="1001"/>
        </w:numPr>
      </w:pPr>
      <w:r>
        <w:rPr>
          <w:b/>
          <w:bCs/>
        </w:rPr>
        <w:t xml:space="preserve">The Company has not adopted a formal Board resolution electing to rely on the Nasdaq controlled-company exemption,</w:t>
      </w:r>
      <w:r>
        <w:t xml:space="preserve"> </w:t>
      </w:r>
      <w:r>
        <w:t xml:space="preserve">and the dual-class structure has no sunset provision.</w:t>
      </w:r>
      <w:r>
        <w:t xml:space="preserve"> </w:t>
      </w:r>
      <w:r>
        <w:rPr>
          <w:b/>
          <w:bCs/>
        </w:rPr>
        <w:t xml:space="preserve">(HIGH)</w:t>
      </w:r>
    </w:p>
    <w:p>
      <w:pPr>
        <w:numPr>
          <w:ilvl w:val="0"/>
          <w:numId w:val="1001"/>
        </w:numPr>
      </w:pPr>
      <w:r>
        <w:rPr>
          <w:b/>
          <w:bCs/>
        </w:rPr>
        <w:t xml:space="preserve">The professional services business is described as</w:t>
      </w:r>
      <w:r>
        <w:rPr>
          <w:b/>
          <w:bCs/>
        </w:rPr>
        <w:t xml:space="preserve"> </w:t>
      </w:r>
      <w:r>
        <w:rPr>
          <w:b/>
          <w:bCs/>
        </w:rPr>
        <w:t xml:space="preserve">“</w:t>
      </w:r>
      <w:r>
        <w:rPr>
          <w:b/>
          <w:bCs/>
        </w:rPr>
        <w:t xml:space="preserve">high-margin</w:t>
      </w:r>
      <w:r>
        <w:rPr>
          <w:b/>
          <w:bCs/>
        </w:rPr>
        <w:t xml:space="preserve">”</w:t>
      </w:r>
      <w:r>
        <w:rPr>
          <w:b/>
          <w:bCs/>
        </w:rPr>
        <w:t xml:space="preserve"> </w:t>
      </w:r>
      <w:r>
        <w:rPr>
          <w:b/>
          <w:bCs/>
        </w:rPr>
        <w:t xml:space="preserve">in the Roadshow but operates at a negative gross margin</w:t>
      </w:r>
      <w:r>
        <w:t xml:space="preserve"> </w:t>
      </w:r>
      <w:r>
        <w:t xml:space="preserve">(approximately (0.5)%) per the Audited Financials.</w:t>
      </w:r>
      <w:r>
        <w:t xml:space="preserve"> </w:t>
      </w:r>
      <w:r>
        <w:rPr>
          <w:b/>
          <w:bCs/>
        </w:rPr>
        <w:t xml:space="preserve">(HIGH)</w:t>
      </w:r>
    </w:p>
    <w:p>
      <w:pPr>
        <w:pStyle w:val="FirstParagraph"/>
      </w:pPr>
      <w:r>
        <w:t xml:space="preserve">The remaining items are detailed in Sections 3 through 10 below, together with recommended actions.</w:t>
      </w:r>
    </w:p>
    <w:bookmarkEnd w:id="21"/>
    <w:bookmarkStart w:id="27" w:name="X5de1bc847fdef11ca09a38f5881e6973e8ef70d"/>
    <w:p>
      <w:pPr>
        <w:pStyle w:val="Heading2"/>
      </w:pPr>
      <w:r>
        <w:t xml:space="preserve">3. Financial Statement and Non-GAAP Inconsistencies</w:t>
      </w:r>
    </w:p>
    <w:bookmarkStart w:id="22" w:name="X445c0014b2b21fdd95e74989c83f4db6948127d"/>
    <w:p>
      <w:pPr>
        <w:pStyle w:val="Heading3"/>
      </w:pPr>
      <w:r>
        <w:t xml:space="preserve">3.1 Adjusted EBITDA does not reconcile (CRITICAL)</w:t>
      </w:r>
    </w:p>
    <w:p>
      <w:pPr>
        <w:pStyle w:val="FirstParagraph"/>
      </w:pPr>
      <w:r>
        <w:t xml:space="preserve">The CFO Memo (Section 5.2) and the Roadshow (Slides 3, 23, 34, and 35) present FY 2024 Adjusted EBITDA of $22.8 million (12.2% margin). The stated add-backs do not sum to that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 (FY 2024, $ millions)</w:t>
            </w:r>
          </w:p>
        </w:tc>
        <w:tc>
          <w:tcPr/>
          <w:p>
            <w:pPr>
              <w:pStyle w:val="Compact"/>
              <w:jc w:val="left"/>
            </w:pPr>
            <w:r>
              <w:t xml:space="preserve">Amount</w:t>
            </w:r>
          </w:p>
        </w:tc>
      </w:tr>
      <w:tr>
        <w:tc>
          <w:tcPr/>
          <w:p>
            <w:pPr>
              <w:pStyle w:val="Compact"/>
              <w:jc w:val="left"/>
            </w:pPr>
            <w:r>
              <w:t xml:space="preserve">Net loss (GAAP)</w:t>
            </w:r>
          </w:p>
        </w:tc>
        <w:tc>
          <w:tcPr/>
          <w:p>
            <w:pPr>
              <w:pStyle w:val="Compact"/>
              <w:jc w:val="left"/>
            </w:pPr>
            <w:r>
              <w:t xml:space="preserve">(24.8)</w:t>
            </w:r>
          </w:p>
        </w:tc>
      </w:tr>
      <w:tr>
        <w:tc>
          <w:tcPr/>
          <w:p>
            <w:pPr>
              <w:pStyle w:val="Compact"/>
              <w:jc w:val="left"/>
            </w:pPr>
            <w:r>
              <w:t xml:space="preserve">Depreciation and amortization</w:t>
            </w:r>
          </w:p>
        </w:tc>
        <w:tc>
          <w:tcPr/>
          <w:p>
            <w:pPr>
              <w:pStyle w:val="Compact"/>
              <w:jc w:val="left"/>
            </w:pPr>
            <w:r>
              <w:t xml:space="preserve">8.7</w:t>
            </w:r>
          </w:p>
        </w:tc>
      </w:tr>
      <w:tr>
        <w:tc>
          <w:tcPr/>
          <w:p>
            <w:pPr>
              <w:pStyle w:val="Compact"/>
              <w:jc w:val="left"/>
            </w:pPr>
            <w:r>
              <w:t xml:space="preserve">Stock-based compensation</w:t>
            </w:r>
          </w:p>
        </w:tc>
        <w:tc>
          <w:tcPr/>
          <w:p>
            <w:pPr>
              <w:pStyle w:val="Compact"/>
              <w:jc w:val="left"/>
            </w:pPr>
            <w:r>
              <w:t xml:space="preserve">38.2</w:t>
            </w:r>
          </w:p>
        </w:tc>
      </w:tr>
      <w:tr>
        <w:tc>
          <w:tcPr/>
          <w:p>
            <w:pPr>
              <w:pStyle w:val="Compact"/>
              <w:jc w:val="left"/>
            </w:pPr>
            <w:r>
              <w:t xml:space="preserve">Interest expense</w:t>
            </w:r>
          </w:p>
        </w:tc>
        <w:tc>
          <w:tcPr/>
          <w:p>
            <w:pPr>
              <w:pStyle w:val="Compact"/>
              <w:jc w:val="left"/>
            </w:pPr>
            <w:r>
              <w:t xml:space="preserve">3.1</w:t>
            </w:r>
          </w:p>
        </w:tc>
      </w:tr>
      <w:tr>
        <w:tc>
          <w:tcPr/>
          <w:p>
            <w:pPr>
              <w:pStyle w:val="Compact"/>
              <w:jc w:val="left"/>
            </w:pPr>
            <w:r>
              <w:t xml:space="preserve">Interest income</w:t>
            </w:r>
          </w:p>
        </w:tc>
        <w:tc>
          <w:tcPr/>
          <w:p>
            <w:pPr>
              <w:pStyle w:val="Compact"/>
              <w:jc w:val="left"/>
            </w:pPr>
            <w:r>
              <w:t xml:space="preserve">(6.2)</w:t>
            </w:r>
          </w:p>
        </w:tc>
      </w:tr>
      <w:tr>
        <w:tc>
          <w:tcPr/>
          <w:p>
            <w:pPr>
              <w:pStyle w:val="Compact"/>
              <w:jc w:val="left"/>
            </w:pPr>
            <w:r>
              <w:t xml:space="preserve">Income tax provision</w:t>
            </w:r>
          </w:p>
        </w:tc>
        <w:tc>
          <w:tcPr/>
          <w:p>
            <w:pPr>
              <w:pStyle w:val="Compact"/>
              <w:jc w:val="left"/>
            </w:pPr>
            <w:r>
              <w:t xml:space="preserve">0.3</w:t>
            </w:r>
          </w:p>
        </w:tc>
      </w:tr>
      <w:tr>
        <w:tc>
          <w:tcPr/>
          <w:p>
            <w:pPr>
              <w:pStyle w:val="Compact"/>
              <w:jc w:val="left"/>
            </w:pPr>
            <w:r>
              <w:t xml:space="preserve">Restructuring charges</w:t>
            </w:r>
          </w:p>
        </w:tc>
        <w:tc>
          <w:tcPr/>
          <w:p>
            <w:pPr>
              <w:pStyle w:val="Compact"/>
              <w:jc w:val="left"/>
            </w:pPr>
            <w:r>
              <w:t xml:space="preserve">1.2</w:t>
            </w:r>
          </w:p>
        </w:tc>
      </w:tr>
      <w:tr>
        <w:tc>
          <w:tcPr/>
          <w:p>
            <w:pPr>
              <w:pStyle w:val="Compact"/>
              <w:jc w:val="left"/>
            </w:pPr>
            <w:r>
              <w:rPr>
                <w:b/>
                <w:bCs/>
              </w:rPr>
              <w:t xml:space="preserve">Adjusted EBITDA (correct)</w:t>
            </w:r>
          </w:p>
        </w:tc>
        <w:tc>
          <w:tcPr/>
          <w:p>
            <w:pPr>
              <w:pStyle w:val="Compact"/>
              <w:jc w:val="left"/>
            </w:pPr>
            <w:r>
              <w:rPr>
                <w:b/>
                <w:bCs/>
              </w:rPr>
              <w:t xml:space="preserve">20.5</w:t>
            </w:r>
          </w:p>
        </w:tc>
      </w:tr>
    </w:tbl>
    <w:p>
      <w:pPr>
        <w:pStyle w:val="BodyText"/>
      </w:pPr>
      <w:r>
        <w:t xml:space="preserve">The correct FY 2024 Adjusted EBITDA is</w:t>
      </w:r>
      <w:r>
        <w:t xml:space="preserve"> </w:t>
      </w:r>
      <w:r>
        <w:rPr>
          <w:b/>
          <w:bCs/>
        </w:rPr>
        <w:t xml:space="preserve">$20.5 million</w:t>
      </w:r>
      <w:r>
        <w:t xml:space="preserve"> </w:t>
      </w:r>
      <w:r>
        <w:t xml:space="preserve">(10.9% margin), not $22.8 million. The $2.3 million discrepancy is unexplained. The Roadshow’s own speaker notes acknowledge this error.</w:t>
      </w:r>
    </w:p>
    <w:p>
      <w:pPr>
        <w:pStyle w:val="BodyText"/>
      </w:pPr>
      <w:r>
        <w:t xml:space="preserve">For FY 2023, the CFO Memo presents Adjusted EBITDA of $7.6 million, but several inputs do not match the Audited Financials: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CFO Memo (FY 2023)</w:t>
            </w:r>
          </w:p>
        </w:tc>
        <w:tc>
          <w:tcPr/>
          <w:p>
            <w:pPr>
              <w:pStyle w:val="Compact"/>
              <w:jc w:val="left"/>
            </w:pPr>
            <w:r>
              <w:t xml:space="preserve">Audited Financials (FY 2023)</w:t>
            </w:r>
          </w:p>
        </w:tc>
      </w:tr>
      <w:tr>
        <w:tc>
          <w:tcPr/>
          <w:p>
            <w:pPr>
              <w:pStyle w:val="Compact"/>
              <w:jc w:val="left"/>
            </w:pPr>
            <w:r>
              <w:t xml:space="preserve">Depreciation and amortization</w:t>
            </w:r>
          </w:p>
        </w:tc>
        <w:tc>
          <w:tcPr/>
          <w:p>
            <w:pPr>
              <w:pStyle w:val="Compact"/>
              <w:jc w:val="left"/>
            </w:pPr>
            <w:r>
              <w:t xml:space="preserve">$6.9M</w:t>
            </w:r>
          </w:p>
        </w:tc>
        <w:tc>
          <w:tcPr/>
          <w:p>
            <w:pPr>
              <w:pStyle w:val="Compact"/>
              <w:jc w:val="left"/>
            </w:pPr>
            <w:r>
              <w:t xml:space="preserve">$7.1M</w:t>
            </w:r>
          </w:p>
        </w:tc>
      </w:tr>
      <w:tr>
        <w:tc>
          <w:tcPr/>
          <w:p>
            <w:pPr>
              <w:pStyle w:val="Compact"/>
              <w:jc w:val="left"/>
            </w:pPr>
            <w:r>
              <w:t xml:space="preserve">Stock-based compensation</w:t>
            </w:r>
          </w:p>
        </w:tc>
        <w:tc>
          <w:tcPr/>
          <w:p>
            <w:pPr>
              <w:pStyle w:val="Compact"/>
              <w:jc w:val="left"/>
            </w:pPr>
            <w:r>
              <w:t xml:space="preserve">$29.1M</w:t>
            </w:r>
          </w:p>
        </w:tc>
        <w:tc>
          <w:tcPr/>
          <w:p>
            <w:pPr>
              <w:pStyle w:val="Compact"/>
              <w:jc w:val="left"/>
            </w:pPr>
            <w:r>
              <w:t xml:space="preserve">$26.4M</w:t>
            </w:r>
          </w:p>
        </w:tc>
      </w:tr>
      <w:tr>
        <w:tc>
          <w:tcPr/>
          <w:p>
            <w:pPr>
              <w:pStyle w:val="Compact"/>
              <w:jc w:val="left"/>
            </w:pPr>
            <w:r>
              <w:t xml:space="preserve">Interest expense</w:t>
            </w:r>
          </w:p>
        </w:tc>
        <w:tc>
          <w:tcPr/>
          <w:p>
            <w:pPr>
              <w:pStyle w:val="Compact"/>
              <w:jc w:val="left"/>
            </w:pPr>
            <w:r>
              <w:t xml:space="preserve">$2.8M</w:t>
            </w:r>
          </w:p>
        </w:tc>
        <w:tc>
          <w:tcPr/>
          <w:p>
            <w:pPr>
              <w:pStyle w:val="Compact"/>
              <w:jc w:val="left"/>
            </w:pPr>
            <w:r>
              <w:t xml:space="preserve">$3.1M</w:t>
            </w:r>
          </w:p>
        </w:tc>
      </w:tr>
      <w:tr>
        <w:tc>
          <w:tcPr/>
          <w:p>
            <w:pPr>
              <w:pStyle w:val="Compact"/>
              <w:jc w:val="left"/>
            </w:pPr>
            <w:r>
              <w:t xml:space="preserve">Interest income</w:t>
            </w:r>
          </w:p>
        </w:tc>
        <w:tc>
          <w:tcPr/>
          <w:p>
            <w:pPr>
              <w:pStyle w:val="Compact"/>
              <w:jc w:val="left"/>
            </w:pPr>
            <w:r>
              <w:t xml:space="preserve">$4.6M</w:t>
            </w:r>
          </w:p>
        </w:tc>
        <w:tc>
          <w:tcPr/>
          <w:p>
            <w:pPr>
              <w:pStyle w:val="Compact"/>
              <w:jc w:val="left"/>
            </w:pPr>
            <w:r>
              <w:t xml:space="preserve">$5.8M</w:t>
            </w:r>
          </w:p>
        </w:tc>
      </w:tr>
      <w:tr>
        <w:tc>
          <w:tcPr/>
          <w:p>
            <w:pPr>
              <w:pStyle w:val="Compact"/>
              <w:jc w:val="left"/>
            </w:pPr>
            <w:r>
              <w:t xml:space="preserve">Income tax provision</w:t>
            </w:r>
          </w:p>
        </w:tc>
        <w:tc>
          <w:tcPr/>
          <w:p>
            <w:pPr>
              <w:pStyle w:val="Compact"/>
              <w:jc w:val="left"/>
            </w:pPr>
            <w:r>
              <w:t xml:space="preserve">$0.2M</w:t>
            </w:r>
          </w:p>
        </w:tc>
        <w:tc>
          <w:tcPr/>
          <w:p>
            <w:pPr>
              <w:pStyle w:val="Compact"/>
              <w:jc w:val="left"/>
            </w:pPr>
            <w:r>
              <w:t xml:space="preserve">$0.1M</w:t>
            </w:r>
          </w:p>
        </w:tc>
      </w:tr>
      <w:tr>
        <w:tc>
          <w:tcPr/>
          <w:p>
            <w:pPr>
              <w:pStyle w:val="Compact"/>
              <w:jc w:val="left"/>
            </w:pPr>
            <w:r>
              <w:t xml:space="preserve">Restructuring charges</w:t>
            </w:r>
          </w:p>
        </w:tc>
        <w:tc>
          <w:tcPr/>
          <w:p>
            <w:pPr>
              <w:pStyle w:val="Compact"/>
              <w:jc w:val="left"/>
            </w:pPr>
            <w:r>
              <w:t xml:space="preserve">$0.6M</w:t>
            </w:r>
          </w:p>
        </w:tc>
        <w:tc>
          <w:tcPr/>
          <w:p>
            <w:pPr>
              <w:pStyle w:val="Compact"/>
              <w:jc w:val="left"/>
            </w:pPr>
            <w:r>
              <w:t xml:space="preserve">$0.0M (none recorded)</w:t>
            </w:r>
          </w:p>
        </w:tc>
      </w:tr>
    </w:tbl>
    <w:p>
      <w:pPr>
        <w:pStyle w:val="BodyText"/>
      </w:pPr>
      <w:r>
        <w:t xml:space="preserve">Using inputs consistent with the Audited Financials, FY 2023 Adjusted EBITDA is</w:t>
      </w:r>
      <w:r>
        <w:t xml:space="preserve"> </w:t>
      </w:r>
      <w:r>
        <w:rPr>
          <w:b/>
          <w:bCs/>
        </w:rPr>
        <w:t xml:space="preserve">$3.5 million</w:t>
      </w:r>
      <w:r>
        <w:t xml:space="preserve"> </w:t>
      </w:r>
      <w:r>
        <w:t xml:space="preserve">(2.7% margin), not $7.6 million. Notably, the Audited Financials record no restructuring charges in FY 2023 (the restructuring occurred in Q3 2024), so the $0.6 million FY 2023 restructuring add-back in the CFO Memo is unsupported.</w:t>
      </w:r>
    </w:p>
    <w:p>
      <w:pPr>
        <w:pStyle w:val="BodyText"/>
      </w:pPr>
      <w:r>
        <w:rPr>
          <w:b/>
          <w:bCs/>
        </w:rPr>
        <w:t xml:space="preserve">Recommendation:</w:t>
      </w:r>
      <w:r>
        <w:t xml:space="preserve"> </w:t>
      </w:r>
      <w:r>
        <w:t xml:space="preserve">The Form S-1 presents the corrected figures ($20.5 million for FY 2024 and $3.5 million for FY 2023) with a reconciliation that foots. Confirm the Company’s Adjusted EBITDA definition with the CFO and auditor, recompute both years, and ensure the Roadshow and any other investor materials are conformed. An incorrect non-GAAP reconciliation in a filed registration statement is a Regulation G / Item 10(e) violation and a near-certain SEC comment.</w:t>
      </w:r>
    </w:p>
    <w:bookmarkEnd w:id="22"/>
    <w:bookmarkStart w:id="23" w:name="X01737018c105aa9c4b738d00a6b9c9966e3490e"/>
    <w:p>
      <w:pPr>
        <w:pStyle w:val="Heading3"/>
      </w:pPr>
      <w:r>
        <w:t xml:space="preserve">3.2 FY 2023 revenue mix is misstated in the CFO Memo (HIGH)</w:t>
      </w:r>
    </w:p>
    <w:p>
      <w:pPr>
        <w:pStyle w:val="FirstParagraph"/>
      </w:pPr>
      <w:r>
        <w:t xml:space="preserve">The CFO Memo (Section 4.1) states FY 2023 subscription revenue of $113.4 million and professional services revenue of $15.5 million. The Audited Financials state FY 2023 subscription revenue of $116.4 million and professional services revenue of $12.5 million. The $15.5 million figure equals the FY 2023 professional services cost of revenue (Note 4), suggesting the CFO Memo mistakenly used professional services cost of revenue as professional services revenue. The total ($128.9 million) is correct, but the mix and the resulting growth rates are wrong: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CFO Memo</w:t>
            </w:r>
          </w:p>
        </w:tc>
        <w:tc>
          <w:tcPr/>
          <w:p>
            <w:pPr>
              <w:pStyle w:val="Compact"/>
              <w:jc w:val="left"/>
            </w:pPr>
            <w:r>
              <w:t xml:space="preserve">Audited (correct)</w:t>
            </w:r>
          </w:p>
        </w:tc>
      </w:tr>
      <w:tr>
        <w:tc>
          <w:tcPr/>
          <w:p>
            <w:pPr>
              <w:pStyle w:val="Compact"/>
              <w:jc w:val="left"/>
            </w:pPr>
            <w:r>
              <w:t xml:space="preserve">FY 2023 subscription revenue</w:t>
            </w:r>
          </w:p>
        </w:tc>
        <w:tc>
          <w:tcPr/>
          <w:p>
            <w:pPr>
              <w:pStyle w:val="Compact"/>
              <w:jc w:val="left"/>
            </w:pPr>
            <w:r>
              <w:t xml:space="preserve">$113.4M</w:t>
            </w:r>
          </w:p>
        </w:tc>
        <w:tc>
          <w:tcPr/>
          <w:p>
            <w:pPr>
              <w:pStyle w:val="Compact"/>
              <w:jc w:val="left"/>
            </w:pPr>
            <w:r>
              <w:t xml:space="preserve">$116.4M</w:t>
            </w:r>
          </w:p>
        </w:tc>
      </w:tr>
      <w:tr>
        <w:tc>
          <w:tcPr/>
          <w:p>
            <w:pPr>
              <w:pStyle w:val="Compact"/>
              <w:jc w:val="left"/>
            </w:pPr>
            <w:r>
              <w:t xml:space="preserve">FY 2023 professional services revenue</w:t>
            </w:r>
          </w:p>
        </w:tc>
        <w:tc>
          <w:tcPr/>
          <w:p>
            <w:pPr>
              <w:pStyle w:val="Compact"/>
              <w:jc w:val="left"/>
            </w:pPr>
            <w:r>
              <w:t xml:space="preserve">$15.5M</w:t>
            </w:r>
          </w:p>
        </w:tc>
        <w:tc>
          <w:tcPr/>
          <w:p>
            <w:pPr>
              <w:pStyle w:val="Compact"/>
              <w:jc w:val="left"/>
            </w:pPr>
            <w:r>
              <w:t xml:space="preserve">$12.5M</w:t>
            </w:r>
          </w:p>
        </w:tc>
      </w:tr>
      <w:tr>
        <w:tc>
          <w:tcPr/>
          <w:p>
            <w:pPr>
              <w:pStyle w:val="Compact"/>
              <w:jc w:val="left"/>
            </w:pPr>
            <w:r>
              <w:t xml:space="preserve">Subscription YoY growth</w:t>
            </w:r>
          </w:p>
        </w:tc>
        <w:tc>
          <w:tcPr/>
          <w:p>
            <w:pPr>
              <w:pStyle w:val="Compact"/>
              <w:jc w:val="left"/>
            </w:pPr>
            <w:r>
              <w:t xml:space="preserve">48.7%</w:t>
            </w:r>
          </w:p>
        </w:tc>
        <w:tc>
          <w:tcPr/>
          <w:p>
            <w:pPr>
              <w:pStyle w:val="Compact"/>
              <w:jc w:val="left"/>
            </w:pPr>
            <w:r>
              <w:t xml:space="preserve">44.8%</w:t>
            </w:r>
          </w:p>
        </w:tc>
      </w:tr>
      <w:tr>
        <w:tc>
          <w:tcPr/>
          <w:p>
            <w:pPr>
              <w:pStyle w:val="Compact"/>
              <w:jc w:val="left"/>
            </w:pPr>
            <w:r>
              <w:t xml:space="preserve">Professional services YoY growth</w:t>
            </w:r>
          </w:p>
        </w:tc>
        <w:tc>
          <w:tcPr/>
          <w:p>
            <w:pPr>
              <w:pStyle w:val="Compact"/>
              <w:jc w:val="left"/>
            </w:pPr>
            <w:r>
              <w:t xml:space="preserve">20.6%</w:t>
            </w:r>
          </w:p>
        </w:tc>
        <w:tc>
          <w:tcPr/>
          <w:p>
            <w:pPr>
              <w:pStyle w:val="Compact"/>
              <w:jc w:val="left"/>
            </w:pPr>
            <w:r>
              <w:t xml:space="preserve">49.6%</w:t>
            </w:r>
          </w:p>
        </w:tc>
      </w:tr>
    </w:tbl>
    <w:p>
      <w:pPr>
        <w:pStyle w:val="BodyText"/>
      </w:pPr>
      <w:r>
        <w:rPr>
          <w:b/>
          <w:bCs/>
        </w:rPr>
        <w:t xml:space="preserve">Recommendation:</w:t>
      </w:r>
      <w:r>
        <w:t xml:space="preserve"> </w:t>
      </w:r>
      <w:r>
        <w:t xml:space="preserve">The Form S-1 uses the Audited Financials’ figures. Conform the CFO Memo and any derived materials.</w:t>
      </w:r>
    </w:p>
    <w:bookmarkEnd w:id="23"/>
    <w:bookmarkStart w:id="24" w:name="Xe5df5b24fcf10609dfab3f293710ba4763db643"/>
    <w:p>
      <w:pPr>
        <w:pStyle w:val="Heading3"/>
      </w:pPr>
      <w:r>
        <w:t xml:space="preserve">3.3 Condensed balance sheet in the CFO Memo does not tie to the Audited Financials (MEDIUM)</w:t>
      </w:r>
    </w:p>
    <w:p>
      <w:pPr>
        <w:pStyle w:val="FirstParagraph"/>
      </w:pPr>
      <w:r>
        <w:t xml:space="preserve">The CFO Memo’s condensed balance sheet (Section 6.1) differs from the Audited Financials for several line items: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CFO Memo</w:t>
            </w:r>
          </w:p>
        </w:tc>
        <w:tc>
          <w:tcPr/>
          <w:p>
            <w:pPr>
              <w:pStyle w:val="Compact"/>
              <w:jc w:val="left"/>
            </w:pPr>
            <w:r>
              <w:t xml:space="preserve">Audited Financials</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r>
      <w:tr>
        <w:tc>
          <w:tcPr/>
          <w:p>
            <w:pPr>
              <w:pStyle w:val="Compact"/>
              <w:jc w:val="left"/>
            </w:pPr>
            <w:r>
              <w:t xml:space="preserve">Accrued expenses and other current liabilities</w:t>
            </w:r>
          </w:p>
        </w:tc>
        <w:tc>
          <w:tcPr/>
          <w:p>
            <w:pPr>
              <w:pStyle w:val="Compact"/>
              <w:jc w:val="left"/>
            </w:pPr>
            <w:r>
              <w:t xml:space="preserve">$14.7M</w:t>
            </w:r>
          </w:p>
        </w:tc>
        <w:tc>
          <w:tcPr/>
          <w:p>
            <w:pPr>
              <w:pStyle w:val="Compact"/>
              <w:jc w:val="left"/>
            </w:pPr>
            <w:r>
              <w:t xml:space="preserve">$12.1M</w:t>
            </w:r>
          </w:p>
        </w:tc>
      </w:tr>
    </w:tbl>
    <w:p>
      <w:pPr>
        <w:pStyle w:val="BodyText"/>
      </w:pPr>
      <w:r>
        <w:t xml:space="preserve">The differences appear to result from reclassifications: the CFO Memo omitted the current portion of operating lease liabilities ($4.2 million) and folded it into accounts payable and accrued liabilities, and shifted $1.6 million from accounts receivable to prepaid expenses. The totals (total current assets $178.4 million; total current liabilities $72.8 million) match.</w:t>
      </w:r>
      <w:r>
        <w:t xml:space="preserve"> </w:t>
      </w:r>
      <w:r>
        <w:rPr>
          <w:b/>
          <w:bCs/>
        </w:rPr>
        <w:t xml:space="preserve">Recommendation:</w:t>
      </w:r>
      <w:r>
        <w:t xml:space="preserve"> </w:t>
      </w:r>
      <w:r>
        <w:t xml:space="preserve">The Form S-1 uses the Audited Financials’ line items. No action needed in the Form S-1, but conform internal materials.</w:t>
      </w:r>
    </w:p>
    <w:bookmarkEnd w:id="24"/>
    <w:bookmarkStart w:id="25" w:name="Xb7864a33ef55b4db189e1faf0cd4882824bc933"/>
    <w:p>
      <w:pPr>
        <w:pStyle w:val="Heading3"/>
      </w:pPr>
      <w:r>
        <w:t xml:space="preserve">3.4 Restructuring description is inconsistent (MEDIUM)</w:t>
      </w:r>
    </w:p>
    <w:p>
      <w:pPr>
        <w:pStyle w:val="FirstParagraph"/>
      </w:pPr>
      <w:r>
        <w:t xml:space="preserve">The Audited Financials (Note 9) describe a Q3 2024 workforce reduction affecting approximately 46 employees with $1.2 million of restructuring charges. The CFO Memo (Section 5.3) describes a Q2 2024 workforce reduction of approximately 30 positions in the professional services organization.</w:t>
      </w:r>
      <w:r>
        <w:t xml:space="preserve"> </w:t>
      </w:r>
      <w:r>
        <w:rPr>
          <w:b/>
          <w:bCs/>
        </w:rPr>
        <w:t xml:space="preserve">Recommendation:</w:t>
      </w:r>
      <w:r>
        <w:t xml:space="preserve"> </w:t>
      </w:r>
      <w:r>
        <w:t xml:space="preserve">Confirm the correct timing, headcount, and scope of the restructuring and conform all disclosures. The Form S-1 follows the Audited Financials (Q3 2024, approximately 46 employees).</w:t>
      </w:r>
    </w:p>
    <w:bookmarkEnd w:id="25"/>
    <w:bookmarkStart w:id="26" w:name="X2b5d4217d831e29de885bde0917630f2a933ecf"/>
    <w:p>
      <w:pPr>
        <w:pStyle w:val="Heading3"/>
      </w:pPr>
      <w:r>
        <w:t xml:space="preserve">3.5 Professional services</w:t>
      </w:r>
      <w:r>
        <w:t xml:space="preserve"> </w:t>
      </w:r>
      <w:r>
        <w:t xml:space="preserve">“</w:t>
      </w:r>
      <w:r>
        <w:t xml:space="preserve">high-margin</w:t>
      </w:r>
      <w:r>
        <w:t xml:space="preserve">”</w:t>
      </w:r>
      <w:r>
        <w:t xml:space="preserve"> </w:t>
      </w:r>
      <w:r>
        <w:t xml:space="preserve">characterization is contradicted by the Audited Financials (HIGH)</w:t>
      </w:r>
    </w:p>
    <w:p>
      <w:pPr>
        <w:pStyle w:val="FirstParagraph"/>
      </w:pPr>
      <w:r>
        <w:t xml:space="preserve">The Roadshow (Slides 12, 17, 21, and 27) describes professional services as</w:t>
      </w:r>
      <w:r>
        <w:t xml:space="preserve"> </w:t>
      </w:r>
      <w:r>
        <w:t xml:space="preserve">“</w:t>
      </w:r>
      <w:r>
        <w:t xml:space="preserve">high-margin and accretive</w:t>
      </w:r>
      <w:r>
        <w:t xml:space="preserve">”</w:t>
      </w:r>
      <w:r>
        <w:t xml:space="preserve"> </w:t>
      </w:r>
      <w:r>
        <w:t xml:space="preserve">and projects 15–20% professional services gross margins. The Audited Financials show FY 2024 professional services revenue of $18.7 million against professional services cost of revenue of $18.8 million, a gross margin of approximately (0.5)%. The Roadshow’s own speaker notes flag this contradiction.</w:t>
      </w:r>
      <w:r>
        <w:t xml:space="preserve"> </w:t>
      </w:r>
      <w:r>
        <w:rPr>
          <w:b/>
          <w:bCs/>
        </w:rPr>
        <w:t xml:space="preserve">Recommendation:</w:t>
      </w:r>
      <w:r>
        <w:t xml:space="preserve"> </w:t>
      </w:r>
      <w:r>
        <w:t xml:space="preserve">The Form S-1 describes professional services accurately (currently negative gross margin) and includes a risk factor. Remove or qualify the</w:t>
      </w:r>
      <w:r>
        <w:t xml:space="preserve"> </w:t>
      </w:r>
      <w:r>
        <w:t xml:space="preserve">“</w:t>
      </w:r>
      <w:r>
        <w:t xml:space="preserve">high-margin</w:t>
      </w:r>
      <w:r>
        <w:t xml:space="preserve">”</w:t>
      </w:r>
      <w:r>
        <w:t xml:space="preserve"> </w:t>
      </w:r>
      <w:r>
        <w:t xml:space="preserve">characterization in all investor materials; any forward-looking margin projection must be clearly framed as a target with appropriate caveats.</w:t>
      </w:r>
    </w:p>
    <w:bookmarkEnd w:id="26"/>
    <w:bookmarkEnd w:id="27"/>
    <w:bookmarkStart w:id="33" w:name="entity-and-naming-inconsistencies"/>
    <w:p>
      <w:pPr>
        <w:pStyle w:val="Heading2"/>
      </w:pPr>
      <w:r>
        <w:t xml:space="preserve">4. Entity and Naming Inconsistencies</w:t>
      </w:r>
    </w:p>
    <w:bookmarkStart w:id="28" w:name="X53a789aea6fb187bd7c6334cde5b4ad1c4376cb"/>
    <w:p>
      <w:pPr>
        <w:pStyle w:val="Heading3"/>
      </w:pPr>
      <w:r>
        <w:t xml:space="preserve">4.1 Co-founder/CTO surname:</w:t>
      </w:r>
      <w:r>
        <w:t xml:space="preserve"> </w:t>
      </w:r>
      <w:r>
        <w:t xml:space="preserve">“</w:t>
      </w:r>
      <w:r>
        <w:t xml:space="preserve">Litvanova</w:t>
      </w:r>
      <w:r>
        <w:t xml:space="preserve">”</w:t>
      </w:r>
      <w:r>
        <w:t xml:space="preserve"> </w:t>
      </w:r>
      <w:r>
        <w:t xml:space="preserve">vs. </w:t>
      </w:r>
      <w:r>
        <w:t xml:space="preserve">“</w:t>
      </w:r>
      <w:r>
        <w:t xml:space="preserve">Litvak</w:t>
      </w:r>
      <w:r>
        <w:t xml:space="preserve">”</w:t>
      </w:r>
      <w:r>
        <w:t xml:space="preserve"> </w:t>
      </w:r>
      <w:r>
        <w:t xml:space="preserve">(CRITICAL)</w:t>
      </w:r>
    </w:p>
    <w:p>
      <w:pPr>
        <w:pStyle w:val="FirstParagraph"/>
      </w:pPr>
      <w:r>
        <w:t xml:space="preserve">The co-founder and Chief Technology Officer’s surname appears in two different forms:</w:t>
      </w:r>
    </w:p>
    <w:p>
      <w:pPr>
        <w:pStyle w:val="Compact"/>
        <w:numPr>
          <w:ilvl w:val="0"/>
          <w:numId w:val="1002"/>
        </w:numPr>
      </w:pPr>
      <w:r>
        <w:rPr>
          <w:b/>
          <w:bCs/>
        </w:rPr>
        <w:t xml:space="preserve">“</w:t>
      </w:r>
      <w:r>
        <w:rPr>
          <w:b/>
          <w:bCs/>
        </w:rPr>
        <w:t xml:space="preserve">Litvak</w:t>
      </w:r>
      <w:r>
        <w:rPr>
          <w:b/>
          <w:bCs/>
        </w:rPr>
        <w:t xml:space="preserve">”</w:t>
      </w:r>
      <w:r>
        <w:t xml:space="preserve"> </w:t>
      </w:r>
      <w:r>
        <w:t xml:space="preserve">— used in the Charter Documents (certificate of incorporation, Article V, Section 5.3; bylaws, Article IV, Section 4.1; Permitted Transferee definition), the Term Sheet, the Term Loan Summary, the Roadshow, the Questionnaire certification block, and the Equity Records’ 409A Valuations tab.</w:t>
      </w:r>
    </w:p>
    <w:p>
      <w:pPr>
        <w:pStyle w:val="Compact"/>
        <w:numPr>
          <w:ilvl w:val="0"/>
          <w:numId w:val="1002"/>
        </w:numPr>
      </w:pPr>
      <w:r>
        <w:rPr>
          <w:b/>
          <w:bCs/>
        </w:rPr>
        <w:t xml:space="preserve">“</w:t>
      </w:r>
      <w:r>
        <w:rPr>
          <w:b/>
          <w:bCs/>
        </w:rPr>
        <w:t xml:space="preserve">Litvanova</w:t>
      </w:r>
      <w:r>
        <w:rPr>
          <w:b/>
          <w:bCs/>
        </w:rPr>
        <w:t xml:space="preserve">”</w:t>
      </w:r>
      <w:r>
        <w:t xml:space="preserve"> </w:t>
      </w:r>
      <w:r>
        <w:t xml:space="preserve">— used in the CFO Memo (Sections 2.2, 7.1, 7.2), the Questionnaire header and Section 2.2, and the Equity Records’ Option Grants and RSU Grants tabs.</w:t>
      </w:r>
    </w:p>
    <w:p>
      <w:pPr>
        <w:pStyle w:val="FirstParagraph"/>
      </w:pPr>
      <w:r>
        <w:t xml:space="preserve">The Questionnaire is internally inconsistent (the header says</w:t>
      </w:r>
      <w:r>
        <w:t xml:space="preserve"> </w:t>
      </w:r>
      <w:r>
        <w:t xml:space="preserve">“</w:t>
      </w:r>
      <w:r>
        <w:t xml:space="preserve">Litvanova</w:t>
      </w:r>
      <w:r>
        <w:t xml:space="preserve">”</w:t>
      </w:r>
      <w:r>
        <w:t xml:space="preserve"> </w:t>
      </w:r>
      <w:r>
        <w:t xml:space="preserve">while the certification block and certain references say</w:t>
      </w:r>
      <w:r>
        <w:t xml:space="preserve"> </w:t>
      </w:r>
      <w:r>
        <w:t xml:space="preserve">“</w:t>
      </w:r>
      <w:r>
        <w:t xml:space="preserve">Litvak</w:t>
      </w:r>
      <w:r>
        <w:t xml:space="preserve">”</w:t>
      </w:r>
      <w:r>
        <w:t xml:space="preserve">). Because the certificate of incorporation — the governing document to be filed as an exhibit — uses</w:t>
      </w:r>
      <w:r>
        <w:t xml:space="preserve"> </w:t>
      </w:r>
      <w:r>
        <w:t xml:space="preserve">“</w:t>
      </w:r>
      <w:r>
        <w:t xml:space="preserve">Litvak,</w:t>
      </w:r>
      <w:r>
        <w:t xml:space="preserve">”</w:t>
      </w:r>
      <w:r>
        <w:t xml:space="preserve"> </w:t>
      </w:r>
      <w:r>
        <w:t xml:space="preserve">the Form S-1 uses</w:t>
      </w:r>
      <w:r>
        <w:t xml:space="preserve"> </w:t>
      </w:r>
      <w:r>
        <w:t xml:space="preserve">“</w:t>
      </w:r>
      <w:r>
        <w:t xml:space="preserve">Litvak.</w:t>
      </w:r>
      <w:r>
        <w:t xml:space="preserve">”</w:t>
      </w:r>
      <w:r>
        <w:t xml:space="preserve"> </w:t>
      </w:r>
      <w:r>
        <w:rPr>
          <w:b/>
          <w:bCs/>
        </w:rPr>
        <w:t xml:space="preserve">Recommendation:</w:t>
      </w:r>
      <w:r>
        <w:t xml:space="preserve"> </w:t>
      </w:r>
      <w:r>
        <w:t xml:space="preserve">Confirm the correct legal name from the Company’s records and conform every document, exhibit, and EDGAR filing. A name discrepancy in a filed registration statement and its exhibits is a basic accuracy issue that the staff will flag.</w:t>
      </w:r>
    </w:p>
    <w:bookmarkEnd w:id="28"/>
    <w:bookmarkStart w:id="29" w:name="X4cf1d9fae98eaebf645e880dcc81ef1f4fcaedd"/>
    <w:p>
      <w:pPr>
        <w:pStyle w:val="Heading3"/>
      </w:pPr>
      <w:r>
        <w:t xml:space="preserve">4.2 Term loan lender name in the Roadshow (MEDIUM)</w:t>
      </w:r>
    </w:p>
    <w:p>
      <w:pPr>
        <w:pStyle w:val="FirstParagraph"/>
      </w:pPr>
      <w:r>
        <w:t xml:space="preserve">The Roadshow (Slides 20, 24, and 27) refers to the lender as</w:t>
      </w:r>
      <w:r>
        <w:t xml:space="preserve"> </w:t>
      </w:r>
      <w:r>
        <w:t xml:space="preserve">“</w:t>
      </w:r>
      <w:r>
        <w:t xml:space="preserve">Silicon Valley Credit Partners.</w:t>
      </w:r>
      <w:r>
        <w:t xml:space="preserve">”</w:t>
      </w:r>
      <w:r>
        <w:t xml:space="preserve"> </w:t>
      </w:r>
      <w:r>
        <w:t xml:space="preserve">All other documents — the Audited Financials, Term Loan Summary, CFO Memo, and Term Sheet — refer to the lender as</w:t>
      </w:r>
      <w:r>
        <w:t xml:space="preserve"> </w:t>
      </w:r>
      <w:r>
        <w:t xml:space="preserve">“</w:t>
      </w:r>
      <w:r>
        <w:t xml:space="preserve">Kestridge West Credit Partners.</w:t>
      </w:r>
      <w:r>
        <w:t xml:space="preserve">”</w:t>
      </w:r>
      <w:r>
        <w:t xml:space="preserve"> </w:t>
      </w:r>
      <w:r>
        <w:t xml:space="preserve">(The Term Loan Summary’s abbreviation</w:t>
      </w:r>
      <w:r>
        <w:t xml:space="preserve"> </w:t>
      </w:r>
      <w:r>
        <w:t xml:space="preserve">“</w:t>
      </w:r>
      <w:r>
        <w:t xml:space="preserve">SVCP</w:t>
      </w:r>
      <w:r>
        <w:t xml:space="preserve">”</w:t>
      </w:r>
      <w:r>
        <w:t xml:space="preserve"> </w:t>
      </w:r>
      <w:r>
        <w:t xml:space="preserve">may have caused the confusion.)</w:t>
      </w:r>
      <w:r>
        <w:t xml:space="preserve"> </w:t>
      </w:r>
      <w:r>
        <w:rPr>
          <w:b/>
          <w:bCs/>
        </w:rPr>
        <w:t xml:space="preserve">Recommendation:</w:t>
      </w:r>
      <w:r>
        <w:t xml:space="preserve"> </w:t>
      </w:r>
      <w:r>
        <w:t xml:space="preserve">The Form S-1 uses</w:t>
      </w:r>
      <w:r>
        <w:t xml:space="preserve"> </w:t>
      </w:r>
      <w:r>
        <w:t xml:space="preserve">“</w:t>
      </w:r>
      <w:r>
        <w:t xml:space="preserve">Kestridge West Credit Partners.</w:t>
      </w:r>
      <w:r>
        <w:t xml:space="preserve">”</w:t>
      </w:r>
      <w:r>
        <w:t xml:space="preserve"> </w:t>
      </w:r>
      <w:r>
        <w:t xml:space="preserve">Conform the Roadshow.</w:t>
      </w:r>
    </w:p>
    <w:bookmarkEnd w:id="29"/>
    <w:bookmarkStart w:id="30" w:name="Xf37c11eccefdb280f3704dd33e37c9814b7948a"/>
    <w:p>
      <w:pPr>
        <w:pStyle w:val="Heading3"/>
      </w:pPr>
      <w:r>
        <w:t xml:space="preserve">4.3 Series B participant name in the Roadshow (MEDIUM)</w:t>
      </w:r>
    </w:p>
    <w:p>
      <w:pPr>
        <w:pStyle w:val="FirstParagraph"/>
      </w:pPr>
      <w:r>
        <w:t xml:space="preserve">The Roadshow (Slide 29 notes) refers to a Series B participant as</w:t>
      </w:r>
      <w:r>
        <w:t xml:space="preserve"> </w:t>
      </w:r>
      <w:r>
        <w:t xml:space="preserve">“</w:t>
      </w:r>
      <w:r>
        <w:t xml:space="preserve">Crestview Capital.</w:t>
      </w:r>
      <w:r>
        <w:t xml:space="preserve">”</w:t>
      </w:r>
      <w:r>
        <w:t xml:space="preserve"> </w:t>
      </w:r>
      <w:r>
        <w:t xml:space="preserve">All other documents identify the Series B participant as</w:t>
      </w:r>
      <w:r>
        <w:t xml:space="preserve"> </w:t>
      </w:r>
      <w:r>
        <w:t xml:space="preserve">“</w:t>
      </w:r>
      <w:r>
        <w:t xml:space="preserve">Aldersgate Capital.</w:t>
      </w:r>
      <w:r>
        <w:t xml:space="preserve">”</w:t>
      </w:r>
      <w:r>
        <w:t xml:space="preserve"> </w:t>
      </w:r>
      <w:r>
        <w:rPr>
          <w:b/>
          <w:bCs/>
        </w:rPr>
        <w:t xml:space="preserve">Recommendation:</w:t>
      </w:r>
      <w:r>
        <w:t xml:space="preserve"> </w:t>
      </w:r>
      <w:r>
        <w:t xml:space="preserve">Confirm the correct name (Aldersgate Capital) and conform. See also Section 8.2 (Aldersgate Capital’s current ownership status is an open item).</w:t>
      </w:r>
    </w:p>
    <w:bookmarkEnd w:id="30"/>
    <w:bookmarkStart w:id="31" w:name="transfer-agent-identity-high"/>
    <w:p>
      <w:pPr>
        <w:pStyle w:val="Heading3"/>
      </w:pPr>
      <w:r>
        <w:t xml:space="preserve">4.4 Transfer agent identity (HIGH)</w:t>
      </w:r>
    </w:p>
    <w:p>
      <w:pPr>
        <w:pStyle w:val="FirstParagraph"/>
      </w:pPr>
      <w:r>
        <w:t xml:space="preserve">The bylaws (Article V, Section 5.1) name</w:t>
      </w:r>
      <w:r>
        <w:t xml:space="preserve"> </w:t>
      </w:r>
      <w:r>
        <w:t xml:space="preserve">“</w:t>
      </w:r>
      <w:r>
        <w:t xml:space="preserve">Computershare Transfer Co.</w:t>
      </w:r>
      <w:r>
        <w:t xml:space="preserve">”</w:t>
      </w:r>
      <w:r>
        <w:t xml:space="preserve"> </w:t>
      </w:r>
      <w:r>
        <w:t xml:space="preserve">as the transfer agent and registrar. The CFO Memo (Section 10, item 6) and the Term Sheet (Section 1 and Lock-Up Agreement, Section 6) name</w:t>
      </w:r>
      <w:r>
        <w:t xml:space="preserve"> </w:t>
      </w:r>
      <w:r>
        <w:t xml:space="preserve">“</w:t>
      </w:r>
      <w:r>
        <w:t xml:space="preserve">Oakvale Transfer Transfer Co.</w:t>
      </w:r>
      <w:r>
        <w:t xml:space="preserve">”</w:t>
      </w:r>
      <w:r>
        <w:t xml:space="preserve"> </w:t>
      </w:r>
      <w:r>
        <w:t xml:space="preserve">(which appears to contain a duplicated word and likely should read</w:t>
      </w:r>
      <w:r>
        <w:t xml:space="preserve"> </w:t>
      </w:r>
      <w:r>
        <w:t xml:space="preserve">“</w:t>
      </w:r>
      <w:r>
        <w:t xml:space="preserve">Oakvale Transfer Co.</w:t>
      </w:r>
      <w:r>
        <w:t xml:space="preserve">”</w:t>
      </w:r>
      <w:r>
        <w:t xml:space="preserve">).</w:t>
      </w:r>
      <w:r>
        <w:t xml:space="preserve"> </w:t>
      </w:r>
      <w:r>
        <w:rPr>
          <w:b/>
          <w:bCs/>
        </w:rPr>
        <w:t xml:space="preserve">Recommendation:</w:t>
      </w:r>
      <w:r>
        <w:t xml:space="preserve"> </w:t>
      </w:r>
      <w:r>
        <w:t xml:space="preserve">Confirm the identity of the transfer agent and conform the bylaws (which will be filed as an exhibit) and all other documents. The Form S-1 currently references</w:t>
      </w:r>
      <w:r>
        <w:t xml:space="preserve"> </w:t>
      </w:r>
      <w:r>
        <w:t xml:space="preserve">“</w:t>
      </w:r>
      <w:r>
        <w:t xml:space="preserve">Oakvale Transfer Co.</w:t>
      </w:r>
      <w:r>
        <w:t xml:space="preserve">”</w:t>
      </w:r>
      <w:r>
        <w:t xml:space="preserve"> </w:t>
      </w:r>
      <w:r>
        <w:t xml:space="preserve">with a drafting note.</w:t>
      </w:r>
    </w:p>
    <w:bookmarkEnd w:id="31"/>
    <w:bookmarkStart w:id="32" w:name="issuers-counsel-address-low"/>
    <w:p>
      <w:pPr>
        <w:pStyle w:val="Heading3"/>
      </w:pPr>
      <w:r>
        <w:t xml:space="preserve">4.5 Issuer’s counsel address (LOW)</w:t>
      </w:r>
    </w:p>
    <w:p>
      <w:pPr>
        <w:pStyle w:val="FirstParagraph"/>
      </w:pPr>
      <w:r>
        <w:t xml:space="preserve">The Term Sheet and Term Loan Summary list Thorncroft &amp; Wexler LLP’s address as</w:t>
      </w:r>
      <w:r>
        <w:t xml:space="preserve"> </w:t>
      </w:r>
      <w:r>
        <w:t xml:space="preserve">“</w:t>
      </w:r>
      <w:r>
        <w:t xml:space="preserve">600 Lexington Avenue, 38th Floor, New York, NY 10022.</w:t>
      </w:r>
      <w:r>
        <w:t xml:space="preserve">”</w:t>
      </w:r>
      <w:r>
        <w:t xml:space="preserve"> </w:t>
      </w:r>
      <w:r>
        <w:t xml:space="preserve">The Questionnaires list</w:t>
      </w:r>
      <w:r>
        <w:t xml:space="preserve"> </w:t>
      </w:r>
      <w:r>
        <w:t xml:space="preserve">“</w:t>
      </w:r>
      <w:r>
        <w:t xml:space="preserve">610 Lexington Avenue, 38th Floor, New York, NY 10022.</w:t>
      </w:r>
      <w:r>
        <w:t xml:space="preserve">”</w:t>
      </w:r>
      <w:r>
        <w:t xml:space="preserve"> </w:t>
      </w:r>
      <w:r>
        <w:rPr>
          <w:b/>
          <w:bCs/>
        </w:rPr>
        <w:t xml:space="preserve">Recommendation:</w:t>
      </w:r>
      <w:r>
        <w:t xml:space="preserve"> </w:t>
      </w:r>
      <w:r>
        <w:t xml:space="preserve">Confirm the correct address and conform (the</w:t>
      </w:r>
      <w:r>
        <w:t xml:space="preserve"> </w:t>
      </w:r>
      <w:r>
        <w:t xml:space="preserve">“</w:t>
      </w:r>
      <w:r>
        <w:t xml:space="preserve">Legal Matters</w:t>
      </w:r>
      <w:r>
        <w:t xml:space="preserve">”</w:t>
      </w:r>
      <w:r>
        <w:t xml:space="preserve"> </w:t>
      </w:r>
      <w:r>
        <w:t xml:space="preserve">section and any opinion cover will reference it).</w:t>
      </w:r>
    </w:p>
    <w:bookmarkEnd w:id="32"/>
    <w:bookmarkEnd w:id="33"/>
    <w:bookmarkStart w:id="38" w:name="governance-and-structural-issues"/>
    <w:p>
      <w:pPr>
        <w:pStyle w:val="Heading2"/>
      </w:pPr>
      <w:r>
        <w:t xml:space="preserve">5. Governance and Structural Issues</w:t>
      </w:r>
    </w:p>
    <w:bookmarkStart w:id="34" w:name="Xcbba56957edc8db5348cdedb2df2c2598809095"/>
    <w:p>
      <w:pPr>
        <w:pStyle w:val="Heading3"/>
      </w:pPr>
      <w:r>
        <w:t xml:space="preserve">5.1 Board size and composition: six vs. seven directors (CRITICAL)</w:t>
      </w:r>
    </w:p>
    <w:p>
      <w:pPr>
        <w:pStyle w:val="FirstParagraph"/>
      </w:pPr>
      <w:r>
        <w:t xml:space="preserve">There is a direct conflict regarding the size and composition of the Board:</w:t>
      </w:r>
    </w:p>
    <w:p>
      <w:pPr>
        <w:pStyle w:val="Compact"/>
        <w:numPr>
          <w:ilvl w:val="0"/>
          <w:numId w:val="1003"/>
        </w:numPr>
      </w:pPr>
      <w:r>
        <w:rPr>
          <w:b/>
          <w:bCs/>
        </w:rPr>
        <w:t xml:space="preserve">Charter Documents:</w:t>
      </w:r>
      <w:r>
        <w:t xml:space="preserve"> </w:t>
      </w:r>
      <w:r>
        <w:t xml:space="preserve">The amended and restated certificate of incorporation (Article V, Section 5.2) provides for an initial Board of</w:t>
      </w:r>
      <w:r>
        <w:t xml:space="preserve"> </w:t>
      </w:r>
      <w:r>
        <w:rPr>
          <w:b/>
          <w:bCs/>
        </w:rPr>
        <w:t xml:space="preserve">seven</w:t>
      </w:r>
      <w:r>
        <w:t xml:space="preserve"> </w:t>
      </w:r>
      <w:r>
        <w:t xml:space="preserve">directors, classified into three classes. Article V, Section 5.3 lists the initial directors as: Class I — Priya Venkatesh and Thomas J. Moreno; Class II — Dr. Helen Park and James Kwon; Class III — Arun Ramaswamy,</w:t>
      </w:r>
      <w:r>
        <w:t xml:space="preserve"> </w:t>
      </w:r>
      <w:r>
        <w:rPr>
          <w:b/>
          <w:bCs/>
        </w:rPr>
        <w:t xml:space="preserve">Katerina Litvak</w:t>
      </w:r>
      <w:r>
        <w:t xml:space="preserve">, and Adaora Obi. Under this structure, Ms. Litvak is a director.</w:t>
      </w:r>
    </w:p>
    <w:p>
      <w:pPr>
        <w:pStyle w:val="Compact"/>
        <w:numPr>
          <w:ilvl w:val="0"/>
          <w:numId w:val="1003"/>
        </w:numPr>
      </w:pPr>
      <w:r>
        <w:rPr>
          <w:b/>
          <w:bCs/>
        </w:rPr>
        <w:t xml:space="preserve">Questionnaires (Section 6):</w:t>
      </w:r>
      <w:r>
        <w:t xml:space="preserve"> </w:t>
      </w:r>
      <w:r>
        <w:t xml:space="preserve">“</w:t>
      </w:r>
      <w:r>
        <w:t xml:space="preserve">The Board of Directors consists of</w:t>
      </w:r>
      <w:r>
        <w:t xml:space="preserve"> </w:t>
      </w:r>
      <w:r>
        <w:rPr>
          <w:b/>
          <w:bCs/>
        </w:rPr>
        <w:t xml:space="preserve">six</w:t>
      </w:r>
      <w:r>
        <w:t xml:space="preserve"> </w:t>
      </w:r>
      <w:r>
        <w:t xml:space="preserve">members,</w:t>
      </w:r>
      <w:r>
        <w:t xml:space="preserve">”</w:t>
      </w:r>
      <w:r>
        <w:t xml:space="preserve"> </w:t>
      </w:r>
      <w:r>
        <w:t xml:space="preserve">and</w:t>
      </w:r>
      <w:r>
        <w:t xml:space="preserve"> </w:t>
      </w:r>
      <w:r>
        <w:t xml:space="preserve">“</w:t>
      </w:r>
      <w:r>
        <w:t xml:space="preserve">Katerina Litvanova, Michael D. Hartwell, and Sandra Y. Chen are executive officers but do not serve on the Board.</w:t>
      </w:r>
      <w:r>
        <w:t xml:space="preserve">”</w:t>
      </w:r>
      <w:r>
        <w:t xml:space="preserve"> </w:t>
      </w:r>
      <w:r>
        <w:t xml:space="preserve">Under this structure, Ms. Litvak is not a director.</w:t>
      </w:r>
    </w:p>
    <w:p>
      <w:pPr>
        <w:pStyle w:val="Compact"/>
        <w:numPr>
          <w:ilvl w:val="0"/>
          <w:numId w:val="1003"/>
        </w:numPr>
      </w:pPr>
      <w:r>
        <w:rPr>
          <w:b/>
          <w:bCs/>
        </w:rPr>
        <w:t xml:space="preserve">CFO Memo and Term Sheet:</w:t>
      </w:r>
      <w:r>
        <w:t xml:space="preserve"> </w:t>
      </w:r>
      <w:r>
        <w:t xml:space="preserve">Consistent with the Questionnaires — Ms. Litvak is treated as an executive officer (CTO) only, and the principal-stockholder and lock-up tables reflect nine persons (four executive officers plus five non-employee directors, with Mr. Ramaswamy counted once).</w:t>
      </w:r>
    </w:p>
    <w:p>
      <w:pPr>
        <w:pStyle w:val="Compact"/>
        <w:numPr>
          <w:ilvl w:val="0"/>
          <w:numId w:val="1003"/>
        </w:numPr>
      </w:pPr>
      <w:r>
        <w:rPr>
          <w:b/>
          <w:bCs/>
        </w:rPr>
        <w:t xml:space="preserve">Roadshow:</w:t>
      </w:r>
      <w:r>
        <w:t xml:space="preserve"> </w:t>
      </w:r>
      <w:r>
        <w:t xml:space="preserve">Internally inconsistent — Slide 7 states</w:t>
      </w:r>
      <w:r>
        <w:t xml:space="preserve"> </w:t>
      </w:r>
      <w:r>
        <w:t xml:space="preserve">“</w:t>
      </w:r>
      <w:r>
        <w:t xml:space="preserve">Three of five non-employee directors are independent</w:t>
      </w:r>
      <w:r>
        <w:t xml:space="preserve">”</w:t>
      </w:r>
      <w:r>
        <w:t xml:space="preserve"> </w:t>
      </w:r>
      <w:r>
        <w:t xml:space="preserve">(implying six total directors), while Slide 30 states</w:t>
      </w:r>
      <w:r>
        <w:t xml:space="preserve"> </w:t>
      </w:r>
      <w:r>
        <w:t xml:space="preserve">“</w:t>
      </w:r>
      <w:r>
        <w:t xml:space="preserve">Independent Directors … (3 of 7 total directors)</w:t>
      </w:r>
      <w:r>
        <w:t xml:space="preserve">”</w:t>
      </w:r>
      <w:r>
        <w:t xml:space="preserve"> </w:t>
      </w:r>
      <w:r>
        <w:t xml:space="preserve">(implying seven total directors).</w:t>
      </w:r>
    </w:p>
    <w:p>
      <w:pPr>
        <w:pStyle w:val="FirstParagraph"/>
      </w:pPr>
      <w:r>
        <w:t xml:space="preserve">This conflict affects the Management section, the Corporate Governance section, the director independence analysis, the classified-board disclosure, the lock-up coverage, and the principal-stockholder table.</w:t>
      </w:r>
      <w:r>
        <w:t xml:space="preserve"> </w:t>
      </w:r>
      <w:r>
        <w:rPr>
          <w:b/>
          <w:bCs/>
        </w:rPr>
        <w:t xml:space="preserve">Recommendation:</w:t>
      </w:r>
      <w:r>
        <w:t xml:space="preserve"> </w:t>
      </w:r>
      <w:r>
        <w:t xml:space="preserve">Determine whether Ms. Litvak is in fact a director. If she is, conform the Questionnaires, CFO Memo, Term Sheet, and Roadshow to a seven-director structure and confirm her classified-board class. If she is not, amend the certificate of incorporation (Article V, Section 5.3) to remove her from Class III and reclassify the Board (e.g., six directors with two per class, or otherwise as the Board determines). This must be resolved before filing because the certificate of incorporation will be filed as an exhibit and must be internally consistent with the Management disclosure. The Form S-1 currently reflects the seven-director structure from the certificate of incorporation, with a drafting note.</w:t>
      </w:r>
    </w:p>
    <w:bookmarkEnd w:id="34"/>
    <w:bookmarkStart w:id="35" w:name="X010dfb3f7f2219c0ba66442bda36d377e9483e8"/>
    <w:p>
      <w:pPr>
        <w:pStyle w:val="Heading3"/>
      </w:pPr>
      <w:r>
        <w:t xml:space="preserve">5.2 Controlled-company exemption not yet elected (HIGH)</w:t>
      </w:r>
    </w:p>
    <w:p>
      <w:pPr>
        <w:pStyle w:val="FirstParagraph"/>
      </w:pPr>
      <w:r>
        <w:t xml:space="preserve">The Company will be a</w:t>
      </w:r>
      <w:r>
        <w:t xml:space="preserve"> </w:t>
      </w:r>
      <w:r>
        <w:t xml:space="preserve">“</w:t>
      </w:r>
      <w:r>
        <w:t xml:space="preserve">controlled company</w:t>
      </w:r>
      <w:r>
        <w:t xml:space="preserve">”</w:t>
      </w:r>
      <w:r>
        <w:t xml:space="preserve"> </w:t>
      </w:r>
      <w:r>
        <w:t xml:space="preserve">under Nasdaq Listing Rule 5615(c) because the co-founders will hold approximately 71.8% of the voting power. The Questionnaires confirm that no formal Board resolution has been adopted electing to rely on the controlled-company exemption. Current board composition does not include a majority of independent directors (three of six, or three of seven, depending on the resolution of Section 5.1), so reliance on at least the majority-independent-board exemption appears necessary unless an additional independent director is appointed.</w:t>
      </w:r>
      <w:r>
        <w:t xml:space="preserve"> </w:t>
      </w:r>
      <w:r>
        <w:rPr>
          <w:b/>
          <w:bCs/>
        </w:rPr>
        <w:t xml:space="preserve">Recommendation:</w:t>
      </w:r>
      <w:r>
        <w:t xml:space="preserve"> </w:t>
      </w:r>
      <w:r>
        <w:t xml:space="preserve">Obtain a formal Board resolution electing (or declining) to rely on the controlled-company exemption before filing, and conform the Corporate Governance section and risk factors accordingly. The Form S-1 assumes the exemption will be elected, with a drafting note.</w:t>
      </w:r>
    </w:p>
    <w:bookmarkEnd w:id="35"/>
    <w:bookmarkStart w:id="36" w:name="X6cb969a1f0db3c2fee53741dbea0a51c27fdb0e"/>
    <w:p>
      <w:pPr>
        <w:pStyle w:val="Heading3"/>
      </w:pPr>
      <w:r>
        <w:t xml:space="preserve">5.3 No sunset on the dual-class structure (HIGH)</w:t>
      </w:r>
    </w:p>
    <w:p>
      <w:pPr>
        <w:pStyle w:val="FirstParagraph"/>
      </w:pPr>
      <w:r>
        <w:t xml:space="preserve">The certificate of incorporation (Article IV, Section 4.3) provides that Class B common stock converts to Class A only upon transfer to a non-permitted transferee or upon the death or incapacity of the holder. There is no time-based sunset (e.g., seven or ten years from the IPO) and no ownership-percentage-based sunset. This is below current market norms for newly public companies with dual-class structures and increases the risk of index exclusion (certain index providers exclude multi-class structures) and adverse investor relations / proxy-advisor reactions.</w:t>
      </w:r>
      <w:r>
        <w:t xml:space="preserve"> </w:t>
      </w:r>
      <w:r>
        <w:rPr>
          <w:b/>
          <w:bCs/>
        </w:rPr>
        <w:t xml:space="preserve">Recommendation:</w:t>
      </w:r>
      <w:r>
        <w:t xml:space="preserve"> </w:t>
      </w:r>
      <w:r>
        <w:t xml:space="preserve">Consider whether to adopt a sunset provision before pricing. At a minimum, the Form S-1 risk factors disclose the absence of a sunset. This is a business-judgment matter for the Board, but counsel should advise on market practice and index-inclusion implications.</w:t>
      </w:r>
    </w:p>
    <w:bookmarkEnd w:id="36"/>
    <w:bookmarkStart w:id="37" w:name="Xdf1d63b99d423781305340ab7056ff2da587b1d"/>
    <w:p>
      <w:pPr>
        <w:pStyle w:val="Heading3"/>
      </w:pPr>
      <w:r>
        <w:t xml:space="preserve">5.4 Other anti-takeover and forum provisions (MEDIUM — disclosure only)</w:t>
      </w:r>
    </w:p>
    <w:p>
      <w:pPr>
        <w:pStyle w:val="FirstParagraph"/>
      </w:pPr>
      <w:r>
        <w:t xml:space="preserve">The Charter Documents contain a classified board, prohibition on Class A written consent, prohibition on stockholder-called special meetings, advance-notice bylaws, supermajority (66 2/3%) vote requirements to amend certain provisions, director removal only for cause and by a 66 2/3% vote, board authority to fill vacancies, a corporate-opportunities waiver for VC-affiliated directors (Article XI), and exclusive-forum provisions (Court of Chancery for state-law claims; federal district courts for Securities Act claims). These are disclosed in the Form S-1 risk factors and description of capital stock.</w:t>
      </w:r>
      <w:r>
        <w:t xml:space="preserve"> </w:t>
      </w:r>
      <w:r>
        <w:rPr>
          <w:b/>
          <w:bCs/>
        </w:rPr>
        <w:t xml:space="preserve">Recommendation:</w:t>
      </w:r>
      <w:r>
        <w:t xml:space="preserve"> </w:t>
      </w:r>
      <w:r>
        <w:t xml:space="preserve">Confirm that the federal-forum provision for Securities Act claims is enforceable under Delaware law (Salzberg v. Sciabacucchi) and disclose it appropriately. Consider whether the corporate-opportunities waiver requires specific disclosure.</w:t>
      </w:r>
    </w:p>
    <w:bookmarkEnd w:id="37"/>
    <w:bookmarkEnd w:id="38"/>
    <w:bookmarkStart w:id="45" w:name="term-loan-inconsistencies-and-risks"/>
    <w:p>
      <w:pPr>
        <w:pStyle w:val="Heading2"/>
      </w:pPr>
      <w:r>
        <w:t xml:space="preserve">6. Term Loan Inconsistencies and Risks</w:t>
      </w:r>
    </w:p>
    <w:bookmarkStart w:id="39" w:name="origination-date-conflict-high"/>
    <w:p>
      <w:pPr>
        <w:pStyle w:val="Heading3"/>
      </w:pPr>
      <w:r>
        <w:t xml:space="preserve">6.1 Origination date conflict (HIGH)</w:t>
      </w:r>
    </w:p>
    <w:p>
      <w:pPr>
        <w:pStyle w:val="FirstParagraph"/>
      </w:pPr>
      <w:r>
        <w:t xml:space="preserve">The Audited Financials (Note 8) state that</w:t>
      </w:r>
      <w:r>
        <w:t xml:space="preserve"> </w:t>
      </w:r>
      <w:r>
        <w:t xml:space="preserve">“</w:t>
      </w:r>
      <w:r>
        <w:t xml:space="preserve">In June 2023, the Company entered into a term loan facility with Kestridge West Credit Partners.</w:t>
      </w:r>
      <w:r>
        <w:t xml:space="preserve">”</w:t>
      </w:r>
      <w:r>
        <w:t xml:space="preserve"> </w:t>
      </w:r>
      <w:r>
        <w:t xml:space="preserve">The Term Loan Summary states that the Term Loan and Security Agreement is</w:t>
      </w:r>
      <w:r>
        <w:t xml:space="preserve"> </w:t>
      </w:r>
      <w:r>
        <w:t xml:space="preserve">“</w:t>
      </w:r>
      <w:r>
        <w:t xml:space="preserve">dated as of December 15, 2022,</w:t>
      </w:r>
      <w:r>
        <w:t xml:space="preserve">”</w:t>
      </w:r>
      <w:r>
        <w:t xml:space="preserve"> </w:t>
      </w:r>
      <w:r>
        <w:t xml:space="preserve">with a closing date of December 15, 2022 and an initial draw of $40.0 million on the closing date. These dates are approximately six months apart.</w:t>
      </w:r>
      <w:r>
        <w:t xml:space="preserve"> </w:t>
      </w:r>
      <w:r>
        <w:rPr>
          <w:b/>
          <w:bCs/>
        </w:rPr>
        <w:t xml:space="preserve">Recommendation:</w:t>
      </w:r>
      <w:r>
        <w:t xml:space="preserve"> </w:t>
      </w:r>
      <w:r>
        <w:t xml:space="preserve">Reconcile the origination date. If the Credit Agreement was executed in December 2022, the Audited Financials (Note 8) should be corrected (or an amendment/restatement in June 2023 should be identified and disclosed). The Form S-1</w:t>
      </w:r>
      <w:r>
        <w:t xml:space="preserve"> </w:t>
      </w:r>
      <w:r>
        <w:t xml:space="preserve">“</w:t>
      </w:r>
      <w:r>
        <w:t xml:space="preserve">Description of Indebtedness</w:t>
      </w:r>
      <w:r>
        <w:t xml:space="preserve">”</w:t>
      </w:r>
      <w:r>
        <w:t xml:space="preserve"> </w:t>
      </w:r>
      <w:r>
        <w:t xml:space="preserve">and</w:t>
      </w:r>
      <w:r>
        <w:t xml:space="preserve"> </w:t>
      </w:r>
      <w:r>
        <w:t xml:space="preserve">“</w:t>
      </w:r>
      <w:r>
        <w:t xml:space="preserve">Recent Sales of Unregistered Securities</w:t>
      </w:r>
      <w:r>
        <w:t xml:space="preserve">”</w:t>
      </w:r>
      <w:r>
        <w:t xml:space="preserve"> </w:t>
      </w:r>
      <w:r>
        <w:t xml:space="preserve">sections carry a drafting note. Confirm with the auditor and lender.</w:t>
      </w:r>
    </w:p>
    <w:bookmarkEnd w:id="39"/>
    <w:bookmarkStart w:id="40" w:name="Xd90144c82986f9f3c277a41f0e7ecf83347e60f"/>
    <w:p>
      <w:pPr>
        <w:pStyle w:val="Heading3"/>
      </w:pPr>
      <w:r>
        <w:t xml:space="preserve">6.2 Draw history does not reconcile to the balance (HIGH)</w:t>
      </w:r>
    </w:p>
    <w:p>
      <w:pPr>
        <w:pStyle w:val="FirstParagraph"/>
      </w:pPr>
      <w:r>
        <w:t xml:space="preserve">The consolidated statement of cash flows shows</w:t>
      </w:r>
      <w:r>
        <w:t xml:space="preserve"> </w:t>
      </w:r>
      <w:r>
        <w:t xml:space="preserve">“</w:t>
      </w:r>
      <w:r>
        <w:t xml:space="preserve">Proceeds from term loan borrowings</w:t>
      </w:r>
      <w:r>
        <w:t xml:space="preserve">”</w:t>
      </w:r>
      <w:r>
        <w:t xml:space="preserve"> </w:t>
      </w:r>
      <w:r>
        <w:t xml:space="preserve">of $15.0 million in FY 2023 and</w:t>
      </w:r>
      <w:r>
        <w:t xml:space="preserve"> </w:t>
      </w:r>
      <w:r>
        <w:t xml:space="preserve">“</w:t>
      </w:r>
      <w:r>
        <w:t xml:space="preserve">Repayment of term loan</w:t>
      </w:r>
      <w:r>
        <w:t xml:space="preserve">”</w:t>
      </w:r>
      <w:r>
        <w:t xml:space="preserve"> </w:t>
      </w:r>
      <w:r>
        <w:t xml:space="preserve">of $5.0 million in FY 2024. The balance sheet, however, reports $40.0 million outstanding at both December 31, 2023 and December 31, 2024, and the Term Loan Summary states that the full $40.0 million was drawn on the closing date. A $5.0 million repayment in FY 2024 is inconsistent with a constant $40.0 million balance unless offset by additional borrowings (which the Term Loan Summary says are unavailable after June 30, 2024).</w:t>
      </w:r>
      <w:r>
        <w:t xml:space="preserve"> </w:t>
      </w:r>
      <w:r>
        <w:rPr>
          <w:b/>
          <w:bCs/>
        </w:rPr>
        <w:t xml:space="preserve">Recommendation:</w:t>
      </w:r>
      <w:r>
        <w:t xml:space="preserve"> </w:t>
      </w:r>
      <w:r>
        <w:t xml:space="preserve">Reconcile the draw, repayment, and balance history. The Form S-1 financial statements must be internally consistent.</w:t>
      </w:r>
    </w:p>
    <w:bookmarkEnd w:id="40"/>
    <w:bookmarkStart w:id="41" w:name="repayment-schedule-conflict-medium"/>
    <w:p>
      <w:pPr>
        <w:pStyle w:val="Heading3"/>
      </w:pPr>
      <w:r>
        <w:t xml:space="preserve">6.3 Repayment schedule conflict (MEDIUM)</w:t>
      </w:r>
    </w:p>
    <w:p>
      <w:pPr>
        <w:pStyle w:val="FirstParagraph"/>
      </w:pPr>
      <w:r>
        <w:t xml:space="preserve">The Audited Financials (Note 8) present future principal repayments of $5.0 million (2025), $10.0 million (2026), and $25.0 million (2027). The Term Loan Summary describes quarterly amortization of $500,000 per quarter ($2.0 million per year) with a bullet payment at maturity, which would imply approximately $2.0 million (2025), $2.0 million (2026), and approximately $36.0 million (2027).</w:t>
      </w:r>
      <w:r>
        <w:t xml:space="preserve"> </w:t>
      </w:r>
      <w:r>
        <w:rPr>
          <w:b/>
          <w:bCs/>
        </w:rPr>
        <w:t xml:space="preserve">Recommendation:</w:t>
      </w:r>
      <w:r>
        <w:t xml:space="preserve"> </w:t>
      </w:r>
      <w:r>
        <w:t xml:space="preserve">Reconcile the amortization schedule. The Form S-1</w:t>
      </w:r>
      <w:r>
        <w:t xml:space="preserve"> </w:t>
      </w:r>
      <w:r>
        <w:t xml:space="preserve">“</w:t>
      </w:r>
      <w:r>
        <w:t xml:space="preserve">Description of Indebtedness</w:t>
      </w:r>
      <w:r>
        <w:t xml:space="preserve">”</w:t>
      </w:r>
      <w:r>
        <w:t xml:space="preserve"> </w:t>
      </w:r>
      <w:r>
        <w:t xml:space="preserve">carries a drafting note.</w:t>
      </w:r>
    </w:p>
    <w:bookmarkEnd w:id="41"/>
    <w:bookmarkStart w:id="42" w:name="day-ipo-notice-covenant-high-operational"/>
    <w:p>
      <w:pPr>
        <w:pStyle w:val="Heading3"/>
      </w:pPr>
      <w:r>
        <w:t xml:space="preserve">6.4 30-day IPO notice covenant (HIGH — operational)</w:t>
      </w:r>
    </w:p>
    <w:p>
      <w:pPr>
        <w:pStyle w:val="FirstParagraph"/>
      </w:pPr>
      <w:r>
        <w:t xml:space="preserve">Section 7.14 of the Credit Agreement requires the Company to deliver written notice to the lender not less than 30 days before the consummation of any IPO, including the anticipated offering date, gross proceeds, use of proceeds, and a pro forma capitalization table. Failure to deliver timely notice is an event of default (subject to a 10-business-day cure).</w:t>
      </w:r>
      <w:r>
        <w:t xml:space="preserve"> </w:t>
      </w:r>
      <w:r>
        <w:rPr>
          <w:b/>
          <w:bCs/>
        </w:rPr>
        <w:t xml:space="preserve">Recommendation:</w:t>
      </w:r>
      <w:r>
        <w:t xml:space="preserve"> </w:t>
      </w:r>
      <w:r>
        <w:t xml:space="preserve">Ensure the IPO Notice is prepared, reviewed by counsel, and delivered at least 35 days before the expected pricing date. The Form S-1 discloses this obligation in</w:t>
      </w:r>
      <w:r>
        <w:t xml:space="preserve"> </w:t>
      </w:r>
      <w:r>
        <w:t xml:space="preserve">“</w:t>
      </w:r>
      <w:r>
        <w:t xml:space="preserve">Use of Proceeds,</w:t>
      </w:r>
      <w:r>
        <w:t xml:space="preserve">”</w:t>
      </w:r>
      <w:r>
        <w:t xml:space="preserve"> </w:t>
      </w:r>
      <w:r>
        <w:t xml:space="preserve">“</w:t>
      </w:r>
      <w:r>
        <w:t xml:space="preserve">Description of Indebtedness,</w:t>
      </w:r>
      <w:r>
        <w:t xml:space="preserve">”</w:t>
      </w:r>
      <w:r>
        <w:t xml:space="preserve"> </w:t>
      </w:r>
      <w:r>
        <w:t xml:space="preserve">and the risk factors.</w:t>
      </w:r>
    </w:p>
    <w:bookmarkEnd w:id="42"/>
    <w:bookmarkStart w:id="43" w:name="X7e15b390b0efd834543b79bc3189bcf3f9ff570"/>
    <w:p>
      <w:pPr>
        <w:pStyle w:val="Heading3"/>
      </w:pPr>
      <w:r>
        <w:t xml:space="preserve">6.5 Change-of-control and judgment-threshold risks (MEDIUM — disclosure)</w:t>
      </w:r>
    </w:p>
    <w:p>
      <w:pPr>
        <w:pStyle w:val="FirstParagraph"/>
      </w:pPr>
      <w:r>
        <w:t xml:space="preserve">The change-of-control provision is triggered if existing stockholders cease to hold at least 50% of aggregate voting power (including following an IPO). Based on the dual-class structure, existing stockholders will retain approximately 71.8% of voting power, so the provision should not be triggered; however, the lender’s concurrence cannot be assumed. Separately, an adverse judgment in the Optivance litigation exceeding $5.0 million that remains undischarged for 60 days would be an event of default.</w:t>
      </w:r>
      <w:r>
        <w:t xml:space="preserve"> </w:t>
      </w:r>
      <w:r>
        <w:rPr>
          <w:b/>
          <w:bCs/>
        </w:rPr>
        <w:t xml:space="preserve">Recommendation:</w:t>
      </w:r>
      <w:r>
        <w:t xml:space="preserve"> </w:t>
      </w:r>
      <w:r>
        <w:t xml:space="preserve">Disclosed in the Form S-1. Monitor the Optivance matter and pre-plan bonding, appeal, or stay strategies.</w:t>
      </w:r>
    </w:p>
    <w:bookmarkEnd w:id="43"/>
    <w:bookmarkStart w:id="44" w:name="X1075142767f40742ee8219723a40523e58da597"/>
    <w:p>
      <w:pPr>
        <w:pStyle w:val="Heading3"/>
      </w:pPr>
      <w:r>
        <w:t xml:space="preserve">6.6 Collateral includes intellectual property and foreign-subsidiary equity (MEDIUM — disclosure)</w:t>
      </w:r>
    </w:p>
    <w:p>
      <w:pPr>
        <w:pStyle w:val="FirstParagraph"/>
      </w:pPr>
      <w:r>
        <w:t xml:space="preserve">The collateral package includes substantially all assets, including the Company’s intellectual property (47 issued U.S. patents, 12 pending applications, 8 foreign patents, and registered trademarks) and 65% of the voting equity of Crestline Software UK Ltd. The UK subsidiary provides a limited guarantee capped at £5.0 million.</w:t>
      </w:r>
      <w:r>
        <w:t xml:space="preserve"> </w:t>
      </w:r>
      <w:r>
        <w:rPr>
          <w:b/>
          <w:bCs/>
        </w:rPr>
        <w:t xml:space="preserve">Recommendation:</w:t>
      </w:r>
      <w:r>
        <w:t xml:space="preserve"> </w:t>
      </w:r>
      <w:r>
        <w:t xml:space="preserve">Disclosed in the Form S-1</w:t>
      </w:r>
      <w:r>
        <w:t xml:space="preserve"> </w:t>
      </w:r>
      <w:r>
        <w:t xml:space="preserve">“</w:t>
      </w:r>
      <w:r>
        <w:t xml:space="preserve">Description of Indebtedness.</w:t>
      </w:r>
      <w:r>
        <w:t xml:space="preserve">”</w:t>
      </w:r>
      <w:r>
        <w:t xml:space="preserve"> </w:t>
      </w:r>
      <w:r>
        <w:t xml:space="preserve">Confirm that the lien on IP and foreign-subsidiary equity is appropriately disclosed and does not raise any going-concern or operational flexibility concerns.</w:t>
      </w:r>
    </w:p>
    <w:bookmarkEnd w:id="44"/>
    <w:bookmarkEnd w:id="45"/>
    <w:bookmarkStart w:id="51" w:name="equity-409a-and-cheap-stock-issues"/>
    <w:p>
      <w:pPr>
        <w:pStyle w:val="Heading2"/>
      </w:pPr>
      <w:r>
        <w:t xml:space="preserve">7. Equity, 409A, and Cheap-Stock Issues</w:t>
      </w:r>
    </w:p>
    <w:bookmarkStart w:id="46" w:name="X2f9338c2b43c74954cc4f4dca8e3b6c421514a7"/>
    <w:p>
      <w:pPr>
        <w:pStyle w:val="Heading3"/>
      </w:pPr>
      <w:r>
        <w:t xml:space="preserve">7.1 409A valuation history does not match the Audited Financials (HIGH)</w:t>
      </w:r>
    </w:p>
    <w:p>
      <w:pPr>
        <w:pStyle w:val="FirstParagraph"/>
      </w:pPr>
      <w:r>
        <w:t xml:space="preserve">The Audited Financials (Note 12(e)) list the following 409A valuations: June 30, 2022 ($7.80); September 30, 2022 ($9.50); March 31, 2023 ($14.20); September 30, 2023 ($16.50); March 31, 2024 ($18.20); and September 30, 2024 ($19.60). The Equity Records’ 409A Valuations tab lists: September 30, 2022 ($9.50); March 31, 2023 ($14.20); December 31, 2023 ($16.80); and December 31, 2024 — preliminary ($18.50). The dates and values diverge for the 2023 and 2024 valuations, and the most recent valuation differs ($19.60 per the Audited Financials vs. $18.50 preliminary per the Equity Records).</w:t>
      </w:r>
      <w:r>
        <w:t xml:space="preserve"> </w:t>
      </w:r>
      <w:r>
        <w:rPr>
          <w:b/>
          <w:bCs/>
        </w:rPr>
        <w:t xml:space="preserve">Recommendation:</w:t>
      </w:r>
      <w:r>
        <w:t xml:space="preserve"> </w:t>
      </w:r>
      <w:r>
        <w:t xml:space="preserve">Reconcile the 409A valuation history so that the stock-based compensation footnote in the Form S-1 (which must be consistent with the Audited Financials) and the executive-compensation / equity-plan disclosures agree. Confirm which valuation will be relied upon for the S-1 stock-based compensation disclosure and finalize the December 31, 2024 valuation report.</w:t>
      </w:r>
    </w:p>
    <w:bookmarkEnd w:id="46"/>
    <w:bookmarkStart w:id="47" w:name="Xb4a3612d50fd43990392d1e8a4e3f755d44541b"/>
    <w:p>
      <w:pPr>
        <w:pStyle w:val="Heading3"/>
      </w:pPr>
      <w:r>
        <w:t xml:space="preserve">7.2 Cheap-stock risk on Q1 2023 option grants (HIGH)</w:t>
      </w:r>
    </w:p>
    <w:p>
      <w:pPr>
        <w:pStyle w:val="FirstParagraph"/>
      </w:pPr>
      <w:r>
        <w:t xml:space="preserve">In the three months ended March 31, 2023, the Company granted 2,400,000 stock options at an exercise price of $9.50 per share, based on the September 30, 2022 409A valuation ($9.50). A subsequent 409A valuation as of March 31, 2023 determined fair value to be $14.20 per share — approximately 49.5% higher and obtained shortly after the grants. The gap between the grant-date exercise price and the subsequent valuation, and the gap between the most recent 409A valuations ($18.20–$19.60) and the IPO midpoint price ($24.00), are likely to draw SEC cheap-stock scrutiny.</w:t>
      </w:r>
      <w:r>
        <w:t xml:space="preserve"> </w:t>
      </w:r>
      <w:r>
        <w:rPr>
          <w:b/>
          <w:bCs/>
        </w:rPr>
        <w:t xml:space="preserve">Recommendation:</w:t>
      </w:r>
      <w:r>
        <w:t xml:space="preserve"> </w:t>
      </w:r>
      <w:r>
        <w:t xml:space="preserve">Be prepared to support the grant-date fair values with the valuation reports and board determinations, and to respond to SEC comments regarding whether additional stock-based compensation expense should be recorded. The Form S-1 includes a risk factor on this point. Consider whether a SAB 118 / cheap-stock analysis and any true-up of stock-based compensation expense are required.</w:t>
      </w:r>
    </w:p>
    <w:bookmarkEnd w:id="47"/>
    <w:bookmarkStart w:id="48" w:name="X6510d710cfa4bed4186fa9c32e7323251f1c3cf"/>
    <w:p>
      <w:pPr>
        <w:pStyle w:val="Heading3"/>
      </w:pPr>
      <w:r>
        <w:t xml:space="preserve">7.3 Equity Records’ financing inputs conflict with the Audited Financials (HIGH)</w:t>
      </w:r>
    </w:p>
    <w:p>
      <w:pPr>
        <w:pStyle w:val="FirstParagraph"/>
      </w:pPr>
      <w:r>
        <w:t xml:space="preserve">The Equity Records’ 409A Valuations tab describes the preferred-stock financings as: Series A</w:t>
      </w:r>
      <w:r>
        <w:t xml:space="preserve"> </w:t>
      </w:r>
      <w:r>
        <w:t xml:space="preserve">“</w:t>
      </w:r>
      <w:r>
        <w:t xml:space="preserve">closed July 2018 at $2.50/share ($25M round, $50M post-money)</w:t>
      </w:r>
      <w:r>
        <w:t xml:space="preserve">”</w:t>
      </w:r>
      <w:r>
        <w:t xml:space="preserve"> </w:t>
      </w:r>
      <w:r>
        <w:t xml:space="preserve">and Series B</w:t>
      </w:r>
      <w:r>
        <w:t xml:space="preserve"> </w:t>
      </w:r>
      <w:r>
        <w:t xml:space="preserve">“</w:t>
      </w:r>
      <w:r>
        <w:t xml:space="preserve">closed February 2020 at $6.00/share ($60M round, $180M post-money),</w:t>
      </w:r>
      <w:r>
        <w:t xml:space="preserve">”</w:t>
      </w:r>
      <w:r>
        <w:t xml:space="preserve"> </w:t>
      </w:r>
      <w:r>
        <w:t xml:space="preserve">and Series C as a</w:t>
      </w:r>
      <w:r>
        <w:t xml:space="preserve"> </w:t>
      </w:r>
      <w:r>
        <w:t xml:space="preserve">“</w:t>
      </w:r>
      <w:r>
        <w:t xml:space="preserve">$120M round.</w:t>
      </w:r>
      <w:r>
        <w:t xml:space="preserve">”</w:t>
      </w:r>
      <w:r>
        <w:t xml:space="preserve"> </w:t>
      </w:r>
      <w:r>
        <w:t xml:space="preserve">The Audited Financials (Note 10) state: Series A — October 2018, 8,000,000 shares at $1.50 per share, $12.0 million; Series B — April 2020, 9,500,000 shares at $4.00 per share, $38.0 million; Series C — November 2021, 7,916,667 shares at $12.00 per share, $95.0 million. The Series A and Series B prices, amounts, and dates in the Equity Records conflict with the Audited Financials, and the Series C amount differs ($120M vs. $95M). Because the 409A valuations backsolve from the most recent preferred round price, the inputs used in the valuations should be verified against the actual preferred-stock issuance prices.</w:t>
      </w:r>
      <w:r>
        <w:t xml:space="preserve"> </w:t>
      </w:r>
      <w:r>
        <w:rPr>
          <w:b/>
          <w:bCs/>
        </w:rPr>
        <w:t xml:space="preserve">Recommendation:</w:t>
      </w:r>
      <w:r>
        <w:t xml:space="preserve"> </w:t>
      </w:r>
      <w:r>
        <w:t xml:space="preserve">Confirm that the valuation firm (Meridian Valuation Partners) used the correct preferred-stock prices. If the Equity Records’ financing descriptions are erroneous, correct them. If the valuations relied on incorrect preferred prices, assess whether the historical 409A values and related stock-based compensation are affected.</w:t>
      </w:r>
    </w:p>
    <w:bookmarkEnd w:id="48"/>
    <w:bookmarkStart w:id="49" w:name="X890a5455ef8a0328630363da1c37e39744a6a61"/>
    <w:p>
      <w:pPr>
        <w:pStyle w:val="Heading3"/>
      </w:pPr>
      <w:r>
        <w:t xml:space="preserve">7.4 Stock-based compensation magnitude and dilution (MEDIUM — disclosure)</w:t>
      </w:r>
    </w:p>
    <w:p>
      <w:pPr>
        <w:pStyle w:val="FirstParagraph"/>
      </w:pPr>
      <w:r>
        <w:t xml:space="preserve">Stock-based compensation was $38.2 million in FY 2024 (approximately 20% of revenue). Unrecognized stock-based compensation expense was approximately $62.5 million as of December 31, 2024, to be recognized over a weighted-average period of 2.8 years. Outstanding equity awards (14,750,000 options at a weighted-average exercise price of $8.42; 3,200,000 RSUs) and the ESPP (2,500,000 shares, effective at IPO, with an evergreen of the lesser of 1% or 2,000,000 shares) will cause ongoing dilution. RSUs are subject to a double-trigger settlement condition (time-based vesting plus an IPO liquidity event).</w:t>
      </w:r>
      <w:r>
        <w:t xml:space="preserve"> </w:t>
      </w:r>
      <w:r>
        <w:rPr>
          <w:b/>
          <w:bCs/>
        </w:rPr>
        <w:t xml:space="preserve">Recommendation:</w:t>
      </w:r>
      <w:r>
        <w:t xml:space="preserve"> </w:t>
      </w:r>
      <w:r>
        <w:t xml:space="preserve">Disclosed in the Form S-1. Ensure the dilution table and the equity-plan disclosures accurately reflect the double-trigger RSU settlement and the ESPP terms.</w:t>
      </w:r>
    </w:p>
    <w:bookmarkEnd w:id="49"/>
    <w:bookmarkStart w:id="50" w:name="Xfb6c27f1aa33757da0600f23cadcef48706e010"/>
    <w:p>
      <w:pPr>
        <w:pStyle w:val="Heading3"/>
      </w:pPr>
      <w:r>
        <w:t xml:space="preserve">7.5 Net operating loss carryforwards and Section 382 (MEDIUM — disclosure)</w:t>
      </w:r>
    </w:p>
    <w:p>
      <w:pPr>
        <w:pStyle w:val="FirstParagraph"/>
      </w:pPr>
      <w:r>
        <w:t xml:space="preserve">As of December 31, 2024, the Company had approximately $228.0 million of federal NOLs and $166.0 million of state NOLs. A Section 382 ownership-change study has not been completed. The IPO and other equity transactions could trigger an ownership change that limits NOL utilization. The Company maintains a full valuation allowance against its net deferred tax assets.</w:t>
      </w:r>
      <w:r>
        <w:t xml:space="preserve"> </w:t>
      </w:r>
      <w:r>
        <w:rPr>
          <w:b/>
          <w:bCs/>
        </w:rPr>
        <w:t xml:space="preserve">Recommendation:</w:t>
      </w:r>
      <w:r>
        <w:t xml:space="preserve"> </w:t>
      </w:r>
      <w:r>
        <w:t xml:space="preserve">Disclosed in the Form S-1 risk factors. Complete the Section 382 study before or shortly after filing.</w:t>
      </w:r>
    </w:p>
    <w:bookmarkEnd w:id="50"/>
    <w:bookmarkEnd w:id="51"/>
    <w:bookmarkStart w:id="57" w:name="Xcf15aec738c8b6a357b24fffe1b5fdd8dfacbc4"/>
    <w:p>
      <w:pPr>
        <w:pStyle w:val="Heading2"/>
      </w:pPr>
      <w:r>
        <w:t xml:space="preserve">8. Related-Party and Beneficial-Ownership Issues</w:t>
      </w:r>
    </w:p>
    <w:bookmarkStart w:id="52" w:name="X4d2c6f54b23c50e34fbf841042dd8fb9820cef0"/>
    <w:p>
      <w:pPr>
        <w:pStyle w:val="Heading3"/>
      </w:pPr>
      <w:r>
        <w:t xml:space="preserve">8.1 Vantara Logistics related-party disclosure inconsistency (HIGH)</w:t>
      </w:r>
    </w:p>
    <w:p>
      <w:pPr>
        <w:pStyle w:val="FirstParagraph"/>
      </w:pPr>
      <w:r>
        <w:t xml:space="preserve">Vantara Logistics, Inc. is a portfolio company of Graymont Ventures, the Company’s largest pre-IPO stockholder (22.4% fully diluted). Priya Venkatesh, a director, is the Managing Partner of Graymont Ventures and also serves on the board of Vantara. The SaaS license agreement (April 2023; $1.2 million annually; three-year term; $3.6 million total contract value) was approved by the Audit Committee with Ms. Venkatesh recused. The transaction is disclosed as a related-party transaction in the Questionnaires (by Ms. Venkatesh) but is treated as an ordinary customer in the CFO Memo (Exhibit B) and as a customer case study in the Roadshow (Slide 14) without any related-party notation. The CFO’s questionnaire response did not identify the transaction as a related-party transaction.</w:t>
      </w:r>
      <w:r>
        <w:t xml:space="preserve"> </w:t>
      </w:r>
      <w:r>
        <w:rPr>
          <w:b/>
          <w:bCs/>
        </w:rPr>
        <w:t xml:space="preserve">Recommendation:</w:t>
      </w:r>
      <w:r>
        <w:t xml:space="preserve"> </w:t>
      </w:r>
      <w:r>
        <w:t xml:space="preserve">The Form S-1 discloses the Vantara relationship under Item 404 of Regulation S-K with full detail (the Graymont affiliation, Ms. Venkatesh’s dual board role, the Audit Committee approval, and her recusal). Conform the CFO Memo and Roadshow so that all investor-facing materials consistently identify Vantara as a related party. Confirm the arm’s-length pricing determination with the Audit Committee and obtain supporting documentation.</w:t>
      </w:r>
    </w:p>
    <w:bookmarkEnd w:id="52"/>
    <w:bookmarkStart w:id="53" w:name="X627f3e70af284e7e42099916a62ca29b5c89cb6"/>
    <w:p>
      <w:pPr>
        <w:pStyle w:val="Heading3"/>
      </w:pPr>
      <w:r>
        <w:t xml:space="preserve">8.2 Aldersgate Capital beneficial-ownership gap (HIGH)</w:t>
      </w:r>
    </w:p>
    <w:p>
      <w:pPr>
        <w:pStyle w:val="FirstParagraph"/>
      </w:pPr>
      <w:r>
        <w:t xml:space="preserve">Aldersgate Capital participated in the Series B round (April 2020) but does not appear in any current beneficial-ownership disclosure. No questionnaire respondent reports Aldersgate Capital as a current stockholder. If Aldersgate Capital remains a holder of 5% or more of any class of securities, it must be included in the principal-stockholders table under Item 403 of Regulation S-K.</w:t>
      </w:r>
      <w:r>
        <w:t xml:space="preserve"> </w:t>
      </w:r>
      <w:r>
        <w:rPr>
          <w:b/>
          <w:bCs/>
        </w:rPr>
        <w:t xml:space="preserve">Recommendation:</w:t>
      </w:r>
      <w:r>
        <w:t xml:space="preserve"> </w:t>
      </w:r>
      <w:r>
        <w:t xml:space="preserve">Confirm Aldersgate Capital’s current holdings against the transfer agent’s records, obtain any secondary-transfer documentation, and, if Aldersgate Capital holds 5% or more, obtain a completed D&amp;O questionnaire or equivalent disclosure. The Form S-1 principal-stockholders table carries a drafting note and cannot be finalized until this is resolved.</w:t>
      </w:r>
    </w:p>
    <w:bookmarkEnd w:id="53"/>
    <w:bookmarkStart w:id="54" w:name="Xf816472a6e05588aec177a96f14970122e42f89"/>
    <w:p>
      <w:pPr>
        <w:pStyle w:val="Heading3"/>
      </w:pPr>
      <w:r>
        <w:t xml:space="preserve">8.3 Lock-up coverage for fund entities (MEDIUM)</w:t>
      </w:r>
    </w:p>
    <w:p>
      <w:pPr>
        <w:pStyle w:val="FirstParagraph"/>
      </w:pPr>
      <w:r>
        <w:t xml:space="preserve">The Term Sheet’s lock-up requirement covers officers, directors, and 5%+ stockholders. The Questionnaires note that the Graymont and Ridgeline shares are held at the fund level (Graymont Ventures Fund III, L.P. and Fund IV, L.P.; Ridgeline Growth Partners Fund V, L.P.), not in the individual directors’ names.</w:t>
      </w:r>
      <w:r>
        <w:t xml:space="preserve"> </w:t>
      </w:r>
      <w:r>
        <w:rPr>
          <w:b/>
          <w:bCs/>
        </w:rPr>
        <w:t xml:space="preserve">Recommendation:</w:t>
      </w:r>
      <w:r>
        <w:t xml:space="preserve"> </w:t>
      </w:r>
      <w:r>
        <w:t xml:space="preserve">Ensure the lock-up agreements are executed by the fund-level entities that hold the shares, not merely the individual directors who serve as their representatives. The Form S-1</w:t>
      </w:r>
      <w:r>
        <w:t xml:space="preserve"> </w:t>
      </w:r>
      <w:r>
        <w:t xml:space="preserve">“</w:t>
      </w:r>
      <w:r>
        <w:t xml:space="preserve">Plan of Distribution</w:t>
      </w:r>
      <w:r>
        <w:t xml:space="preserve">”</w:t>
      </w:r>
      <w:r>
        <w:t xml:space="preserve"> </w:t>
      </w:r>
      <w:r>
        <w:t xml:space="preserve">carries a drafting note.</w:t>
      </w:r>
    </w:p>
    <w:bookmarkEnd w:id="54"/>
    <w:bookmarkStart w:id="55" w:name="X0f6deacf4cf7953660e9cf7f30b146b2630cc11"/>
    <w:p>
      <w:pPr>
        <w:pStyle w:val="Heading3"/>
      </w:pPr>
      <w:r>
        <w:t xml:space="preserve">8.4 Director ages and other Item 401 information (MEDIUM)</w:t>
      </w:r>
    </w:p>
    <w:p>
      <w:pPr>
        <w:pStyle w:val="FirstParagraph"/>
      </w:pPr>
      <w:r>
        <w:t xml:space="preserve">Ages for the non-employee directors (Venkatesh, Moreno, Park, Kwon, and Obi) were not provided in all questionnaire responses. Item 401 of Regulation S-K requires disclosure of each director’s and executive officer’s age.</w:t>
      </w:r>
      <w:r>
        <w:t xml:space="preserve"> </w:t>
      </w:r>
      <w:r>
        <w:rPr>
          <w:b/>
          <w:bCs/>
        </w:rPr>
        <w:t xml:space="preserve">Recommendation:</w:t>
      </w:r>
      <w:r>
        <w:t xml:space="preserve"> </w:t>
      </w:r>
      <w:r>
        <w:t xml:space="preserve">Confirm ages and any other required Item 401 information (e.g., other directorships held in the last five years) before filing.</w:t>
      </w:r>
    </w:p>
    <w:bookmarkEnd w:id="55"/>
    <w:bookmarkStart w:id="56" w:name="X6de4e2a4e22dcd02b2f2d0a158ae6a6d1864c66"/>
    <w:p>
      <w:pPr>
        <w:pStyle w:val="Heading3"/>
      </w:pPr>
      <w:r>
        <w:t xml:space="preserve">8.5 General Counsel’s former employment at issuer’s counsel (LOW)</w:t>
      </w:r>
    </w:p>
    <w:p>
      <w:pPr>
        <w:pStyle w:val="FirstParagraph"/>
      </w:pPr>
      <w:r>
        <w:t xml:space="preserve">Sandra Y. Chen, the General Counsel and Corporate Secretary, was previously employed as an associate at Thorncroft &amp; Wexler LLP, which serves as issuer’s counsel. She reports no ongoing financial interest in the firm.</w:t>
      </w:r>
      <w:r>
        <w:t xml:space="preserve"> </w:t>
      </w:r>
      <w:r>
        <w:rPr>
          <w:b/>
          <w:bCs/>
        </w:rPr>
        <w:t xml:space="preserve">Recommendation:</w:t>
      </w:r>
      <w:r>
        <w:t xml:space="preserve"> </w:t>
      </w:r>
      <w:r>
        <w:t xml:space="preserve">Consider whether disclosure is appropriate under Item 404 (the relationship is likely immaterial given her departure in 2019 and lack of ongoing interest) and whether any conflict-of-interest analysis or informed-consent documentation should be in the file. The Form S-1</w:t>
      </w:r>
      <w:r>
        <w:t xml:space="preserve"> </w:t>
      </w:r>
      <w:r>
        <w:t xml:space="preserve">“</w:t>
      </w:r>
      <w:r>
        <w:t xml:space="preserve">Certain Relationships and Related Party Transactions</w:t>
      </w:r>
      <w:r>
        <w:t xml:space="preserve">”</w:t>
      </w:r>
      <w:r>
        <w:t xml:space="preserve"> </w:t>
      </w:r>
      <w:r>
        <w:t xml:space="preserve">section notes the relationship.</w:t>
      </w:r>
    </w:p>
    <w:bookmarkEnd w:id="56"/>
    <w:bookmarkEnd w:id="57"/>
    <w:bookmarkStart w:id="61" w:name="offering-and-capitalization-issues"/>
    <w:p>
      <w:pPr>
        <w:pStyle w:val="Heading2"/>
      </w:pPr>
      <w:r>
        <w:t xml:space="preserve">9. Offering and Capitalization Issues</w:t>
      </w:r>
    </w:p>
    <w:bookmarkStart w:id="58" w:name="X6395d3e6bb8c96631dc2faaa1bb808630ac4f65"/>
    <w:p>
      <w:pPr>
        <w:pStyle w:val="Heading3"/>
      </w:pPr>
      <w:r>
        <w:t xml:space="preserve">9.1 Use-of-proceeds allocation differs across documents (MEDIUM)</w:t>
      </w:r>
    </w:p>
    <w:p>
      <w:pPr>
        <w:pStyle w:val="FirstParagraph"/>
      </w:pPr>
      <w:r>
        <w:t xml:space="preserve">The CFO Memo (Section 3.2) allocates net proceeds as approximately 35% R&amp;D, 25% sales and marketing, 15% debt repayment/general, 10% acquisitions, and the remainder to general corporate purposes. The Roadshow (Slide 27) allocates approximately 40% R&amp;D, 30% sales and marketing, 15% acquisitions, 10% working capital, and 5% term loan repayment. The Term Sheet (Section 4) states that the Company</w:t>
      </w:r>
      <w:r>
        <w:t xml:space="preserve"> </w:t>
      </w:r>
      <w:r>
        <w:t xml:space="preserve">“</w:t>
      </w:r>
      <w:r>
        <w:t xml:space="preserve">has not determined the specific allocation of net proceeds.</w:t>
      </w:r>
      <w:r>
        <w:t xml:space="preserve">”</w:t>
      </w:r>
      <w:r>
        <w:t xml:space="preserve"> </w:t>
      </w:r>
      <w:r>
        <w:rPr>
          <w:b/>
          <w:bCs/>
        </w:rPr>
        <w:t xml:space="preserve">Recommendation:</w:t>
      </w:r>
      <w:r>
        <w:t xml:space="preserve"> </w:t>
      </w:r>
      <w:r>
        <w:t xml:space="preserve">Reconcile to a single allocation before filing. The Form S-1 currently uses the CFO Memo’s allocation with a drafting note. Given the Term Sheet’s</w:t>
      </w:r>
      <w:r>
        <w:t xml:space="preserve"> </w:t>
      </w:r>
      <w:r>
        <w:t xml:space="preserve">“</w:t>
      </w:r>
      <w:r>
        <w:t xml:space="preserve">not determined</w:t>
      </w:r>
      <w:r>
        <w:t xml:space="preserve">”</w:t>
      </w:r>
      <w:r>
        <w:t xml:space="preserve"> </w:t>
      </w:r>
      <w:r>
        <w:t xml:space="preserve">statement, consider whether the Form S-1 should present the allocation as approximate and subject to management discretion.</w:t>
      </w:r>
    </w:p>
    <w:bookmarkEnd w:id="58"/>
    <w:bookmarkStart w:id="59" w:name="Xbf1488b1e1624fd49200a6527814ba4d5750e14"/>
    <w:p>
      <w:pPr>
        <w:pStyle w:val="Heading3"/>
      </w:pPr>
      <w:r>
        <w:t xml:space="preserve">9.2 Dilution and capitalization math (LOW — verified)</w:t>
      </w:r>
    </w:p>
    <w:p>
      <w:pPr>
        <w:pStyle w:val="FirstParagraph"/>
      </w:pPr>
      <w:r>
        <w:t xml:space="preserve">The dilution analysis (pro forma net tangible book value of $1.06 per share pre-offering; $4.15 per share post-offering; dilution of $19.85 per share at the $24.00 midpoint) and the post-IPO capitalization (102,416,667 shares outstanding at the base offering; 71.8% founder voting power) are internally consistent across the CFO Memo, Term Sheet, and Roadshow. No correction required; the Form S-1 uses these figures.</w:t>
      </w:r>
    </w:p>
    <w:bookmarkEnd w:id="59"/>
    <w:bookmarkStart w:id="60" w:name="pro-forma-liquidity-low-verified"/>
    <w:p>
      <w:pPr>
        <w:pStyle w:val="Heading3"/>
      </w:pPr>
      <w:r>
        <w:t xml:space="preserve">9.3 Pro forma liquidity (LOW — verified)</w:t>
      </w:r>
    </w:p>
    <w:p>
      <w:pPr>
        <w:pStyle w:val="FirstParagraph"/>
      </w:pPr>
      <w:r>
        <w:t xml:space="preserve">Pro forma cash and investments of approximately $468.8 million post-offering ($94.7 million cash + $42.3 million short-term investments + $331.8 million net proceeds) and net cash of approximately $428.8 million (after the $40.0 million term loan) are consistent. No correction required.</w:t>
      </w:r>
    </w:p>
    <w:bookmarkEnd w:id="60"/>
    <w:bookmarkEnd w:id="61"/>
    <w:bookmarkStart w:id="66" w:name="X77b0c781a0793713ffcd46b4633a04f38330000"/>
    <w:p>
      <w:pPr>
        <w:pStyle w:val="Heading2"/>
      </w:pPr>
      <w:r>
        <w:t xml:space="preserve">10. Litigation, Intellectual Property, and Other Matters</w:t>
      </w:r>
    </w:p>
    <w:bookmarkStart w:id="62" w:name="Xfbe04258e26da30be243998945a7d00cc0f84c2"/>
    <w:p>
      <w:pPr>
        <w:pStyle w:val="Heading3"/>
      </w:pPr>
      <w:r>
        <w:t xml:space="preserve">10.1 Optivance patent litigation (HIGH — disclosure and covenant interplay)</w:t>
      </w:r>
    </w:p>
    <w:p>
      <w:pPr>
        <w:pStyle w:val="FirstParagraph"/>
      </w:pPr>
      <w:r>
        <w:t xml:space="preserve">Optivance, Inc. v. Crestline Software, Inc. (Case No. 6:24-cv-00831, E.D. Tex., filed September 12, 2024) alleges infringement of U.S. Patent No. 11,284,107 relating to</w:t>
      </w:r>
      <w:r>
        <w:t xml:space="preserve"> </w:t>
      </w:r>
      <w:r>
        <w:t xml:space="preserve">“</w:t>
      </w:r>
      <w:r>
        <w:t xml:space="preserve">machine-learning-based inventory forecasting.</w:t>
      </w:r>
      <w:r>
        <w:t xml:space="preserve">”</w:t>
      </w:r>
      <w:r>
        <w:t xml:space="preserve"> </w:t>
      </w:r>
      <w:r>
        <w:t xml:space="preserve">Outside patent counsel estimates potential exposure of $5.0 million to $20.0 million (assessed as low probability); no loss accrual has been recorded; the matter is in the early stages with no trial date set. An adverse judgment exceeding $5.0 million that remains undischarged for 60 days would be an event of default under the term loan.</w:t>
      </w:r>
      <w:r>
        <w:t xml:space="preserve"> </w:t>
      </w:r>
      <w:r>
        <w:rPr>
          <w:b/>
          <w:bCs/>
        </w:rPr>
        <w:t xml:space="preserve">Recommendation:</w:t>
      </w:r>
      <w:r>
        <w:t xml:space="preserve"> </w:t>
      </w:r>
      <w:r>
        <w:t xml:space="preserve">Disclosed in the Form S-1 (Business — Legal Proceedings; risk factors; Description of Indebtedness). Ensure the litigation disclosure is consistent across the Form S-1, the auditor’s subsequent-events review, and the underwriting agreement representations. Confirm that the underwriters have been informed (the Term Sheet indicates they have).</w:t>
      </w:r>
    </w:p>
    <w:bookmarkEnd w:id="62"/>
    <w:bookmarkStart w:id="63" w:name="Xd7204a018b8f79fa31af52f0283fbdc50217b4d"/>
    <w:p>
      <w:pPr>
        <w:pStyle w:val="Heading3"/>
      </w:pPr>
      <w:r>
        <w:t xml:space="preserve">10.2 Intellectual property portfolio (LOW — verified)</w:t>
      </w:r>
    </w:p>
    <w:p>
      <w:pPr>
        <w:pStyle w:val="FirstParagraph"/>
      </w:pPr>
      <w:r>
        <w:t xml:space="preserve">The IP portfolio (47 issued U.S. patents, 12 pending U.S. applications, 8 issued foreign patents;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SOC 2 Type II certification in August 2024) is consistently described across documents. The IP is pledged as collateral under the term loan (see Section 6.6). No correction required.</w:t>
      </w:r>
    </w:p>
    <w:bookmarkEnd w:id="63"/>
    <w:bookmarkStart w:id="64" w:name="Xeefc04e48f18de84256e77d9ae2e2780aceb798"/>
    <w:p>
      <w:pPr>
        <w:pStyle w:val="Heading3"/>
      </w:pPr>
      <w:r>
        <w:t xml:space="preserve">10.3 Going-concern and accumulated deficit (LOW — disclosure)</w:t>
      </w:r>
    </w:p>
    <w:p>
      <w:pPr>
        <w:pStyle w:val="FirstParagraph"/>
      </w:pPr>
      <w:r>
        <w:t xml:space="preserve">The Company has incurred net losses since inception and had an accumulated deficit of $312.6 million as of December 31, 2024. The auditor (Archer Pryce LLP) issued an unqualified opinion with no going-concern emphasis, and management believes existing liquidity will fund operations for at least 12 months. The Form S-1 includes a risk factor on the history of losses. No correction required, but ensure the MD&amp;A liquidity discussion and the auditor’s report are consistent.</w:t>
      </w:r>
    </w:p>
    <w:bookmarkEnd w:id="64"/>
    <w:bookmarkStart w:id="65" w:name="X1a3a43e5a0fc297ced4bb254f2bef13bf1745c4"/>
    <w:p>
      <w:pPr>
        <w:pStyle w:val="Heading3"/>
      </w:pPr>
      <w:r>
        <w:t xml:space="preserve">10.4 Emerging growth company status (LOW — verified)</w:t>
      </w:r>
    </w:p>
    <w:p>
      <w:pPr>
        <w:pStyle w:val="FirstParagraph"/>
      </w:pPr>
      <w:r>
        <w:t xml:space="preserve">The Company qualifies as an emerging growth company (FY 2024 revenue of $187.3 million, below the $1.235 billion threshold; within five years of first sale of common equity). The Form S-1 reflects EGC status and the available accommodations. No correction required.</w:t>
      </w:r>
    </w:p>
    <w:bookmarkEnd w:id="65"/>
    <w:bookmarkEnd w:id="66"/>
    <w:bookmarkStart w:id="67" w:name="X4a1e136062f15ee9ac54482852a561ec9d46158"/>
    <w:p>
      <w:pPr>
        <w:pStyle w:val="Heading2"/>
      </w:pPr>
      <w:r>
        <w:t xml:space="preserve">11. Summary of Recommended Actions and Priorities</w:t>
      </w:r>
    </w:p>
    <w:p>
      <w:pPr>
        <w:pStyle w:val="FirstParagraph"/>
      </w:pPr>
      <w:r>
        <w:rPr>
          <w:b/>
          <w:bCs/>
        </w:rPr>
        <w:t xml:space="preserve">Before filing (CRITICAL):</w:t>
      </w:r>
      <w:r>
        <w:t xml:space="preserve"> </w:t>
      </w:r>
      <w:r>
        <w:t xml:space="preserve">1. Correct the Adjusted EBITDA reconciliation (FY 2024: $20.5 million; FY 2023: $3.5 million) and conform the CFO Memo and Roadshow. (Section 3.1)</w:t>
      </w:r>
      <w:r>
        <w:t xml:space="preserve"> </w:t>
      </w:r>
      <w:r>
        <w:t xml:space="preserve">2. Reconcile the Board size and composition (six vs. seven directors; whether Ms. Litvak is a director) and conform the certificate of incorporation, Questionnaires, CFO Memo, Term Sheet, and Roadshow. (Section 5.1)</w:t>
      </w:r>
      <w:r>
        <w:t xml:space="preserve"> </w:t>
      </w:r>
      <w:r>
        <w:t xml:space="preserve">3. Confirm the co-founder/CTO’s correct legal name (</w:t>
      </w:r>
      <w:r>
        <w:t xml:space="preserve">“</w:t>
      </w:r>
      <w:r>
        <w:t xml:space="preserve">Litvak</w:t>
      </w:r>
      <w:r>
        <w:t xml:space="preserve">”</w:t>
      </w:r>
      <w:r>
        <w:t xml:space="preserve"> </w:t>
      </w:r>
      <w:r>
        <w:t xml:space="preserve">vs. </w:t>
      </w:r>
      <w:r>
        <w:t xml:space="preserve">“</w:t>
      </w:r>
      <w:r>
        <w:t xml:space="preserve">Litvanova</w:t>
      </w:r>
      <w:r>
        <w:t xml:space="preserve">”</w:t>
      </w:r>
      <w:r>
        <w:t xml:space="preserve">) and conform all documents and exhibits. (Section 4.1)</w:t>
      </w:r>
    </w:p>
    <w:p>
      <w:pPr>
        <w:pStyle w:val="BodyText"/>
      </w:pPr>
      <w:r>
        <w:rPr>
          <w:b/>
          <w:bCs/>
        </w:rPr>
        <w:t xml:space="preserve">Before effectiveness / likely SEC comments (HIGH):</w:t>
      </w:r>
      <w:r>
        <w:t xml:space="preserve"> </w:t>
      </w:r>
      <w:r>
        <w:t xml:space="preserve">4. Reconcile the term loan origination date, draw history, and repayment schedule across the Audited Financials and the Term Loan Summary. (Sections 6.1–6.3)</w:t>
      </w:r>
      <w:r>
        <w:t xml:space="preserve"> </w:t>
      </w:r>
      <w:r>
        <w:t xml:space="preserve">5. Reconcile the 409A valuation history and verify the preferred-stock prices used in the valuations; finalize the December 31, 2024 valuation. (Sections 7.1, 7.3)</w:t>
      </w:r>
      <w:r>
        <w:t xml:space="preserve"> </w:t>
      </w:r>
      <w:r>
        <w:t xml:space="preserve">6. Prepare for cheap-stock scrutiny on the Q1 2023 option grants and the gap between recent 409A values and the IPO price. (Section 7.2)</w:t>
      </w:r>
      <w:r>
        <w:t xml:space="preserve"> </w:t>
      </w:r>
      <w:r>
        <w:t xml:space="preserve">7. Conform the Vantara Logistics related-party disclosure across all materials and confirm the arm’s-length pricing determination. (Section 8.1)</w:t>
      </w:r>
      <w:r>
        <w:t xml:space="preserve"> </w:t>
      </w:r>
      <w:r>
        <w:t xml:space="preserve">8. Resolve the Aldersgate Capital beneficial-ownership gap and finalize the principal-stockholders table. (Section 8.2)</w:t>
      </w:r>
      <w:r>
        <w:t xml:space="preserve"> </w:t>
      </w:r>
      <w:r>
        <w:t xml:space="preserve">9. Obtain a formal Board resolution on the controlled-company exemption. (Section 5.2)</w:t>
      </w:r>
      <w:r>
        <w:t xml:space="preserve"> </w:t>
      </w:r>
      <w:r>
        <w:t xml:space="preserve">10. Confirm the transfer agent’s identity and conform the bylaws. (Section 4.4)</w:t>
      </w:r>
      <w:r>
        <w:t xml:space="preserve"> </w:t>
      </w:r>
      <w:r>
        <w:t xml:space="preserve">11. Correct the</w:t>
      </w:r>
      <w:r>
        <w:t xml:space="preserve"> </w:t>
      </w:r>
      <w:r>
        <w:t xml:space="preserve">“</w:t>
      </w:r>
      <w:r>
        <w:t xml:space="preserve">high-margin</w:t>
      </w:r>
      <w:r>
        <w:t xml:space="preserve">”</w:t>
      </w:r>
      <w:r>
        <w:t xml:space="preserve"> </w:t>
      </w:r>
      <w:r>
        <w:t xml:space="preserve">professional services characterization. (Section 3.5)</w:t>
      </w:r>
      <w:r>
        <w:t xml:space="preserve"> </w:t>
      </w:r>
      <w:r>
        <w:t xml:space="preserve">12. Deliver the 30-day IPO notice to Kestridge West Credit Partners at least 35 days before pricing. (Section 6.4)</w:t>
      </w:r>
    </w:p>
    <w:p>
      <w:pPr>
        <w:pStyle w:val="BodyText"/>
      </w:pPr>
      <w:r>
        <w:rPr>
          <w:b/>
          <w:bCs/>
        </w:rPr>
        <w:t xml:space="preserve">Conform and confirm (MEDIUM/LOW):</w:t>
      </w:r>
      <w:r>
        <w:t xml:space="preserve"> </w:t>
      </w:r>
      <w:r>
        <w:t xml:space="preserve">13. Correct the FY 2023 revenue mix in the CFO Memo. (Section 3.2)</w:t>
      </w:r>
      <w:r>
        <w:t xml:space="preserve"> </w:t>
      </w:r>
      <w:r>
        <w:t xml:space="preserve">14. Reconcile the restructuring description (timing and headcount). (Section 3.4)</w:t>
      </w:r>
      <w:r>
        <w:t xml:space="preserve"> </w:t>
      </w:r>
      <w:r>
        <w:t xml:space="preserve">15. Conform the lender name and Series B participant name in the Roadshow. (Sections 4.2, 4.3)</w:t>
      </w:r>
      <w:r>
        <w:t xml:space="preserve"> </w:t>
      </w:r>
      <w:r>
        <w:t xml:space="preserve">16. Reconcile the use-of-proceeds allocation. (Section 9.1)</w:t>
      </w:r>
      <w:r>
        <w:t xml:space="preserve"> </w:t>
      </w:r>
      <w:r>
        <w:t xml:space="preserve">17. Confirm director ages and Item 401 information. (Section 8.4)</w:t>
      </w:r>
      <w:r>
        <w:t xml:space="preserve"> </w:t>
      </w:r>
      <w:r>
        <w:t xml:space="preserve">18. Ensure lock-up agreements bind the fund-level entities. (Section 8.3)</w:t>
      </w:r>
      <w:r>
        <w:t xml:space="preserve"> </w:t>
      </w:r>
      <w:r>
        <w:t xml:space="preserve">19. Confirm the issuer’s counsel address. (Section 4.5)</w:t>
      </w:r>
      <w:r>
        <w:t xml:space="preserve"> </w:t>
      </w:r>
      <w:r>
        <w:t xml:space="preserve">20. Complete the Section 382 study. (Section 7.5)</w:t>
      </w:r>
      <w:r>
        <w:t xml:space="preserve"> </w:t>
      </w:r>
      <w:r>
        <w:t xml:space="preserve">21. Consider a dual-class sunset and assess index-inclusion implications. (Section 5.3)</w:t>
      </w:r>
    </w:p>
    <w:bookmarkEnd w:id="67"/>
    <w:bookmarkStart w:id="68" w:name="conclusion"/>
    <w:p>
      <w:pPr>
        <w:pStyle w:val="Heading2"/>
      </w:pPr>
      <w:r>
        <w:t xml:space="preserve">12. Conclusion</w:t>
      </w:r>
    </w:p>
    <w:p>
      <w:pPr>
        <w:pStyle w:val="FirstParagraph"/>
      </w:pPr>
      <w:r>
        <w:t xml:space="preserve">The draft Form S-1 has been prepared using the Audited Financials and Charter Documents as authoritative sources, with bracketed drafting notes identifying the conflicts summarized above. The items in Section 11 should be addressed in priority order. Several of the CRITICAL and HIGH items — particularly the Adjusted EBITDA reconciliation, the Board-size conflict, the name discrepancy, the term loan date, and the 409A/cheap-stock issues — should be resolved before the initial filing to avoid predictable SEC comments and to ensure the accuracy of the registration statement under Sections 11 and 12 of the Securities Act. We are available to discuss any of these items and to assist in their resolution.</w:t>
      </w:r>
    </w:p>
    <w:p>
      <w:pPr>
        <w:pStyle w:val="BodyText"/>
      </w:pPr>
      <w:r>
        <w:rPr>
          <w:i/>
          <w:iCs/>
        </w:rPr>
        <w:t xml:space="preserve">This memorandum is privileged and confidential, is prepared at the direction of counsel, and is intended solely for the use of the IPO working group.</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2026-06-29T00:32:11Z</dcterms:created>
  <dcterms:modified xsi:type="dcterms:W3CDTF">2026-06-29T00:32:11Z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Crestline Software, Inc. — Proposed IPO</vt:lpwstr>
  </property>
</Properties>
</file>