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p>
    <w:p>
      <w:pPr>
        <w:pStyle w:val="Subtitle"/>
      </w:pPr>
      <w:r>
        <w:t xml:space="preserve">Cross-Document</w:t>
      </w:r>
      <w:r>
        <w:t xml:space="preserve"> </w:t>
      </w:r>
      <w:r>
        <w:t xml:space="preserve">Discrepancies</w:t>
      </w:r>
      <w:r>
        <w:t xml:space="preserve"> </w:t>
      </w:r>
      <w:r>
        <w:t xml:space="preserve">and</w:t>
      </w:r>
      <w:r>
        <w:t xml:space="preserve"> </w:t>
      </w:r>
      <w:r>
        <w:t xml:space="preserve">Open</w:t>
      </w:r>
      <w:r>
        <w:t xml:space="preserve"> </w:t>
      </w:r>
      <w:r>
        <w:t xml:space="preserve">Items</w:t>
      </w:r>
      <w:r>
        <w:t xml:space="preserve"> </w:t>
      </w:r>
      <w:r>
        <w:t xml:space="preserve">—</w:t>
      </w:r>
      <w:r>
        <w:t xml:space="preserve"> </w:t>
      </w:r>
      <w:r>
        <w:t xml:space="preserve">IPO</w:t>
      </w:r>
      <w:r>
        <w:t xml:space="preserve"> </w:t>
      </w:r>
      <w:r>
        <w:t xml:space="preserve">of</w:t>
      </w:r>
      <w:r>
        <w:t xml:space="preserve"> </w:t>
      </w:r>
      <w:r>
        <w:t xml:space="preserve">Meridian</w:t>
      </w:r>
      <w:r>
        <w:t xml:space="preserve"> </w:t>
      </w:r>
      <w:r>
        <w:t xml:space="preserve">Pulse</w:t>
      </w:r>
      <w:r>
        <w:t xml:space="preserve"> </w:t>
      </w:r>
      <w:r>
        <w:t xml:space="preserve">Technologies,</w:t>
      </w:r>
      <w:r>
        <w:t xml:space="preserve"> </w:t>
      </w:r>
      <w:r>
        <w:t xml:space="preserve">Inc.</w:t>
      </w:r>
    </w:p>
    <w:p>
      <w:pPr>
        <w:pStyle w:val="Date"/>
      </w:pPr>
      <w:r>
        <w:t xml:space="preserve">March</w:t>
      </w:r>
      <w:r>
        <w:t xml:space="preserve"> </w:t>
      </w:r>
      <w:r>
        <w:t xml:space="preserve">19,</w:t>
      </w:r>
      <w:r>
        <w:t xml:space="preserve"> </w:t>
      </w:r>
      <w:r>
        <w:t xml:space="preserve">2025</w:t>
      </w:r>
    </w:p>
    <w:bookmarkStart w:id="58" w:name="issues-memorandum"/>
    <w:p>
      <w:pPr>
        <w:pStyle w:val="Heading1"/>
      </w:pPr>
      <w:r>
        <w:t xml:space="preserve">ISSUES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Deal Working Group — Meridian Pulse Technologies, Inc. IPO (File No. 333-284517)</w:t>
      </w:r>
    </w:p>
    <w:p>
      <w:pPr>
        <w:pStyle w:val="BodyText"/>
      </w:pPr>
      <w:r>
        <w:rPr>
          <w:b/>
          <w:bCs/>
        </w:rPr>
        <w:t xml:space="preserve">FROM:</w:t>
      </w:r>
      <w:r>
        <w:t xml:space="preserve"> </w:t>
      </w:r>
      <w:r>
        <w:t xml:space="preserve">Drafting Counsel</w:t>
      </w:r>
    </w:p>
    <w:p>
      <w:pPr>
        <w:pStyle w:val="BodyText"/>
      </w:pPr>
      <w:r>
        <w:rPr>
          <w:b/>
          <w:bCs/>
        </w:rPr>
        <w:t xml:space="preserve">DATE:</w:t>
      </w:r>
      <w:r>
        <w:t xml:space="preserve"> </w:t>
      </w:r>
      <w:r>
        <w:t xml:space="preserve">March 19, 2025</w:t>
      </w:r>
    </w:p>
    <w:p>
      <w:pPr>
        <w:pStyle w:val="BodyText"/>
      </w:pPr>
      <w:r>
        <w:rPr>
          <w:b/>
          <w:bCs/>
        </w:rPr>
        <w:t xml:space="preserve">RE:</w:t>
      </w:r>
      <w:r>
        <w:t xml:space="preserve"> </w:t>
      </w:r>
      <w:r>
        <w:t xml:space="preserve">Cross-Document Discrepancies and Open Items Identified in Connection with the Firm-Commitment Underwriting Agreement for the Initial Public Offering of Common Stock of Meridian Pulse Technologies, Inc.</w:t>
      </w:r>
    </w:p>
    <w:bookmarkStart w:id="20" w:name="i.-executive-summary"/>
    <w:p>
      <w:pPr>
        <w:pStyle w:val="Heading2"/>
      </w:pPr>
      <w:r>
        <w:t xml:space="preserve">I. Executive Summary</w:t>
      </w:r>
    </w:p>
    <w:p>
      <w:pPr>
        <w:pStyle w:val="FirstParagraph"/>
      </w:pPr>
      <w:r>
        <w:t xml:space="preserve">This memorandum flags discrepancies and open items identified during a cross-document review of the transaction documents prepared in connection with the initial public offering (the</w:t>
      </w:r>
      <w:r>
        <w:t xml:space="preserve"> </w:t>
      </w:r>
      <w:r>
        <w:t xml:space="preserve">“</w:t>
      </w:r>
      <w:r>
        <w:t xml:space="preserve">Offering</w:t>
      </w:r>
      <w:r>
        <w:t xml:space="preserve">”</w:t>
      </w:r>
      <w:r>
        <w:t xml:space="preserve">) of common stock of Meridian Pulse Technologies, Inc. (the</w:t>
      </w:r>
      <w:r>
        <w:t xml:space="preserve"> </w:t>
      </w:r>
      <w:r>
        <w:t xml:space="preserve">“</w:t>
      </w:r>
      <w:r>
        <w:t xml:space="preserve">Company</w:t>
      </w:r>
      <w:r>
        <w:t xml:space="preserve">”</w:t>
      </w:r>
      <w:r>
        <w:t xml:space="preserve">). The documents reviewed are: (1) the IPO Term Sheet; (2) the S-1 Registration Statement excerpts (File No. 333-284517); (3) the Amended and Restated Certificate of Incorporation; (4) the Summary of Key Terms of the Revolving Credit Agreement; (5) the Engagement Letter dated November 8, 2024; (6) the Form of Lock-Up Agreement; (7) the Draft Comfort Letter from Whitman Reese &amp; Co. dated March 18, 2025; (8) the Power of Attorney and Custody Agreement; and (9) the Selling Stockholder Questionnaire (Cascade Kestridge Ventures, LP).</w:t>
      </w:r>
    </w:p>
    <w:p>
      <w:pPr>
        <w:pStyle w:val="BodyText"/>
      </w:pPr>
      <w:r>
        <w:t xml:space="preserve">The accompanying firm-commitment Underwriting Agreement (the</w:t>
      </w:r>
      <w:r>
        <w:t xml:space="preserve"> </w:t>
      </w:r>
      <w:r>
        <w:t xml:space="preserve">“</w:t>
      </w:r>
      <w:r>
        <w:t xml:space="preserve">Underwriting Agreement</w:t>
      </w:r>
      <w:r>
        <w:t xml:space="preserve">”</w:t>
      </w:r>
      <w:r>
        <w:t xml:space="preserve">) has been drafted to reflect the deal terms as set forth in the Term Sheet, reconciled toward the S-1 Registration Statement (the public document) where the two conflict, and otherwise made consistent with the Engagement Letter, the Form of Lock-Up Agreement, the Power of Attorney and Custody Agreement, and the Draft Comfort Letter. Where the source documents conflict, the Underwriting Agreement adopts a single, internally consistent position, and the conflict is flagged below for resolution by the working group.</w:t>
      </w:r>
    </w:p>
    <w:p>
      <w:pPr>
        <w:pStyle w:val="BodyText"/>
      </w:pPr>
      <w:r>
        <w:t xml:space="preserve">The items below are categorized by severity:</w:t>
      </w:r>
    </w:p>
    <w:p>
      <w:pPr>
        <w:pStyle w:val="Compact"/>
        <w:numPr>
          <w:ilvl w:val="0"/>
          <w:numId w:val="1001"/>
        </w:numPr>
      </w:pPr>
      <w:r>
        <w:rPr>
          <w:b/>
          <w:bCs/>
        </w:rPr>
        <w:t xml:space="preserve">Critical</w:t>
      </w:r>
      <w:r>
        <w:t xml:space="preserve"> </w:t>
      </w:r>
      <w:r>
        <w:t xml:space="preserve">— must be resolved before execution of the Underwriting Agreement or the Closing. These include a fundamental inconsistency between the Draft Comfort Letter and the S-1 financial data, conflicting identification of the Company’s lender, conflicting identification of the Selling Stockholders and their control persons, and a Use of Proceeds disclosure that understates a mandatory credit-facility prepayment.</w:t>
      </w:r>
    </w:p>
    <w:p>
      <w:pPr>
        <w:pStyle w:val="Compact"/>
        <w:numPr>
          <w:ilvl w:val="0"/>
          <w:numId w:val="1001"/>
        </w:numPr>
      </w:pPr>
      <w:r>
        <w:rPr>
          <w:b/>
          <w:bCs/>
        </w:rPr>
        <w:t xml:space="preserve">Material</w:t>
      </w:r>
      <w:r>
        <w:t xml:space="preserve"> </w:t>
      </w:r>
      <w:r>
        <w:t xml:space="preserve">— should be resolved before the Closing and reflected in the Final Prospectus.</w:t>
      </w:r>
    </w:p>
    <w:p>
      <w:pPr>
        <w:pStyle w:val="Compact"/>
        <w:numPr>
          <w:ilvl w:val="0"/>
          <w:numId w:val="1001"/>
        </w:numPr>
      </w:pPr>
      <w:r>
        <w:rPr>
          <w:b/>
          <w:bCs/>
        </w:rPr>
        <w:t xml:space="preserve">Open Items / Confirmations</w:t>
      </w:r>
      <w:r>
        <w:t xml:space="preserve"> </w:t>
      </w:r>
      <w:r>
        <w:t xml:space="preserve">— diligence confirmations and drafting-coordination items.</w:t>
      </w:r>
    </w:p>
    <w:p>
      <w:pPr>
        <w:pStyle w:val="FirstParagraph"/>
      </w:pPr>
      <w:r>
        <w:t xml:space="preserve">A consolidated action-item matrix appears in Section VI.</w:t>
      </w:r>
    </w:p>
    <w:bookmarkEnd w:id="20"/>
    <w:bookmarkStart w:id="25" w:name="ii.-critical-discrepancies"/>
    <w:p>
      <w:pPr>
        <w:pStyle w:val="Heading2"/>
      </w:pPr>
      <w:r>
        <w:t xml:space="preserve">II. Critical Discrepancies</w:t>
      </w:r>
    </w:p>
    <w:bookmarkStart w:id="21" w:name="Xa3dfdb44644732f66dfdff8d1f0a21f9507c0ff"/>
    <w:p>
      <w:pPr>
        <w:pStyle w:val="Heading3"/>
      </w:pPr>
      <w:r>
        <w:t xml:space="preserve">Issue 1 — Draft Comfort Letter financial data inconsistent with the S-1 (equity, cash, and net tangible book value)</w:t>
      </w:r>
    </w:p>
    <w:p>
      <w:pPr>
        <w:pStyle w:val="FirstParagraph"/>
      </w:pPr>
      <w:r>
        <w:rPr>
          <w:b/>
          <w:bCs/>
        </w:rPr>
        <w:t xml:space="preserve">Severity: Critical.</w:t>
      </w:r>
      <w:r>
        <w:t xml:space="preserve"> </w:t>
      </w:r>
      <w:r>
        <w:t xml:space="preserve">This is the most serious item identified.</w:t>
      </w:r>
    </w:p>
    <w:p>
      <w:pPr>
        <w:pStyle w:val="BodyText"/>
      </w:pPr>
      <w:r>
        <w:t xml:space="preserve">The Draft Comfort Letter from Whitman Reese &amp; Co. (dated March 18, 2025) reports balance-sheet and per-share figures that are fundamentally inconsistent with the corresponding figures in the S-1 Registration Statement: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Draft Comfort Letter</w:t>
            </w:r>
          </w:p>
        </w:tc>
        <w:tc>
          <w:tcPr/>
          <w:p>
            <w:pPr>
              <w:pStyle w:val="Compact"/>
              <w:jc w:val="left"/>
            </w:pPr>
            <w:r>
              <w:t xml:space="preserve">S-1 Registration Statement</w:t>
            </w:r>
          </w:p>
        </w:tc>
      </w:tr>
      <w:tr>
        <w:tc>
          <w:tcPr/>
          <w:p>
            <w:pPr>
              <w:pStyle w:val="Compact"/>
              <w:jc w:val="left"/>
            </w:pPr>
            <w:r>
              <w:t xml:space="preserve">Total stockholders’ equity (Dec. 31, 2024)</w:t>
            </w:r>
          </w:p>
        </w:tc>
        <w:tc>
          <w:tcPr/>
          <w:p>
            <w:pPr>
              <w:pStyle w:val="Compact"/>
              <w:jc w:val="left"/>
            </w:pPr>
            <w:r>
              <w:t xml:space="preserve">$198,400,000 (Sec. V.A.iv; App. A, Table 2)</w:t>
            </w:r>
          </w:p>
        </w:tc>
        <w:tc>
          <w:tcPr/>
          <w:p>
            <w:pPr>
              <w:pStyle w:val="Compact"/>
              <w:jc w:val="left"/>
            </w:pPr>
            <w:r>
              <w:t xml:space="preserve">$101,400,000 (Capitalization table)</w:t>
            </w:r>
          </w:p>
        </w:tc>
      </w:tr>
      <w:tr>
        <w:tc>
          <w:tcPr/>
          <w:p>
            <w:pPr>
              <w:pStyle w:val="Compact"/>
              <w:jc w:val="left"/>
            </w:pPr>
            <w:r>
              <w:t xml:space="preserve">Cash and cash equivalents (Dec. 31, 2024)</w:t>
            </w:r>
          </w:p>
        </w:tc>
        <w:tc>
          <w:tcPr/>
          <w:p>
            <w:pPr>
              <w:pStyle w:val="Compact"/>
              <w:jc w:val="left"/>
            </w:pPr>
            <w:r>
              <w:t xml:space="preserve">$47,300,000 (Sec. V.A.vi)</w:t>
            </w:r>
          </w:p>
        </w:tc>
        <w:tc>
          <w:tcPr/>
          <w:p>
            <w:pPr>
              <w:pStyle w:val="Compact"/>
              <w:jc w:val="left"/>
            </w:pPr>
            <w:r>
              <w:t xml:space="preserve">$38,400,000 (Capitalization table)</w:t>
            </w:r>
          </w:p>
        </w:tc>
      </w:tr>
      <w:tr>
        <w:tc>
          <w:tcPr/>
          <w:p>
            <w:pPr>
              <w:pStyle w:val="Compact"/>
              <w:jc w:val="left"/>
            </w:pPr>
            <w:r>
              <w:t xml:space="preserve">Net tangible book value per share (actual)</w:t>
            </w:r>
          </w:p>
        </w:tc>
        <w:tc>
          <w:tcPr/>
          <w:p>
            <w:pPr>
              <w:pStyle w:val="Compact"/>
              <w:jc w:val="left"/>
            </w:pPr>
            <w:r>
              <w:t xml:space="preserve">$4.72 (App. A, Table 3)</w:t>
            </w:r>
          </w:p>
        </w:tc>
        <w:tc>
          <w:tcPr/>
          <w:p>
            <w:pPr>
              <w:pStyle w:val="Compact"/>
              <w:jc w:val="left"/>
            </w:pPr>
            <w:r>
              <w:t xml:space="preserve">$2.17 (Dilution)</w:t>
            </w:r>
          </w:p>
        </w:tc>
      </w:tr>
      <w:tr>
        <w:tc>
          <w:tcPr/>
          <w:p>
            <w:pPr>
              <w:pStyle w:val="Compact"/>
              <w:jc w:val="left"/>
            </w:pPr>
            <w:r>
              <w:t xml:space="preserve">Increase in NTBV per share (Offering)</w:t>
            </w:r>
          </w:p>
        </w:tc>
        <w:tc>
          <w:tcPr/>
          <w:p>
            <w:pPr>
              <w:pStyle w:val="Compact"/>
              <w:jc w:val="left"/>
            </w:pPr>
            <w:r>
              <w:t xml:space="preserve">$2.61 (App. A, Table 3)</w:t>
            </w:r>
          </w:p>
        </w:tc>
        <w:tc>
          <w:tcPr/>
          <w:p>
            <w:pPr>
              <w:pStyle w:val="Compact"/>
              <w:jc w:val="left"/>
            </w:pPr>
            <w:r>
              <w:t xml:space="preserve">$3.20 (Dilution)</w:t>
            </w:r>
          </w:p>
        </w:tc>
      </w:tr>
      <w:tr>
        <w:tc>
          <w:tcPr/>
          <w:p>
            <w:pPr>
              <w:pStyle w:val="Compact"/>
              <w:jc w:val="left"/>
            </w:pPr>
            <w:r>
              <w:t xml:space="preserve">Implied pro forma NTBV per share</w:t>
            </w:r>
          </w:p>
        </w:tc>
        <w:tc>
          <w:tcPr/>
          <w:p>
            <w:pPr>
              <w:pStyle w:val="Compact"/>
              <w:jc w:val="left"/>
            </w:pPr>
            <w:r>
              <w:t xml:space="preserve">$7.33 ($4.72 + $2.61)</w:t>
            </w:r>
          </w:p>
        </w:tc>
        <w:tc>
          <w:tcPr/>
          <w:p>
            <w:pPr>
              <w:pStyle w:val="Compact"/>
              <w:jc w:val="left"/>
            </w:pPr>
            <w:r>
              <w:t xml:space="preserve">$5.37 (Dilution)</w:t>
            </w:r>
          </w:p>
        </w:tc>
      </w:tr>
    </w:tbl>
    <w:p>
      <w:pPr>
        <w:pStyle w:val="BodyText"/>
      </w:pPr>
      <w:r>
        <w:t xml:space="preserve">The Draft Comfort Letter states that each of these amounts</w:t>
      </w:r>
      <w:r>
        <w:t xml:space="preserve"> </w:t>
      </w:r>
      <w:r>
        <w:t xml:space="preserve">“</w:t>
      </w:r>
      <w:r>
        <w:t xml:space="preserve">agrees with the audited consolidated balance sheet.</w:t>
      </w:r>
      <w:r>
        <w:t xml:space="preserve">”</w:t>
      </w:r>
      <w:r>
        <w:t xml:space="preserve"> </w:t>
      </w:r>
      <w:r>
        <w:t xml:space="preserve">The S-1 Capitalization table and Dilution section are built on materially different figures (e.g., total stockholders’ equity of $101.4 million and historical net tangible book value of $91.2 million). The two sets of figures cannot both be correct.</w:t>
      </w:r>
    </w:p>
    <w:p>
      <w:pPr>
        <w:pStyle w:val="BodyText"/>
      </w:pPr>
      <w:r>
        <w:rPr>
          <w:b/>
          <w:bCs/>
        </w:rPr>
        <w:t xml:space="preserve">Implication.</w:t>
      </w:r>
      <w:r>
        <w:t xml:space="preserve"> </w:t>
      </w:r>
      <w:r>
        <w:t xml:space="preserve">If the audited balance sheet supports the Comfort Letter figures, the S-1 Capitalization table and Dilution section contain a material misstatement (and vice versa). Either way, the Final Prospectus and the final (non-draft) comfort letter must be reconciled to the audited financial statements before the Closing. The Underwriting Agreement’s financial-statement representations (Section 1.8) and the bring-down comfort letter condition (Section 7.3) cannot be satisfied until this is resolved.</w:t>
      </w:r>
    </w:p>
    <w:p>
      <w:pPr>
        <w:pStyle w:val="BodyText"/>
      </w:pPr>
      <w:r>
        <w:rPr>
          <w:b/>
          <w:bCs/>
        </w:rPr>
        <w:t xml:space="preserve">Recommendation.</w:t>
      </w:r>
      <w:r>
        <w:t xml:space="preserve"> </w:t>
      </w:r>
      <w:r>
        <w:t xml:space="preserve">(a) Company finance team and Whitman Reese &amp; Co. to confirm the correct December 31, 2024 balance-sheet figures from the audited financial statements; (b) reconcile the S-1 Capitalization table, Dilution section, and Prospectus Summary financial data to the audited figures; (c) revise the final comfort letter to agree with the audited financial statements and the Final Prospectus; and (d) Underwriters’ Counsel to confirm the circle-up before the bring-down comfort letter is delivered.</w:t>
      </w:r>
    </w:p>
    <w:bookmarkEnd w:id="21"/>
    <w:bookmarkStart w:id="22" w:name="Xbe99b19810e13e7cc752d8e61f1cceb87e6746d"/>
    <w:p>
      <w:pPr>
        <w:pStyle w:val="Heading3"/>
      </w:pPr>
      <w:r>
        <w:t xml:space="preserve">Issue 2 — Conflicting identity of the Company’s lender (Oakvale vs. Ridgemont)</w:t>
      </w:r>
    </w:p>
    <w:p>
      <w:pPr>
        <w:pStyle w:val="FirstParagraph"/>
      </w:pPr>
      <w:r>
        <w:rPr>
          <w:b/>
          <w:bCs/>
        </w:rPr>
        <w:t xml:space="preserve">Severity: Critical.</w:t>
      </w:r>
    </w:p>
    <w:p>
      <w:pPr>
        <w:pStyle w:val="BodyText"/>
      </w:pPr>
      <w:r>
        <w:t xml:space="preserve">The S-1 Registration Statement, the Term Sheet, and the Draft Comfort Letter each refer to the Company’s revolving credit lender as</w:t>
      </w:r>
      <w:r>
        <w:t xml:space="preserve"> </w:t>
      </w:r>
      <w:r>
        <w:rPr>
          <w:b/>
          <w:bCs/>
        </w:rPr>
        <w:t xml:space="preserve">“</w:t>
      </w:r>
      <w:r>
        <w:rPr>
          <w:b/>
          <w:bCs/>
        </w:rPr>
        <w:t xml:space="preserve">Oakvale National Bank.</w:t>
      </w:r>
      <w:r>
        <w:rPr>
          <w:b/>
          <w:bCs/>
        </w:rPr>
        <w:t xml:space="preserve">”</w:t>
      </w:r>
      <w:r>
        <w:t xml:space="preserve"> </w:t>
      </w:r>
      <w:r>
        <w:t xml:space="preserve">The Summary of Key Terms of the Revolving Credit Agreement (internal work product prepared by Stonebridge &amp; Calloway LLP) refers to the lender as</w:t>
      </w:r>
      <w:r>
        <w:t xml:space="preserve"> </w:t>
      </w:r>
      <w:r>
        <w:rPr>
          <w:b/>
          <w:bCs/>
        </w:rPr>
        <w:t xml:space="preserve">“</w:t>
      </w:r>
      <w:r>
        <w:rPr>
          <w:b/>
          <w:bCs/>
        </w:rPr>
        <w:t xml:space="preserve">Ridgemont National Bank.</w:t>
      </w:r>
      <w:r>
        <w:rPr>
          <w:b/>
          <w:bCs/>
        </w:rPr>
        <w:t xml:space="preserve">”</w:t>
      </w:r>
      <w:r>
        <w:t xml:space="preserve"> </w:t>
      </w:r>
      <w:r>
        <w:t xml:space="preserve">The two names do not appear to refer to the same institution.</w:t>
      </w:r>
    </w:p>
    <w:p>
      <w:pPr>
        <w:pStyle w:val="BodyText"/>
      </w:pPr>
      <w:r>
        <w:t xml:space="preserve">The Underwriting Agreement (Section 1.12) describes the credit facility as being</w:t>
      </w:r>
      <w:r>
        <w:t xml:space="preserve"> </w:t>
      </w:r>
      <w:r>
        <w:t xml:space="preserve">“</w:t>
      </w:r>
      <w:r>
        <w:t xml:space="preserve">with Oakvale National Bank,</w:t>
      </w:r>
      <w:r>
        <w:t xml:space="preserve">”</w:t>
      </w:r>
      <w:r>
        <w:t xml:space="preserve"> </w:t>
      </w:r>
      <w:r>
        <w:t xml:space="preserve">consistent with the S-1 (the public document). If the lender is in fact Ridgemont National Bank, the S-1, the Term Sheet, the Comfort Letter, and the Underwriting Agreement all misidentify the lender — a material disclosure error.</w:t>
      </w:r>
    </w:p>
    <w:p>
      <w:pPr>
        <w:pStyle w:val="BodyText"/>
      </w:pPr>
      <w:r>
        <w:rPr>
          <w:b/>
          <w:bCs/>
        </w:rPr>
        <w:t xml:space="preserve">Recommendation.</w:t>
      </w:r>
      <w:r>
        <w:t xml:space="preserve"> </w:t>
      </w:r>
      <w:r>
        <w:t xml:space="preserve">Company counsel to confirm the correct legal name of the lender from the Credit Agreement itself and conform all documents. If the lender is Ridgemont, the S-1 must be amended and the Underwriting Agreement’s Section 1.12 must be revised.</w:t>
      </w:r>
    </w:p>
    <w:bookmarkEnd w:id="22"/>
    <w:bookmarkStart w:id="23" w:name="Xca413f51a64c6bd35b913dbbfb01cd7f0c3a363"/>
    <w:p>
      <w:pPr>
        <w:pStyle w:val="Heading3"/>
      </w:pPr>
      <w:r>
        <w:t xml:space="preserve">Issue 3 — Conflicting identification of the Selling Stockholders, their general partners, and their control persons</w:t>
      </w:r>
    </w:p>
    <w:p>
      <w:pPr>
        <w:pStyle w:val="FirstParagraph"/>
      </w:pPr>
      <w:r>
        <w:rPr>
          <w:b/>
          <w:bCs/>
        </w:rPr>
        <w:t xml:space="preserve">Severity: Critical (execution-blocking).</w:t>
      </w:r>
    </w:p>
    <w:p>
      <w:pPr>
        <w:pStyle w:val="BodyText"/>
      </w:pPr>
      <w:r>
        <w:t xml:space="preserve">The documents contain multiple, mutually inconsistent identifications of the two institutional Selling Stockholders, their general partners, and the natural persons who exercise voting/investment control over their shares. Because the Selling Stockholders execute the Underwriting Agreement through attorneys-in-fact appointed under the Power of Attorney and Custody Agreement, and because the S-1 selling-stockholder disclosure must be accurate, these inconsistencies must be resolved before execution.</w:t>
      </w:r>
    </w:p>
    <w:p>
      <w:pPr>
        <w:pStyle w:val="BodyText"/>
      </w:pPr>
      <w:r>
        <w:rPr>
          <w:b/>
          <w:bCs/>
        </w:rPr>
        <w:t xml:space="preserve">Cascade (Series A holder):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S-1 (beneficial ownership fn. 1)</w:t>
            </w:r>
          </w:p>
        </w:tc>
        <w:tc>
          <w:tcPr/>
          <w:p>
            <w:pPr>
              <w:pStyle w:val="Compact"/>
              <w:jc w:val="left"/>
            </w:pPr>
            <w:r>
              <w:t xml:space="preserve">Selling Stockholder Questionnaire</w:t>
            </w:r>
          </w:p>
        </w:tc>
        <w:tc>
          <w:tcPr/>
          <w:p>
            <w:pPr>
              <w:pStyle w:val="Compact"/>
              <w:jc w:val="left"/>
            </w:pPr>
            <w:r>
              <w:t xml:space="preserve">POA &amp; Custody Agreement</w:t>
            </w:r>
          </w:p>
        </w:tc>
      </w:tr>
      <w:tr>
        <w:tc>
          <w:tcPr/>
          <w:p>
            <w:pPr>
              <w:pStyle w:val="Compact"/>
              <w:jc w:val="left"/>
            </w:pPr>
            <w:r>
              <w:t xml:space="preserve">Entity name</w:t>
            </w:r>
          </w:p>
        </w:tc>
        <w:tc>
          <w:tcPr/>
          <w:p>
            <w:pPr>
              <w:pStyle w:val="Compact"/>
              <w:jc w:val="left"/>
            </w:pPr>
            <w:r>
              <w:t xml:space="preserve">Cascade Kestridge Ventures, LP</w:t>
            </w:r>
          </w:p>
        </w:tc>
        <w:tc>
          <w:tcPr/>
          <w:p>
            <w:pPr>
              <w:pStyle w:val="Compact"/>
              <w:jc w:val="left"/>
            </w:pPr>
            <w:r>
              <w:t xml:space="preserve">Cascade Kestridge Ventures, LP (body);</w:t>
            </w:r>
            <w:r>
              <w:t xml:space="preserve"> </w:t>
            </w:r>
            <w:r>
              <w:t xml:space="preserve">“</w:t>
            </w:r>
            <w:r>
              <w:t xml:space="preserve">Cascade Ridge Ventures, LP</w:t>
            </w:r>
            <w:r>
              <w:t xml:space="preserve">”</w:t>
            </w:r>
            <w:r>
              <w:t xml:space="preserve"> </w:t>
            </w:r>
            <w:r>
              <w:t xml:space="preserve">(signature block)</w:t>
            </w:r>
          </w:p>
        </w:tc>
        <w:tc>
          <w:tcPr/>
          <w:p>
            <w:pPr>
              <w:pStyle w:val="Compact"/>
              <w:jc w:val="left"/>
            </w:pPr>
            <w:r>
              <w:t xml:space="preserve">“</w:t>
            </w:r>
            <w:r>
              <w:t xml:space="preserve">Cascade Kestridge Ventures, LP</w:t>
            </w:r>
            <w:r>
              <w:t xml:space="preserve">”</w:t>
            </w:r>
            <w:r>
              <w:t xml:space="preserve"> </w:t>
            </w:r>
            <w:r>
              <w:t xml:space="preserve">(body/Schedule A);</w:t>
            </w:r>
            <w:r>
              <w:t xml:space="preserve"> </w:t>
            </w:r>
            <w:r>
              <w:t xml:space="preserve">“</w:t>
            </w:r>
            <w:r>
              <w:t xml:space="preserve">Cascade Ridge Ventures, LP</w:t>
            </w:r>
            <w:r>
              <w:t xml:space="preserve">”</w:t>
            </w:r>
            <w:r>
              <w:t xml:space="preserve"> </w:t>
            </w:r>
            <w:r>
              <w:t xml:space="preserve">(signature block)</w:t>
            </w:r>
          </w:p>
        </w:tc>
      </w:tr>
      <w:tr>
        <w:tc>
          <w:tcPr/>
          <w:p>
            <w:pPr>
              <w:pStyle w:val="Compact"/>
              <w:jc w:val="left"/>
            </w:pPr>
            <w:r>
              <w:t xml:space="preserve">General partner</w:t>
            </w:r>
          </w:p>
        </w:tc>
        <w:tc>
          <w:tcPr/>
          <w:p>
            <w:pPr>
              <w:pStyle w:val="Compact"/>
              <w:jc w:val="left"/>
            </w:pPr>
            <w:r>
              <w:t xml:space="preserve">Cascade Ridge Capital Management LLC</w:t>
            </w:r>
          </w:p>
        </w:tc>
        <w:tc>
          <w:tcPr/>
          <w:p>
            <w:pPr>
              <w:pStyle w:val="Compact"/>
              <w:jc w:val="left"/>
            </w:pPr>
            <w:r>
              <w:t xml:space="preserve">Cascade Kestridge Ventures Management, LLC</w:t>
            </w:r>
          </w:p>
        </w:tc>
        <w:tc>
          <w:tcPr/>
          <w:p>
            <w:pPr>
              <w:pStyle w:val="Compact"/>
              <w:jc w:val="left"/>
            </w:pPr>
            <w:r>
              <w:t xml:space="preserve">Cascade Ridge Capital Management, LLC</w:t>
            </w:r>
          </w:p>
        </w:tc>
      </w:tr>
      <w:tr>
        <w:tc>
          <w:tcPr/>
          <w:p>
            <w:pPr>
              <w:pStyle w:val="Compact"/>
              <w:jc w:val="left"/>
            </w:pPr>
            <w:r>
              <w:t xml:space="preserve">Control person(s)</w:t>
            </w:r>
          </w:p>
        </w:tc>
        <w:tc>
          <w:tcPr/>
          <w:p>
            <w:pPr>
              <w:pStyle w:val="Compact"/>
              <w:jc w:val="left"/>
            </w:pPr>
            <w:r>
              <w:t xml:space="preserve">James Whitfield (managing member)</w:t>
            </w:r>
          </w:p>
        </w:tc>
        <w:tc>
          <w:tcPr/>
          <w:p>
            <w:pPr>
              <w:pStyle w:val="Compact"/>
              <w:jc w:val="left"/>
            </w:pPr>
            <w:r>
              <w:t xml:space="preserve">Marcus J. Aldridge and Teresa Huang</w:t>
            </w:r>
          </w:p>
        </w:tc>
        <w:tc>
          <w:tcPr/>
          <w:p>
            <w:pPr>
              <w:pStyle w:val="Compact"/>
              <w:jc w:val="left"/>
            </w:pPr>
            <w:r>
              <w:t xml:space="preserve">Margaret T. Okonkwo (managing member)</w:t>
            </w:r>
          </w:p>
        </w:tc>
      </w:tr>
      <w:tr>
        <w:tc>
          <w:tcPr/>
          <w:p>
            <w:pPr>
              <w:pStyle w:val="Compact"/>
              <w:jc w:val="left"/>
            </w:pPr>
            <w:r>
              <w:t xml:space="preserve">Principal address</w:t>
            </w:r>
          </w:p>
        </w:tc>
        <w:tc>
          <w:tcPr/>
          <w:p>
            <w:pPr>
              <w:pStyle w:val="Compact"/>
              <w:jc w:val="left"/>
            </w:pPr>
            <w:r>
              <w:t xml:space="preserve">1200 Fourth Avenue, Suite 3000, Seattle, WA 98101</w:t>
            </w:r>
          </w:p>
        </w:tc>
        <w:tc>
          <w:tcPr/>
          <w:p>
            <w:pPr>
              <w:pStyle w:val="Compact"/>
              <w:jc w:val="left"/>
            </w:pPr>
            <w:r>
              <w:t xml:space="preserve">2800 Sand Hill Road, Suite 210, Menlo Park, CA 94025</w:t>
            </w:r>
          </w:p>
        </w:tc>
        <w:tc>
          <w:tcPr/>
          <w:p>
            <w:pPr>
              <w:pStyle w:val="Compact"/>
              <w:jc w:val="left"/>
            </w:pPr>
            <w:r>
              <w:t xml:space="preserve">(not specified)</w:t>
            </w:r>
          </w:p>
        </w:tc>
      </w:tr>
    </w:tbl>
    <w:p>
      <w:pPr>
        <w:pStyle w:val="BodyText"/>
      </w:pPr>
      <w:r>
        <w:rPr>
          <w:b/>
          <w:bCs/>
        </w:rPr>
        <w:t xml:space="preserve">Northlight (Series B holder):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S-1 (beneficial ownership fn. 2)</w:t>
            </w:r>
          </w:p>
        </w:tc>
        <w:tc>
          <w:tcPr/>
          <w:p>
            <w:pPr>
              <w:pStyle w:val="Compact"/>
              <w:jc w:val="left"/>
            </w:pPr>
            <w:r>
              <w:t xml:space="preserve">POA &amp; Custody Agreement</w:t>
            </w:r>
          </w:p>
        </w:tc>
      </w:tr>
      <w:tr>
        <w:tc>
          <w:tcPr/>
          <w:p>
            <w:pPr>
              <w:pStyle w:val="Compact"/>
              <w:jc w:val="left"/>
            </w:pPr>
            <w:r>
              <w:t xml:space="preserve">General partner</w:t>
            </w:r>
          </w:p>
        </w:tc>
        <w:tc>
          <w:tcPr/>
          <w:p>
            <w:pPr>
              <w:pStyle w:val="Compact"/>
              <w:jc w:val="left"/>
            </w:pPr>
            <w:r>
              <w:t xml:space="preserve">Northlight Capital Advisors LLC</w:t>
            </w:r>
          </w:p>
        </w:tc>
        <w:tc>
          <w:tcPr/>
          <w:p>
            <w:pPr>
              <w:pStyle w:val="Compact"/>
              <w:jc w:val="left"/>
            </w:pPr>
            <w:r>
              <w:t xml:space="preserve">Northlight Growth Advisors, LLC</w:t>
            </w:r>
          </w:p>
        </w:tc>
      </w:tr>
      <w:tr>
        <w:tc>
          <w:tcPr/>
          <w:p>
            <w:pPr>
              <w:pStyle w:val="Compact"/>
              <w:jc w:val="left"/>
            </w:pPr>
            <w:r>
              <w:t xml:space="preserve">Control person</w:t>
            </w:r>
          </w:p>
        </w:tc>
        <w:tc>
          <w:tcPr/>
          <w:p>
            <w:pPr>
              <w:pStyle w:val="Compact"/>
              <w:jc w:val="left"/>
            </w:pPr>
            <w:r>
              <w:t xml:space="preserve">Caroline Briggs (managing member)</w:t>
            </w:r>
          </w:p>
        </w:tc>
        <w:tc>
          <w:tcPr/>
          <w:p>
            <w:pPr>
              <w:pStyle w:val="Compact"/>
              <w:jc w:val="left"/>
            </w:pPr>
            <w:r>
              <w:t xml:space="preserve">Eric P. Johansson (managing partner)</w:t>
            </w:r>
          </w:p>
        </w:tc>
      </w:tr>
    </w:tbl>
    <w:p>
      <w:pPr>
        <w:pStyle w:val="BodyText"/>
      </w:pPr>
      <w:r>
        <w:rPr>
          <w:b/>
          <w:bCs/>
        </w:rPr>
        <w:t xml:space="preserve">Implication.</w:t>
      </w:r>
      <w:r>
        <w:t xml:space="preserve"> </w:t>
      </w:r>
      <w:r>
        <w:t xml:space="preserve">Three different control persons are named for Cascade across three documents (James Whitfield / Marcus J. Aldridge &amp; Teresa Huang / Margaret T. Okonkwo), and two different general-partner names and two different entity names appear. The Power of Attorney and Custody Agreement itself contains an internal inconsistency (the body and Schedule A say</w:t>
      </w:r>
      <w:r>
        <w:t xml:space="preserve"> </w:t>
      </w:r>
      <w:r>
        <w:t xml:space="preserve">“</w:t>
      </w:r>
      <w:r>
        <w:t xml:space="preserve">Cascade Kestridge Ventures, LP</w:t>
      </w:r>
      <w:r>
        <w:t xml:space="preserve">”</w:t>
      </w:r>
      <w:r>
        <w:t xml:space="preserve"> </w:t>
      </w:r>
      <w:r>
        <w:t xml:space="preserve">while the signature block says</w:t>
      </w:r>
      <w:r>
        <w:t xml:space="preserve"> </w:t>
      </w:r>
      <w:r>
        <w:t xml:space="preserve">“</w:t>
      </w:r>
      <w:r>
        <w:t xml:space="preserve">Cascade Ridge Ventures, LP</w:t>
      </w:r>
      <w:r>
        <w:t xml:space="preserve">”</w:t>
      </w:r>
      <w:r>
        <w:t xml:space="preserve">). The same is true of the Selling Stockholder Questionnaire. These discrepancies raise questions about (a) the correct legal name of the entity that holds and is selling the shares, (b) which natural person(s) have authority to bind the entity, and (c) the accuracy of the S-1 selling-stockholder disclosure and beneficial-ownership footnotes.</w:t>
      </w:r>
    </w:p>
    <w:p>
      <w:pPr>
        <w:pStyle w:val="BodyText"/>
      </w:pPr>
      <w:r>
        <w:rPr>
          <w:b/>
          <w:bCs/>
        </w:rPr>
        <w:t xml:space="preserve">Recommendation.</w:t>
      </w:r>
      <w:r>
        <w:t xml:space="preserve"> </w:t>
      </w:r>
      <w:r>
        <w:t xml:space="preserve">(a) Company counsel to obtain certified organizational documents and good-standing certificates for each institutional Selling Stockholder and its general partner to confirm the correct legal names; (b) confirm the natural person(s) with voting/investment control and the signatory authority for the Power of Attorney and Custody Agreement; (c) conform the S-1 beneficial-ownership footnotes, the Power of Attorney and Custody Agreement signature blocks, the Selling Stockholder Questionnaire, and the Underwriting Agreement signature blocks; and (d) Underwriters’ Counsel to confirm authority before the Closing.</w:t>
      </w:r>
    </w:p>
    <w:bookmarkEnd w:id="23"/>
    <w:bookmarkStart w:id="24" w:name="X9633b28b50b8e06241b4e0d507500fbff7c6bc4"/>
    <w:p>
      <w:pPr>
        <w:pStyle w:val="Heading3"/>
      </w:pPr>
      <w:r>
        <w:t xml:space="preserve">Issue 4 — Use of Proceeds understates the mandatory credit-facility prepayment</w:t>
      </w:r>
    </w:p>
    <w:p>
      <w:pPr>
        <w:pStyle w:val="FirstParagraph"/>
      </w:pPr>
      <w:r>
        <w:rPr>
          <w:b/>
          <w:bCs/>
        </w:rPr>
        <w:t xml:space="preserve">Severity: Critical.</w:t>
      </w:r>
    </w:p>
    <w:p>
      <w:pPr>
        <w:pStyle w:val="BodyText"/>
      </w:pPr>
      <w:r>
        <w:t xml:space="preserve">The S-1</w:t>
      </w:r>
      <w:r>
        <w:t xml:space="preserve"> </w:t>
      </w:r>
      <w:r>
        <w:t xml:space="preserve">“</w:t>
      </w:r>
      <w:r>
        <w:t xml:space="preserve">Use of Proceeds</w:t>
      </w:r>
      <w:r>
        <w:t xml:space="preserve">”</w:t>
      </w:r>
      <w:r>
        <w:t xml:space="preserve"> </w:t>
      </w:r>
      <w:r>
        <w:t xml:space="preserve">section discloses that the Company intends to use</w:t>
      </w:r>
      <w:r>
        <w:t xml:space="preserve"> </w:t>
      </w:r>
      <w:r>
        <w:t xml:space="preserve">“</w:t>
      </w:r>
      <w:r>
        <w:t xml:space="preserve">approximately $10 million</w:t>
      </w:r>
      <w:r>
        <w:t xml:space="preserve">”</w:t>
      </w:r>
      <w:r>
        <w:t xml:space="preserve"> </w:t>
      </w:r>
      <w:r>
        <w:t xml:space="preserve">to repay outstanding indebtedness under its revolving credit facility. The Summary of Key Terms of the Revolving Credit Agreement identifies a mandatory prepayment obligation under Section 2.05(b)(i) requiring prepayment of 50% of</w:t>
      </w:r>
      <w:r>
        <w:t xml:space="preserve"> </w:t>
      </w:r>
      <w:r>
        <w:t xml:space="preserve">“</w:t>
      </w:r>
      <w:r>
        <w:t xml:space="preserve">Net Equity Proceeds</w:t>
      </w:r>
      <w:r>
        <w:t xml:space="preserve">”</w:t>
      </w:r>
      <w:r>
        <w:t xml:space="preserve"> </w:t>
      </w:r>
      <w:r>
        <w:t xml:space="preserve">in excess of $150,000,000 upon any equity issuance (including the IPO). Based on the assumed IPO price of $24.00:</w:t>
      </w:r>
    </w:p>
    <w:p>
      <w:pPr>
        <w:pStyle w:val="Compact"/>
        <w:numPr>
          <w:ilvl w:val="0"/>
          <w:numId w:val="1002"/>
        </w:numPr>
      </w:pPr>
      <w:r>
        <w:t xml:space="preserve">Net proceeds to the Company from the primary Firm Shares (net of underwriting discount): $180,480,000.</w:t>
      </w:r>
    </w:p>
    <w:p>
      <w:pPr>
        <w:pStyle w:val="Compact"/>
        <w:numPr>
          <w:ilvl w:val="0"/>
          <w:numId w:val="1002"/>
        </w:numPr>
      </w:pPr>
      <w:r>
        <w:t xml:space="preserve">Mandatory prepayment (conservative reading, before deducting offering expenses): 50% × ($180,480,000 − $150,000,000) =</w:t>
      </w:r>
      <w:r>
        <w:t xml:space="preserve"> </w:t>
      </w:r>
      <w:r>
        <w:rPr>
          <w:b/>
          <w:bCs/>
        </w:rPr>
        <w:t xml:space="preserve">$15,240,000</w:t>
      </w:r>
      <w:r>
        <w:t xml:space="preserve">.</w:t>
      </w:r>
    </w:p>
    <w:p>
      <w:pPr>
        <w:pStyle w:val="Compact"/>
        <w:numPr>
          <w:ilvl w:val="0"/>
          <w:numId w:val="1002"/>
        </w:numPr>
      </w:pPr>
      <w:r>
        <w:t xml:space="preserve">Mandatory prepayment (if offering expenses of $3,200,000 are deductible): 50% × ($177,280,000 − $150,000,000) =</w:t>
      </w:r>
      <w:r>
        <w:t xml:space="preserve"> </w:t>
      </w:r>
      <w:r>
        <w:rPr>
          <w:b/>
          <w:bCs/>
        </w:rPr>
        <w:t xml:space="preserve">$13,640,000</w:t>
      </w:r>
      <w:r>
        <w:t xml:space="preserve">.</w:t>
      </w:r>
    </w:p>
    <w:p>
      <w:pPr>
        <w:pStyle w:val="FirstParagraph"/>
      </w:pPr>
      <w:r>
        <w:t xml:space="preserve">In either case, the mandatory prepayment ($13.64 million–$15.24 million) exceeds the</w:t>
      </w:r>
      <w:r>
        <w:t xml:space="preserve"> </w:t>
      </w:r>
      <w:r>
        <w:t xml:space="preserve">“</w:t>
      </w:r>
      <w:r>
        <w:t xml:space="preserve">approximately $10 million</w:t>
      </w:r>
      <w:r>
        <w:t xml:space="preserve">”</w:t>
      </w:r>
      <w:r>
        <w:t xml:space="preserve"> </w:t>
      </w:r>
      <w:r>
        <w:t xml:space="preserve">disclosed in the S-1 by $3.64 million–$5.24 million. If the over-allotment option is fully exercised, the mandatory prepayment would exceed the entire outstanding balance ($22.5 million), resulting in full repayment.</w:t>
      </w:r>
    </w:p>
    <w:p>
      <w:pPr>
        <w:pStyle w:val="BodyText"/>
      </w:pPr>
      <w:r>
        <w:rPr>
          <w:b/>
          <w:bCs/>
        </w:rPr>
        <w:t xml:space="preserve">Implication.</w:t>
      </w:r>
      <w:r>
        <w:t xml:space="preserve"> </w:t>
      </w:r>
      <w:r>
        <w:t xml:space="preserve">The S-1 Use of Proceeds disclosure may understate the mandatory prepayment by a material amount. The Underwriting Agreement (Sections 1.19 and 6.4) provides that the net proceeds will be applied</w:t>
      </w:r>
      <w:r>
        <w:t xml:space="preserve"> </w:t>
      </w:r>
      <w:r>
        <w:t xml:space="preserve">“</w:t>
      </w:r>
      <w:r>
        <w:t xml:space="preserve">in accordance with the mandatory prepayment provisions of the credit agreement,</w:t>
      </w:r>
      <w:r>
        <w:t xml:space="preserve">”</w:t>
      </w:r>
      <w:r>
        <w:t xml:space="preserve"> </w:t>
      </w:r>
      <w:r>
        <w:t xml:space="preserve">but the Final Prospectus Use of Proceeds must be revised to accurately state the amount. Failure to do so could constitute a material misstatement in the Registration Statement.</w:t>
      </w:r>
    </w:p>
    <w:p>
      <w:pPr>
        <w:pStyle w:val="BodyText"/>
      </w:pPr>
      <w:r>
        <w:rPr>
          <w:b/>
          <w:bCs/>
        </w:rPr>
        <w:t xml:space="preserve">Recommendation.</w:t>
      </w:r>
      <w:r>
        <w:t xml:space="preserve"> </w:t>
      </w:r>
      <w:r>
        <w:t xml:space="preserve">(a) Company counsel to confirm the correct interpretation of</w:t>
      </w:r>
      <w:r>
        <w:t xml:space="preserve"> </w:t>
      </w:r>
      <w:r>
        <w:t xml:space="preserve">“</w:t>
      </w:r>
      <w:r>
        <w:t xml:space="preserve">Net Equity Proceeds</w:t>
      </w:r>
      <w:r>
        <w:t xml:space="preserve">”</w:t>
      </w:r>
      <w:r>
        <w:t xml:space="preserve"> </w:t>
      </w:r>
      <w:r>
        <w:t xml:space="preserve">(whether offering expenses are deductible) and the exact prepayment amount; (b) revise the Final Prospectus Use of Proceeds to reflect the actual mandatory prepayment; (c) confirm the prepayment is made within five business days of receipt of Net Equity Proceeds as required by the Credit Agreement; and (d) confirm the lender has been given the required 10-business-day advance notice of the Equity Issuance (see Issue 17).</w:t>
      </w:r>
    </w:p>
    <w:bookmarkEnd w:id="24"/>
    <w:bookmarkEnd w:id="25"/>
    <w:bookmarkStart w:id="37" w:name="iii.-material-discrepancies"/>
    <w:p>
      <w:pPr>
        <w:pStyle w:val="Heading2"/>
      </w:pPr>
      <w:r>
        <w:t xml:space="preserve">III. Material Discrepancies</w:t>
      </w:r>
    </w:p>
    <w:bookmarkStart w:id="26" w:name="issue-5-date-of-the-credit-agreement"/>
    <w:p>
      <w:pPr>
        <w:pStyle w:val="Heading3"/>
      </w:pPr>
      <w:r>
        <w:t xml:space="preserve">Issue 5 — Date of the Credit Agreement</w:t>
      </w:r>
    </w:p>
    <w:p>
      <w:pPr>
        <w:pStyle w:val="FirstParagraph"/>
      </w:pPr>
      <w:r>
        <w:t xml:space="preserve">The S-1 states that the revolving credit agreement is</w:t>
      </w:r>
      <w:r>
        <w:t xml:space="preserve"> </w:t>
      </w:r>
      <w:r>
        <w:t xml:space="preserve">“</w:t>
      </w:r>
      <w:r>
        <w:t xml:space="preserve">dated July 15, 2022.</w:t>
      </w:r>
      <w:r>
        <w:t xml:space="preserve">”</w:t>
      </w:r>
      <w:r>
        <w:t xml:space="preserve"> </w:t>
      </w:r>
      <w:r>
        <w:t xml:space="preserve">The Summary of Key Terms states that the Credit Agreement is</w:t>
      </w:r>
      <w:r>
        <w:t xml:space="preserve"> </w:t>
      </w:r>
      <w:r>
        <w:t xml:space="preserve">“</w:t>
      </w:r>
      <w:r>
        <w:t xml:space="preserve">dated as of June 15, 2023 (as amended by that certain First Amendment to Revolving Credit Agreement dated as of February 28, 2024).</w:t>
      </w:r>
      <w:r>
        <w:t xml:space="preserve">”</w:t>
      </w:r>
      <w:r>
        <w:t xml:space="preserve"> </w:t>
      </w:r>
      <w:r>
        <w:t xml:space="preserve">These dates are inconsistent.</w:t>
      </w:r>
      <w:r>
        <w:t xml:space="preserve"> </w:t>
      </w:r>
      <w:r>
        <w:rPr>
          <w:b/>
          <w:bCs/>
        </w:rPr>
        <w:t xml:space="preserve">Recommendation:</w:t>
      </w:r>
      <w:r>
        <w:t xml:space="preserve"> </w:t>
      </w:r>
      <w:r>
        <w:t xml:space="preserve">Company counsel to confirm the correct execution date and amendment history from the Credit Agreement and conform the S-1.</w:t>
      </w:r>
    </w:p>
    <w:bookmarkEnd w:id="26"/>
    <w:bookmarkStart w:id="27" w:name="X079451a2af3b65aa412889c9cff640480876d10"/>
    <w:p>
      <w:pPr>
        <w:pStyle w:val="Heading3"/>
      </w:pPr>
      <w:r>
        <w:t xml:space="preserve">Issue 6 — Maturity date of the Credit Agreement</w:t>
      </w:r>
    </w:p>
    <w:p>
      <w:pPr>
        <w:pStyle w:val="FirstParagraph"/>
      </w:pPr>
      <w:r>
        <w:t xml:space="preserve">The S-1 states that the credit facility</w:t>
      </w:r>
      <w:r>
        <w:t xml:space="preserve"> </w:t>
      </w:r>
      <w:r>
        <w:t xml:space="preserve">“</w:t>
      </w:r>
      <w:r>
        <w:t xml:space="preserve">matures on December 31, 2026.</w:t>
      </w:r>
      <w:r>
        <w:t xml:space="preserve">”</w:t>
      </w:r>
      <w:r>
        <w:t xml:space="preserve"> </w:t>
      </w:r>
      <w:r>
        <w:t xml:space="preserve">The Summary of Key Terms states a maturity date of June 15, 2027 (described as a four-year term from original execution).</w:t>
      </w:r>
      <w:r>
        <w:t xml:space="preserve"> </w:t>
      </w:r>
      <w:r>
        <w:rPr>
          <w:b/>
          <w:bCs/>
        </w:rPr>
        <w:t xml:space="preserve">Recommendation:</w:t>
      </w:r>
      <w:r>
        <w:t xml:space="preserve"> </w:t>
      </w:r>
      <w:r>
        <w:t xml:space="preserve">Confirm the correct maturity date and conform the S-1.</w:t>
      </w:r>
    </w:p>
    <w:bookmarkEnd w:id="27"/>
    <w:bookmarkStart w:id="28" w:name="X1c8135d040b88372dbeb7dad27727318960dd6e"/>
    <w:p>
      <w:pPr>
        <w:pStyle w:val="Heading3"/>
      </w:pPr>
      <w:r>
        <w:t xml:space="preserve">Issue 7 — Change of Control threshold (50% vs. 35%)</w:t>
      </w:r>
    </w:p>
    <w:p>
      <w:pPr>
        <w:pStyle w:val="FirstParagraph"/>
      </w:pPr>
      <w:r>
        <w:t xml:space="preserve">The S-1 describes a</w:t>
      </w:r>
      <w:r>
        <w:t xml:space="preserve"> </w:t>
      </w:r>
      <w:r>
        <w:t xml:space="preserve">“</w:t>
      </w:r>
      <w:r>
        <w:t xml:space="preserve">Change of Control</w:t>
      </w:r>
      <w:r>
        <w:t xml:space="preserve">”</w:t>
      </w:r>
      <w:r>
        <w:t xml:space="preserve"> </w:t>
      </w:r>
      <w:r>
        <w:t xml:space="preserve">under the Credit Agreement as the acquisition of beneficial ownership of</w:t>
      </w:r>
      <w:r>
        <w:t xml:space="preserve"> </w:t>
      </w:r>
      <w:r>
        <w:t xml:space="preserve">“</w:t>
      </w:r>
      <w:r>
        <w:t xml:space="preserve">more than 50%</w:t>
      </w:r>
      <w:r>
        <w:t xml:space="preserve">”</w:t>
      </w:r>
      <w:r>
        <w:t xml:space="preserve"> </w:t>
      </w:r>
      <w:r>
        <w:t xml:space="preserve">of the Company’s outstanding voting equity. The Summary of Key Terms describes Change of Control as acquisition of</w:t>
      </w:r>
      <w:r>
        <w:t xml:space="preserve"> </w:t>
      </w:r>
      <w:r>
        <w:t xml:space="preserve">“</w:t>
      </w:r>
      <w:r>
        <w:t xml:space="preserve">more than 35%</w:t>
      </w:r>
      <w:r>
        <w:t xml:space="preserve">”</w:t>
      </w:r>
      <w:r>
        <w:t xml:space="preserve"> </w:t>
      </w:r>
      <w:r>
        <w:t xml:space="preserve">of the outstanding voting equity. A 35% threshold is materially more restrictive than 50% and could affect the IPO Change of Control analysis (no holder is expected to exceed 15.8% post-IPO, so neither threshold is triggered under current expectations, but the discrepancy must be resolved).</w:t>
      </w:r>
      <w:r>
        <w:t xml:space="preserve"> </w:t>
      </w:r>
      <w:r>
        <w:rPr>
          <w:b/>
          <w:bCs/>
        </w:rPr>
        <w:t xml:space="preserve">Recommendation:</w:t>
      </w:r>
      <w:r>
        <w:t xml:space="preserve"> </w:t>
      </w:r>
      <w:r>
        <w:t xml:space="preserve">Confirm the correct threshold from the Credit Agreement and conform the S-1; re-confirm the post-IPO Change of Control analysis (see Issue 18).</w:t>
      </w:r>
    </w:p>
    <w:bookmarkEnd w:id="28"/>
    <w:bookmarkStart w:id="29" w:name="X32b4ecab256ddcb2396307d3f7efaeb14ddcd0c"/>
    <w:p>
      <w:pPr>
        <w:pStyle w:val="Heading3"/>
      </w:pPr>
      <w:r>
        <w:t xml:space="preserve">Issue 8 — Financial covenants described inconsistently</w:t>
      </w:r>
    </w:p>
    <w:p>
      <w:pPr>
        <w:pStyle w:val="FirstParagraph"/>
      </w:pPr>
      <w:r>
        <w:t xml:space="preserve">The S-1 describes the Credit Agreement financial covenants as: minimum liquidity of $15 million; maximum Total Net Leverage Ratio of 3.00x; and a minimum interest coverage ratio of 3.00x. The Summary of Key Terms describes: a minimum revenue covenant of $200 million; a maximum Total Net Leverage Ratio of 3.00x; minimum liquidity of $15 million; and a Fixed Charge Coverage Ratio of 1.25x. The S-1 omits the minimum revenue covenant and the fixed charge coverage ratio, and includes a</w:t>
      </w:r>
      <w:r>
        <w:t xml:space="preserve"> </w:t>
      </w:r>
      <w:r>
        <w:t xml:space="preserve">“</w:t>
      </w:r>
      <w:r>
        <w:t xml:space="preserve">minimum interest coverage ratio of 3.00x</w:t>
      </w:r>
      <w:r>
        <w:t xml:space="preserve">”</w:t>
      </w:r>
      <w:r>
        <w:t xml:space="preserve"> </w:t>
      </w:r>
      <w:r>
        <w:t xml:space="preserve">that does not appear in the Summary.</w:t>
      </w:r>
      <w:r>
        <w:t xml:space="preserve"> </w:t>
      </w:r>
      <w:r>
        <w:rPr>
          <w:b/>
          <w:bCs/>
        </w:rPr>
        <w:t xml:space="preserve">Recommendation:</w:t>
      </w:r>
      <w:r>
        <w:t xml:space="preserve"> </w:t>
      </w:r>
      <w:r>
        <w:t xml:space="preserve">Confirm the actual covenants from the Credit Agreement and conform the S-1</w:t>
      </w:r>
      <w:r>
        <w:t xml:space="preserve"> </w:t>
      </w:r>
      <w:r>
        <w:t xml:space="preserve">“</w:t>
      </w:r>
      <w:r>
        <w:t xml:space="preserve">Management’s Discussion and Analysis</w:t>
      </w:r>
      <w:r>
        <w:t xml:space="preserve">”</w:t>
      </w:r>
      <w:r>
        <w:t xml:space="preserve"> </w:t>
      </w:r>
      <w:r>
        <w:t xml:space="preserve">and risk-factor disclosures.</w:t>
      </w:r>
    </w:p>
    <w:bookmarkEnd w:id="29"/>
    <w:bookmarkStart w:id="30" w:name="X5b51b5eba95b5f3b194bb579f6567889ebfc2ef"/>
    <w:p>
      <w:pPr>
        <w:pStyle w:val="Heading3"/>
      </w:pPr>
      <w:r>
        <w:t xml:space="preserve">Issue 9 — Applicable interest margin (SOFR + 2.50% vs. SOFR + 2.25%)</w:t>
      </w:r>
    </w:p>
    <w:p>
      <w:pPr>
        <w:pStyle w:val="FirstParagraph"/>
      </w:pPr>
      <w:r>
        <w:t xml:space="preserve">The S-1 states that the credit facility</w:t>
      </w:r>
      <w:r>
        <w:t xml:space="preserve"> </w:t>
      </w:r>
      <w:r>
        <w:t xml:space="preserve">“</w:t>
      </w:r>
      <w:r>
        <w:t xml:space="preserve">bears interest at a rate of SOFR plus 2.50% per annum.</w:t>
      </w:r>
      <w:r>
        <w:t xml:space="preserve">”</w:t>
      </w:r>
      <w:r>
        <w:t xml:space="preserve"> </w:t>
      </w:r>
      <w:r>
        <w:t xml:space="preserve">The Summary of Key Terms states that the current applicable margin is SOFR + 2.25% (based on a Total Net Leverage Ratio of approximately 0.78x, which falls in the ≤1.50x pricing-grid tier of 2.25%), with a grid ranging from 2.25% to 3.25%. The S-1’s</w:t>
      </w:r>
      <w:r>
        <w:t xml:space="preserve"> </w:t>
      </w:r>
      <w:r>
        <w:t xml:space="preserve">“</w:t>
      </w:r>
      <w:r>
        <w:t xml:space="preserve">2.50%</w:t>
      </w:r>
      <w:r>
        <w:t xml:space="preserve">”</w:t>
      </w:r>
      <w:r>
        <w:t xml:space="preserve"> </w:t>
      </w:r>
      <w:r>
        <w:t xml:space="preserve">does not correspond to any tier in the grid.</w:t>
      </w:r>
      <w:r>
        <w:t xml:space="preserve"> </w:t>
      </w:r>
      <w:r>
        <w:rPr>
          <w:b/>
          <w:bCs/>
        </w:rPr>
        <w:t xml:space="preserve">Recommendation:</w:t>
      </w:r>
      <w:r>
        <w:t xml:space="preserve"> </w:t>
      </w:r>
      <w:r>
        <w:t xml:space="preserve">Confirm the correct current margin and conform the S-1; if the S-1 is stating a representative rate, clarify the disclosure.</w:t>
      </w:r>
    </w:p>
    <w:bookmarkEnd w:id="30"/>
    <w:bookmarkStart w:id="31" w:name="X2aa25cd71d6b99be0678afe50ea68a410e5abc5"/>
    <w:p>
      <w:pPr>
        <w:pStyle w:val="Heading3"/>
      </w:pPr>
      <w:r>
        <w:t xml:space="preserve">Issue 10 — Source of over-allotment option shares (Company-only vs. Company and/or Selling Stockholders)</w:t>
      </w:r>
    </w:p>
    <w:p>
      <w:pPr>
        <w:pStyle w:val="FirstParagraph"/>
      </w:pPr>
      <w:r>
        <w:t xml:space="preserve">The Term Sheet (Section 2.2) grants the over-allotment option to purchase shares</w:t>
      </w:r>
      <w:r>
        <w:t xml:space="preserve"> </w:t>
      </w:r>
      <w:r>
        <w:t xml:space="preserve">“</w:t>
      </w:r>
      <w:r>
        <w:t xml:space="preserve">from the Company and/or the Selling Stockholders.</w:t>
      </w:r>
      <w:r>
        <w:t xml:space="preserve">”</w:t>
      </w:r>
      <w:r>
        <w:t xml:space="preserve"> </w:t>
      </w:r>
      <w:r>
        <w:t xml:space="preserve">The S-1 cover page, the Engagement Letter (Section 2), and the Cascade Selling Stockholder Questionnaire each state that the over-allotment option shares are</w:t>
      </w:r>
      <w:r>
        <w:t xml:space="preserve"> </w:t>
      </w:r>
      <w:r>
        <w:t xml:space="preserve">“</w:t>
      </w:r>
      <w:r>
        <w:t xml:space="preserve">sourced exclusively from newly issued [Company] shares.</w:t>
      </w:r>
      <w:r>
        <w:t xml:space="preserve">”</w:t>
      </w:r>
      <w:r>
        <w:t xml:space="preserve"> </w:t>
      </w:r>
      <w:r>
        <w:t xml:space="preserve">The Underwriting Agreement (Section 4.1) is drafted as Company-only, consistent with the S-1, the Engagement Letter, and the Questionnaire.</w:t>
      </w:r>
      <w:r>
        <w:t xml:space="preserve"> </w:t>
      </w:r>
      <w:r>
        <w:rPr>
          <w:b/>
          <w:bCs/>
        </w:rPr>
        <w:t xml:space="preserve">Recommendation:</w:t>
      </w:r>
      <w:r>
        <w:t xml:space="preserve"> </w:t>
      </w:r>
      <w:r>
        <w:t xml:space="preserve">Conform the Term Sheet to reflect that the over-allotment option is exercisable solely for newly issued Company shares; confirm the Selling Stockholders are not subject to any over-allotment obligation.</w:t>
      </w:r>
    </w:p>
    <w:bookmarkEnd w:id="31"/>
    <w:bookmarkStart w:id="32" w:name="Xcf8d711641168c4e6bf3ca23da574c1fba10a18"/>
    <w:p>
      <w:pPr>
        <w:pStyle w:val="Heading3"/>
      </w:pPr>
      <w:r>
        <w:t xml:space="preserve">Issue 11 — Dr. Krishnamurthy’s Selling Stockholder Shares (500,000 vs. </w:t>
      </w:r>
      <w:r>
        <w:t xml:space="preserve">“</w:t>
      </w:r>
      <w:r>
        <w:t xml:space="preserve">up to 750,000</w:t>
      </w:r>
      <w:r>
        <w:t xml:space="preserve">”</w:t>
      </w:r>
      <w:r>
        <w:t xml:space="preserve">)</w:t>
      </w:r>
    </w:p>
    <w:p>
      <w:pPr>
        <w:pStyle w:val="FirstParagraph"/>
      </w:pPr>
      <w:r>
        <w:t xml:space="preserve">The Term Sheet, the S-1, and the Power of Attorney and Custody Agreement (Schedule A) each state that Dr. Krishnamurthy will sell 500,000 shares. The Engagement Letter (Section 2 and Annex A) states</w:t>
      </w:r>
      <w:r>
        <w:t xml:space="preserve"> </w:t>
      </w:r>
      <w:r>
        <w:t xml:space="preserve">“</w:t>
      </w:r>
      <w:r>
        <w:t xml:space="preserve">up to 750,000 shares</w:t>
      </w:r>
      <w:r>
        <w:t xml:space="preserve">”</w:t>
      </w:r>
      <w:r>
        <w:t xml:space="preserve"> </w:t>
      </w:r>
      <w:r>
        <w:t xml:space="preserve">and contemplates total Secondary Shares of</w:t>
      </w:r>
      <w:r>
        <w:t xml:space="preserve"> </w:t>
      </w:r>
      <w:r>
        <w:t xml:space="preserve">“</w:t>
      </w:r>
      <w:r>
        <w:t xml:space="preserve">up to 4,250,000.</w:t>
      </w:r>
      <w:r>
        <w:t xml:space="preserve">”</w:t>
      </w:r>
      <w:r>
        <w:t xml:space="preserve"> </w:t>
      </w:r>
      <w:r>
        <w:t xml:space="preserve">The Underwriting Agreement (Schedule II) uses 500,000 shares (total Secondary Shares of 4,000,000), consistent with the Term Sheet, the S-1, and the Power of Attorney. The Engagement Letter is the outlier (and is the earliest-dated document).</w:t>
      </w:r>
      <w:r>
        <w:t xml:space="preserve"> </w:t>
      </w:r>
      <w:r>
        <w:rPr>
          <w:b/>
          <w:bCs/>
        </w:rPr>
        <w:t xml:space="preserve">Recommendation:</w:t>
      </w:r>
      <w:r>
        <w:t xml:space="preserve"> </w:t>
      </w:r>
      <w:r>
        <w:t xml:space="preserve">Confirm that 500,000 shares is the final number for Dr. Krishnamurthy and that the Engagement Letter’s</w:t>
      </w:r>
      <w:r>
        <w:t xml:space="preserve"> </w:t>
      </w:r>
      <w:r>
        <w:t xml:space="preserve">“</w:t>
      </w:r>
      <w:r>
        <w:t xml:space="preserve">up to 750,000</w:t>
      </w:r>
      <w:r>
        <w:t xml:space="preserve">”</w:t>
      </w:r>
      <w:r>
        <w:t xml:space="preserve"> </w:t>
      </w:r>
      <w:r>
        <w:t xml:space="preserve">has been superseded.</w:t>
      </w:r>
    </w:p>
    <w:bookmarkEnd w:id="32"/>
    <w:bookmarkStart w:id="33" w:name="Xe5212e067968c0df627a8478ce4a9521bd0ae66"/>
    <w:p>
      <w:pPr>
        <w:pStyle w:val="Heading3"/>
      </w:pPr>
      <w:r>
        <w:t xml:space="preserve">Issue 12 — Dr. Krishnamurthy’s shareholding (term-sheet rounding)</w:t>
      </w:r>
    </w:p>
    <w:p>
      <w:pPr>
        <w:pStyle w:val="FirstParagraph"/>
      </w:pPr>
      <w:r>
        <w:t xml:space="preserve">The Term Sheet (Section 6.1) states that Dr. Krishnamurthy holds</w:t>
      </w:r>
      <w:r>
        <w:t xml:space="preserve"> </w:t>
      </w:r>
      <w:r>
        <w:t xml:space="preserve">“</w:t>
      </w:r>
      <w:r>
        <w:t xml:space="preserve">approximately 8.5 million</w:t>
      </w:r>
      <w:r>
        <w:t xml:space="preserve">”</w:t>
      </w:r>
      <w:r>
        <w:t xml:space="preserve"> </w:t>
      </w:r>
      <w:r>
        <w:t xml:space="preserve">shares and will hold</w:t>
      </w:r>
      <w:r>
        <w:t xml:space="preserve"> </w:t>
      </w:r>
      <w:r>
        <w:t xml:space="preserve">“</w:t>
      </w:r>
      <w:r>
        <w:t xml:space="preserve">approximately 8.0 million</w:t>
      </w:r>
      <w:r>
        <w:t xml:space="preserve">”</w:t>
      </w:r>
      <w:r>
        <w:t xml:space="preserve"> </w:t>
      </w:r>
      <w:r>
        <w:t xml:space="preserve">after the Offering. The S-1 beneficial-ownership table, the Engagement Letter (Annex A), and the Power of Attorney and Custody Agreement (Schedule A) each state 8,400,000 shares held (7,900,000 after the Offering, reflecting the sale of 500,000). The Underwriting Agreement (Schedule II) uses 8,400,000.</w:t>
      </w:r>
      <w:r>
        <w:t xml:space="preserve"> </w:t>
      </w:r>
      <w:r>
        <w:rPr>
          <w:b/>
          <w:bCs/>
        </w:rPr>
        <w:t xml:space="preserve">Recommendation:</w:t>
      </w:r>
      <w:r>
        <w:t xml:space="preserve"> </w:t>
      </w:r>
      <w:r>
        <w:t xml:space="preserve">Conform the Term Sheet to the precise figure (8,400,000 held; 7,900,000 after the Offering).</w:t>
      </w:r>
    </w:p>
    <w:bookmarkEnd w:id="33"/>
    <w:bookmarkStart w:id="34" w:name="X60459a12fce33fb7ca1725efd3e2cbbc489bb05"/>
    <w:p>
      <w:pPr>
        <w:pStyle w:val="Heading3"/>
      </w:pPr>
      <w:r>
        <w:t xml:space="preserve">Issue 13 — Lock-up springing extension not included in the Form of Lock-Up Agreement</w:t>
      </w:r>
    </w:p>
    <w:p>
      <w:pPr>
        <w:pStyle w:val="FirstParagraph"/>
      </w:pPr>
      <w:r>
        <w:t xml:space="preserve">The Term Sheet (Section 10.2) and the Power of Attorney and Custody Agreement (Section 2(c)) each contemplate a</w:t>
      </w:r>
      <w:r>
        <w:t xml:space="preserve"> </w:t>
      </w:r>
      <w:r>
        <w:t xml:space="preserve">“</w:t>
      </w:r>
      <w:r>
        <w:t xml:space="preserve">springing extension</w:t>
      </w:r>
      <w:r>
        <w:t xml:space="preserve">”</w:t>
      </w:r>
      <w:r>
        <w:t xml:space="preserve"> </w:t>
      </w:r>
      <w:r>
        <w:t xml:space="preserve">for Dr. Krishnamurthy: if the closing price of the Common Stock is below the Public Offering Price for five consecutive trading days during the final 17 trading days of the standard 180-day lock-up, the lock-up extends by 18 calendar days (to 198 days total). The Form of Lock-Up Agreement, however, contains only the standard 180-day lock-up and does not include the springing extension. The Underwriting Agreement addresses this by including the springing extension as Exhibit A-1 (Springing Extension Annex) applicable solely to Dr. Krishnamurthy.</w:t>
      </w:r>
      <w:r>
        <w:t xml:space="preserve"> </w:t>
      </w:r>
      <w:r>
        <w:rPr>
          <w:b/>
          <w:bCs/>
        </w:rPr>
        <w:t xml:space="preserve">Recommendation:</w:t>
      </w:r>
      <w:r>
        <w:t xml:space="preserve"> </w:t>
      </w:r>
      <w:r>
        <w:t xml:space="preserve">Prepare and circulate a Lock-Up Agreement (or annex) for Dr. Krishnamurthy that incorporates the springing extension; confirm the mechanics (trigger, measurement period, notice) with the Underwriters.</w:t>
      </w:r>
    </w:p>
    <w:bookmarkEnd w:id="34"/>
    <w:bookmarkStart w:id="35" w:name="Xc3af5b776e2b3d0275c5ba42b473eace4f2802f"/>
    <w:p>
      <w:pPr>
        <w:pStyle w:val="Heading3"/>
      </w:pPr>
      <w:r>
        <w:t xml:space="preserve">Issue 14 — Scope of Selling Stockholder indemnification</w:t>
      </w:r>
    </w:p>
    <w:p>
      <w:pPr>
        <w:pStyle w:val="FirstParagraph"/>
      </w:pPr>
      <w:r>
        <w:t xml:space="preserve">The Term Sheet (Section 13.2) limits each Selling Stockholder’s indemnification to misstatements or omissions</w:t>
      </w:r>
      <w:r>
        <w:t xml:space="preserve"> </w:t>
      </w:r>
      <w:r>
        <w:t xml:space="preserve">“</w:t>
      </w:r>
      <w:r>
        <w:t xml:space="preserve">with respect to information furnished in writing by such Selling Stockholder specifically for inclusion</w:t>
      </w:r>
      <w:r>
        <w:t xml:space="preserve">”</w:t>
      </w:r>
      <w:r>
        <w:t xml:space="preserve"> </w:t>
      </w:r>
      <w:r>
        <w:t xml:space="preserve">in the Registration Statement/Prospectus. The Engagement Letter (Section 9) is broader, covering misstatements or omissions</w:t>
      </w:r>
      <w:r>
        <w:t xml:space="preserve"> </w:t>
      </w:r>
      <w:r>
        <w:t xml:space="preserve">“</w:t>
      </w:r>
      <w:r>
        <w:t xml:space="preserve">relating to such Selling Stockholder</w:t>
      </w:r>
      <w:r>
        <w:t xml:space="preserve">”</w:t>
      </w:r>
      <w:r>
        <w:t xml:space="preserve"> </w:t>
      </w:r>
      <w:r>
        <w:t xml:space="preserve">and providing that the Company and Underwriters may rely on the Selling Stockholder’s indemnification</w:t>
      </w:r>
      <w:r>
        <w:t xml:space="preserve"> </w:t>
      </w:r>
      <w:r>
        <w:t xml:space="preserve">“</w:t>
      </w:r>
      <w:r>
        <w:t xml:space="preserve">without limitation as to the source of the information.</w:t>
      </w:r>
      <w:r>
        <w:t xml:space="preserve">”</w:t>
      </w:r>
      <w:r>
        <w:t xml:space="preserve"> </w:t>
      </w:r>
      <w:r>
        <w:t xml:space="preserve">The Underwriting Agreement (Section 8.2) adopts the narrower Term Sheet formulation (limited to information furnished by the Selling Stockholder), which is the more standard formulation.</w:t>
      </w:r>
      <w:r>
        <w:t xml:space="preserve"> </w:t>
      </w:r>
      <w:r>
        <w:rPr>
          <w:b/>
          <w:bCs/>
        </w:rPr>
        <w:t xml:space="preserve">Recommendation:</w:t>
      </w:r>
      <w:r>
        <w:t xml:space="preserve"> </w:t>
      </w:r>
      <w:r>
        <w:t xml:space="preserve">Confirm with the Underwriters and the Selling Stockholders that the narrower formulation is acceptable; conform the Engagement Letter or note that the Underwriting Agreement supersedes the Engagement Letter on this point (Section 10.4).</w:t>
      </w:r>
    </w:p>
    <w:bookmarkEnd w:id="35"/>
    <w:bookmarkStart w:id="36" w:name="Xa6fe1fdce3140cd2cb4d13a1319dfe720efc7fb"/>
    <w:p>
      <w:pPr>
        <w:pStyle w:val="Heading3"/>
      </w:pPr>
      <w:r>
        <w:t xml:space="preserve">Issue 15 — Expense reimbursement upon termination</w:t>
      </w:r>
    </w:p>
    <w:p>
      <w:pPr>
        <w:pStyle w:val="FirstParagraph"/>
      </w:pPr>
      <w:r>
        <w:t xml:space="preserve">The Engagement Letter (Section 5) provides that, if the Offering is not consummated for reasons other than a material breach by Hargrove, the Company shall reimburse Hargrove for reasonable out-of-pocket expenses (including Underwriters’ Counsel fees) up to $500,000. The Term Sheet (Sections 9 and 14.1) does not include this reimbursement and instead provides that each party bears its own expenses. The Underwriting Agreement (Section 10.6) follows the Term Sheet (Company bears Company expenses; Underwriters bear their own).</w:t>
      </w:r>
      <w:r>
        <w:t xml:space="preserve"> </w:t>
      </w:r>
      <w:r>
        <w:rPr>
          <w:b/>
          <w:bCs/>
        </w:rPr>
        <w:t xml:space="preserve">Recommendation:</w:t>
      </w:r>
      <w:r>
        <w:t xml:space="preserve"> </w:t>
      </w:r>
      <w:r>
        <w:t xml:space="preserve">Confirm whether the Engagement Letter’s $500,000 reimbursement survives or is superseded by the Underwriting Agreement; if it survives, add a corresponding provision to the Underwriting Agreement.</w:t>
      </w:r>
    </w:p>
    <w:bookmarkEnd w:id="36"/>
    <w:bookmarkEnd w:id="37"/>
    <w:bookmarkStart w:id="55" w:name="iv.-open-items-and-confirmations"/>
    <w:p>
      <w:pPr>
        <w:pStyle w:val="Heading2"/>
      </w:pPr>
      <w:r>
        <w:t xml:space="preserve">IV. Open Items and Confirmations</w:t>
      </w:r>
    </w:p>
    <w:bookmarkStart w:id="38" w:name="Xe0a31c69d465ffd47803f76127cf74200dd2a79"/>
    <w:p>
      <w:pPr>
        <w:pStyle w:val="Heading3"/>
      </w:pPr>
      <w:r>
        <w:t xml:space="preserve">Issue 16 — Lender consent for the Amended and Restated Certificate of Incorporation</w:t>
      </w:r>
    </w:p>
    <w:p>
      <w:pPr>
        <w:pStyle w:val="FirstParagraph"/>
      </w:pPr>
      <w:r>
        <w:t xml:space="preserve">The Credit Agreement prohibits material amendments to the Company’s organizational documents without lender consent. The Company filed an Amended and Restated Certificate of Incorporation effective December 20, 2024.</w:t>
      </w:r>
      <w:r>
        <w:t xml:space="preserve"> </w:t>
      </w:r>
      <w:r>
        <w:rPr>
          <w:b/>
          <w:bCs/>
        </w:rPr>
        <w:t xml:space="preserve">Recommendation:</w:t>
      </w:r>
      <w:r>
        <w:t xml:space="preserve"> </w:t>
      </w:r>
      <w:r>
        <w:t xml:space="preserve">Confirm that the lender consented in writing to the December 20, 2024 A&amp;R Certificate of Incorporation, and confirm whether any further IPO-related charter amendments require lender consent.</w:t>
      </w:r>
    </w:p>
    <w:bookmarkEnd w:id="38"/>
    <w:bookmarkStart w:id="39" w:name="X050001c00ad6c5c69dcba6036cd21724f570ae9"/>
    <w:p>
      <w:pPr>
        <w:pStyle w:val="Heading3"/>
      </w:pPr>
      <w:r>
        <w:t xml:space="preserve">Issue 17 — Equity Issuance prior-notice requirement</w:t>
      </w:r>
    </w:p>
    <w:p>
      <w:pPr>
        <w:pStyle w:val="FirstParagraph"/>
      </w:pPr>
      <w:r>
        <w:t xml:space="preserve">The Credit Agreement requires the Company to provide at least 10 business days’ prior written notice of any Equity Issuance, with a reasonably detailed summary of terms.</w:t>
      </w:r>
      <w:r>
        <w:t xml:space="preserve"> </w:t>
      </w:r>
      <w:r>
        <w:rPr>
          <w:b/>
          <w:bCs/>
        </w:rPr>
        <w:t xml:space="preserve">Recommendation:</w:t>
      </w:r>
      <w:r>
        <w:t xml:space="preserve"> </w:t>
      </w:r>
      <w:r>
        <w:t xml:space="preserve">Confirm that the required advance notice of the IPO was timely provided to the lender.</w:t>
      </w:r>
    </w:p>
    <w:bookmarkEnd w:id="39"/>
    <w:bookmarkStart w:id="40" w:name="Xdae315bd05964f01668046deb79833f1c4cecfa"/>
    <w:p>
      <w:pPr>
        <w:pStyle w:val="Heading3"/>
      </w:pPr>
      <w:r>
        <w:t xml:space="preserve">Issue 18 — Change of Control re-confirmation</w:t>
      </w:r>
    </w:p>
    <w:p>
      <w:pPr>
        <w:pStyle w:val="FirstParagraph"/>
      </w:pPr>
      <w:r>
        <w:t xml:space="preserve">Confirm that the post-IPO ownership structure does not trigger a Change of Control under the Credit Agreement. This analysis is sensitive to the correct Change of Control threshold (see Issue 7). Under current expectations, Dr. Krishnamurthy will hold approximately 15.8% post-IPO (the largest holder), below both the 35% and 50% thresholds.</w:t>
      </w:r>
      <w:r>
        <w:t xml:space="preserve"> </w:t>
      </w:r>
      <w:r>
        <w:rPr>
          <w:b/>
          <w:bCs/>
        </w:rPr>
        <w:t xml:space="preserve">Recommendation:</w:t>
      </w:r>
      <w:r>
        <w:t xml:space="preserve"> </w:t>
      </w:r>
      <w:r>
        <w:t xml:space="preserve">Re-confirm once the correct threshold is established and the final offering size is set.</w:t>
      </w:r>
    </w:p>
    <w:bookmarkEnd w:id="40"/>
    <w:bookmarkStart w:id="41" w:name="X0eca7757e24923764dac4e608d497d8cdb64753"/>
    <w:p>
      <w:pPr>
        <w:pStyle w:val="Heading3"/>
      </w:pPr>
      <w:r>
        <w:t xml:space="preserve">Issue 19 — UT Austin license: anti-assignment, change-of-control, and security-interest provisions</w:t>
      </w:r>
    </w:p>
    <w:p>
      <w:pPr>
        <w:pStyle w:val="FirstParagraph"/>
      </w:pPr>
      <w:r>
        <w:t xml:space="preserve">The Credit Agreement grants the lender a first-priority security interest in the Company’s intellectual property and general intangibles, including the Company’s rights under the exclusive license agreement with the University of Texas at Austin (to the extent assignable). The Underwriting Agreement (Section 1.12) represents that the UT license is in full force and effect.</w:t>
      </w:r>
      <w:r>
        <w:t xml:space="preserve"> </w:t>
      </w:r>
      <w:r>
        <w:rPr>
          <w:b/>
          <w:bCs/>
        </w:rPr>
        <w:t xml:space="preserve">Recommendation:</w:t>
      </w:r>
      <w:r>
        <w:t xml:space="preserve"> </w:t>
      </w:r>
      <w:r>
        <w:t xml:space="preserve">Review the UT license for anti-assignment, change-of-control, and security-interest restrictions; confirm that (a) the offering and the existing security interest do not breach the license, and (b) the Underwriting Agreement’s material-contracts representation is accurate.</w:t>
      </w:r>
    </w:p>
    <w:bookmarkEnd w:id="41"/>
    <w:bookmarkStart w:id="42" w:name="X30bf5ee08e1d0031601fdce9161058e0b25fbe9"/>
    <w:p>
      <w:pPr>
        <w:pStyle w:val="Heading3"/>
      </w:pPr>
      <w:r>
        <w:t xml:space="preserve">Issue 20 — FINRA affiliation: James Whitfield / Cameron Whitfield</w:t>
      </w:r>
    </w:p>
    <w:p>
      <w:pPr>
        <w:pStyle w:val="FirstParagraph"/>
      </w:pPr>
      <w:r>
        <w:t xml:space="preserve">The S-1 beneficial-ownership footnote identifies James Whitfield as the managing member of Cascade’s general partner (i.e., a control person of a Selling Stockholder). Cameron Whitfield is the Hargrove Securities Managing Director leading the Offering. The shared surname raises a potential family or other affiliation that, if it exists, could implicate FINRA Rule 5121 (conflicts of interest). The Cascade Selling Stockholder Questionnaire (signed by Marcus J. Aldridge and Teresa Huang) represents</w:t>
      </w:r>
      <w:r>
        <w:t xml:space="preserve"> </w:t>
      </w:r>
      <w:r>
        <w:t xml:space="preserve">“</w:t>
      </w:r>
      <w:r>
        <w:t xml:space="preserve">No</w:t>
      </w:r>
      <w:r>
        <w:t xml:space="preserve">”</w:t>
      </w:r>
      <w:r>
        <w:t xml:space="preserve"> </w:t>
      </w:r>
      <w:r>
        <w:t xml:space="preserve">to FINRA affiliations, but the questionnaire’s signatories differ from the S-1’s identified control person (see Issue 3).</w:t>
      </w:r>
      <w:r>
        <w:t xml:space="preserve"> </w:t>
      </w:r>
      <w:r>
        <w:rPr>
          <w:b/>
          <w:bCs/>
        </w:rPr>
        <w:t xml:space="preserve">Recommendation:</w:t>
      </w:r>
      <w:r>
        <w:t xml:space="preserve"> </w:t>
      </w:r>
      <w:r>
        <w:t xml:space="preserve">Conduct FINRA diligence to confirm whether any affiliation exists between James Whitfield and Cameron Whitfield (or Hargrove); if so, evaluate FINRA Rule 5121 implications and disclosure.</w:t>
      </w:r>
    </w:p>
    <w:bookmarkEnd w:id="42"/>
    <w:bookmarkStart w:id="43" w:name="X97de9bbb7f3c2ca5bb24e08f50bc3c865a2b141"/>
    <w:p>
      <w:pPr>
        <w:pStyle w:val="Heading3"/>
      </w:pPr>
      <w:r>
        <w:t xml:space="preserve">Issue 21 — Cascade board observer seat disclosure</w:t>
      </w:r>
    </w:p>
    <w:p>
      <w:pPr>
        <w:pStyle w:val="FirstParagraph"/>
      </w:pPr>
      <w:r>
        <w:t xml:space="preserve">The Cascade Selling Stockholder Questionnaire (Section 4(a)) discloses that Cascade held a board observer seat pursuant to the Series A Preferred Stock Purchase Agreement through January 2025, terminating upon the IPO closing. This is a material relationship with the Company within the past three years and should be disclosed in the S-1 selling-stockholder section (and is relevant to the FINRA Rule 5121 analysis).</w:t>
      </w:r>
      <w:r>
        <w:t xml:space="preserve"> </w:t>
      </w:r>
      <w:r>
        <w:rPr>
          <w:b/>
          <w:bCs/>
        </w:rPr>
        <w:t xml:space="preserve">Recommendation:</w:t>
      </w:r>
      <w:r>
        <w:t xml:space="preserve"> </w:t>
      </w:r>
      <w:r>
        <w:t xml:space="preserve">Confirm the S-1 discloses Cascade’s board observer relationship; if not, add the disclosure.</w:t>
      </w:r>
    </w:p>
    <w:bookmarkEnd w:id="43"/>
    <w:bookmarkStart w:id="44" w:name="Xed9102a9e5201871cf03cc1ebc31f0ad191ac4d"/>
    <w:p>
      <w:pPr>
        <w:pStyle w:val="Heading3"/>
      </w:pPr>
      <w:r>
        <w:t xml:space="preserve">Issue 22 — Comfort Letter</w:t>
      </w:r>
      <w:r>
        <w:t xml:space="preserve"> </w:t>
      </w:r>
      <w:r>
        <w:t xml:space="preserve">“</w:t>
      </w:r>
      <w:r>
        <w:t xml:space="preserve">Section 7(d)</w:t>
      </w:r>
      <w:r>
        <w:t xml:space="preserve">”</w:t>
      </w:r>
      <w:r>
        <w:t xml:space="preserve"> </w:t>
      </w:r>
      <w:r>
        <w:t xml:space="preserve">cross-reference</w:t>
      </w:r>
    </w:p>
    <w:p>
      <w:pPr>
        <w:pStyle w:val="FirstParagraph"/>
      </w:pPr>
      <w:r>
        <w:t xml:space="preserve">The Draft Comfort Letter states that it is</w:t>
      </w:r>
      <w:r>
        <w:t xml:space="preserve"> </w:t>
      </w:r>
      <w:r>
        <w:t xml:space="preserve">“</w:t>
      </w:r>
      <w:r>
        <w:t xml:space="preserve">furnished pursuant to Section 7(d) of the Underwriting Agreement.</w:t>
      </w:r>
      <w:r>
        <w:t xml:space="preserve">”</w:t>
      </w:r>
      <w:r>
        <w:t xml:space="preserve"> </w:t>
      </w:r>
      <w:r>
        <w:t xml:space="preserve">The Underwriting Agreement’s comfort-letter delivery condition is located at Section 7.3.</w:t>
      </w:r>
      <w:r>
        <w:t xml:space="preserve"> </w:t>
      </w:r>
      <w:r>
        <w:rPr>
          <w:b/>
          <w:bCs/>
        </w:rPr>
        <w:t xml:space="preserve">Recommendation:</w:t>
      </w:r>
      <w:r>
        <w:t xml:space="preserve"> </w:t>
      </w:r>
      <w:r>
        <w:t xml:space="preserve">Conform the comfort letter’s section reference to the final Underwriting Agreement section number (or adjust the Underwriting Agreement numbering) so the cross-reference is accurate.</w:t>
      </w:r>
    </w:p>
    <w:bookmarkEnd w:id="44"/>
    <w:bookmarkStart w:id="45" w:name="X860c73958dd142000c7a3f736c35c7b341c90bf"/>
    <w:p>
      <w:pPr>
        <w:pStyle w:val="Heading3"/>
      </w:pPr>
      <w:r>
        <w:t xml:space="preserve">Issue 23 —</w:t>
      </w:r>
      <w:r>
        <w:t xml:space="preserve"> </w:t>
      </w:r>
      <w:r>
        <w:t xml:space="preserve">“</w:t>
      </w:r>
      <w:r>
        <w:t xml:space="preserve">Representatives</w:t>
      </w:r>
      <w:r>
        <w:t xml:space="preserve">”</w:t>
      </w:r>
      <w:r>
        <w:t xml:space="preserve"> </w:t>
      </w:r>
      <w:r>
        <w:t xml:space="preserve">— who holds representative authority</w:t>
      </w:r>
    </w:p>
    <w:p>
      <w:pPr>
        <w:pStyle w:val="FirstParagraph"/>
      </w:pPr>
      <w:r>
        <w:t xml:space="preserve">The Draft Comfort Letter is addressed to</w:t>
      </w:r>
      <w:r>
        <w:t xml:space="preserve"> </w:t>
      </w:r>
      <w:r>
        <w:t xml:space="preserve">“</w:t>
      </w:r>
      <w:r>
        <w:t xml:space="preserve">Hargrove Securities LLC and Bellweather Capital Markets, Inc. as Representatives of the several Underwriters.</w:t>
      </w:r>
      <w:r>
        <w:t xml:space="preserve">”</w:t>
      </w:r>
      <w:r>
        <w:t xml:space="preserve"> </w:t>
      </w:r>
      <w:r>
        <w:t xml:space="preserve">The Underwriting Agreement defines the</w:t>
      </w:r>
      <w:r>
        <w:t xml:space="preserve"> </w:t>
      </w:r>
      <w:r>
        <w:t xml:space="preserve">“</w:t>
      </w:r>
      <w:r>
        <w:t xml:space="preserve">Representative</w:t>
      </w:r>
      <w:r>
        <w:t xml:space="preserve">”</w:t>
      </w:r>
      <w:r>
        <w:t xml:space="preserve"> </w:t>
      </w:r>
      <w:r>
        <w:t xml:space="preserve">as Hargrove Securities LLC alone, acting on behalf of the several Underwriters (consistent with the Term Sheet, which gives the Lead Underwriter termination and waiver rights).</w:t>
      </w:r>
      <w:r>
        <w:t xml:space="preserve"> </w:t>
      </w:r>
      <w:r>
        <w:rPr>
          <w:b/>
          <w:bCs/>
        </w:rPr>
        <w:t xml:space="preserve">Recommendation:</w:t>
      </w:r>
      <w:r>
        <w:t xml:space="preserve"> </w:t>
      </w:r>
      <w:r>
        <w:t xml:space="preserve">Confirm that Hargrove is the sole Representative for purposes of the Underwriting Agreement; conform the comfort letter addressee line and any other documents that address both Underwriters as</w:t>
      </w:r>
      <w:r>
        <w:t xml:space="preserve"> </w:t>
      </w:r>
      <w:r>
        <w:t xml:space="preserve">“</w:t>
      </w:r>
      <w:r>
        <w:t xml:space="preserve">Representatives.</w:t>
      </w:r>
      <w:r>
        <w:t xml:space="preserve">”</w:t>
      </w:r>
    </w:p>
    <w:bookmarkEnd w:id="45"/>
    <w:bookmarkStart w:id="46" w:name="X6d99c334759a1cc447b4548dece76f4d44e1523"/>
    <w:p>
      <w:pPr>
        <w:pStyle w:val="Heading3"/>
      </w:pPr>
      <w:r>
        <w:t xml:space="preserve">Issue 24 — Underwriter title/role labels (</w:t>
      </w:r>
      <w:r>
        <w:t xml:space="preserve">“</w:t>
      </w:r>
      <w:r>
        <w:t xml:space="preserve">Joint Book-Running Manager</w:t>
      </w:r>
      <w:r>
        <w:t xml:space="preserve">”</w:t>
      </w:r>
      <w:r>
        <w:t xml:space="preserve"> </w:t>
      </w:r>
      <w:r>
        <w:t xml:space="preserve">vs. </w:t>
      </w:r>
      <w:r>
        <w:t xml:space="preserve">“</w:t>
      </w:r>
      <w:r>
        <w:t xml:space="preserve">Lead Book-Runner</w:t>
      </w:r>
      <w:r>
        <w:t xml:space="preserve">”</w:t>
      </w:r>
      <w:r>
        <w:t xml:space="preserve">)</w:t>
      </w:r>
    </w:p>
    <w:p>
      <w:pPr>
        <w:pStyle w:val="FirstParagraph"/>
      </w:pPr>
      <w:r>
        <w:t xml:space="preserve">The S-1 cover page labels Hargrove as</w:t>
      </w:r>
      <w:r>
        <w:t xml:space="preserve"> </w:t>
      </w:r>
      <w:r>
        <w:t xml:space="preserve">“</w:t>
      </w:r>
      <w:r>
        <w:t xml:space="preserve">Joint Book-Running Manager</w:t>
      </w:r>
      <w:r>
        <w:t xml:space="preserve">”</w:t>
      </w:r>
      <w:r>
        <w:t xml:space="preserve"> </w:t>
      </w:r>
      <w:r>
        <w:t xml:space="preserve">(with only Hargrove listed under that label) and Bellweather as</w:t>
      </w:r>
      <w:r>
        <w:t xml:space="preserve"> </w:t>
      </w:r>
      <w:r>
        <w:t xml:space="preserve">“</w:t>
      </w:r>
      <w:r>
        <w:t xml:space="preserve">Co-Manager.</w:t>
      </w:r>
      <w:r>
        <w:t xml:space="preserve">”</w:t>
      </w:r>
      <w:r>
        <w:t xml:space="preserve"> </w:t>
      </w:r>
      <w:r>
        <w:t xml:space="preserve">The Term Sheet and Engagement Letter label Hargrove as</w:t>
      </w:r>
      <w:r>
        <w:t xml:space="preserve"> </w:t>
      </w:r>
      <w:r>
        <w:t xml:space="preserve">“</w:t>
      </w:r>
      <w:r>
        <w:t xml:space="preserve">Lead Book-Runner</w:t>
      </w:r>
      <w:r>
        <w:t xml:space="preserve">”</w:t>
      </w:r>
      <w:r>
        <w:t xml:space="preserve"> </w:t>
      </w:r>
      <w:r>
        <w:t xml:space="preserve">/</w:t>
      </w:r>
      <w:r>
        <w:t xml:space="preserve"> </w:t>
      </w:r>
      <w:r>
        <w:t xml:space="preserve">“</w:t>
      </w:r>
      <w:r>
        <w:t xml:space="preserve">lead book-running manager</w:t>
      </w:r>
      <w:r>
        <w:t xml:space="preserve">”</w:t>
      </w:r>
      <w:r>
        <w:t xml:space="preserve"> </w:t>
      </w:r>
      <w:r>
        <w:t xml:space="preserve">and Bellweather as</w:t>
      </w:r>
      <w:r>
        <w:t xml:space="preserve"> </w:t>
      </w:r>
      <w:r>
        <w:t xml:space="preserve">“</w:t>
      </w:r>
      <w:r>
        <w:t xml:space="preserve">co-manager</w:t>
      </w:r>
      <w:r>
        <w:t xml:space="preserve">”</w:t>
      </w:r>
      <w:r>
        <w:t xml:space="preserve"> </w:t>
      </w:r>
      <w:r>
        <w:t xml:space="preserve">/</w:t>
      </w:r>
      <w:r>
        <w:t xml:space="preserve"> </w:t>
      </w:r>
      <w:r>
        <w:t xml:space="preserve">“</w:t>
      </w:r>
      <w:r>
        <w:t xml:space="preserve">co-managing underwriter.</w:t>
      </w:r>
      <w:r>
        <w:t xml:space="preserve">”</w:t>
      </w:r>
      <w:r>
        <w:t xml:space="preserve"> </w:t>
      </w:r>
      <w:r>
        <w:t xml:space="preserve">The</w:t>
      </w:r>
      <w:r>
        <w:t xml:space="preserve"> </w:t>
      </w:r>
      <w:r>
        <w:t xml:space="preserve">“</w:t>
      </w:r>
      <w:r>
        <w:t xml:space="preserve">Joint Book-Running Manager</w:t>
      </w:r>
      <w:r>
        <w:t xml:space="preserve">”</w:t>
      </w:r>
      <w:r>
        <w:t xml:space="preserve"> </w:t>
      </w:r>
      <w:r>
        <w:t xml:space="preserve">label for a single firm is unusual. The Underwriting Agreement uses</w:t>
      </w:r>
      <w:r>
        <w:t xml:space="preserve"> </w:t>
      </w:r>
      <w:r>
        <w:t xml:space="preserve">“</w:t>
      </w:r>
      <w:r>
        <w:t xml:space="preserve">Representative</w:t>
      </w:r>
      <w:r>
        <w:t xml:space="preserve">”</w:t>
      </w:r>
      <w:r>
        <w:t xml:space="preserve"> </w:t>
      </w:r>
      <w:r>
        <w:t xml:space="preserve">(Hargrove) and</w:t>
      </w:r>
      <w:r>
        <w:t xml:space="preserve"> </w:t>
      </w:r>
      <w:r>
        <w:t xml:space="preserve">“</w:t>
      </w:r>
      <w:r>
        <w:t xml:space="preserve">co-manager</w:t>
      </w:r>
      <w:r>
        <w:t xml:space="preserve">”</w:t>
      </w:r>
      <w:r>
        <w:t xml:space="preserve"> </w:t>
      </w:r>
      <w:r>
        <w:t xml:space="preserve">(Bellweather).</w:t>
      </w:r>
      <w:r>
        <w:t xml:space="preserve"> </w:t>
      </w:r>
      <w:r>
        <w:rPr>
          <w:b/>
          <w:bCs/>
        </w:rPr>
        <w:t xml:space="preserve">Recommendation:</w:t>
      </w:r>
      <w:r>
        <w:t xml:space="preserve"> </w:t>
      </w:r>
      <w:r>
        <w:t xml:space="preserve">Reconcile the underwriter titles across the S-1, the Term Sheet, the Engagement Letter, and the Underwriting Agreement; confirm the intended roles with the Underwriters.</w:t>
      </w:r>
    </w:p>
    <w:bookmarkEnd w:id="46"/>
    <w:bookmarkStart w:id="47" w:name="Xcc1b3e165b2e2d5af69d6901553d2b3bd93c10d"/>
    <w:p>
      <w:pPr>
        <w:pStyle w:val="Heading3"/>
      </w:pPr>
      <w:r>
        <w:t xml:space="preserve">Issue 25 — Lock-Up Agreement termination date</w:t>
      </w:r>
    </w:p>
    <w:p>
      <w:pPr>
        <w:pStyle w:val="FirstParagraph"/>
      </w:pPr>
      <w:r>
        <w:t xml:space="preserve">The Form of Lock-Up Agreement (Section 6(d)) provides that it automatically terminates on March 19, 2025 if the Underwriting Agreement has not been executed by that date. The Underwriting Agreement is itself dated March 19, 2025. This creates a timing risk: if execution of the Underwriting Agreement is delayed even one day, the lock-ups auto-terminate.</w:t>
      </w:r>
      <w:r>
        <w:t xml:space="preserve"> </w:t>
      </w:r>
      <w:r>
        <w:rPr>
          <w:b/>
          <w:bCs/>
        </w:rPr>
        <w:t xml:space="preserve">Recommendation:</w:t>
      </w:r>
      <w:r>
        <w:t xml:space="preserve"> </w:t>
      </w:r>
      <w:r>
        <w:t xml:space="preserve">Consider extending the lock-up termination date (e.g., to a date three to five business days after the expected Pricing Date) to provide a buffer.</w:t>
      </w:r>
    </w:p>
    <w:bookmarkEnd w:id="47"/>
    <w:bookmarkStart w:id="48" w:name="Xc9886fb32a88cc475a1bc28372db04b877d2064"/>
    <w:p>
      <w:pPr>
        <w:pStyle w:val="Heading3"/>
      </w:pPr>
      <w:r>
        <w:t xml:space="preserve">Issue 26 — Lock-up threshold wording (</w:t>
      </w:r>
      <w:r>
        <w:t xml:space="preserve">“</w:t>
      </w:r>
      <w:r>
        <w:t xml:space="preserve">1% or more</w:t>
      </w:r>
      <w:r>
        <w:t xml:space="preserve">”</w:t>
      </w:r>
      <w:r>
        <w:t xml:space="preserve"> </w:t>
      </w:r>
      <w:r>
        <w:t xml:space="preserve">vs. </w:t>
      </w:r>
      <w:r>
        <w:t xml:space="preserve">“</w:t>
      </w:r>
      <w:r>
        <w:t xml:space="preserve">more than 1%</w:t>
      </w:r>
      <w:r>
        <w:t xml:space="preserve">”</w:t>
      </w:r>
      <w:r>
        <w:t xml:space="preserve">)</w:t>
      </w:r>
    </w:p>
    <w:p>
      <w:pPr>
        <w:pStyle w:val="FirstParagraph"/>
      </w:pPr>
      <w:r>
        <w:t xml:space="preserve">The Term Sheet (Section 10.1) refers to holders of</w:t>
      </w:r>
      <w:r>
        <w:t xml:space="preserve"> </w:t>
      </w:r>
      <w:r>
        <w:t xml:space="preserve">“</w:t>
      </w:r>
      <w:r>
        <w:t xml:space="preserve">1% or more</w:t>
      </w:r>
      <w:r>
        <w:t xml:space="preserve">”</w:t>
      </w:r>
      <w:r>
        <w:t xml:space="preserve"> </w:t>
      </w:r>
      <w:r>
        <w:t xml:space="preserve">of the outstanding Common Stock; the S-1, the Engagement Letter, and the Form of Lock-Up Agreement refer to holders of</w:t>
      </w:r>
      <w:r>
        <w:t xml:space="preserve"> </w:t>
      </w:r>
      <w:r>
        <w:t xml:space="preserve">“</w:t>
      </w:r>
      <w:r>
        <w:t xml:space="preserve">more than 1%.</w:t>
      </w:r>
      <w:r>
        <w:t xml:space="preserve">”</w:t>
      </w:r>
      <w:r>
        <w:t xml:space="preserve"> </w:t>
      </w:r>
      <w:r>
        <w:t xml:space="preserve">The Underwriting Agreement (Section 7.7) uses</w:t>
      </w:r>
      <w:r>
        <w:t xml:space="preserve"> </w:t>
      </w:r>
      <w:r>
        <w:t xml:space="preserve">“</w:t>
      </w:r>
      <w:r>
        <w:t xml:space="preserve">1% or more.</w:t>
      </w:r>
      <w:r>
        <w:t xml:space="preserve">”</w:t>
      </w:r>
      <w:r>
        <w:t xml:space="preserve"> </w:t>
      </w:r>
      <w:r>
        <w:t xml:space="preserve">Given current holdings, no holder sits exactly at the 1% boundary, so the practical effect is nil, but the wording should be consistent.</w:t>
      </w:r>
      <w:r>
        <w:t xml:space="preserve"> </w:t>
      </w:r>
      <w:r>
        <w:rPr>
          <w:b/>
          <w:bCs/>
        </w:rPr>
        <w:t xml:space="preserve">Recommendation:</w:t>
      </w:r>
      <w:r>
        <w:t xml:space="preserve"> </w:t>
      </w:r>
      <w:r>
        <w:t xml:space="preserve">Conform the threshold wording across all documents.</w:t>
      </w:r>
    </w:p>
    <w:bookmarkEnd w:id="48"/>
    <w:bookmarkStart w:id="49" w:name="Xd3e210830ee9f76e4df2a9237f825df1d22d682"/>
    <w:p>
      <w:pPr>
        <w:pStyle w:val="Heading3"/>
      </w:pPr>
      <w:r>
        <w:t xml:space="preserve">Issue 27 — Downgrade termination right (likely inapplicable)</w:t>
      </w:r>
    </w:p>
    <w:p>
      <w:pPr>
        <w:pStyle w:val="FirstParagraph"/>
      </w:pPr>
      <w:r>
        <w:t xml:space="preserve">The Underwriting Agreement (Section 9.1(f)) (per the Term Sheet) includes a termination right triggered by a downgrade of the rating of any securities of the Company. The Company is a pre-IPO medical-device company with a bank revolving credit facility and does not appear to have any publicly rated securities.</w:t>
      </w:r>
      <w:r>
        <w:t xml:space="preserve"> </w:t>
      </w:r>
      <w:r>
        <w:rPr>
          <w:b/>
          <w:bCs/>
        </w:rPr>
        <w:t xml:space="preserve">Recommendation:</w:t>
      </w:r>
      <w:r>
        <w:t xml:space="preserve"> </w:t>
      </w:r>
      <w:r>
        <w:t xml:space="preserve">Confirm whether the Company has any rated securities; if not, consider whether to retain, narrow, or remove this termination right.</w:t>
      </w:r>
    </w:p>
    <w:bookmarkEnd w:id="49"/>
    <w:bookmarkStart w:id="50" w:name="Xef7947da26f08656b3b2837846f427af7a7f197"/>
    <w:p>
      <w:pPr>
        <w:pStyle w:val="Heading3"/>
      </w:pPr>
      <w:r>
        <w:t xml:space="preserve">Issue 28 — Engagement Letter</w:t>
      </w:r>
      <w:r>
        <w:t xml:space="preserve"> </w:t>
      </w:r>
      <w:r>
        <w:t xml:space="preserve">“</w:t>
      </w:r>
      <w:r>
        <w:t xml:space="preserve">cold comfort letter regarding FINRA compliance from Company Counsel</w:t>
      </w:r>
      <w:r>
        <w:t xml:space="preserve">”</w:t>
      </w:r>
    </w:p>
    <w:p>
      <w:pPr>
        <w:pStyle w:val="FirstParagraph"/>
      </w:pPr>
      <w:r>
        <w:t xml:space="preserve">The Engagement Letter (Section 6(k)) conditions the Underwriters’ obligations on receipt of</w:t>
      </w:r>
      <w:r>
        <w:t xml:space="preserve"> </w:t>
      </w:r>
      <w:r>
        <w:t xml:space="preserve">“</w:t>
      </w:r>
      <w:r>
        <w:t xml:space="preserve">a</w:t>
      </w:r>
      <w:r>
        <w:t xml:space="preserve"> </w:t>
      </w:r>
      <w:r>
        <w:t xml:space="preserve">‘</w:t>
      </w:r>
      <w:r>
        <w:t xml:space="preserve">cold comfort</w:t>
      </w:r>
      <w:r>
        <w:t xml:space="preserve">’</w:t>
      </w:r>
      <w:r>
        <w:t xml:space="preserve"> </w:t>
      </w:r>
      <w:r>
        <w:t xml:space="preserve">letter regarding FINRA compliance from Company Counsel.</w:t>
      </w:r>
      <w:r>
        <w:t xml:space="preserve">”</w:t>
      </w:r>
      <w:r>
        <w:t xml:space="preserve"> </w:t>
      </w:r>
      <w:r>
        <w:t xml:space="preserve">This is non-standard; FINRA clearance is typically handled through the Underwriters’ FINRA filing and a FINRA no-objection letter, not a comfort letter from Company Counsel. The Underwriting Agreement (Section 7.10) uses the standard FINRA clearance condition.</w:t>
      </w:r>
      <w:r>
        <w:t xml:space="preserve"> </w:t>
      </w:r>
      <w:r>
        <w:rPr>
          <w:b/>
          <w:bCs/>
        </w:rPr>
        <w:t xml:space="preserve">Recommendation:</w:t>
      </w:r>
      <w:r>
        <w:t xml:space="preserve"> </w:t>
      </w:r>
      <w:r>
        <w:t xml:space="preserve">Confirm whether the Engagement Letter’s condition is still required; if so, add it to the Underwriting Agreement conditions.</w:t>
      </w:r>
    </w:p>
    <w:bookmarkEnd w:id="50"/>
    <w:bookmarkStart w:id="51" w:name="issue-29-finra-filing-fee"/>
    <w:p>
      <w:pPr>
        <w:pStyle w:val="Heading3"/>
      </w:pPr>
      <w:r>
        <w:t xml:space="preserve">Issue 29 — FINRA filing fee</w:t>
      </w:r>
    </w:p>
    <w:p>
      <w:pPr>
        <w:pStyle w:val="FirstParagraph"/>
      </w:pPr>
      <w:r>
        <w:t xml:space="preserve">The Engagement Letter estimates the FINRA filing fee at $21,780, based on the maximum aggregate offering amount.</w:t>
      </w:r>
      <w:r>
        <w:t xml:space="preserve"> </w:t>
      </w:r>
      <w:r>
        <w:rPr>
          <w:b/>
          <w:bCs/>
        </w:rPr>
        <w:t xml:space="preserve">Recommendation:</w:t>
      </w:r>
      <w:r>
        <w:t xml:space="preserve"> </w:t>
      </w:r>
      <w:r>
        <w:t xml:space="preserve">Confirm the FINRA filing fee against the actual maximum aggregate offering price ($331.2 million at $24.00 per share, or the final price) and update the expense estimate in the Underwriting Agreement (Section 10.6) if necessary.</w:t>
      </w:r>
    </w:p>
    <w:bookmarkEnd w:id="51"/>
    <w:bookmarkStart w:id="52" w:name="X1e2a6b0b52c5bca7c58ea580c983d6b53be4746"/>
    <w:p>
      <w:pPr>
        <w:pStyle w:val="Heading3"/>
      </w:pPr>
      <w:r>
        <w:t xml:space="preserve">Issue 30 — Public Offering Price to be confirmed at pricing</w:t>
      </w:r>
    </w:p>
    <w:p>
      <w:pPr>
        <w:pStyle w:val="FirstParagraph"/>
      </w:pPr>
      <w:r>
        <w:t xml:space="preserve">The Underwriting Agreement uses a Public Offering Price of $24.00 per share (the midpoint of the $22.00–$26.00 estimated range). The actual price will be set at pricing on March 19, 2025.</w:t>
      </w:r>
      <w:r>
        <w:t xml:space="preserve"> </w:t>
      </w:r>
      <w:r>
        <w:rPr>
          <w:b/>
          <w:bCs/>
        </w:rPr>
        <w:t xml:space="preserve">Recommendation:</w:t>
      </w:r>
      <w:r>
        <w:t xml:space="preserve"> </w:t>
      </w:r>
      <w:r>
        <w:t xml:space="preserve">Upon pricing, confirm the final Public Offering Price and update all per-share and aggregate amounts in the Underwriting Agreement and Schedules I and II (and the Final Prospectus) accordingly.</w:t>
      </w:r>
    </w:p>
    <w:bookmarkEnd w:id="52"/>
    <w:bookmarkStart w:id="53" w:name="X0ed12d717f05ab28e6a42eee19bff3f85149189"/>
    <w:p>
      <w:pPr>
        <w:pStyle w:val="Heading3"/>
      </w:pPr>
      <w:r>
        <w:t xml:space="preserve">Issue 31 — VitaBand litigation disclosure consistency</w:t>
      </w:r>
    </w:p>
    <w:p>
      <w:pPr>
        <w:pStyle w:val="FirstParagraph"/>
      </w:pPr>
      <w:r>
        <w:t xml:space="preserve">Confirm that the Underwriting Agreement’s litigation representation (Section 1.14) and the S-1 risk-factor and litigation disclosures are consistent, including: the $45,000,000 damages claim; the request for enhanced damages, attorneys’ fees, and injunctive relief; the Markman hearing scheduled for June 2025; and the representation that no loss reserve has been established.</w:t>
      </w:r>
      <w:r>
        <w:t xml:space="preserve"> </w:t>
      </w:r>
      <w:r>
        <w:rPr>
          <w:b/>
          <w:bCs/>
        </w:rPr>
        <w:t xml:space="preserve">Recommendation:</w:t>
      </w:r>
      <w:r>
        <w:t xml:space="preserve"> </w:t>
      </w:r>
      <w:r>
        <w:t xml:space="preserve">Confirm the S-1 adequately discloses the VitaBand matter and that the Underwriting Agreement’s representation is supportable.</w:t>
      </w:r>
    </w:p>
    <w:bookmarkEnd w:id="53"/>
    <w:bookmarkStart w:id="54" w:name="X359e750c8ef892c80a0b2d63ba5992be4d4d66a"/>
    <w:p>
      <w:pPr>
        <w:pStyle w:val="Heading3"/>
      </w:pPr>
      <w:r>
        <w:t xml:space="preserve">Issue 32 — Selling Stockholder Questionnaire</w:t>
      </w:r>
      <w:r>
        <w:t xml:space="preserve"> </w:t>
      </w:r>
      <w:r>
        <w:t xml:space="preserve">“</w:t>
      </w:r>
      <w:r>
        <w:t xml:space="preserve">as of</w:t>
      </w:r>
      <w:r>
        <w:t xml:space="preserve">”</w:t>
      </w:r>
      <w:r>
        <w:t xml:space="preserve"> </w:t>
      </w:r>
      <w:r>
        <w:t xml:space="preserve">date vs. S-1 beneficial-ownership date</w:t>
      </w:r>
    </w:p>
    <w:p>
      <w:pPr>
        <w:pStyle w:val="FirstParagraph"/>
      </w:pPr>
      <w:r>
        <w:t xml:space="preserve">The Cascade Selling Stockholder Questionnaire was completed February 3, 2025. The S-1 beneficial-ownership table is</w:t>
      </w:r>
      <w:r>
        <w:t xml:space="preserve"> </w:t>
      </w:r>
      <w:r>
        <w:t xml:space="preserve">“</w:t>
      </w:r>
      <w:r>
        <w:t xml:space="preserve">as of March 1, 2025.</w:t>
      </w:r>
      <w:r>
        <w:t xml:space="preserve">”</w:t>
      </w:r>
      <w:r>
        <w:t xml:space="preserve"> </w:t>
      </w:r>
      <w:r>
        <w:t xml:space="preserve">The Cascade information (address, general partner, control persons) differs between the two documents (see Issue 3).</w:t>
      </w:r>
      <w:r>
        <w:t xml:space="preserve"> </w:t>
      </w:r>
      <w:r>
        <w:rPr>
          <w:b/>
          <w:bCs/>
        </w:rPr>
        <w:t xml:space="preserve">Recommendation:</w:t>
      </w:r>
      <w:r>
        <w:t xml:space="preserve"> </w:t>
      </w:r>
      <w:r>
        <w:t xml:space="preserve">Confirm Cascade’s information is current and consistent as of the S-1 date and the Closing Date; obtain updated questionnaires if any information has changed.</w:t>
      </w:r>
    </w:p>
    <w:bookmarkEnd w:id="54"/>
    <w:bookmarkEnd w:id="55"/>
    <w:bookmarkStart w:id="56" w:name="v.-drafting-notes-underwriting-agreement"/>
    <w:p>
      <w:pPr>
        <w:pStyle w:val="Heading2"/>
      </w:pPr>
      <w:r>
        <w:t xml:space="preserve">V. Drafting Notes — Underwriting Agreement</w:t>
      </w:r>
    </w:p>
    <w:p>
      <w:pPr>
        <w:pStyle w:val="FirstParagraph"/>
      </w:pPr>
      <w:r>
        <w:t xml:space="preserve">The following notes describe the positions taken in the Underwriting Agreement where the source documents conflict, and certain drafting choices:</w:t>
      </w:r>
    </w:p>
    <w:p>
      <w:pPr>
        <w:numPr>
          <w:ilvl w:val="0"/>
          <w:numId w:val="1003"/>
        </w:numPr>
      </w:pPr>
      <w:r>
        <w:rPr>
          <w:b/>
          <w:bCs/>
        </w:rPr>
        <w:t xml:space="preserve">Representative.</w:t>
      </w:r>
      <w:r>
        <w:t xml:space="preserve"> </w:t>
      </w:r>
      <w:r>
        <w:t xml:space="preserve">Hargrove Securities LLC is defined as the sole</w:t>
      </w:r>
      <w:r>
        <w:t xml:space="preserve"> </w:t>
      </w:r>
      <w:r>
        <w:t xml:space="preserve">“</w:t>
      </w:r>
      <w:r>
        <w:t xml:space="preserve">Representative,</w:t>
      </w:r>
      <w:r>
        <w:t xml:space="preserve">”</w:t>
      </w:r>
      <w:r>
        <w:t xml:space="preserve"> </w:t>
      </w:r>
      <w:r>
        <w:t xml:space="preserve">acting on behalf of the several Underwriters, with authority to exercise the over-allotment option, waive conditions, give notices, and terminate (Section 10.11). This is consistent with the Term Sheet (which gives the Lead Underwriter termination rights) but differs from the Draft Comfort Letter, which addresses both Underwriters as</w:t>
      </w:r>
      <w:r>
        <w:t xml:space="preserve"> </w:t>
      </w:r>
      <w:r>
        <w:t xml:space="preserve">“</w:t>
      </w:r>
      <w:r>
        <w:t xml:space="preserve">Representatives</w:t>
      </w:r>
      <w:r>
        <w:t xml:space="preserve">”</w:t>
      </w:r>
      <w:r>
        <w:t xml:space="preserve"> </w:t>
      </w:r>
      <w:r>
        <w:t xml:space="preserve">(see Issue 23).</w:t>
      </w:r>
    </w:p>
    <w:p>
      <w:pPr>
        <w:numPr>
          <w:ilvl w:val="0"/>
          <w:numId w:val="1003"/>
        </w:numPr>
      </w:pPr>
      <w:r>
        <w:rPr>
          <w:b/>
          <w:bCs/>
        </w:rPr>
        <w:t xml:space="preserve">Over-allotment option.</w:t>
      </w:r>
      <w:r>
        <w:t xml:space="preserve"> </w:t>
      </w:r>
      <w:r>
        <w:t xml:space="preserve">Drafted as exercisable solely for newly issued Company shares (Section 4.1), consistent with the S-1, the Engagement Letter, and the Selling Stockholder Questionnaire, and resolving the Term Sheet’s</w:t>
      </w:r>
      <w:r>
        <w:t xml:space="preserve"> </w:t>
      </w:r>
      <w:r>
        <w:t xml:space="preserve">“</w:t>
      </w:r>
      <w:r>
        <w:t xml:space="preserve">and/or the Selling Stockholders</w:t>
      </w:r>
      <w:r>
        <w:t xml:space="preserve">”</w:t>
      </w:r>
      <w:r>
        <w:t xml:space="preserve"> </w:t>
      </w:r>
      <w:r>
        <w:t xml:space="preserve">language (see Issue 10).</w:t>
      </w:r>
    </w:p>
    <w:p>
      <w:pPr>
        <w:numPr>
          <w:ilvl w:val="0"/>
          <w:numId w:val="1003"/>
        </w:numPr>
      </w:pPr>
      <w:r>
        <w:rPr>
          <w:b/>
          <w:bCs/>
        </w:rPr>
        <w:t xml:space="preserve">Dr. Krishnamurthy’s shares.</w:t>
      </w:r>
      <w:r>
        <w:t xml:space="preserve"> </w:t>
      </w:r>
      <w:r>
        <w:t xml:space="preserve">500,000 Selling Stockholder Shares (Schedule II), consistent with the Term Sheet, the S-1, and the Power of Attorney (see Issue 11).</w:t>
      </w:r>
    </w:p>
    <w:p>
      <w:pPr>
        <w:numPr>
          <w:ilvl w:val="0"/>
          <w:numId w:val="1003"/>
        </w:numPr>
      </w:pPr>
      <w:r>
        <w:rPr>
          <w:b/>
          <w:bCs/>
        </w:rPr>
        <w:t xml:space="preserve">Selling Stockholder indemnification.</w:t>
      </w:r>
      <w:r>
        <w:t xml:space="preserve"> </w:t>
      </w:r>
      <w:r>
        <w:t xml:space="preserve">Narrow formulation limited to information furnished by the Selling Stockholder (Section 8.2), consistent with the Term Sheet (see Issue 14).</w:t>
      </w:r>
    </w:p>
    <w:p>
      <w:pPr>
        <w:numPr>
          <w:ilvl w:val="0"/>
          <w:numId w:val="1003"/>
        </w:numPr>
      </w:pPr>
      <w:r>
        <w:rPr>
          <w:b/>
          <w:bCs/>
        </w:rPr>
        <w:t xml:space="preserve">Lock-up.</w:t>
      </w:r>
      <w:r>
        <w:t xml:space="preserve"> </w:t>
      </w:r>
      <w:r>
        <w:t xml:space="preserve">Standard 180-day lock-up (Exhibit A) plus a Springing Extension Annex for Dr. Krishnamurthy (Exhibit A-1) (see Issue 13). The early-release threshold is 1% of outstanding shares (see Issue 26).</w:t>
      </w:r>
    </w:p>
    <w:p>
      <w:pPr>
        <w:numPr>
          <w:ilvl w:val="0"/>
          <w:numId w:val="1003"/>
        </w:numPr>
      </w:pPr>
      <w:r>
        <w:rPr>
          <w:b/>
          <w:bCs/>
        </w:rPr>
        <w:t xml:space="preserve">Credit facility.</w:t>
      </w:r>
      <w:r>
        <w:t xml:space="preserve"> </w:t>
      </w:r>
      <w:r>
        <w:t xml:space="preserve">Described as the facility</w:t>
      </w:r>
      <w:r>
        <w:t xml:space="preserve"> </w:t>
      </w:r>
      <w:r>
        <w:t xml:space="preserve">“</w:t>
      </w:r>
      <w:r>
        <w:t xml:space="preserve">with Oakvale National Bank</w:t>
      </w:r>
      <w:r>
        <w:t xml:space="preserve">”</w:t>
      </w:r>
      <w:r>
        <w:t xml:space="preserve"> </w:t>
      </w:r>
      <w:r>
        <w:t xml:space="preserve">(Section 1.12), consistent with the S-1 (see Issue 2). The Use of Proceeds covenant (Sections 1.19 and 6.4) references repayment</w:t>
      </w:r>
      <w:r>
        <w:t xml:space="preserve"> </w:t>
      </w:r>
      <w:r>
        <w:t xml:space="preserve">“</w:t>
      </w:r>
      <w:r>
        <w:t xml:space="preserve">in accordance with the mandatory prepayment provisions of the credit agreement</w:t>
      </w:r>
      <w:r>
        <w:t xml:space="preserve">”</w:t>
      </w:r>
      <w:r>
        <w:t xml:space="preserve"> </w:t>
      </w:r>
      <w:r>
        <w:t xml:space="preserve">(see Issue 4).</w:t>
      </w:r>
    </w:p>
    <w:p>
      <w:pPr>
        <w:numPr>
          <w:ilvl w:val="0"/>
          <w:numId w:val="1003"/>
        </w:numPr>
      </w:pPr>
      <w:r>
        <w:rPr>
          <w:b/>
          <w:bCs/>
        </w:rPr>
        <w:t xml:space="preserve">Selling Stockholder execution.</w:t>
      </w:r>
      <w:r>
        <w:t xml:space="preserve"> </w:t>
      </w:r>
      <w:r>
        <w:t xml:space="preserve">The Selling Stockholders execute through attorneys-in-fact appointed under the Power of Attorney and Custody Agreement (signatures; Section 2.6). The signature blocks use the entity names as they appear in the S-1 and the body of the Power of Attorney; the signature-block name discrepancies in the Power of Attorney and Questionnaire must be resolved (see Issue 3).</w:t>
      </w:r>
    </w:p>
    <w:p>
      <w:pPr>
        <w:numPr>
          <w:ilvl w:val="0"/>
          <w:numId w:val="1003"/>
        </w:numPr>
      </w:pPr>
      <w:r>
        <w:rPr>
          <w:b/>
          <w:bCs/>
        </w:rPr>
        <w:t xml:space="preserve">Conditions to closing.</w:t>
      </w:r>
      <w:r>
        <w:t xml:space="preserve"> </w:t>
      </w:r>
      <w:r>
        <w:t xml:space="preserve">Include comfort letter (Section 7.3), Company Counsel and Underwriters’ Counsel opinions (Section 7.4), officers’ certificate (Section 7.5), secretary’s certificate (Section 7.6), lock-up agreements (Section 7.7), Nasdaq listing (Section 7.8), FINRA clearance (Section 7.10), and Power of Attorney and Custody Agreements and Selling Stockholder Questionnaires (Sections 7.11–7.12), consistent with the Term Sheet and the Engagement Letter.</w:t>
      </w:r>
    </w:p>
    <w:p>
      <w:pPr>
        <w:numPr>
          <w:ilvl w:val="0"/>
          <w:numId w:val="1003"/>
        </w:numPr>
      </w:pPr>
      <w:r>
        <w:rPr>
          <w:b/>
          <w:bCs/>
        </w:rPr>
        <w:t xml:space="preserve">Governing law.</w:t>
      </w:r>
      <w:r>
        <w:t xml:space="preserve"> </w:t>
      </w:r>
      <w:r>
        <w:t xml:space="preserve">New York (Section 10.1), consistent with the Term Sheet, the Engagement Letter, the Form of Lock-Up Agreement, and the Power of Attorney and Custody Agreement.</w:t>
      </w:r>
    </w:p>
    <w:p>
      <w:pPr>
        <w:numPr>
          <w:ilvl w:val="0"/>
          <w:numId w:val="1003"/>
        </w:numPr>
      </w:pPr>
      <w:r>
        <w:rPr>
          <w:b/>
          <w:bCs/>
        </w:rPr>
        <w:t xml:space="preserve">Engagement Letter.</w:t>
      </w:r>
      <w:r>
        <w:t xml:space="preserve"> </w:t>
      </w:r>
      <w:r>
        <w:t xml:space="preserve">The Underwriting Agreement supersedes the Engagement Letter to the extent inconsistent (Section 10.4). The expense-reimbursement-on-termination point (Issue 15) and the FINRA</w:t>
      </w:r>
      <w:r>
        <w:t xml:space="preserve"> </w:t>
      </w:r>
      <w:r>
        <w:t xml:space="preserve">“</w:t>
      </w:r>
      <w:r>
        <w:t xml:space="preserve">cold comfort</w:t>
      </w:r>
      <w:r>
        <w:t xml:space="preserve">”</w:t>
      </w:r>
      <w:r>
        <w:t xml:space="preserve"> </w:t>
      </w:r>
      <w:r>
        <w:t xml:space="preserve">condition (Issue 28) should be confirmed.</w:t>
      </w:r>
    </w:p>
    <w:bookmarkEnd w:id="56"/>
    <w:bookmarkStart w:id="57" w:name="vi.-action-item-matrix"/>
    <w:p>
      <w:pPr>
        <w:pStyle w:val="Heading2"/>
      </w:pPr>
      <w:r>
        <w:t xml:space="preserve">VI. Action-Item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Comfort Letter vs. S-1 financial data</w:t>
            </w:r>
          </w:p>
        </w:tc>
        <w:tc>
          <w:tcPr/>
          <w:p>
            <w:pPr>
              <w:pStyle w:val="Compact"/>
              <w:jc w:val="left"/>
            </w:pPr>
            <w:r>
              <w:t xml:space="preserve">Critical</w:t>
            </w:r>
          </w:p>
        </w:tc>
        <w:tc>
          <w:tcPr/>
          <w:p>
            <w:pPr>
              <w:pStyle w:val="Compact"/>
              <w:jc w:val="left"/>
            </w:pPr>
            <w:r>
              <w:t xml:space="preserve">Company Finance + Whitman Reese &amp; Co.</w:t>
            </w:r>
          </w:p>
        </w:tc>
        <w:tc>
          <w:tcPr/>
          <w:p>
            <w:pPr>
              <w:pStyle w:val="Compact"/>
              <w:jc w:val="left"/>
            </w:pPr>
            <w:r>
              <w:t xml:space="preserve">Confirm audited figures; reconcile S-1 and comfort letter</w:t>
            </w:r>
          </w:p>
        </w:tc>
      </w:tr>
      <w:tr>
        <w:tc>
          <w:tcPr/>
          <w:p>
            <w:pPr>
              <w:pStyle w:val="Compact"/>
              <w:jc w:val="left"/>
            </w:pPr>
            <w:r>
              <w:t xml:space="preserve">2</w:t>
            </w:r>
          </w:p>
        </w:tc>
        <w:tc>
          <w:tcPr/>
          <w:p>
            <w:pPr>
              <w:pStyle w:val="Compact"/>
              <w:jc w:val="left"/>
            </w:pPr>
            <w:r>
              <w:t xml:space="preserve">Lender identity (Oakvale vs. Ridgemont)</w:t>
            </w:r>
          </w:p>
        </w:tc>
        <w:tc>
          <w:tcPr/>
          <w:p>
            <w:pPr>
              <w:pStyle w:val="Compact"/>
              <w:jc w:val="left"/>
            </w:pPr>
            <w:r>
              <w:t xml:space="preserve">Critical</w:t>
            </w:r>
          </w:p>
        </w:tc>
        <w:tc>
          <w:tcPr/>
          <w:p>
            <w:pPr>
              <w:pStyle w:val="Compact"/>
              <w:jc w:val="left"/>
            </w:pPr>
            <w:r>
              <w:t xml:space="preserve">Company Counsel</w:t>
            </w:r>
          </w:p>
        </w:tc>
        <w:tc>
          <w:tcPr/>
          <w:p>
            <w:pPr>
              <w:pStyle w:val="Compact"/>
              <w:jc w:val="left"/>
            </w:pPr>
            <w:r>
              <w:t xml:space="preserve">Confirm lender name from Credit Agreement; conform all docs</w:t>
            </w:r>
          </w:p>
        </w:tc>
      </w:tr>
      <w:tr>
        <w:tc>
          <w:tcPr/>
          <w:p>
            <w:pPr>
              <w:pStyle w:val="Compact"/>
              <w:jc w:val="left"/>
            </w:pPr>
            <w:r>
              <w:t xml:space="preserve">3</w:t>
            </w:r>
          </w:p>
        </w:tc>
        <w:tc>
          <w:tcPr/>
          <w:p>
            <w:pPr>
              <w:pStyle w:val="Compact"/>
              <w:jc w:val="left"/>
            </w:pPr>
            <w:r>
              <w:t xml:space="preserve">Selling Stockholder / GP / control-person identity</w:t>
            </w:r>
          </w:p>
        </w:tc>
        <w:tc>
          <w:tcPr/>
          <w:p>
            <w:pPr>
              <w:pStyle w:val="Compact"/>
              <w:jc w:val="left"/>
            </w:pPr>
            <w:r>
              <w:t xml:space="preserve">Critical</w:t>
            </w:r>
          </w:p>
        </w:tc>
        <w:tc>
          <w:tcPr/>
          <w:p>
            <w:pPr>
              <w:pStyle w:val="Compact"/>
              <w:jc w:val="left"/>
            </w:pPr>
            <w:r>
              <w:t xml:space="preserve">Company Counsel + Underwriters’ Counsel</w:t>
            </w:r>
          </w:p>
        </w:tc>
        <w:tc>
          <w:tcPr/>
          <w:p>
            <w:pPr>
              <w:pStyle w:val="Compact"/>
              <w:jc w:val="left"/>
            </w:pPr>
            <w:r>
              <w:t xml:space="preserve">Obtain certified org docs; conform S-1, POA, Questionnaire, UA</w:t>
            </w:r>
          </w:p>
        </w:tc>
      </w:tr>
      <w:tr>
        <w:tc>
          <w:tcPr/>
          <w:p>
            <w:pPr>
              <w:pStyle w:val="Compact"/>
              <w:jc w:val="left"/>
            </w:pPr>
            <w:r>
              <w:t xml:space="preserve">4</w:t>
            </w:r>
          </w:p>
        </w:tc>
        <w:tc>
          <w:tcPr/>
          <w:p>
            <w:pPr>
              <w:pStyle w:val="Compact"/>
              <w:jc w:val="left"/>
            </w:pPr>
            <w:r>
              <w:t xml:space="preserve">Use of Proceeds mandatory prepayment</w:t>
            </w:r>
          </w:p>
        </w:tc>
        <w:tc>
          <w:tcPr/>
          <w:p>
            <w:pPr>
              <w:pStyle w:val="Compact"/>
              <w:jc w:val="left"/>
            </w:pPr>
            <w:r>
              <w:t xml:space="preserve">Critical</w:t>
            </w:r>
          </w:p>
        </w:tc>
        <w:tc>
          <w:tcPr/>
          <w:p>
            <w:pPr>
              <w:pStyle w:val="Compact"/>
              <w:jc w:val="left"/>
            </w:pPr>
            <w:r>
              <w:t xml:space="preserve">Company Counsel + Finance</w:t>
            </w:r>
          </w:p>
        </w:tc>
        <w:tc>
          <w:tcPr/>
          <w:p>
            <w:pPr>
              <w:pStyle w:val="Compact"/>
              <w:jc w:val="left"/>
            </w:pPr>
            <w:r>
              <w:t xml:space="preserve">Confirm prepayment amount; revise Final Prospectus</w:t>
            </w:r>
          </w:p>
        </w:tc>
      </w:tr>
      <w:tr>
        <w:tc>
          <w:tcPr/>
          <w:p>
            <w:pPr>
              <w:pStyle w:val="Compact"/>
              <w:jc w:val="left"/>
            </w:pPr>
            <w:r>
              <w:t xml:space="preserve">5</w:t>
            </w:r>
          </w:p>
        </w:tc>
        <w:tc>
          <w:tcPr/>
          <w:p>
            <w:pPr>
              <w:pStyle w:val="Compact"/>
              <w:jc w:val="left"/>
            </w:pPr>
            <w:r>
              <w:t xml:space="preserve">Credit Agreement date</w:t>
            </w:r>
          </w:p>
        </w:tc>
        <w:tc>
          <w:tcPr/>
          <w:p>
            <w:pPr>
              <w:pStyle w:val="Compact"/>
              <w:jc w:val="left"/>
            </w:pPr>
            <w:r>
              <w:t xml:space="preserve">Material</w:t>
            </w:r>
          </w:p>
        </w:tc>
        <w:tc>
          <w:tcPr/>
          <w:p>
            <w:pPr>
              <w:pStyle w:val="Compact"/>
              <w:jc w:val="left"/>
            </w:pPr>
            <w:r>
              <w:t xml:space="preserve">Company Counsel</w:t>
            </w:r>
          </w:p>
        </w:tc>
        <w:tc>
          <w:tcPr/>
          <w:p>
            <w:pPr>
              <w:pStyle w:val="Compact"/>
              <w:jc w:val="left"/>
            </w:pPr>
            <w:r>
              <w:t xml:space="preserve">Confirm date; conform S-1</w:t>
            </w:r>
          </w:p>
        </w:tc>
      </w:tr>
      <w:tr>
        <w:tc>
          <w:tcPr/>
          <w:p>
            <w:pPr>
              <w:pStyle w:val="Compact"/>
              <w:jc w:val="left"/>
            </w:pPr>
            <w:r>
              <w:t xml:space="preserve">6</w:t>
            </w:r>
          </w:p>
        </w:tc>
        <w:tc>
          <w:tcPr/>
          <w:p>
            <w:pPr>
              <w:pStyle w:val="Compact"/>
              <w:jc w:val="left"/>
            </w:pPr>
            <w:r>
              <w:t xml:space="preserve">Credit Agreement maturity</w:t>
            </w:r>
          </w:p>
        </w:tc>
        <w:tc>
          <w:tcPr/>
          <w:p>
            <w:pPr>
              <w:pStyle w:val="Compact"/>
              <w:jc w:val="left"/>
            </w:pPr>
            <w:r>
              <w:t xml:space="preserve">Material</w:t>
            </w:r>
          </w:p>
        </w:tc>
        <w:tc>
          <w:tcPr/>
          <w:p>
            <w:pPr>
              <w:pStyle w:val="Compact"/>
              <w:jc w:val="left"/>
            </w:pPr>
            <w:r>
              <w:t xml:space="preserve">Company Counsel</w:t>
            </w:r>
          </w:p>
        </w:tc>
        <w:tc>
          <w:tcPr/>
          <w:p>
            <w:pPr>
              <w:pStyle w:val="Compact"/>
              <w:jc w:val="left"/>
            </w:pPr>
            <w:r>
              <w:t xml:space="preserve">Confirm maturity; conform S-1</w:t>
            </w:r>
          </w:p>
        </w:tc>
      </w:tr>
      <w:tr>
        <w:tc>
          <w:tcPr/>
          <w:p>
            <w:pPr>
              <w:pStyle w:val="Compact"/>
              <w:jc w:val="left"/>
            </w:pPr>
            <w:r>
              <w:t xml:space="preserve">7</w:t>
            </w:r>
          </w:p>
        </w:tc>
        <w:tc>
          <w:tcPr/>
          <w:p>
            <w:pPr>
              <w:pStyle w:val="Compact"/>
              <w:jc w:val="left"/>
            </w:pPr>
            <w:r>
              <w:t xml:space="preserve">Change of Control threshold</w:t>
            </w:r>
          </w:p>
        </w:tc>
        <w:tc>
          <w:tcPr/>
          <w:p>
            <w:pPr>
              <w:pStyle w:val="Compact"/>
              <w:jc w:val="left"/>
            </w:pPr>
            <w:r>
              <w:t xml:space="preserve">Material</w:t>
            </w:r>
          </w:p>
        </w:tc>
        <w:tc>
          <w:tcPr/>
          <w:p>
            <w:pPr>
              <w:pStyle w:val="Compact"/>
              <w:jc w:val="left"/>
            </w:pPr>
            <w:r>
              <w:t xml:space="preserve">Company Counsel</w:t>
            </w:r>
          </w:p>
        </w:tc>
        <w:tc>
          <w:tcPr/>
          <w:p>
            <w:pPr>
              <w:pStyle w:val="Compact"/>
              <w:jc w:val="left"/>
            </w:pPr>
            <w:r>
              <w:t xml:space="preserve">Confirm threshold; conform S-1</w:t>
            </w:r>
          </w:p>
        </w:tc>
      </w:tr>
      <w:tr>
        <w:tc>
          <w:tcPr/>
          <w:p>
            <w:pPr>
              <w:pStyle w:val="Compact"/>
              <w:jc w:val="left"/>
            </w:pPr>
            <w:r>
              <w:t xml:space="preserve">8</w:t>
            </w:r>
          </w:p>
        </w:tc>
        <w:tc>
          <w:tcPr/>
          <w:p>
            <w:pPr>
              <w:pStyle w:val="Compact"/>
              <w:jc w:val="left"/>
            </w:pPr>
            <w:r>
              <w:t xml:space="preserve">Financial covenants</w:t>
            </w:r>
          </w:p>
        </w:tc>
        <w:tc>
          <w:tcPr/>
          <w:p>
            <w:pPr>
              <w:pStyle w:val="Compact"/>
              <w:jc w:val="left"/>
            </w:pPr>
            <w:r>
              <w:t xml:space="preserve">Material</w:t>
            </w:r>
          </w:p>
        </w:tc>
        <w:tc>
          <w:tcPr/>
          <w:p>
            <w:pPr>
              <w:pStyle w:val="Compact"/>
              <w:jc w:val="left"/>
            </w:pPr>
            <w:r>
              <w:t xml:space="preserve">Company Counsel</w:t>
            </w:r>
          </w:p>
        </w:tc>
        <w:tc>
          <w:tcPr/>
          <w:p>
            <w:pPr>
              <w:pStyle w:val="Compact"/>
              <w:jc w:val="left"/>
            </w:pPr>
            <w:r>
              <w:t xml:space="preserve">Confirm covenants; conform S-1</w:t>
            </w:r>
          </w:p>
        </w:tc>
      </w:tr>
      <w:tr>
        <w:tc>
          <w:tcPr/>
          <w:p>
            <w:pPr>
              <w:pStyle w:val="Compact"/>
              <w:jc w:val="left"/>
            </w:pPr>
            <w:r>
              <w:t xml:space="preserve">9</w:t>
            </w:r>
          </w:p>
        </w:tc>
        <w:tc>
          <w:tcPr/>
          <w:p>
            <w:pPr>
              <w:pStyle w:val="Compact"/>
              <w:jc w:val="left"/>
            </w:pPr>
            <w:r>
              <w:t xml:space="preserve">Interest margin (SOFR + 2.50% vs. 2.25%)</w:t>
            </w:r>
          </w:p>
        </w:tc>
        <w:tc>
          <w:tcPr/>
          <w:p>
            <w:pPr>
              <w:pStyle w:val="Compact"/>
              <w:jc w:val="left"/>
            </w:pPr>
            <w:r>
              <w:t xml:space="preserve">Material</w:t>
            </w:r>
          </w:p>
        </w:tc>
        <w:tc>
          <w:tcPr/>
          <w:p>
            <w:pPr>
              <w:pStyle w:val="Compact"/>
              <w:jc w:val="left"/>
            </w:pPr>
            <w:r>
              <w:t xml:space="preserve">Company Finance</w:t>
            </w:r>
          </w:p>
        </w:tc>
        <w:tc>
          <w:tcPr/>
          <w:p>
            <w:pPr>
              <w:pStyle w:val="Compact"/>
              <w:jc w:val="left"/>
            </w:pPr>
            <w:r>
              <w:t xml:space="preserve">Confirm margin; conform S-1</w:t>
            </w:r>
          </w:p>
        </w:tc>
      </w:tr>
      <w:tr>
        <w:tc>
          <w:tcPr/>
          <w:p>
            <w:pPr>
              <w:pStyle w:val="Compact"/>
              <w:jc w:val="left"/>
            </w:pPr>
            <w:r>
              <w:t xml:space="preserve">10</w:t>
            </w:r>
          </w:p>
        </w:tc>
        <w:tc>
          <w:tcPr/>
          <w:p>
            <w:pPr>
              <w:pStyle w:val="Compact"/>
              <w:jc w:val="left"/>
            </w:pPr>
            <w:r>
              <w:t xml:space="preserve">Over-allotment source</w:t>
            </w:r>
          </w:p>
        </w:tc>
        <w:tc>
          <w:tcPr/>
          <w:p>
            <w:pPr>
              <w:pStyle w:val="Compact"/>
              <w:jc w:val="left"/>
            </w:pPr>
            <w:r>
              <w:t xml:space="preserve">Material</w:t>
            </w:r>
          </w:p>
        </w:tc>
        <w:tc>
          <w:tcPr/>
          <w:p>
            <w:pPr>
              <w:pStyle w:val="Compact"/>
              <w:jc w:val="left"/>
            </w:pPr>
            <w:r>
              <w:t xml:space="preserve">Underwriters’ Counsel</w:t>
            </w:r>
          </w:p>
        </w:tc>
        <w:tc>
          <w:tcPr/>
          <w:p>
            <w:pPr>
              <w:pStyle w:val="Compact"/>
              <w:jc w:val="left"/>
            </w:pPr>
            <w:r>
              <w:t xml:space="preserve">Conform Term Sheet to Company-only</w:t>
            </w:r>
          </w:p>
        </w:tc>
      </w:tr>
      <w:tr>
        <w:tc>
          <w:tcPr/>
          <w:p>
            <w:pPr>
              <w:pStyle w:val="Compact"/>
              <w:jc w:val="left"/>
            </w:pPr>
            <w:r>
              <w:t xml:space="preserve">11</w:t>
            </w:r>
          </w:p>
        </w:tc>
        <w:tc>
          <w:tcPr/>
          <w:p>
            <w:pPr>
              <w:pStyle w:val="Compact"/>
              <w:jc w:val="left"/>
            </w:pPr>
            <w:r>
              <w:t xml:space="preserve">Krishnamurthy shares (500k vs. 750k)</w:t>
            </w:r>
          </w:p>
        </w:tc>
        <w:tc>
          <w:tcPr/>
          <w:p>
            <w:pPr>
              <w:pStyle w:val="Compact"/>
              <w:jc w:val="left"/>
            </w:pPr>
            <w:r>
              <w:t xml:space="preserve">Material</w:t>
            </w:r>
          </w:p>
        </w:tc>
        <w:tc>
          <w:tcPr/>
          <w:p>
            <w:pPr>
              <w:pStyle w:val="Compact"/>
              <w:jc w:val="left"/>
            </w:pPr>
            <w:r>
              <w:t xml:space="preserve">Company + Underwriters</w:t>
            </w:r>
          </w:p>
        </w:tc>
        <w:tc>
          <w:tcPr/>
          <w:p>
            <w:pPr>
              <w:pStyle w:val="Compact"/>
              <w:jc w:val="left"/>
            </w:pPr>
            <w:r>
              <w:t xml:space="preserve">Confirm 500,000 final</w:t>
            </w:r>
          </w:p>
        </w:tc>
      </w:tr>
      <w:tr>
        <w:tc>
          <w:tcPr/>
          <w:p>
            <w:pPr>
              <w:pStyle w:val="Compact"/>
              <w:jc w:val="left"/>
            </w:pPr>
            <w:r>
              <w:t xml:space="preserve">12</w:t>
            </w:r>
          </w:p>
        </w:tc>
        <w:tc>
          <w:tcPr/>
          <w:p>
            <w:pPr>
              <w:pStyle w:val="Compact"/>
              <w:jc w:val="left"/>
            </w:pPr>
            <w:r>
              <w:t xml:space="preserve">Krishnamurthy shareholding rounding</w:t>
            </w:r>
          </w:p>
        </w:tc>
        <w:tc>
          <w:tcPr/>
          <w:p>
            <w:pPr>
              <w:pStyle w:val="Compact"/>
              <w:jc w:val="left"/>
            </w:pPr>
            <w:r>
              <w:t xml:space="preserve">Material</w:t>
            </w:r>
          </w:p>
        </w:tc>
        <w:tc>
          <w:tcPr/>
          <w:p>
            <w:pPr>
              <w:pStyle w:val="Compact"/>
              <w:jc w:val="left"/>
            </w:pPr>
            <w:r>
              <w:t xml:space="preserve">Company Counsel</w:t>
            </w:r>
          </w:p>
        </w:tc>
        <w:tc>
          <w:tcPr/>
          <w:p>
            <w:pPr>
              <w:pStyle w:val="Compact"/>
              <w:jc w:val="left"/>
            </w:pPr>
            <w:r>
              <w:t xml:space="preserve">Conform Term Sheet to 8,400,000</w:t>
            </w:r>
          </w:p>
        </w:tc>
      </w:tr>
      <w:tr>
        <w:tc>
          <w:tcPr/>
          <w:p>
            <w:pPr>
              <w:pStyle w:val="Compact"/>
              <w:jc w:val="left"/>
            </w:pPr>
            <w:r>
              <w:t xml:space="preserve">13</w:t>
            </w:r>
          </w:p>
        </w:tc>
        <w:tc>
          <w:tcPr/>
          <w:p>
            <w:pPr>
              <w:pStyle w:val="Compact"/>
              <w:jc w:val="left"/>
            </w:pPr>
            <w:r>
              <w:t xml:space="preserve">Lock-up springing extension</w:t>
            </w:r>
          </w:p>
        </w:tc>
        <w:tc>
          <w:tcPr/>
          <w:p>
            <w:pPr>
              <w:pStyle w:val="Compact"/>
              <w:jc w:val="left"/>
            </w:pPr>
            <w:r>
              <w:t xml:space="preserve">Material</w:t>
            </w:r>
          </w:p>
        </w:tc>
        <w:tc>
          <w:tcPr/>
          <w:p>
            <w:pPr>
              <w:pStyle w:val="Compact"/>
              <w:jc w:val="left"/>
            </w:pPr>
            <w:r>
              <w:t xml:space="preserve">Underwriters’ Counsel</w:t>
            </w:r>
          </w:p>
        </w:tc>
        <w:tc>
          <w:tcPr/>
          <w:p>
            <w:pPr>
              <w:pStyle w:val="Compact"/>
              <w:jc w:val="left"/>
            </w:pPr>
            <w:r>
              <w:t xml:space="preserve">Prepare Krishnamurthy lock-up annex</w:t>
            </w:r>
          </w:p>
        </w:tc>
      </w:tr>
      <w:tr>
        <w:tc>
          <w:tcPr/>
          <w:p>
            <w:pPr>
              <w:pStyle w:val="Compact"/>
              <w:jc w:val="left"/>
            </w:pPr>
            <w:r>
              <w:t xml:space="preserve">14</w:t>
            </w:r>
          </w:p>
        </w:tc>
        <w:tc>
          <w:tcPr/>
          <w:p>
            <w:pPr>
              <w:pStyle w:val="Compact"/>
              <w:jc w:val="left"/>
            </w:pPr>
            <w:r>
              <w:t xml:space="preserve">Selling Stockholder indemnification scope</w:t>
            </w:r>
          </w:p>
        </w:tc>
        <w:tc>
          <w:tcPr/>
          <w:p>
            <w:pPr>
              <w:pStyle w:val="Compact"/>
              <w:jc w:val="left"/>
            </w:pPr>
            <w:r>
              <w:t xml:space="preserve">Material</w:t>
            </w:r>
          </w:p>
        </w:tc>
        <w:tc>
          <w:tcPr/>
          <w:p>
            <w:pPr>
              <w:pStyle w:val="Compact"/>
              <w:jc w:val="left"/>
            </w:pPr>
            <w:r>
              <w:t xml:space="preserve">Underwriters’ Counsel</w:t>
            </w:r>
          </w:p>
        </w:tc>
        <w:tc>
          <w:tcPr/>
          <w:p>
            <w:pPr>
              <w:pStyle w:val="Compact"/>
              <w:jc w:val="left"/>
            </w:pPr>
            <w:r>
              <w:t xml:space="preserve">Confirm narrower formulation</w:t>
            </w:r>
          </w:p>
        </w:tc>
      </w:tr>
      <w:tr>
        <w:tc>
          <w:tcPr/>
          <w:p>
            <w:pPr>
              <w:pStyle w:val="Compact"/>
              <w:jc w:val="left"/>
            </w:pPr>
            <w:r>
              <w:t xml:space="preserve">15</w:t>
            </w:r>
          </w:p>
        </w:tc>
        <w:tc>
          <w:tcPr/>
          <w:p>
            <w:pPr>
              <w:pStyle w:val="Compact"/>
              <w:jc w:val="left"/>
            </w:pPr>
            <w:r>
              <w:t xml:space="preserve">Expense reimbursement on termination</w:t>
            </w:r>
          </w:p>
        </w:tc>
        <w:tc>
          <w:tcPr/>
          <w:p>
            <w:pPr>
              <w:pStyle w:val="Compact"/>
              <w:jc w:val="left"/>
            </w:pPr>
            <w:r>
              <w:t xml:space="preserve">Material</w:t>
            </w:r>
          </w:p>
        </w:tc>
        <w:tc>
          <w:tcPr/>
          <w:p>
            <w:pPr>
              <w:pStyle w:val="Compact"/>
              <w:jc w:val="left"/>
            </w:pPr>
            <w:r>
              <w:t xml:space="preserve">Company + Underwriters</w:t>
            </w:r>
          </w:p>
        </w:tc>
        <w:tc>
          <w:tcPr/>
          <w:p>
            <w:pPr>
              <w:pStyle w:val="Compact"/>
              <w:jc w:val="left"/>
            </w:pPr>
            <w:r>
              <w:t xml:space="preserve">Confirm whether $500k cap survives</w:t>
            </w:r>
          </w:p>
        </w:tc>
      </w:tr>
      <w:tr>
        <w:tc>
          <w:tcPr/>
          <w:p>
            <w:pPr>
              <w:pStyle w:val="Compact"/>
              <w:jc w:val="left"/>
            </w:pPr>
            <w:r>
              <w:t xml:space="preserve">16</w:t>
            </w:r>
          </w:p>
        </w:tc>
        <w:tc>
          <w:tcPr/>
          <w:p>
            <w:pPr>
              <w:pStyle w:val="Compact"/>
              <w:jc w:val="left"/>
            </w:pPr>
            <w:r>
              <w:t xml:space="preserve">Lender consent for A&amp;R COI</w:t>
            </w:r>
          </w:p>
        </w:tc>
        <w:tc>
          <w:tcPr/>
          <w:p>
            <w:pPr>
              <w:pStyle w:val="Compact"/>
              <w:jc w:val="left"/>
            </w:pPr>
            <w:r>
              <w:t xml:space="preserve">Open</w:t>
            </w:r>
          </w:p>
        </w:tc>
        <w:tc>
          <w:tcPr/>
          <w:p>
            <w:pPr>
              <w:pStyle w:val="Compact"/>
              <w:jc w:val="left"/>
            </w:pPr>
            <w:r>
              <w:t xml:space="preserve">Company Counsel</w:t>
            </w:r>
          </w:p>
        </w:tc>
        <w:tc>
          <w:tcPr/>
          <w:p>
            <w:pPr>
              <w:pStyle w:val="Compact"/>
              <w:jc w:val="left"/>
            </w:pPr>
            <w:r>
              <w:t xml:space="preserve">Confirm lender consent</w:t>
            </w:r>
          </w:p>
        </w:tc>
      </w:tr>
      <w:tr>
        <w:tc>
          <w:tcPr/>
          <w:p>
            <w:pPr>
              <w:pStyle w:val="Compact"/>
              <w:jc w:val="left"/>
            </w:pPr>
            <w:r>
              <w:t xml:space="preserve">17</w:t>
            </w:r>
          </w:p>
        </w:tc>
        <w:tc>
          <w:tcPr/>
          <w:p>
            <w:pPr>
              <w:pStyle w:val="Compact"/>
              <w:jc w:val="left"/>
            </w:pPr>
            <w:r>
              <w:t xml:space="preserve">Equity Issuance prior notice</w:t>
            </w:r>
          </w:p>
        </w:tc>
        <w:tc>
          <w:tcPr/>
          <w:p>
            <w:pPr>
              <w:pStyle w:val="Compact"/>
              <w:jc w:val="left"/>
            </w:pPr>
            <w:r>
              <w:t xml:space="preserve">Open</w:t>
            </w:r>
          </w:p>
        </w:tc>
        <w:tc>
          <w:tcPr/>
          <w:p>
            <w:pPr>
              <w:pStyle w:val="Compact"/>
              <w:jc w:val="left"/>
            </w:pPr>
            <w:r>
              <w:t xml:space="preserve">Company Counsel</w:t>
            </w:r>
          </w:p>
        </w:tc>
        <w:tc>
          <w:tcPr/>
          <w:p>
            <w:pPr>
              <w:pStyle w:val="Compact"/>
              <w:jc w:val="left"/>
            </w:pPr>
            <w:r>
              <w:t xml:space="preserve">Confirm 10-day notice given</w:t>
            </w:r>
          </w:p>
        </w:tc>
      </w:tr>
      <w:tr>
        <w:tc>
          <w:tcPr/>
          <w:p>
            <w:pPr>
              <w:pStyle w:val="Compact"/>
              <w:jc w:val="left"/>
            </w:pPr>
            <w:r>
              <w:t xml:space="preserve">18</w:t>
            </w:r>
          </w:p>
        </w:tc>
        <w:tc>
          <w:tcPr/>
          <w:p>
            <w:pPr>
              <w:pStyle w:val="Compact"/>
              <w:jc w:val="left"/>
            </w:pPr>
            <w:r>
              <w:t xml:space="preserve">Change of Control re-confirmation</w:t>
            </w:r>
          </w:p>
        </w:tc>
        <w:tc>
          <w:tcPr/>
          <w:p>
            <w:pPr>
              <w:pStyle w:val="Compact"/>
              <w:jc w:val="left"/>
            </w:pPr>
            <w:r>
              <w:t xml:space="preserve">Open</w:t>
            </w:r>
          </w:p>
        </w:tc>
        <w:tc>
          <w:tcPr/>
          <w:p>
            <w:pPr>
              <w:pStyle w:val="Compact"/>
              <w:jc w:val="left"/>
            </w:pPr>
            <w:r>
              <w:t xml:space="preserve">Company Counsel</w:t>
            </w:r>
          </w:p>
        </w:tc>
        <w:tc>
          <w:tcPr/>
          <w:p>
            <w:pPr>
              <w:pStyle w:val="Compact"/>
              <w:jc w:val="left"/>
            </w:pPr>
            <w:r>
              <w:t xml:space="preserve">Re-confirm post-IPO</w:t>
            </w:r>
          </w:p>
        </w:tc>
      </w:tr>
      <w:tr>
        <w:tc>
          <w:tcPr/>
          <w:p>
            <w:pPr>
              <w:pStyle w:val="Compact"/>
              <w:jc w:val="left"/>
            </w:pPr>
            <w:r>
              <w:t xml:space="preserve">19</w:t>
            </w:r>
          </w:p>
        </w:tc>
        <w:tc>
          <w:tcPr/>
          <w:p>
            <w:pPr>
              <w:pStyle w:val="Compact"/>
              <w:jc w:val="left"/>
            </w:pPr>
            <w:r>
              <w:t xml:space="preserve">UT Austin license restrictions</w:t>
            </w:r>
          </w:p>
        </w:tc>
        <w:tc>
          <w:tcPr/>
          <w:p>
            <w:pPr>
              <w:pStyle w:val="Compact"/>
              <w:jc w:val="left"/>
            </w:pPr>
            <w:r>
              <w:t xml:space="preserve">Open</w:t>
            </w:r>
          </w:p>
        </w:tc>
        <w:tc>
          <w:tcPr/>
          <w:p>
            <w:pPr>
              <w:pStyle w:val="Compact"/>
              <w:jc w:val="left"/>
            </w:pPr>
            <w:r>
              <w:t xml:space="preserve">Company Counsel</w:t>
            </w:r>
          </w:p>
        </w:tc>
        <w:tc>
          <w:tcPr/>
          <w:p>
            <w:pPr>
              <w:pStyle w:val="Compact"/>
              <w:jc w:val="left"/>
            </w:pPr>
            <w:r>
              <w:t xml:space="preserve">Review anti-assignment / security-interest</w:t>
            </w:r>
          </w:p>
        </w:tc>
      </w:tr>
      <w:tr>
        <w:tc>
          <w:tcPr/>
          <w:p>
            <w:pPr>
              <w:pStyle w:val="Compact"/>
              <w:jc w:val="left"/>
            </w:pPr>
            <w:r>
              <w:t xml:space="preserve">20</w:t>
            </w:r>
          </w:p>
        </w:tc>
        <w:tc>
          <w:tcPr/>
          <w:p>
            <w:pPr>
              <w:pStyle w:val="Compact"/>
              <w:jc w:val="left"/>
            </w:pPr>
            <w:r>
              <w:t xml:space="preserve">FINRA affiliation (Whitfield)</w:t>
            </w:r>
          </w:p>
        </w:tc>
        <w:tc>
          <w:tcPr/>
          <w:p>
            <w:pPr>
              <w:pStyle w:val="Compact"/>
              <w:jc w:val="left"/>
            </w:pPr>
            <w:r>
              <w:t xml:space="preserve">Open</w:t>
            </w:r>
          </w:p>
        </w:tc>
        <w:tc>
          <w:tcPr/>
          <w:p>
            <w:pPr>
              <w:pStyle w:val="Compact"/>
              <w:jc w:val="left"/>
            </w:pPr>
            <w:r>
              <w:t xml:space="preserve">Underwriters’ Counsel</w:t>
            </w:r>
          </w:p>
        </w:tc>
        <w:tc>
          <w:tcPr/>
          <w:p>
            <w:pPr>
              <w:pStyle w:val="Compact"/>
              <w:jc w:val="left"/>
            </w:pPr>
            <w:r>
              <w:t xml:space="preserve">Conduct FINRA diligence</w:t>
            </w:r>
          </w:p>
        </w:tc>
      </w:tr>
      <w:tr>
        <w:tc>
          <w:tcPr/>
          <w:p>
            <w:pPr>
              <w:pStyle w:val="Compact"/>
              <w:jc w:val="left"/>
            </w:pPr>
            <w:r>
              <w:t xml:space="preserve">21</w:t>
            </w:r>
          </w:p>
        </w:tc>
        <w:tc>
          <w:tcPr/>
          <w:p>
            <w:pPr>
              <w:pStyle w:val="Compact"/>
              <w:jc w:val="left"/>
            </w:pPr>
            <w:r>
              <w:t xml:space="preserve">Cascade board observer disclosure</w:t>
            </w:r>
          </w:p>
        </w:tc>
        <w:tc>
          <w:tcPr/>
          <w:p>
            <w:pPr>
              <w:pStyle w:val="Compact"/>
              <w:jc w:val="left"/>
            </w:pPr>
            <w:r>
              <w:t xml:space="preserve">Open</w:t>
            </w:r>
          </w:p>
        </w:tc>
        <w:tc>
          <w:tcPr/>
          <w:p>
            <w:pPr>
              <w:pStyle w:val="Compact"/>
              <w:jc w:val="left"/>
            </w:pPr>
            <w:r>
              <w:t xml:space="preserve">Company Counsel</w:t>
            </w:r>
          </w:p>
        </w:tc>
        <w:tc>
          <w:tcPr/>
          <w:p>
            <w:pPr>
              <w:pStyle w:val="Compact"/>
              <w:jc w:val="left"/>
            </w:pPr>
            <w:r>
              <w:t xml:space="preserve">Confirm S-1 disclosure</w:t>
            </w:r>
          </w:p>
        </w:tc>
      </w:tr>
      <w:tr>
        <w:tc>
          <w:tcPr/>
          <w:p>
            <w:pPr>
              <w:pStyle w:val="Compact"/>
              <w:jc w:val="left"/>
            </w:pPr>
            <w:r>
              <w:t xml:space="preserve">22</w:t>
            </w:r>
          </w:p>
        </w:tc>
        <w:tc>
          <w:tcPr/>
          <w:p>
            <w:pPr>
              <w:pStyle w:val="Compact"/>
              <w:jc w:val="left"/>
            </w:pPr>
            <w:r>
              <w:t xml:space="preserve">Comfort Letter</w:t>
            </w:r>
            <w:r>
              <w:t xml:space="preserve"> </w:t>
            </w:r>
            <w:r>
              <w:t xml:space="preserve">“</w:t>
            </w:r>
            <w:r>
              <w:t xml:space="preserve">Section 7(d)</w:t>
            </w:r>
            <w:r>
              <w:t xml:space="preserve">”</w:t>
            </w:r>
            <w:r>
              <w:t xml:space="preserve"> </w:t>
            </w:r>
            <w:r>
              <w:t xml:space="preserve">reference</w:t>
            </w:r>
          </w:p>
        </w:tc>
        <w:tc>
          <w:tcPr/>
          <w:p>
            <w:pPr>
              <w:pStyle w:val="Compact"/>
              <w:jc w:val="left"/>
            </w:pPr>
            <w:r>
              <w:t xml:space="preserve">Open</w:t>
            </w:r>
          </w:p>
        </w:tc>
        <w:tc>
          <w:tcPr/>
          <w:p>
            <w:pPr>
              <w:pStyle w:val="Compact"/>
              <w:jc w:val="left"/>
            </w:pPr>
            <w:r>
              <w:t xml:space="preserve">Underwriters’ Counsel</w:t>
            </w:r>
          </w:p>
        </w:tc>
        <w:tc>
          <w:tcPr/>
          <w:p>
            <w:pPr>
              <w:pStyle w:val="Compact"/>
              <w:jc w:val="left"/>
            </w:pPr>
            <w:r>
              <w:t xml:space="preserve">Conform section reference</w:t>
            </w:r>
          </w:p>
        </w:tc>
      </w:tr>
      <w:tr>
        <w:tc>
          <w:tcPr/>
          <w:p>
            <w:pPr>
              <w:pStyle w:val="Compact"/>
              <w:jc w:val="left"/>
            </w:pPr>
            <w:r>
              <w:t xml:space="preserve">23</w:t>
            </w:r>
          </w:p>
        </w:tc>
        <w:tc>
          <w:tcPr/>
          <w:p>
            <w:pPr>
              <w:pStyle w:val="Compact"/>
              <w:jc w:val="left"/>
            </w:pPr>
            <w:r>
              <w:t xml:space="preserve">“</w:t>
            </w:r>
            <w:r>
              <w:t xml:space="preserve">Representatives</w:t>
            </w:r>
            <w:r>
              <w:t xml:space="preserve">”</w:t>
            </w:r>
            <w:r>
              <w:t xml:space="preserve"> </w:t>
            </w:r>
            <w:r>
              <w:t xml:space="preserve">definition</w:t>
            </w:r>
          </w:p>
        </w:tc>
        <w:tc>
          <w:tcPr/>
          <w:p>
            <w:pPr>
              <w:pStyle w:val="Compact"/>
              <w:jc w:val="left"/>
            </w:pPr>
            <w:r>
              <w:t xml:space="preserve">Open</w:t>
            </w:r>
          </w:p>
        </w:tc>
        <w:tc>
          <w:tcPr/>
          <w:p>
            <w:pPr>
              <w:pStyle w:val="Compact"/>
              <w:jc w:val="left"/>
            </w:pPr>
            <w:r>
              <w:t xml:space="preserve">Underwriters’ Counsel</w:t>
            </w:r>
          </w:p>
        </w:tc>
        <w:tc>
          <w:tcPr/>
          <w:p>
            <w:pPr>
              <w:pStyle w:val="Compact"/>
              <w:jc w:val="left"/>
            </w:pPr>
            <w:r>
              <w:t xml:space="preserve">Confirm Hargrove as sole Representative</w:t>
            </w:r>
          </w:p>
        </w:tc>
      </w:tr>
      <w:tr>
        <w:tc>
          <w:tcPr/>
          <w:p>
            <w:pPr>
              <w:pStyle w:val="Compact"/>
              <w:jc w:val="left"/>
            </w:pPr>
            <w:r>
              <w:t xml:space="preserve">24</w:t>
            </w:r>
          </w:p>
        </w:tc>
        <w:tc>
          <w:tcPr/>
          <w:p>
            <w:pPr>
              <w:pStyle w:val="Compact"/>
              <w:jc w:val="left"/>
            </w:pPr>
            <w:r>
              <w:t xml:space="preserve">Underwriter title labels</w:t>
            </w:r>
          </w:p>
        </w:tc>
        <w:tc>
          <w:tcPr/>
          <w:p>
            <w:pPr>
              <w:pStyle w:val="Compact"/>
              <w:jc w:val="left"/>
            </w:pPr>
            <w:r>
              <w:t xml:space="preserve">Open</w:t>
            </w:r>
          </w:p>
        </w:tc>
        <w:tc>
          <w:tcPr/>
          <w:p>
            <w:pPr>
              <w:pStyle w:val="Compact"/>
              <w:jc w:val="left"/>
            </w:pPr>
            <w:r>
              <w:t xml:space="preserve">Underwriters + Company</w:t>
            </w:r>
          </w:p>
        </w:tc>
        <w:tc>
          <w:tcPr/>
          <w:p>
            <w:pPr>
              <w:pStyle w:val="Compact"/>
              <w:jc w:val="left"/>
            </w:pPr>
            <w:r>
              <w:t xml:space="preserve">Reconcile titles</w:t>
            </w:r>
          </w:p>
        </w:tc>
      </w:tr>
      <w:tr>
        <w:tc>
          <w:tcPr/>
          <w:p>
            <w:pPr>
              <w:pStyle w:val="Compact"/>
              <w:jc w:val="left"/>
            </w:pPr>
            <w:r>
              <w:t xml:space="preserve">25</w:t>
            </w:r>
          </w:p>
        </w:tc>
        <w:tc>
          <w:tcPr/>
          <w:p>
            <w:pPr>
              <w:pStyle w:val="Compact"/>
              <w:jc w:val="left"/>
            </w:pPr>
            <w:r>
              <w:t xml:space="preserve">Lock-up termination date</w:t>
            </w:r>
          </w:p>
        </w:tc>
        <w:tc>
          <w:tcPr/>
          <w:p>
            <w:pPr>
              <w:pStyle w:val="Compact"/>
              <w:jc w:val="left"/>
            </w:pPr>
            <w:r>
              <w:t xml:space="preserve">Open</w:t>
            </w:r>
          </w:p>
        </w:tc>
        <w:tc>
          <w:tcPr/>
          <w:p>
            <w:pPr>
              <w:pStyle w:val="Compact"/>
              <w:jc w:val="left"/>
            </w:pPr>
            <w:r>
              <w:t xml:space="preserve">Underwriters’ Counsel</w:t>
            </w:r>
          </w:p>
        </w:tc>
        <w:tc>
          <w:tcPr/>
          <w:p>
            <w:pPr>
              <w:pStyle w:val="Compact"/>
              <w:jc w:val="left"/>
            </w:pPr>
            <w:r>
              <w:t xml:space="preserve">Consider extending date</w:t>
            </w:r>
          </w:p>
        </w:tc>
      </w:tr>
      <w:tr>
        <w:tc>
          <w:tcPr/>
          <w:p>
            <w:pPr>
              <w:pStyle w:val="Compact"/>
              <w:jc w:val="left"/>
            </w:pPr>
            <w:r>
              <w:t xml:space="preserve">26</w:t>
            </w:r>
          </w:p>
        </w:tc>
        <w:tc>
          <w:tcPr/>
          <w:p>
            <w:pPr>
              <w:pStyle w:val="Compact"/>
              <w:jc w:val="left"/>
            </w:pPr>
            <w:r>
              <w:t xml:space="preserve">Lock-up threshold wording</w:t>
            </w:r>
          </w:p>
        </w:tc>
        <w:tc>
          <w:tcPr/>
          <w:p>
            <w:pPr>
              <w:pStyle w:val="Compact"/>
              <w:jc w:val="left"/>
            </w:pPr>
            <w:r>
              <w:t xml:space="preserve">Open</w:t>
            </w:r>
          </w:p>
        </w:tc>
        <w:tc>
          <w:tcPr/>
          <w:p>
            <w:pPr>
              <w:pStyle w:val="Compact"/>
              <w:jc w:val="left"/>
            </w:pPr>
            <w:r>
              <w:t xml:space="preserve">Underwriters’ Counsel</w:t>
            </w:r>
          </w:p>
        </w:tc>
        <w:tc>
          <w:tcPr/>
          <w:p>
            <w:pPr>
              <w:pStyle w:val="Compact"/>
              <w:jc w:val="left"/>
            </w:pPr>
            <w:r>
              <w:t xml:space="preserve">Conform</w:t>
            </w:r>
            <w:r>
              <w:t xml:space="preserve"> </w:t>
            </w:r>
            <w:r>
              <w:t xml:space="preserve">“</w:t>
            </w:r>
            <w:r>
              <w:t xml:space="preserve">1% or more</w:t>
            </w:r>
            <w:r>
              <w:t xml:space="preserve">”</w:t>
            </w:r>
            <w:r>
              <w:t xml:space="preserve"> </w:t>
            </w:r>
            <w:r>
              <w:t xml:space="preserve">wording</w:t>
            </w:r>
          </w:p>
        </w:tc>
      </w:tr>
      <w:tr>
        <w:tc>
          <w:tcPr/>
          <w:p>
            <w:pPr>
              <w:pStyle w:val="Compact"/>
              <w:jc w:val="left"/>
            </w:pPr>
            <w:r>
              <w:t xml:space="preserve">27</w:t>
            </w:r>
          </w:p>
        </w:tc>
        <w:tc>
          <w:tcPr/>
          <w:p>
            <w:pPr>
              <w:pStyle w:val="Compact"/>
              <w:jc w:val="left"/>
            </w:pPr>
            <w:r>
              <w:t xml:space="preserve">Downgrade termination right</w:t>
            </w:r>
          </w:p>
        </w:tc>
        <w:tc>
          <w:tcPr/>
          <w:p>
            <w:pPr>
              <w:pStyle w:val="Compact"/>
              <w:jc w:val="left"/>
            </w:pPr>
            <w:r>
              <w:t xml:space="preserve">Open</w:t>
            </w:r>
          </w:p>
        </w:tc>
        <w:tc>
          <w:tcPr/>
          <w:p>
            <w:pPr>
              <w:pStyle w:val="Compact"/>
              <w:jc w:val="left"/>
            </w:pPr>
            <w:r>
              <w:t xml:space="preserve">Underwriters’ Counsel</w:t>
            </w:r>
          </w:p>
        </w:tc>
        <w:tc>
          <w:tcPr/>
          <w:p>
            <w:pPr>
              <w:pStyle w:val="Compact"/>
              <w:jc w:val="left"/>
            </w:pPr>
            <w:r>
              <w:t xml:space="preserve">Confirm applicability</w:t>
            </w:r>
          </w:p>
        </w:tc>
      </w:tr>
      <w:tr>
        <w:tc>
          <w:tcPr/>
          <w:p>
            <w:pPr>
              <w:pStyle w:val="Compact"/>
              <w:jc w:val="left"/>
            </w:pPr>
            <w:r>
              <w:t xml:space="preserve">28</w:t>
            </w:r>
          </w:p>
        </w:tc>
        <w:tc>
          <w:tcPr/>
          <w:p>
            <w:pPr>
              <w:pStyle w:val="Compact"/>
              <w:jc w:val="left"/>
            </w:pPr>
            <w:r>
              <w:t xml:space="preserve">FINRA</w:t>
            </w:r>
            <w:r>
              <w:t xml:space="preserve"> </w:t>
            </w:r>
            <w:r>
              <w:t xml:space="preserve">“</w:t>
            </w:r>
            <w:r>
              <w:t xml:space="preserve">cold comfort</w:t>
            </w:r>
            <w:r>
              <w:t xml:space="preserve">”</w:t>
            </w:r>
            <w:r>
              <w:t xml:space="preserve"> </w:t>
            </w:r>
            <w:r>
              <w:t xml:space="preserve">condition</w:t>
            </w:r>
          </w:p>
        </w:tc>
        <w:tc>
          <w:tcPr/>
          <w:p>
            <w:pPr>
              <w:pStyle w:val="Compact"/>
              <w:jc w:val="left"/>
            </w:pPr>
            <w:r>
              <w:t xml:space="preserve">Open</w:t>
            </w:r>
          </w:p>
        </w:tc>
        <w:tc>
          <w:tcPr/>
          <w:p>
            <w:pPr>
              <w:pStyle w:val="Compact"/>
              <w:jc w:val="left"/>
            </w:pPr>
            <w:r>
              <w:t xml:space="preserve">Underwriters’ Counsel</w:t>
            </w:r>
          </w:p>
        </w:tc>
        <w:tc>
          <w:tcPr/>
          <w:p>
            <w:pPr>
              <w:pStyle w:val="Compact"/>
              <w:jc w:val="left"/>
            </w:pPr>
            <w:r>
              <w:t xml:space="preserve">Confirm whether required</w:t>
            </w:r>
          </w:p>
        </w:tc>
      </w:tr>
      <w:tr>
        <w:tc>
          <w:tcPr/>
          <w:p>
            <w:pPr>
              <w:pStyle w:val="Compact"/>
              <w:jc w:val="left"/>
            </w:pPr>
            <w:r>
              <w:t xml:space="preserve">29</w:t>
            </w:r>
          </w:p>
        </w:tc>
        <w:tc>
          <w:tcPr/>
          <w:p>
            <w:pPr>
              <w:pStyle w:val="Compact"/>
              <w:jc w:val="left"/>
            </w:pPr>
            <w:r>
              <w:t xml:space="preserve">FINRA filing fee</w:t>
            </w:r>
          </w:p>
        </w:tc>
        <w:tc>
          <w:tcPr/>
          <w:p>
            <w:pPr>
              <w:pStyle w:val="Compact"/>
              <w:jc w:val="left"/>
            </w:pPr>
            <w:r>
              <w:t xml:space="preserve">Open</w:t>
            </w:r>
          </w:p>
        </w:tc>
        <w:tc>
          <w:tcPr/>
          <w:p>
            <w:pPr>
              <w:pStyle w:val="Compact"/>
              <w:jc w:val="left"/>
            </w:pPr>
            <w:r>
              <w:t xml:space="preserve">Company Finance</w:t>
            </w:r>
          </w:p>
        </w:tc>
        <w:tc>
          <w:tcPr/>
          <w:p>
            <w:pPr>
              <w:pStyle w:val="Compact"/>
              <w:jc w:val="left"/>
            </w:pPr>
            <w:r>
              <w:t xml:space="preserve">Confirm fee amount</w:t>
            </w:r>
          </w:p>
        </w:tc>
      </w:tr>
      <w:tr>
        <w:tc>
          <w:tcPr/>
          <w:p>
            <w:pPr>
              <w:pStyle w:val="Compact"/>
              <w:jc w:val="left"/>
            </w:pPr>
            <w:r>
              <w:t xml:space="preserve">30</w:t>
            </w:r>
          </w:p>
        </w:tc>
        <w:tc>
          <w:tcPr/>
          <w:p>
            <w:pPr>
              <w:pStyle w:val="Compact"/>
              <w:jc w:val="left"/>
            </w:pPr>
            <w:r>
              <w:t xml:space="preserve">Public Offering Price</w:t>
            </w:r>
          </w:p>
        </w:tc>
        <w:tc>
          <w:tcPr/>
          <w:p>
            <w:pPr>
              <w:pStyle w:val="Compact"/>
              <w:jc w:val="left"/>
            </w:pPr>
            <w:r>
              <w:t xml:space="preserve">Open</w:t>
            </w:r>
          </w:p>
        </w:tc>
        <w:tc>
          <w:tcPr/>
          <w:p>
            <w:pPr>
              <w:pStyle w:val="Compact"/>
              <w:jc w:val="left"/>
            </w:pPr>
            <w:r>
              <w:t xml:space="preserve">All parties</w:t>
            </w:r>
          </w:p>
        </w:tc>
        <w:tc>
          <w:tcPr/>
          <w:p>
            <w:pPr>
              <w:pStyle w:val="Compact"/>
              <w:jc w:val="left"/>
            </w:pPr>
            <w:r>
              <w:t xml:space="preserve">Confirm at pricing; update UA and Schedules</w:t>
            </w:r>
          </w:p>
        </w:tc>
      </w:tr>
      <w:tr>
        <w:tc>
          <w:tcPr/>
          <w:p>
            <w:pPr>
              <w:pStyle w:val="Compact"/>
              <w:jc w:val="left"/>
            </w:pPr>
            <w:r>
              <w:t xml:space="preserve">31</w:t>
            </w:r>
          </w:p>
        </w:tc>
        <w:tc>
          <w:tcPr/>
          <w:p>
            <w:pPr>
              <w:pStyle w:val="Compact"/>
              <w:jc w:val="left"/>
            </w:pPr>
            <w:r>
              <w:t xml:space="preserve">VitaBand litigation disclosure</w:t>
            </w:r>
          </w:p>
        </w:tc>
        <w:tc>
          <w:tcPr/>
          <w:p>
            <w:pPr>
              <w:pStyle w:val="Compact"/>
              <w:jc w:val="left"/>
            </w:pPr>
            <w:r>
              <w:t xml:space="preserve">Open</w:t>
            </w:r>
          </w:p>
        </w:tc>
        <w:tc>
          <w:tcPr/>
          <w:p>
            <w:pPr>
              <w:pStyle w:val="Compact"/>
              <w:jc w:val="left"/>
            </w:pPr>
            <w:r>
              <w:t xml:space="preserve">Company Counsel</w:t>
            </w:r>
          </w:p>
        </w:tc>
        <w:tc>
          <w:tcPr/>
          <w:p>
            <w:pPr>
              <w:pStyle w:val="Compact"/>
              <w:jc w:val="left"/>
            </w:pPr>
            <w:r>
              <w:t xml:space="preserve">Confirm consistency</w:t>
            </w:r>
          </w:p>
        </w:tc>
      </w:tr>
      <w:tr>
        <w:tc>
          <w:tcPr/>
          <w:p>
            <w:pPr>
              <w:pStyle w:val="Compact"/>
              <w:jc w:val="left"/>
            </w:pPr>
            <w:r>
              <w:t xml:space="preserve">32</w:t>
            </w:r>
          </w:p>
        </w:tc>
        <w:tc>
          <w:tcPr/>
          <w:p>
            <w:pPr>
              <w:pStyle w:val="Compact"/>
              <w:jc w:val="left"/>
            </w:pPr>
            <w:r>
              <w:t xml:space="preserve">Questionnaire vs. S-1</w:t>
            </w:r>
            <w:r>
              <w:t xml:space="preserve"> </w:t>
            </w:r>
            <w:r>
              <w:t xml:space="preserve">“</w:t>
            </w:r>
            <w:r>
              <w:t xml:space="preserve">as of</w:t>
            </w:r>
            <w:r>
              <w:t xml:space="preserve">”</w:t>
            </w:r>
            <w:r>
              <w:t xml:space="preserve"> </w:t>
            </w:r>
            <w:r>
              <w:t xml:space="preserve">date</w:t>
            </w:r>
          </w:p>
        </w:tc>
        <w:tc>
          <w:tcPr/>
          <w:p>
            <w:pPr>
              <w:pStyle w:val="Compact"/>
              <w:jc w:val="left"/>
            </w:pPr>
            <w:r>
              <w:t xml:space="preserve">Open</w:t>
            </w:r>
          </w:p>
        </w:tc>
        <w:tc>
          <w:tcPr/>
          <w:p>
            <w:pPr>
              <w:pStyle w:val="Compact"/>
              <w:jc w:val="left"/>
            </w:pPr>
            <w:r>
              <w:t xml:space="preserve">Company Counsel</w:t>
            </w:r>
          </w:p>
        </w:tc>
        <w:tc>
          <w:tcPr/>
          <w:p>
            <w:pPr>
              <w:pStyle w:val="Compact"/>
              <w:jc w:val="left"/>
            </w:pPr>
            <w:r>
              <w:t xml:space="preserve">Confirm Cascade info current</w:t>
            </w:r>
          </w:p>
        </w:tc>
      </w:tr>
    </w:tbl>
    <w:p>
      <w:pPr>
        <w:pStyle w:val="BodyText"/>
      </w:pPr>
      <w:r>
        <w:rPr>
          <w:i/>
          <w:iCs/>
        </w:rPr>
        <w:t xml:space="preserve">This memorandum is prepared in connection with the Offering and constitutes attorney work product subject to the attorney-client privilege. It is intended for the internal use of the deal working group and should not be distributed outside the working group. The items identified herein are based on the documents listed in Section I as of the date of this memorandum and should be re-confirmed as the transaction progresses.</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dc:title>
  <dc:creator/>
  <cp:keywords/>
  <dcterms:created xsi:type="dcterms:W3CDTF">2026-06-28T10:12:53Z</dcterms:created>
  <dcterms:modified xsi:type="dcterms:W3CDTF">2026-06-28T10:12:53Z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19, 2025</vt:lpwstr>
  </property>
  <property fmtid="{D5CDD505-2E9C-101B-9397-08002B2CF9AE}" pid="3" name="subtitle">
    <vt:lpwstr>Cross-Document Discrepancies and Open Items — IPO of Meridian Pulse Technologies, Inc.</vt:lpwstr>
  </property>
</Properties>
</file>