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Deal Team — Underwriting Working Group (Hargrove Securities LLC; Ashford &amp; Pine LLP; Stonebridge &amp; Calloway LLP; Meridian Pulse Technologies, Inc.)</w:t>
      </w:r>
      <w:r>
        <w:t xml:space="preserve"> </w:t>
      </w:r>
      <w:r>
        <w:rPr>
          <w:b/>
          <w:bCs/>
        </w:rPr>
        <w:t xml:space="preserve">From:</w:t>
      </w:r>
      <w:r>
        <w:t xml:space="preserve"> </w:t>
      </w:r>
      <w:r>
        <w:t xml:space="preserve">Underwriters’ Counsel (Ashford &amp; Pine LLP)</w:t>
      </w:r>
      <w:r>
        <w:t xml:space="preserve"> </w:t>
      </w:r>
      <w:r>
        <w:rPr>
          <w:b/>
          <w:bCs/>
        </w:rPr>
        <w:t xml:space="preserve">Re:</w:t>
      </w:r>
      <w:r>
        <w:t xml:space="preserve"> </w:t>
      </w:r>
      <w:r>
        <w:t xml:space="preserve">Initial Public Offering of Meridian Pulse Technologies, Inc. — Cross-Document Discrepancies and Open Items in Connection with the Underwriting Agreement</w:t>
      </w:r>
      <w:r>
        <w:t xml:space="preserve"> </w:t>
      </w:r>
      <w:r>
        <w:rPr>
          <w:b/>
          <w:bCs/>
        </w:rPr>
        <w:t xml:space="preserve">Date:</w:t>
      </w:r>
      <w:r>
        <w:t xml:space="preserve"> </w:t>
      </w:r>
      <w:r>
        <w:t xml:space="preserve">March 19, 2025</w:t>
      </w:r>
      <w:r>
        <w:t xml:space="preserve"> </w:t>
      </w:r>
      <w:r>
        <w:rPr>
          <w:b/>
          <w:bCs/>
        </w:rPr>
        <w:t xml:space="preserve">Matter:</w:t>
      </w:r>
      <w:r>
        <w:t xml:space="preserve"> </w:t>
      </w:r>
      <w:r>
        <w:t xml:space="preserve">Registration Statement on Form S-1 (File No. 333-284517); Firm-Commitment Underwriting Agreement dated March 19, 2025</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flags cross-document discrepancies and open items identified during our review of the transaction documents prepared in connection with the initial public offering (the</w:t>
      </w:r>
      <w:r>
        <w:t xml:space="preserve"> </w:t>
      </w:r>
      <w:r>
        <w:t xml:space="preserve">“</w:t>
      </w:r>
      <w:r>
        <w:t xml:space="preserve">Offering</w:t>
      </w:r>
      <w:r>
        <w:t xml:space="preserve">”</w:t>
      </w:r>
      <w:r>
        <w:t xml:space="preserve">) of common stock of Meridian Pulse Technologies, Inc. (the</w:t>
      </w:r>
      <w:r>
        <w:t xml:space="preserve"> </w:t>
      </w:r>
      <w:r>
        <w:t xml:space="preserve">“</w:t>
      </w:r>
      <w:r>
        <w:t xml:space="preserve">Company</w:t>
      </w:r>
      <w:r>
        <w:t xml:space="preserve">”</w:t>
      </w:r>
      <w:r>
        <w:t xml:space="preserve">). The documents reviewed are: (1) the IPO Term Sheet dated March 19, 2025 (the</w:t>
      </w:r>
      <w:r>
        <w:t xml:space="preserve"> </w:t>
      </w:r>
      <w:r>
        <w:t xml:space="preserve">“</w:t>
      </w:r>
      <w:r>
        <w:t xml:space="preserve">Term Sheet</w:t>
      </w:r>
      <w:r>
        <w:t xml:space="preserve">”</w:t>
      </w:r>
      <w:r>
        <w:t xml:space="preserve">); (2) selected excerpts from the Registration Statement on Form S-1 (File No. 333-284517) (the</w:t>
      </w:r>
      <w:r>
        <w:t xml:space="preserve"> </w:t>
      </w:r>
      <w:r>
        <w:t xml:space="preserve">“</w:t>
      </w:r>
      <w:r>
        <w:t xml:space="preserve">S-1</w:t>
      </w:r>
      <w:r>
        <w:t xml:space="preserve">”</w:t>
      </w:r>
      <w:r>
        <w:t xml:space="preserve">); (3) the Engagement Letter dated November 8, 2024 (the</w:t>
      </w:r>
      <w:r>
        <w:t xml:space="preserve"> </w:t>
      </w:r>
      <w:r>
        <w:t xml:space="preserve">“</w:t>
      </w:r>
      <w:r>
        <w:t xml:space="preserve">Engagement Letter</w:t>
      </w:r>
      <w:r>
        <w:t xml:space="preserve">”</w:t>
      </w:r>
      <w:r>
        <w:t xml:space="preserve">); (4) the Form of Lock-Up Agreement (the</w:t>
      </w:r>
      <w:r>
        <w:t xml:space="preserve"> </w:t>
      </w:r>
      <w:r>
        <w:t xml:space="preserve">“</w:t>
      </w:r>
      <w:r>
        <w:t xml:space="preserve">Form Lock-Up</w:t>
      </w:r>
      <w:r>
        <w:t xml:space="preserve">”</w:t>
      </w:r>
      <w:r>
        <w:t xml:space="preserve">); (5) the Amended and Restated Certificate of Incorporation (the</w:t>
      </w:r>
      <w:r>
        <w:t xml:space="preserve"> </w:t>
      </w:r>
      <w:r>
        <w:t xml:space="preserve">“</w:t>
      </w:r>
      <w:r>
        <w:t xml:space="preserve">Charter</w:t>
      </w:r>
      <w:r>
        <w:t xml:space="preserve">”</w:t>
      </w:r>
      <w:r>
        <w:t xml:space="preserve">); (6) the Summary of Key Terms — Revolving Credit Agreement prepared by Stonebridge &amp; Calloway LLP (the</w:t>
      </w:r>
      <w:r>
        <w:t xml:space="preserve"> </w:t>
      </w:r>
      <w:r>
        <w:t xml:space="preserve">“</w:t>
      </w:r>
      <w:r>
        <w:t xml:space="preserve">Credit Summary</w:t>
      </w:r>
      <w:r>
        <w:t xml:space="preserve">”</w:t>
      </w:r>
      <w:r>
        <w:t xml:space="preserve">); (7) the draft Comfort Letter from Whitman Reese &amp; Co. dated March 18, 2025 (the</w:t>
      </w:r>
      <w:r>
        <w:t xml:space="preserve"> </w:t>
      </w:r>
      <w:r>
        <w:t xml:space="preserve">“</w:t>
      </w:r>
      <w:r>
        <w:t xml:space="preserve">Comfort Letter</w:t>
      </w:r>
      <w:r>
        <w:t xml:space="preserve">”</w:t>
      </w:r>
      <w:r>
        <w:t xml:space="preserve">); (8) the form of Power of Attorney and Custody Agreement (the</w:t>
      </w:r>
      <w:r>
        <w:t xml:space="preserve"> </w:t>
      </w:r>
      <w:r>
        <w:t xml:space="preserve">“</w:t>
      </w:r>
      <w:r>
        <w:t xml:space="preserve">POA</w:t>
      </w:r>
      <w:r>
        <w:t xml:space="preserve">”</w:t>
      </w:r>
      <w:r>
        <w:t xml:space="preserve">); and (9) the Selling Stockholder Questionnaire completed by Cascade Kestridge Ventures, LP (the</w:t>
      </w:r>
      <w:r>
        <w:t xml:space="preserve"> </w:t>
      </w:r>
      <w:r>
        <w:t xml:space="preserve">“</w:t>
      </w:r>
      <w:r>
        <w:t xml:space="preserve">Cascade Questionnaire</w:t>
      </w:r>
      <w:r>
        <w:t xml:space="preserve">”</w:t>
      </w:r>
      <w:r>
        <w:t xml:space="preserve">).</w:t>
      </w:r>
    </w:p>
    <w:p>
      <w:pPr>
        <w:pStyle w:val="BodyText"/>
      </w:pPr>
      <w:r>
        <w:t xml:space="preserve">A draft firm-commitment Underwriting Agreement (the</w:t>
      </w:r>
      <w:r>
        <w:t xml:space="preserve"> </w:t>
      </w:r>
      <w:r>
        <w:t xml:space="preserve">“</w:t>
      </w:r>
      <w:r>
        <w:t xml:space="preserve">Underwriting Agreement</w:t>
      </w:r>
      <w:r>
        <w:t xml:space="preserve">”</w:t>
      </w:r>
      <w:r>
        <w:t xml:space="preserve">) has been prepared concurrently with this memorandum. Where the Underwriting Agreement adopts a particular reconciled position, that position is noted below. Items marked</w:t>
      </w:r>
      <w:r>
        <w:t xml:space="preserve"> </w:t>
      </w:r>
      <w:r>
        <w:rPr>
          <w:b/>
          <w:bCs/>
        </w:rPr>
        <w:t xml:space="preserve">CRITICAL</w:t>
      </w:r>
      <w:r>
        <w:t xml:space="preserve"> </w:t>
      </w:r>
      <w:r>
        <w:t xml:space="preserve">or</w:t>
      </w:r>
      <w:r>
        <w:t xml:space="preserve"> </w:t>
      </w:r>
      <w:r>
        <w:rPr>
          <w:b/>
          <w:bCs/>
        </w:rPr>
        <w:t xml:space="preserve">HIGH</w:t>
      </w:r>
      <w:r>
        <w:t xml:space="preserve"> </w:t>
      </w:r>
      <w:r>
        <w:t xml:space="preserve">must be resolved before execution of the Underwriting Agreement and/or the Closing. Items marked</w:t>
      </w:r>
      <w:r>
        <w:t xml:space="preserve"> </w:t>
      </w:r>
      <w:r>
        <w:rPr>
          <w:b/>
          <w:bCs/>
        </w:rPr>
        <w:t xml:space="preserve">MEDIUM</w:t>
      </w:r>
      <w:r>
        <w:t xml:space="preserve"> </w:t>
      </w:r>
      <w:r>
        <w:t xml:space="preserve">should be confirmed or reconciled prior to the Closing.</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review identified</w:t>
      </w:r>
      <w:r>
        <w:t xml:space="preserve"> </w:t>
      </w:r>
      <w:r>
        <w:rPr>
          <w:b/>
          <w:bCs/>
        </w:rPr>
        <w:t xml:space="preserve">twenty-eight (28) discrete issues</w:t>
      </w:r>
      <w:r>
        <w:t xml:space="preserve">, the most significant of which concern the</w:t>
      </w:r>
      <w:r>
        <w:t xml:space="preserve"> </w:t>
      </w:r>
      <w:r>
        <w:rPr>
          <w:b/>
          <w:bCs/>
        </w:rPr>
        <w:t xml:space="preserve">revolving credit facility</w:t>
      </w:r>
      <w:r>
        <w:t xml:space="preserve">, where the S-1’s disclosure of the lender’s identity, the agreement date, the maturity, the interest rate, the change-of-control threshold, and the financial covenants are</w:t>
      </w:r>
      <w:r>
        <w:t xml:space="preserve"> </w:t>
      </w:r>
      <w:r>
        <w:rPr>
          <w:b/>
          <w:bCs/>
        </w:rPr>
        <w:t xml:space="preserve">inconsistent with the internal Credit Summary</w:t>
      </w:r>
      <w:r>
        <w:t xml:space="preserve"> </w:t>
      </w:r>
      <w:r>
        <w:t xml:space="preserve">prepared from the actual credit agreement. Separately, the</w:t>
      </w:r>
      <w:r>
        <w:t xml:space="preserve"> </w:t>
      </w:r>
      <w:r>
        <w:rPr>
          <w:b/>
          <w:bCs/>
        </w:rPr>
        <w:t xml:space="preserve">draft Comfort Letter’s balance-sheet figures do not reconcile with the S-1’s Capitalization and Dilution disclosures</w:t>
      </w:r>
      <w:r>
        <w:t xml:space="preserve">, and the</w:t>
      </w:r>
      <w:r>
        <w:t xml:space="preserve"> </w:t>
      </w:r>
      <w:r>
        <w:rPr>
          <w:b/>
          <w:bCs/>
        </w:rPr>
        <w:t xml:space="preserve">identity of the Selling Stockholders’ general partners and control persons is inconsistent across the S-1, the POA, and the Cascade Questionnaire</w:t>
      </w:r>
      <w:r>
        <w:t xml:space="preserve">. The S-1 also contains an</w:t>
      </w:r>
      <w:r>
        <w:t xml:space="preserve"> </w:t>
      </w:r>
      <w:r>
        <w:rPr>
          <w:b/>
          <w:bCs/>
        </w:rPr>
        <w:t xml:space="preserve">internal inconsistency between its Risk Factors (mandatory prepayment of ~$15.2 million) and its Use of Proceeds (~$10 million repayment)</w:t>
      </w:r>
      <w:r>
        <w:t xml:space="preserve">.</w:t>
      </w:r>
    </w:p>
    <w:p>
      <w:pPr>
        <w:pStyle w:val="BodyText"/>
      </w:pPr>
      <w:r>
        <w:t xml:space="preserve">Until the credit-facility discrepancies are reconciled, the Company’s representations in the Underwriting Agreement regarding material contracts and the accuracy of the Disclosure Documents, and the closing condition requiring a comfort letter satisfactory to the Representative, cannot be certified with confidence. We recommend that the items in Sections III.A and III.B be resolved as a condition to execution.</w:t>
      </w:r>
    </w:p>
    <w:p>
      <w:pPr>
        <w:pStyle w:val="BodyText"/>
      </w:pPr>
      <w:r>
        <w:t xml:space="preserve">A summary table of all issues, ranked by severity, appears in Section IV.</w:t>
      </w:r>
    </w:p>
    <w:p>
      <w:r>
        <w:pict>
          <v:rect style="width:0;height:1.5pt" o:hralign="center" o:hrstd="t" o:hr="t"/>
        </w:pict>
      </w:r>
    </w:p>
    <w:bookmarkEnd w:id="21"/>
    <w:bookmarkStart w:id="30" w:name="iii.-discussion-of-issues"/>
    <w:p>
      <w:pPr>
        <w:pStyle w:val="Heading2"/>
      </w:pPr>
      <w:r>
        <w:t xml:space="preserve">III. Discussion of Issues</w:t>
      </w:r>
    </w:p>
    <w:bookmarkStart w:id="22" w:name="Xa9ad5d88fbde15326a3c68e3281125d05e69a8a"/>
    <w:p>
      <w:pPr>
        <w:pStyle w:val="Heading3"/>
      </w:pPr>
      <w:r>
        <w:t xml:space="preserve">A. Credit Facility Discrepancies (CRITICAL)</w:t>
      </w:r>
    </w:p>
    <w:p>
      <w:pPr>
        <w:pStyle w:val="FirstParagraph"/>
      </w:pPr>
      <w:r>
        <w:t xml:space="preserve">The S-1 and the internal Credit Summary (prepared by Company counsel from the actual credit agreement) describe the Company’s revolving credit facility in materially different terms. Because the Underwriting Agreement requires the Company to represent that the Disclosure Documents contain no material misstatement and that its material contracts are as described therein, these discrepancies must be reconciled before execution. The Underwriting Agreement currently uses the S-1’s terminology (</w:t>
      </w:r>
      <w:r>
        <w:t xml:space="preserve">“</w:t>
      </w:r>
      <w:r>
        <w:t xml:space="preserve">Oakvale National Bank</w:t>
      </w:r>
      <w:r>
        <w:t xml:space="preserve">”</w:t>
      </w:r>
      <w:r>
        <w:t xml:space="preserve">) to maintain consistency with the Registration Statement as declared effective; however, if the Credit Summary is accurate, the S-1 is materially misstated and a prospectus supplement or post-effective amendment may be required.</w:t>
      </w:r>
    </w:p>
    <w:p>
      <w:pPr>
        <w:pStyle w:val="BodyText"/>
      </w:pPr>
      <w:r>
        <w:rPr>
          <w:b/>
          <w:bCs/>
        </w:rPr>
        <w:t xml:space="preserve">Issue 1 — Lender identity (CRITICAL).</w:t>
      </w:r>
      <w:r>
        <w:t xml:space="preserve"> </w:t>
      </w:r>
      <w:r>
        <w:t xml:space="preserve">The S-1 (Risk Factors, Use of Proceeds, Material Contracts, and Capitalization sections) and the Comfort Letter refer to the lender as</w:t>
      </w:r>
      <w:r>
        <w:t xml:space="preserve"> </w:t>
      </w:r>
      <w:r>
        <w:rPr>
          <w:b/>
          <w:bCs/>
        </w:rPr>
        <w:t xml:space="preserve">“</w:t>
      </w:r>
      <w:r>
        <w:rPr>
          <w:b/>
          <w:bCs/>
        </w:rPr>
        <w:t xml:space="preserve">Oakvale National Bank.</w:t>
      </w:r>
      <w:r>
        <w:rPr>
          <w:b/>
          <w:bCs/>
        </w:rPr>
        <w:t xml:space="preserve">”</w:t>
      </w:r>
      <w:r>
        <w:t xml:space="preserve"> </w:t>
      </w:r>
      <w:r>
        <w:t xml:space="preserve">The Credit Summary refers to the lender as</w:t>
      </w:r>
      <w:r>
        <w:t xml:space="preserve"> </w:t>
      </w:r>
      <w:r>
        <w:rPr>
          <w:b/>
          <w:bCs/>
        </w:rPr>
        <w:t xml:space="preserve">“</w:t>
      </w:r>
      <w:r>
        <w:rPr>
          <w:b/>
          <w:bCs/>
        </w:rPr>
        <w:t xml:space="preserve">Ridgemont National Bank.</w:t>
      </w:r>
      <w:r>
        <w:rPr>
          <w:b/>
          <w:bCs/>
        </w:rPr>
        <w:t xml:space="preserve">”</w:t>
      </w:r>
      <w:r>
        <w:t xml:space="preserve"> </w:t>
      </w:r>
      <w:r>
        <w:t xml:space="preserve">The Term Sheet (Section 11.1(i)) refers to</w:t>
      </w:r>
      <w:r>
        <w:t xml:space="preserve"> </w:t>
      </w:r>
      <w:r>
        <w:t xml:space="preserve">“</w:t>
      </w:r>
      <w:r>
        <w:t xml:space="preserve">the credit facility with Oakvale National Bank.</w:t>
      </w:r>
      <w:r>
        <w:t xml:space="preserve">”</w:t>
      </w:r>
      <w:r>
        <w:t xml:space="preserve"> </w:t>
      </w:r>
      <w:r>
        <w:t xml:space="preserve">These cannot both be correct.</w:t>
      </w:r>
      <w:r>
        <w:t xml:space="preserve"> </w:t>
      </w:r>
      <w:r>
        <w:rPr>
          <w:i/>
          <w:iCs/>
        </w:rPr>
        <w:t xml:space="preserve">Recommendation:</w:t>
      </w:r>
      <w:r>
        <w:t xml:space="preserve"> </w:t>
      </w:r>
      <w:r>
        <w:t xml:space="preserve">Confirm the identity of the actual lender from the executed credit agreement and conform all documents. If the lender is Ridgemont, the S-1 is materially misstated and must be corrected before the Final Prospectus is filed under Rule 424(b)(4).</w:t>
      </w:r>
    </w:p>
    <w:p>
      <w:pPr>
        <w:pStyle w:val="BodyText"/>
      </w:pPr>
      <w:r>
        <w:rPr>
          <w:b/>
          <w:bCs/>
        </w:rPr>
        <w:t xml:space="preserve">Issue 2 — Credit agreement date (CRITICAL).</w:t>
      </w:r>
      <w:r>
        <w:t xml:space="preserve"> </w:t>
      </w:r>
      <w:r>
        <w:t xml:space="preserve">The S-1 (Material Contracts) states the credit agreement was entered into</w:t>
      </w:r>
      <w:r>
        <w:t xml:space="preserve"> </w:t>
      </w:r>
      <w:r>
        <w:rPr>
          <w:b/>
          <w:bCs/>
        </w:rPr>
        <w:t xml:space="preserve">“</w:t>
      </w:r>
      <w:r>
        <w:rPr>
          <w:b/>
          <w:bCs/>
        </w:rPr>
        <w:t xml:space="preserve">On July 15, 2022.</w:t>
      </w:r>
      <w:r>
        <w:rPr>
          <w:b/>
          <w:bCs/>
        </w:rPr>
        <w:t xml:space="preserve">”</w:t>
      </w:r>
      <w:r>
        <w:t xml:space="preserve"> </w:t>
      </w:r>
      <w:r>
        <w:t xml:space="preserve">The Credit Summary states the agreement is</w:t>
      </w:r>
      <w:r>
        <w:t xml:space="preserve"> </w:t>
      </w:r>
      <w:r>
        <w:rPr>
          <w:b/>
          <w:bCs/>
        </w:rPr>
        <w:t xml:space="preserve">“</w:t>
      </w:r>
      <w:r>
        <w:rPr>
          <w:b/>
          <w:bCs/>
        </w:rPr>
        <w:t xml:space="preserve">dated as of June 15, 2023 (as amended by that certain First Amendment … dated as of February 28, 2024).</w:t>
      </w:r>
      <w:r>
        <w:rPr>
          <w:b/>
          <w:bCs/>
        </w:rPr>
        <w:t xml:space="preserve">”</w:t>
      </w:r>
      <w:r>
        <w:t xml:space="preserve"> </w:t>
      </w:r>
      <w:r>
        <w:t xml:space="preserve">The discrepancy is nearly one year.</w:t>
      </w:r>
      <w:r>
        <w:t xml:space="preserve"> </w:t>
      </w:r>
      <w:r>
        <w:rPr>
          <w:i/>
          <w:iCs/>
        </w:rPr>
        <w:t xml:space="preserve">Recommendation:</w:t>
      </w:r>
      <w:r>
        <w:t xml:space="preserve"> </w:t>
      </w:r>
      <w:r>
        <w:t xml:space="preserve">Confirm the execution date and amendment history from the credit agreement and conform the S-1.</w:t>
      </w:r>
    </w:p>
    <w:p>
      <w:pPr>
        <w:pStyle w:val="BodyText"/>
      </w:pPr>
      <w:r>
        <w:rPr>
          <w:b/>
          <w:bCs/>
        </w:rPr>
        <w:t xml:space="preserve">Issue 3 — Maturity date (CRITICAL).</w:t>
      </w:r>
      <w:r>
        <w:t xml:space="preserve"> </w:t>
      </w:r>
      <w:r>
        <w:t xml:space="preserve">The S-1 states the facility</w:t>
      </w:r>
      <w:r>
        <w:t xml:space="preserve"> </w:t>
      </w:r>
      <w:r>
        <w:rPr>
          <w:b/>
          <w:bCs/>
        </w:rPr>
        <w:t xml:space="preserve">“</w:t>
      </w:r>
      <w:r>
        <w:rPr>
          <w:b/>
          <w:bCs/>
        </w:rPr>
        <w:t xml:space="preserve">matures on December 31, 2026.</w:t>
      </w:r>
      <w:r>
        <w:rPr>
          <w:b/>
          <w:bCs/>
        </w:rPr>
        <w:t xml:space="preserve">”</w:t>
      </w:r>
      <w:r>
        <w:t xml:space="preserve"> </w:t>
      </w:r>
      <w:r>
        <w:t xml:space="preserve">The Credit Summary states the</w:t>
      </w:r>
      <w:r>
        <w:t xml:space="preserve"> </w:t>
      </w:r>
      <w:r>
        <w:rPr>
          <w:b/>
          <w:bCs/>
        </w:rPr>
        <w:t xml:space="preserve">Maturity Date is June 15, 2027.</w:t>
      </w:r>
      <w:r>
        <w:t xml:space="preserve"> </w:t>
      </w:r>
      <w:r>
        <w:rPr>
          <w:i/>
          <w:iCs/>
        </w:rPr>
        <w:t xml:space="preserve">Recommendation:</w:t>
      </w:r>
      <w:r>
        <w:t xml:space="preserve"> </w:t>
      </w:r>
      <w:r>
        <w:t xml:space="preserve">Confirm the maturity date and conform the S-1.</w:t>
      </w:r>
    </w:p>
    <w:p>
      <w:pPr>
        <w:pStyle w:val="BodyText"/>
      </w:pPr>
      <w:r>
        <w:rPr>
          <w:b/>
          <w:bCs/>
        </w:rPr>
        <w:t xml:space="preserve">Issue 4 — Interest rate / applicable margin (HIGH).</w:t>
      </w:r>
      <w:r>
        <w:t xml:space="preserve"> </w:t>
      </w:r>
      <w:r>
        <w:t xml:space="preserve">The S-1 states borrowings bear interest at</w:t>
      </w:r>
      <w:r>
        <w:t xml:space="preserve"> </w:t>
      </w:r>
      <w:r>
        <w:rPr>
          <w:b/>
          <w:bCs/>
        </w:rPr>
        <w:t xml:space="preserve">“</w:t>
      </w:r>
      <w:r>
        <w:rPr>
          <w:b/>
          <w:bCs/>
        </w:rPr>
        <w:t xml:space="preserve">SOFR plus 2.50% per annum.</w:t>
      </w:r>
      <w:r>
        <w:rPr>
          <w:b/>
          <w:bCs/>
        </w:rPr>
        <w:t xml:space="preserve">”</w:t>
      </w:r>
      <w:r>
        <w:t xml:space="preserve"> </w:t>
      </w:r>
      <w:r>
        <w:t xml:space="preserve">The Credit Summary describes a pricing grid with the</w:t>
      </w:r>
      <w:r>
        <w:t xml:space="preserve"> </w:t>
      </w:r>
      <w:r>
        <w:rPr>
          <w:b/>
          <w:bCs/>
        </w:rPr>
        <w:t xml:space="preserve">current applicable margin at SOFR + 2.25%</w:t>
      </w:r>
      <w:r>
        <w:t xml:space="preserve"> </w:t>
      </w:r>
      <w:r>
        <w:t xml:space="preserve">(ranging from 2.25% to 3.25% based on the Total Net Leverage Ratio).</w:t>
      </w:r>
      <w:r>
        <w:t xml:space="preserve"> </w:t>
      </w:r>
      <w:r>
        <w:rPr>
          <w:i/>
          <w:iCs/>
        </w:rPr>
        <w:t xml:space="preserve">Recommendation:</w:t>
      </w:r>
      <w:r>
        <w:t xml:space="preserve"> </w:t>
      </w:r>
      <w:r>
        <w:t xml:space="preserve">Confirm whether the S-1’s fixed</w:t>
      </w:r>
      <w:r>
        <w:t xml:space="preserve"> </w:t>
      </w:r>
      <w:r>
        <w:t xml:space="preserve">“</w:t>
      </w:r>
      <w:r>
        <w:t xml:space="preserve">2.50%</w:t>
      </w:r>
      <w:r>
        <w:t xml:space="preserve">”</w:t>
      </w:r>
      <w:r>
        <w:t xml:space="preserve"> </w:t>
      </w:r>
      <w:r>
        <w:t xml:space="preserve">is a simplification or an error, and conform the disclosure (the S-1 should describe the grid or the current applicable rate accurately).</w:t>
      </w:r>
    </w:p>
    <w:p>
      <w:pPr>
        <w:pStyle w:val="BodyText"/>
      </w:pPr>
      <w:r>
        <w:rPr>
          <w:b/>
          <w:bCs/>
        </w:rPr>
        <w:t xml:space="preserve">Issue 5 — Change-of-control threshold (CRITICAL).</w:t>
      </w:r>
      <w:r>
        <w:t xml:space="preserve"> </w:t>
      </w:r>
      <w:r>
        <w:t xml:space="preserve">The S-1 (Risk Factors) defines a change of control as the acquisition of</w:t>
      </w:r>
      <w:r>
        <w:t xml:space="preserve"> </w:t>
      </w:r>
      <w:r>
        <w:rPr>
          <w:b/>
          <w:bCs/>
        </w:rPr>
        <w:t xml:space="preserve">“</w:t>
      </w:r>
      <w:r>
        <w:rPr>
          <w:b/>
          <w:bCs/>
        </w:rPr>
        <w:t xml:space="preserve">more than 50% of our voting stock.</w:t>
      </w:r>
      <w:r>
        <w:rPr>
          <w:b/>
          <w:bCs/>
        </w:rPr>
        <w:t xml:space="preserve">”</w:t>
      </w:r>
      <w:r>
        <w:t xml:space="preserve"> </w:t>
      </w:r>
      <w:r>
        <w:t xml:space="preserve">The Credit Summary defines</w:t>
      </w:r>
      <w:r>
        <w:t xml:space="preserve"> </w:t>
      </w:r>
      <w:r>
        <w:t xml:space="preserve">“</w:t>
      </w:r>
      <w:r>
        <w:t xml:space="preserve">Change of Control</w:t>
      </w:r>
      <w:r>
        <w:t xml:space="preserve">”</w:t>
      </w:r>
      <w:r>
        <w:t xml:space="preserve"> </w:t>
      </w:r>
      <w:r>
        <w:t xml:space="preserve">as the acquisition of</w:t>
      </w:r>
      <w:r>
        <w:t xml:space="preserve"> </w:t>
      </w:r>
      <w:r>
        <w:rPr>
          <w:b/>
          <w:bCs/>
        </w:rPr>
        <w:t xml:space="preserve">“</w:t>
      </w:r>
      <w:r>
        <w:rPr>
          <w:b/>
          <w:bCs/>
        </w:rPr>
        <w:t xml:space="preserve">more than 35% of the outstanding voting equity interests</w:t>
      </w:r>
      <w:r>
        <w:rPr>
          <w:b/>
          <w:bCs/>
        </w:rPr>
        <w:t xml:space="preserve">”</w:t>
      </w:r>
      <w:r>
        <w:t xml:space="preserve"> </w:t>
      </w:r>
      <w:r>
        <w:t xml:space="preserve">(and also includes a board</w:t>
      </w:r>
      <w:r>
        <w:t xml:space="preserve"> </w:t>
      </w:r>
      <w:r>
        <w:t xml:space="preserve">“</w:t>
      </w:r>
      <w:r>
        <w:t xml:space="preserve">Continuing Directors</w:t>
      </w:r>
      <w:r>
        <w:t xml:space="preserve">”</w:t>
      </w:r>
      <w:r>
        <w:t xml:space="preserve"> </w:t>
      </w:r>
      <w:r>
        <w:t xml:space="preserve">test and a subsidiary-ownership test). The S-1’s 50% threshold is materially more lenient than the credit agreement’s 35% threshold. This is significant because, post-Offering, Dr. Krishnamurthy will hold 15.8% and no other holder exceeds 35%, so the Offering itself does not trigger a change of control under either threshold; however, the S-1’s disclosure of the change-of-control trigger is inaccurate if the Credit Summary is correct.</w:t>
      </w:r>
      <w:r>
        <w:t xml:space="preserve"> </w:t>
      </w:r>
      <w:r>
        <w:rPr>
          <w:i/>
          <w:iCs/>
        </w:rPr>
        <w:t xml:space="preserve">Recommendation:</w:t>
      </w:r>
      <w:r>
        <w:t xml:space="preserve"> </w:t>
      </w:r>
      <w:r>
        <w:t xml:space="preserve">Conform the S-1’s change-of-control disclosure to the credit agreement’s 35% threshold and Continuing Directors test.</w:t>
      </w:r>
    </w:p>
    <w:p>
      <w:pPr>
        <w:pStyle w:val="BodyText"/>
      </w:pPr>
      <w:r>
        <w:rPr>
          <w:b/>
          <w:bCs/>
        </w:rPr>
        <w:t xml:space="preserve">Issue 6 — Financial covenants (HIGH).</w:t>
      </w:r>
      <w:r>
        <w:t xml:space="preserve"> </w:t>
      </w:r>
      <w:r>
        <w:t xml:space="preserve">The S-1 describes three financial covenants: (i) minimum unrestricted cash of $15,000,000; (ii) maximum total leverage ratio of 3.00 to 1.00; and (iii)</w:t>
      </w:r>
      <w:r>
        <w:t xml:space="preserve"> </w:t>
      </w:r>
      <w:r>
        <w:rPr>
          <w:b/>
          <w:bCs/>
        </w:rPr>
        <w:t xml:space="preserve">minimum interest coverage ratio of 3.00 to 1.00.</w:t>
      </w:r>
      <w:r>
        <w:t xml:space="preserve"> </w:t>
      </w:r>
      <w:r>
        <w:t xml:space="preserve">The Credit Summary describes four financial covenants: (i)</w:t>
      </w:r>
      <w:r>
        <w:t xml:space="preserve"> </w:t>
      </w:r>
      <w:r>
        <w:rPr>
          <w:b/>
          <w:bCs/>
        </w:rPr>
        <w:t xml:space="preserve">minimum revenue of $200,000,000 (TTM)</w:t>
      </w:r>
      <w:r>
        <w:t xml:space="preserve">; (ii) maximum Total Net Leverage Ratio of 3.00 to 1.00; (iii) minimum liquidity of $15,000,000 (cash</w:t>
      </w:r>
      <w:r>
        <w:t xml:space="preserve"> </w:t>
      </w:r>
      <w:r>
        <w:rPr>
          <w:b/>
          <w:bCs/>
        </w:rPr>
        <w:t xml:space="preserve">plus available revolver</w:t>
      </w:r>
      <w:r>
        <w:t xml:space="preserve">); and (iv)</w:t>
      </w:r>
      <w:r>
        <w:t xml:space="preserve"> </w:t>
      </w:r>
      <w:r>
        <w:rPr>
          <w:b/>
          <w:bCs/>
        </w:rPr>
        <w:t xml:space="preserve">Fixed Charge Coverage Ratio of 1.25 to 1.00.</w:t>
      </w:r>
      <w:r>
        <w:t xml:space="preserve"> </w:t>
      </w:r>
      <w:r>
        <w:t xml:space="preserve">The S-1 omits the minimum revenue covenant, substitutes a</w:t>
      </w:r>
      <w:r>
        <w:t xml:space="preserve"> </w:t>
      </w:r>
      <w:r>
        <w:t xml:space="preserve">“</w:t>
      </w:r>
      <w:r>
        <w:t xml:space="preserve">minimum interest coverage ratio of 3.00x</w:t>
      </w:r>
      <w:r>
        <w:t xml:space="preserve">”</w:t>
      </w:r>
      <w:r>
        <w:t xml:space="preserve"> </w:t>
      </w:r>
      <w:r>
        <w:t xml:space="preserve">for the credit agreement’s</w:t>
      </w:r>
      <w:r>
        <w:t xml:space="preserve"> </w:t>
      </w:r>
      <w:r>
        <w:t xml:space="preserve">“</w:t>
      </w:r>
      <w:r>
        <w:t xml:space="preserve">fixed charge coverage ratio of 1.25x,</w:t>
      </w:r>
      <w:r>
        <w:t xml:space="preserve">”</w:t>
      </w:r>
      <w:r>
        <w:t xml:space="preserve"> </w:t>
      </w:r>
      <w:r>
        <w:t xml:space="preserve">and describes</w:t>
      </w:r>
      <w:r>
        <w:t xml:space="preserve"> </w:t>
      </w:r>
      <w:r>
        <w:t xml:space="preserve">“</w:t>
      </w:r>
      <w:r>
        <w:t xml:space="preserve">minimum unrestricted cash</w:t>
      </w:r>
      <w:r>
        <w:t xml:space="preserve">”</w:t>
      </w:r>
      <w:r>
        <w:t xml:space="preserve"> </w:t>
      </w:r>
      <w:r>
        <w:t xml:space="preserve">rather than</w:t>
      </w:r>
      <w:r>
        <w:t xml:space="preserve"> </w:t>
      </w:r>
      <w:r>
        <w:t xml:space="preserve">“</w:t>
      </w:r>
      <w:r>
        <w:t xml:space="preserve">minimum liquidity (cash plus available commitment).</w:t>
      </w:r>
      <w:r>
        <w:t xml:space="preserve">”</w:t>
      </w:r>
      <w:r>
        <w:t xml:space="preserve"> </w:t>
      </w:r>
      <w:r>
        <w:rPr>
          <w:i/>
          <w:iCs/>
        </w:rPr>
        <w:t xml:space="preserve">Recommendation:</w:t>
      </w:r>
      <w:r>
        <w:t xml:space="preserve"> </w:t>
      </w:r>
      <w:r>
        <w:t xml:space="preserve">Conform the S-1’s financial covenant disclosure to the credit agreement.</w:t>
      </w:r>
    </w:p>
    <w:p>
      <w:pPr>
        <w:pStyle w:val="BodyText"/>
      </w:pPr>
      <w:r>
        <w:rPr>
          <w:b/>
          <w:bCs/>
        </w:rPr>
        <w:t xml:space="preserve">Issue 7 — Mandatory prepayment vs. Use of Proceeds (CRITICAL — internal S-1 inconsistency and cross-document).</w:t>
      </w:r>
      <w:r>
        <w:t xml:space="preserve"> </w:t>
      </w:r>
      <w:r>
        <w:t xml:space="preserve">The S-1’s Risk Factors disclose a</w:t>
      </w:r>
      <w:r>
        <w:t xml:space="preserve"> </w:t>
      </w:r>
      <w:r>
        <w:rPr>
          <w:b/>
          <w:bCs/>
        </w:rPr>
        <w:t xml:space="preserve">mandatory prepayment of</w:t>
      </w:r>
      <w:r>
        <w:rPr>
          <w:b/>
          <w:bCs/>
        </w:rPr>
        <w:t xml:space="preserve"> </w:t>
      </w:r>
      <w:r>
        <w:rPr>
          <w:b/>
          <w:bCs/>
        </w:rPr>
        <w:t xml:space="preserve">“</w:t>
      </w:r>
      <w:r>
        <w:rPr>
          <w:b/>
          <w:bCs/>
        </w:rPr>
        <w:t xml:space="preserve">approximately $15.2 million</w:t>
      </w:r>
      <w:r>
        <w:rPr>
          <w:b/>
          <w:bCs/>
        </w:rPr>
        <w:t xml:space="preserve">”</w:t>
      </w:r>
      <w:r>
        <w:t xml:space="preserve"> </w:t>
      </w:r>
      <w:r>
        <w:t xml:space="preserve">under the credit facility (50% of net equity proceeds in excess of $150 million). The S-1’s</w:t>
      </w:r>
      <w:r>
        <w:t xml:space="preserve"> </w:t>
      </w:r>
      <w:r>
        <w:rPr>
          <w:b/>
          <w:bCs/>
        </w:rPr>
        <w:t xml:space="preserve">Use of Proceeds, however, states that</w:t>
      </w:r>
      <w:r>
        <w:rPr>
          <w:b/>
          <w:bCs/>
        </w:rPr>
        <w:t xml:space="preserve"> </w:t>
      </w:r>
      <w:r>
        <w:rPr>
          <w:b/>
          <w:bCs/>
        </w:rPr>
        <w:t xml:space="preserve">“</w:t>
      </w:r>
      <w:r>
        <w:rPr>
          <w:b/>
          <w:bCs/>
        </w:rPr>
        <w:t xml:space="preserve">approximately $10 million</w:t>
      </w:r>
      <w:r>
        <w:rPr>
          <w:b/>
          <w:bCs/>
        </w:rPr>
        <w:t xml:space="preserve">”</w:t>
      </w:r>
      <w:r>
        <w:t xml:space="preserve"> </w:t>
      </w:r>
      <w:r>
        <w:t xml:space="preserve">of the net proceeds will be used to repay the revolving credit facility. The Credit Summary confirms the mandatory prepayment is</w:t>
      </w:r>
      <w:r>
        <w:t xml:space="preserve"> </w:t>
      </w:r>
      <w:r>
        <w:rPr>
          <w:b/>
          <w:bCs/>
        </w:rPr>
        <w:t xml:space="preserve">$15,240,000</w:t>
      </w:r>
      <w:r>
        <w:t xml:space="preserve"> </w:t>
      </w:r>
      <w:r>
        <w:t xml:space="preserve">(or</w:t>
      </w:r>
      <w:r>
        <w:t xml:space="preserve"> </w:t>
      </w:r>
      <w:r>
        <w:rPr>
          <w:b/>
          <w:bCs/>
        </w:rPr>
        <w:t xml:space="preserve">$13,640,000</w:t>
      </w:r>
      <w:r>
        <w:t xml:space="preserve"> </w:t>
      </w:r>
      <w:r>
        <w:t xml:space="preserve">if offering expenses of $3,200,000 are deductible from</w:t>
      </w:r>
      <w:r>
        <w:t xml:space="preserve"> </w:t>
      </w:r>
      <w:r>
        <w:t xml:space="preserve">“</w:t>
      </w:r>
      <w:r>
        <w:t xml:space="preserve">Net Equity Proceeds</w:t>
      </w:r>
      <w:r>
        <w:t xml:space="preserve">”</w:t>
      </w:r>
      <w:r>
        <w:t xml:space="preserve">), which in either case</w:t>
      </w:r>
      <w:r>
        <w:t xml:space="preserve"> </w:t>
      </w:r>
      <w:r>
        <w:rPr>
          <w:b/>
          <w:bCs/>
        </w:rPr>
        <w:t xml:space="preserve">exceeds the $10 million disclosed in the Use of Proceeds by $3,640,000 to $5,240,000.</w:t>
      </w:r>
      <w:r>
        <w:t xml:space="preserve"> </w:t>
      </w:r>
      <w:r>
        <w:t xml:space="preserve">The S-1 is therefore internally inconsistent, and the Use of Proceeds understates the mandatory prepayment obligation.</w:t>
      </w:r>
      <w:r>
        <w:t xml:space="preserve"> </w:t>
      </w:r>
      <w:r>
        <w:rPr>
          <w:i/>
          <w:iCs/>
        </w:rPr>
        <w:t xml:space="preserve">Recommendation:</w:t>
      </w:r>
      <w:r>
        <w:t xml:space="preserve"> </w:t>
      </w:r>
      <w:r>
        <w:t xml:space="preserve">(a) Revise the Use of Proceeds in the Final Prospectus to reflect the actual mandatory prepayment; (b) Company counsel to confirm whether offering expenses are deductible from</w:t>
      </w:r>
      <w:r>
        <w:t xml:space="preserve"> </w:t>
      </w:r>
      <w:r>
        <w:t xml:space="preserve">“</w:t>
      </w:r>
      <w:r>
        <w:t xml:space="preserve">Net Equity Proceeds</w:t>
      </w:r>
      <w:r>
        <w:t xml:space="preserve">”</w:t>
      </w:r>
      <w:r>
        <w:t xml:space="preserve">; and (c) the Underwriting Agreement’s Use of Proceeds representation (Section 2.16) and the Company’s covenant to apply proceeds (Section 4.7) are drafted to track the credit agreement’s mandatory prepayment obligation rather than the S-1’s understated $10 million figure.</w:t>
      </w:r>
    </w:p>
    <w:bookmarkEnd w:id="22"/>
    <w:bookmarkStart w:id="23" w:name="Xc0de5bcedb39bca8d0a63eb58c83ba52c5eddb3"/>
    <w:p>
      <w:pPr>
        <w:pStyle w:val="Heading3"/>
      </w:pPr>
      <w:r>
        <w:t xml:space="preserve">B. Comfort Letter vs. S-1 Financial Disclosures (CRITICAL)</w:t>
      </w:r>
    </w:p>
    <w:p>
      <w:pPr>
        <w:pStyle w:val="FirstParagraph"/>
      </w:pPr>
      <w:r>
        <w:rPr>
          <w:b/>
          <w:bCs/>
        </w:rPr>
        <w:t xml:space="preserve">Issue 8 — Balance-sheet figures do not reconcile (CRITICAL).</w:t>
      </w:r>
      <w:r>
        <w:t xml:space="preserve"> </w:t>
      </w:r>
      <w:r>
        <w:t xml:space="preserve">The draft Comfort Letter states that the following amounts</w:t>
      </w:r>
      <w:r>
        <w:t xml:space="preserve"> </w:t>
      </w:r>
      <w:r>
        <w:t xml:space="preserve">“</w:t>
      </w:r>
      <w:r>
        <w:t xml:space="preserve">agree with the audited consolidated balance sheet</w:t>
      </w:r>
      <w:r>
        <w:t xml:space="preserve">”</w:t>
      </w:r>
      <w:r>
        <w:t xml:space="preserve"> </w:t>
      </w:r>
      <w:r>
        <w:t xml:space="preserve">as of December 31, 2024:</w:t>
      </w:r>
      <w:r>
        <w:t xml:space="preserve"> </w:t>
      </w:r>
      <w:r>
        <w:rPr>
          <w:b/>
          <w:bCs/>
        </w:rPr>
        <w:t xml:space="preserve">total stockholders’ equity of $198,400,000; cash and cash equivalents of $47,300,000; and total assets of $312,700,000.</w:t>
      </w:r>
      <w:r>
        <w:t xml:space="preserve"> </w:t>
      </w:r>
      <w:r>
        <w:t xml:space="preserve">The Comfort Letter’s Appendix A (Table 3, Dilution) further states a</w:t>
      </w:r>
      <w:r>
        <w:t xml:space="preserve"> </w:t>
      </w:r>
      <w:r>
        <w:rPr>
          <w:b/>
          <w:bCs/>
        </w:rPr>
        <w:t xml:space="preserve">historical net tangible book value per share of $4.72</w:t>
      </w:r>
      <w:r>
        <w:t xml:space="preserve"> </w:t>
      </w:r>
      <w:r>
        <w:t xml:space="preserve">(which implies total equity of approximately $198.4 million divided by 42,000,000 shares). The S-1’s Capitalization table, however, reports</w:t>
      </w:r>
      <w:r>
        <w:t xml:space="preserve"> </w:t>
      </w:r>
      <w:r>
        <w:rPr>
          <w:b/>
          <w:bCs/>
        </w:rPr>
        <w:t xml:space="preserve">total stockholders’ equity of $101,400,000</w:t>
      </w:r>
      <w:r>
        <w:t xml:space="preserve"> </w:t>
      </w:r>
      <w:r>
        <w:t xml:space="preserve">and</w:t>
      </w:r>
      <w:r>
        <w:t xml:space="preserve"> </w:t>
      </w:r>
      <w:r>
        <w:rPr>
          <w:b/>
          <w:bCs/>
        </w:rPr>
        <w:t xml:space="preserve">cash and cash equivalents of $38,400,000</w:t>
      </w:r>
      <w:r>
        <w:t xml:space="preserve">, and the S-1’s Dilution section reports a</w:t>
      </w:r>
      <w:r>
        <w:t xml:space="preserve"> </w:t>
      </w:r>
      <w:r>
        <w:rPr>
          <w:b/>
          <w:bCs/>
        </w:rPr>
        <w:t xml:space="preserve">historical net tangible book value per share of $2.17</w:t>
      </w:r>
      <w:r>
        <w:t xml:space="preserve"> </w:t>
      </w:r>
      <w:r>
        <w:t xml:space="preserve">(implying net tangible book value of approximately $91.2 million). The two sets of figures are internally consistent within each document but</w:t>
      </w:r>
      <w:r>
        <w:t xml:space="preserve"> </w:t>
      </w:r>
      <w:r>
        <w:rPr>
          <w:b/>
          <w:bCs/>
        </w:rPr>
        <w:t xml:space="preserve">mutually inconsistent with each other</w:t>
      </w:r>
      <w:r>
        <w:t xml:space="preserve"> </w:t>
      </w:r>
      <w:r>
        <w:t xml:space="preserve">(a ~$97 million difference in equity and a ~$8.9 million difference in cash). Because the Comfort Letter expressly states that its figures</w:t>
      </w:r>
      <w:r>
        <w:t xml:space="preserve"> </w:t>
      </w:r>
      <w:r>
        <w:t xml:space="preserve">“</w:t>
      </w:r>
      <w:r>
        <w:t xml:space="preserve">agree with the audited consolidated balance sheet,</w:t>
      </w:r>
      <w:r>
        <w:t xml:space="preserve">”</w:t>
      </w:r>
      <w:r>
        <w:t xml:space="preserve"> </w:t>
      </w:r>
      <w:r>
        <w:t xml:space="preserve">if the Comfort Letter is correct, the S-1’s Capitalization table and Dilution section are materially misstated (and vice versa).</w:t>
      </w:r>
      <w:r>
        <w:t xml:space="preserve"> </w:t>
      </w:r>
      <w:r>
        <w:rPr>
          <w:i/>
          <w:iCs/>
        </w:rPr>
        <w:t xml:space="preserve">Recommendation:</w:t>
      </w:r>
      <w:r>
        <w:t xml:space="preserve"> </w:t>
      </w:r>
      <w:r>
        <w:t xml:space="preserve">Reconcile the audited balance sheet figures with the S-1’s Capitalization and Dilution disclosures before the final Comfort Letter is delivered and before the Closing. The Underwriting Agreement’s closing condition requiring a Comfort Letter</w:t>
      </w:r>
      <w:r>
        <w:t xml:space="preserve"> </w:t>
      </w:r>
      <w:r>
        <w:t xml:space="preserve">“</w:t>
      </w:r>
      <w:r>
        <w:t xml:space="preserve">in form and substance satisfactory to the Representative</w:t>
      </w:r>
      <w:r>
        <w:t xml:space="preserve">”</w:t>
      </w:r>
      <w:r>
        <w:t xml:space="preserve"> </w:t>
      </w:r>
      <w:r>
        <w:t xml:space="preserve">(Section 6.5) and the Company’s financial-statement and no-Material-Adverse-Change representations cannot be cleared until this is resolved. This is a potential material misstatement in an effective Registration Statement and may require a prospectus supplement.</w:t>
      </w:r>
    </w:p>
    <w:p>
      <w:pPr>
        <w:pStyle w:val="BodyText"/>
      </w:pPr>
      <w:r>
        <w:rPr>
          <w:b/>
          <w:bCs/>
        </w:rPr>
        <w:t xml:space="preserve">Issue 9 — Comfort Letter cross-reference to</w:t>
      </w:r>
      <w:r>
        <w:rPr>
          <w:b/>
          <w:bCs/>
        </w:rPr>
        <w:t xml:space="preserve"> </w:t>
      </w:r>
      <w:r>
        <w:rPr>
          <w:b/>
          <w:bCs/>
        </w:rPr>
        <w:t xml:space="preserve">“</w:t>
      </w:r>
      <w:r>
        <w:rPr>
          <w:b/>
          <w:bCs/>
        </w:rPr>
        <w:t xml:space="preserve">Section 7(d)</w:t>
      </w:r>
      <w:r>
        <w:rPr>
          <w:b/>
          <w:bCs/>
        </w:rPr>
        <w:t xml:space="preserve">”</w:t>
      </w:r>
      <w:r>
        <w:rPr>
          <w:b/>
          <w:bCs/>
        </w:rPr>
        <w:t xml:space="preserve"> </w:t>
      </w:r>
      <w:r>
        <w:rPr>
          <w:b/>
          <w:bCs/>
        </w:rPr>
        <w:t xml:space="preserve">(MEDIUM).</w:t>
      </w:r>
      <w:r>
        <w:t xml:space="preserve"> </w:t>
      </w:r>
      <w:r>
        <w:t xml:space="preserve">The Comfort Letter states it is</w:t>
      </w:r>
      <w:r>
        <w:t xml:space="preserve"> </w:t>
      </w:r>
      <w:r>
        <w:t xml:space="preserve">“</w:t>
      </w:r>
      <w:r>
        <w:t xml:space="preserve">furnished pursuant to Section 7(d) of the Underwriting Agreement.</w:t>
      </w:r>
      <w:r>
        <w:t xml:space="preserve">”</w:t>
      </w:r>
      <w:r>
        <w:t xml:space="preserve"> </w:t>
      </w:r>
      <w:r>
        <w:t xml:space="preserve">The Underwriting Agreement as drafted addresses comfort-letter delivery in Section 4.5 (covenant) and Section 6.5 (closing condition), and the Closing in Article VII.</w:t>
      </w:r>
      <w:r>
        <w:t xml:space="preserve"> </w:t>
      </w:r>
      <w:r>
        <w:rPr>
          <w:i/>
          <w:iCs/>
        </w:rPr>
        <w:t xml:space="preserve">Recommendation:</w:t>
      </w:r>
      <w:r>
        <w:t xml:space="preserve"> </w:t>
      </w:r>
      <w:r>
        <w:t xml:space="preserve">Confirm the section cross-reference in the final Comfort Letter against the final section numbering of the Underwriting Agreement, or renumber the Underwriting Agreement’s comfort-letter covenant to match.</w:t>
      </w:r>
    </w:p>
    <w:p>
      <w:pPr>
        <w:pStyle w:val="BodyText"/>
      </w:pPr>
      <w:r>
        <w:rPr>
          <w:b/>
          <w:bCs/>
        </w:rPr>
        <w:t xml:space="preserve">Issue 10 — Comfort Letter Change Period cutoff (MEDIUM).</w:t>
      </w:r>
      <w:r>
        <w:t xml:space="preserve"> </w:t>
      </w:r>
      <w:r>
        <w:t xml:space="preserve">The draft Comfort Letter’s negative-assurance procedures extend only through</w:t>
      </w:r>
      <w:r>
        <w:t xml:space="preserve"> </w:t>
      </w:r>
      <w:r>
        <w:rPr>
          <w:b/>
          <w:bCs/>
        </w:rPr>
        <w:t xml:space="preserve">March 10, 2025</w:t>
      </w:r>
      <w:r>
        <w:t xml:space="preserve">, while the Pricing Date is March 19, 2025 and the Closing Date is March 24, 2025. The Comfort Letter acknowledges that a bring-down letter will update the Change Period through a date no more than three business days before the bring-down date.</w:t>
      </w:r>
      <w:r>
        <w:t xml:space="preserve"> </w:t>
      </w:r>
      <w:r>
        <w:rPr>
          <w:i/>
          <w:iCs/>
        </w:rPr>
        <w:t xml:space="preserve">Recommendation:</w:t>
      </w:r>
      <w:r>
        <w:t xml:space="preserve"> </w:t>
      </w:r>
      <w:r>
        <w:t xml:space="preserve">Confirm that the final Comfort Letter (at pricing) and the bring-down Comfort Letter (at Closing) extend the Change Period to a date sufficiently current for the Representative and Underwriters’ Counsel to clear the no-Material-Adverse-Change representation.</w:t>
      </w:r>
    </w:p>
    <w:bookmarkEnd w:id="23"/>
    <w:bookmarkStart w:id="24" w:name="X2ac00703205e49784b5c09e8499b3b60f618eaa"/>
    <w:p>
      <w:pPr>
        <w:pStyle w:val="Heading3"/>
      </w:pPr>
      <w:r>
        <w:t xml:space="preserve">C. Selling Stockholder Identity Discrepancies (CRITICAL / HIGH)</w:t>
      </w:r>
    </w:p>
    <w:p>
      <w:pPr>
        <w:pStyle w:val="FirstParagraph"/>
      </w:pPr>
      <w:r>
        <w:t xml:space="preserve">The identity of the Selling Stockholders, their general partners, and their control persons is inconsistent across the S-1, the POA, and the Cascade Questionnaire. Because the Underwriting Agreement’s Selling Stockholder representations (Article III) and the S-1’s beneficial-ownership disclosures must be accurate, these must be reconciled.</w:t>
      </w:r>
    </w:p>
    <w:p>
      <w:pPr>
        <w:pStyle w:val="BodyText"/>
      </w:pPr>
      <w:r>
        <w:rPr>
          <w:b/>
          <w:bCs/>
        </w:rPr>
        <w:t xml:space="preserve">Issue 11 — Cascade Kestridge Ventures, LP — general partner and control persons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General Partner</w:t>
            </w:r>
          </w:p>
        </w:tc>
        <w:tc>
          <w:tcPr/>
          <w:p>
            <w:pPr>
              <w:pStyle w:val="Compact"/>
              <w:jc w:val="left"/>
            </w:pPr>
            <w:r>
              <w:t xml:space="preserve">Control Person(s)</w:t>
            </w:r>
          </w:p>
        </w:tc>
        <w:tc>
          <w:tcPr/>
          <w:p>
            <w:pPr>
              <w:pStyle w:val="Compact"/>
              <w:jc w:val="left"/>
            </w:pPr>
            <w:r>
              <w:t xml:space="preserve">Address</w:t>
            </w:r>
          </w:p>
        </w:tc>
      </w:tr>
      <w:tr>
        <w:tc>
          <w:tcPr/>
          <w:p>
            <w:pPr>
              <w:pStyle w:val="Compact"/>
              <w:jc w:val="left"/>
            </w:pPr>
            <w:r>
              <w:t xml:space="preserve">S-1 (beneficial ownership footnote 1)</w:t>
            </w:r>
          </w:p>
        </w:tc>
        <w:tc>
          <w:tcPr/>
          <w:p>
            <w:pPr>
              <w:pStyle w:val="Compact"/>
              <w:jc w:val="left"/>
            </w:pPr>
            <w:r>
              <w:t xml:space="preserve">Cascade Ridge Capital Management LLC</w:t>
            </w:r>
          </w:p>
        </w:tc>
        <w:tc>
          <w:tcPr/>
          <w:p>
            <w:pPr>
              <w:pStyle w:val="Compact"/>
              <w:jc w:val="left"/>
            </w:pPr>
            <w:r>
              <w:t xml:space="preserve">James Whitfield</w:t>
            </w:r>
          </w:p>
        </w:tc>
        <w:tc>
          <w:tcPr/>
          <w:p>
            <w:pPr>
              <w:pStyle w:val="Compact"/>
              <w:jc w:val="left"/>
            </w:pPr>
            <w:r>
              <w:t xml:space="preserve">1200 Fourth Avenue, Suite 3000, Seattle, WA 98101</w:t>
            </w:r>
          </w:p>
        </w:tc>
      </w:tr>
      <w:tr>
        <w:tc>
          <w:tcPr/>
          <w:p>
            <w:pPr>
              <w:pStyle w:val="Compact"/>
              <w:jc w:val="left"/>
            </w:pPr>
            <w:r>
              <w:t xml:space="preserve">Cascade Questionnaire</w:t>
            </w:r>
          </w:p>
        </w:tc>
        <w:tc>
          <w:tcPr/>
          <w:p>
            <w:pPr>
              <w:pStyle w:val="Compact"/>
              <w:jc w:val="left"/>
            </w:pPr>
            <w:r>
              <w:t xml:space="preserve">Cascade Kestridge Ventures Management, LLC</w:t>
            </w:r>
          </w:p>
        </w:tc>
        <w:tc>
          <w:tcPr/>
          <w:p>
            <w:pPr>
              <w:pStyle w:val="Compact"/>
              <w:jc w:val="left"/>
            </w:pPr>
            <w:r>
              <w:t xml:space="preserve">Marcus J. Aldridge; Teresa Huang</w:t>
            </w:r>
          </w:p>
        </w:tc>
        <w:tc>
          <w:tcPr/>
          <w:p>
            <w:pPr>
              <w:pStyle w:val="Compact"/>
              <w:jc w:val="left"/>
            </w:pPr>
            <w:r>
              <w:t xml:space="preserve">2800 Sand Hill Road, Suite 210, Menlo Park, CA 94025</w:t>
            </w:r>
          </w:p>
        </w:tc>
      </w:tr>
      <w:tr>
        <w:tc>
          <w:tcPr/>
          <w:p>
            <w:pPr>
              <w:pStyle w:val="Compact"/>
              <w:jc w:val="left"/>
            </w:pPr>
            <w:r>
              <w:t xml:space="preserve">POA (signature block)</w:t>
            </w:r>
          </w:p>
        </w:tc>
        <w:tc>
          <w:tcPr/>
          <w:p>
            <w:pPr>
              <w:pStyle w:val="Compact"/>
              <w:jc w:val="left"/>
            </w:pPr>
            <w:r>
              <w:t xml:space="preserve">Cascade Ridge Capital Management, LLC</w:t>
            </w:r>
          </w:p>
        </w:tc>
        <w:tc>
          <w:tcPr/>
          <w:p>
            <w:pPr>
              <w:pStyle w:val="Compact"/>
              <w:jc w:val="left"/>
            </w:pPr>
            <w:r>
              <w:t xml:space="preserve">Margaret T. Okonkwo</w:t>
            </w:r>
          </w:p>
        </w:tc>
        <w:tc>
          <w:tcPr/>
          <w:p>
            <w:pPr>
              <w:pStyle w:val="Compact"/>
              <w:jc w:val="left"/>
            </w:pPr>
            <w:r>
              <w:t xml:space="preserve">(blank)</w:t>
            </w:r>
          </w:p>
        </w:tc>
      </w:tr>
    </w:tbl>
    <w:p>
      <w:pPr>
        <w:pStyle w:val="BodyText"/>
      </w:pPr>
      <w:r>
        <w:t xml:space="preserve">The general partner’s name, the natural-person control persons, and the principal address all differ across the three documents.</w:t>
      </w:r>
      <w:r>
        <w:t xml:space="preserve"> </w:t>
      </w:r>
      <w:r>
        <w:rPr>
          <w:i/>
          <w:iCs/>
        </w:rPr>
        <w:t xml:space="preserve">Recommendation:</w:t>
      </w:r>
      <w:r>
        <w:t xml:space="preserve"> </w:t>
      </w:r>
      <w:r>
        <w:t xml:space="preserve">Confirm the correct general partner and control persons from the partnership agreement and the S-1 beneficial-ownership disclosure, and conform the POA and the Cascade Questionnaire. The S-1’s beneficial-ownership footnote (which is part of the effective Registration Statement) must be accurate; if the Questionnaire is correct, the S-1 footnote must be corrected.</w:t>
      </w:r>
    </w:p>
    <w:p>
      <w:pPr>
        <w:pStyle w:val="BodyText"/>
      </w:pPr>
      <w:r>
        <w:rPr>
          <w:b/>
          <w:bCs/>
        </w:rPr>
        <w:t xml:space="preserve">Issue 12 — POA entity-name error (CRITICAL).</w:t>
      </w:r>
      <w:r>
        <w:t xml:space="preserve"> </w:t>
      </w:r>
      <w:r>
        <w:t xml:space="preserve">The POA’s signature block identifies the Selling Stockholder as</w:t>
      </w:r>
      <w:r>
        <w:t xml:space="preserve"> </w:t>
      </w:r>
      <w:r>
        <w:rPr>
          <w:b/>
          <w:bCs/>
        </w:rPr>
        <w:t xml:space="preserve">“</w:t>
      </w:r>
      <w:r>
        <w:rPr>
          <w:b/>
          <w:bCs/>
        </w:rPr>
        <w:t xml:space="preserve">CASCADE RIDGE VENTURES, LP</w:t>
      </w:r>
      <w:r>
        <w:rPr>
          <w:b/>
          <w:bCs/>
        </w:rPr>
        <w:t xml:space="preserve">”</w:t>
      </w:r>
      <w:r>
        <w:t xml:space="preserve"> </w:t>
      </w:r>
      <w:r>
        <w:t xml:space="preserve">rather than</w:t>
      </w:r>
      <w:r>
        <w:t xml:space="preserve"> </w:t>
      </w:r>
      <w:r>
        <w:rPr>
          <w:b/>
          <w:bCs/>
        </w:rPr>
        <w:t xml:space="preserve">“</w:t>
      </w:r>
      <w:r>
        <w:rPr>
          <w:b/>
          <w:bCs/>
        </w:rPr>
        <w:t xml:space="preserve">Cascade Kestridge Ventures, LP.</w:t>
      </w:r>
      <w:r>
        <w:rPr>
          <w:b/>
          <w:bCs/>
        </w:rPr>
        <w:t xml:space="preserve">”</w:t>
      </w:r>
      <w:r>
        <w:t xml:space="preserve"> </w:t>
      </w:r>
      <w:r>
        <w:t xml:space="preserve">This appears to be a scrivener’s error in the POA.</w:t>
      </w:r>
      <w:r>
        <w:t xml:space="preserve"> </w:t>
      </w:r>
      <w:r>
        <w:rPr>
          <w:i/>
          <w:iCs/>
        </w:rPr>
        <w:t xml:space="preserve">Recommendation:</w:t>
      </w:r>
      <w:r>
        <w:t xml:space="preserve"> </w:t>
      </w:r>
      <w:r>
        <w:t xml:space="preserve">Correct the entity name in the POA to</w:t>
      </w:r>
      <w:r>
        <w:t xml:space="preserve"> </w:t>
      </w:r>
      <w:r>
        <w:t xml:space="preserve">“</w:t>
      </w:r>
      <w:r>
        <w:t xml:space="preserve">Cascade Kestridge Ventures, LP</w:t>
      </w:r>
      <w:r>
        <w:t xml:space="preserve">”</w:t>
      </w:r>
      <w:r>
        <w:t xml:space="preserve"> </w:t>
      </w:r>
      <w:r>
        <w:t xml:space="preserve">and have the corrected POA re-executed. The Underwriting Agreement (Schedule B) uses the correct name.</w:t>
      </w:r>
    </w:p>
    <w:p>
      <w:pPr>
        <w:pStyle w:val="BodyText"/>
      </w:pPr>
      <w:r>
        <w:rPr>
          <w:b/>
          <w:bCs/>
        </w:rPr>
        <w:t xml:space="preserve">Issue 13 — Northlight Growth Partners Fund II, LP — general partner and control persons (HIGH).</w:t>
      </w:r>
      <w:r>
        <w:t xml:space="preserve"> </w:t>
      </w:r>
      <w:r>
        <w:t xml:space="preserve">The S-1 (beneficial ownership footnote 2) identifies the general partner as</w:t>
      </w:r>
      <w:r>
        <w:t xml:space="preserve"> </w:t>
      </w:r>
      <w:r>
        <w:rPr>
          <w:b/>
          <w:bCs/>
        </w:rPr>
        <w:t xml:space="preserve">“</w:t>
      </w:r>
      <w:r>
        <w:rPr>
          <w:b/>
          <w:bCs/>
        </w:rPr>
        <w:t xml:space="preserve">Northlight Capital Advisors LLC</w:t>
      </w:r>
      <w:r>
        <w:rPr>
          <w:b/>
          <w:bCs/>
        </w:rPr>
        <w:t xml:space="preserve">”</w:t>
      </w:r>
      <w:r>
        <w:t xml:space="preserve"> </w:t>
      </w:r>
      <w:r>
        <w:t xml:space="preserve">and the control person as</w:t>
      </w:r>
      <w:r>
        <w:t xml:space="preserve"> </w:t>
      </w:r>
      <w:r>
        <w:rPr>
          <w:b/>
          <w:bCs/>
        </w:rPr>
        <w:t xml:space="preserve">“</w:t>
      </w:r>
      <w:r>
        <w:rPr>
          <w:b/>
          <w:bCs/>
        </w:rPr>
        <w:t xml:space="preserve">Caroline Briggs.</w:t>
      </w:r>
      <w:r>
        <w:rPr>
          <w:b/>
          <w:bCs/>
        </w:rPr>
        <w:t xml:space="preserve">”</w:t>
      </w:r>
      <w:r>
        <w:t xml:space="preserve"> </w:t>
      </w:r>
      <w:r>
        <w:t xml:space="preserve">The POA signature block identifies the general partner as</w:t>
      </w:r>
      <w:r>
        <w:t xml:space="preserve"> </w:t>
      </w:r>
      <w:r>
        <w:rPr>
          <w:b/>
          <w:bCs/>
        </w:rPr>
        <w:t xml:space="preserve">“</w:t>
      </w:r>
      <w:r>
        <w:rPr>
          <w:b/>
          <w:bCs/>
        </w:rPr>
        <w:t xml:space="preserve">Northlight Growth Advisors, LLC</w:t>
      </w:r>
      <w:r>
        <w:rPr>
          <w:b/>
          <w:bCs/>
        </w:rPr>
        <w:t xml:space="preserve">”</w:t>
      </w:r>
      <w:r>
        <w:t xml:space="preserve"> </w:t>
      </w:r>
      <w:r>
        <w:t xml:space="preserve">and the signatory as</w:t>
      </w:r>
      <w:r>
        <w:t xml:space="preserve"> </w:t>
      </w:r>
      <w:r>
        <w:rPr>
          <w:b/>
          <w:bCs/>
        </w:rPr>
        <w:t xml:space="preserve">“</w:t>
      </w:r>
      <w:r>
        <w:rPr>
          <w:b/>
          <w:bCs/>
        </w:rPr>
        <w:t xml:space="preserve">Eric P. Johansson, Managing Partner.</w:t>
      </w:r>
      <w:r>
        <w:rPr>
          <w:b/>
          <w:bCs/>
        </w:rPr>
        <w:t xml:space="preserve">”</w:t>
      </w:r>
      <w:r>
        <w:t xml:space="preserve"> </w:t>
      </w:r>
      <w:r>
        <w:rPr>
          <w:i/>
          <w:iCs/>
        </w:rPr>
        <w:t xml:space="preserve">Recommendation:</w:t>
      </w:r>
      <w:r>
        <w:t xml:space="preserve"> </w:t>
      </w:r>
      <w:r>
        <w:t xml:space="preserve">Confirm the correct general partner and control persons and conform the POA and the S-1.</w:t>
      </w:r>
    </w:p>
    <w:p>
      <w:pPr>
        <w:pStyle w:val="BodyText"/>
      </w:pPr>
      <w:r>
        <w:rPr>
          <w:b/>
          <w:bCs/>
        </w:rPr>
        <w:t xml:space="preserve">Issue 14 — Missing selling stockholder questionnaires (HIGH).</w:t>
      </w:r>
      <w:r>
        <w:t xml:space="preserve"> </w:t>
      </w:r>
      <w:r>
        <w:t xml:space="preserve">Only the Cascade Questionnaire has been provided.</w:t>
      </w:r>
      <w:r>
        <w:t xml:space="preserve"> </w:t>
      </w:r>
      <w:r>
        <w:rPr>
          <w:i/>
          <w:iCs/>
        </w:rPr>
        <w:t xml:space="preserve">Recommendation:</w:t>
      </w:r>
      <w:r>
        <w:t xml:space="preserve"> </w:t>
      </w:r>
      <w:r>
        <w:t xml:space="preserve">Confirm that completed selling stockholder questionnaires have been received from Northlight Growth Partners Fund II, LP and Dr. Anand Krishnamurthy, and that the information therein is consistent with the S-1’s beneficial-ownership disclosures and the Underwriting Agreement’s Schedule B. The Underwriting Agreement’s closing condition (Section 6.10) requires questionnaires consistent with the Disclosure Documents.</w:t>
      </w:r>
    </w:p>
    <w:p>
      <w:pPr>
        <w:pStyle w:val="BodyText"/>
      </w:pPr>
      <w:r>
        <w:rPr>
          <w:b/>
          <w:bCs/>
        </w:rPr>
        <w:t xml:space="preserve">Issue 15 — Cascade board observer seat / relationship disclosure (MEDIUM).</w:t>
      </w:r>
      <w:r>
        <w:t xml:space="preserve"> </w:t>
      </w:r>
      <w:r>
        <w:t xml:space="preserve">The Cascade Questionnaire (Section 4(a)) discloses that Cascade held a</w:t>
      </w:r>
      <w:r>
        <w:t xml:space="preserve"> </w:t>
      </w:r>
      <w:r>
        <w:rPr>
          <w:b/>
          <w:bCs/>
        </w:rPr>
        <w:t xml:space="preserve">board observer seat</w:t>
      </w:r>
      <w:r>
        <w:t xml:space="preserve"> </w:t>
      </w:r>
      <w:r>
        <w:t xml:space="preserve">pursuant to the Series A Preferred Stock Purchase Agreement through January 2025, terminating upon IPO closing. The S-1’s beneficial-ownership footnote for Cascade does not mention this relationship. FINRA Rule 5110 requires disclosure of material relationships between selling stockholders and the issuer.</w:t>
      </w:r>
      <w:r>
        <w:t xml:space="preserve"> </w:t>
      </w:r>
      <w:r>
        <w:rPr>
          <w:i/>
          <w:iCs/>
        </w:rPr>
        <w:t xml:space="preserve">Recommendation:</w:t>
      </w:r>
      <w:r>
        <w:t xml:space="preserve"> </w:t>
      </w:r>
      <w:r>
        <w:t xml:space="preserve">Confirm that the S-1’s selling-stockholder section discloses the board observer relationship, or add such disclosure to the Final Prospectus.</w:t>
      </w:r>
    </w:p>
    <w:p>
      <w:pPr>
        <w:pStyle w:val="BodyText"/>
      </w:pPr>
      <w:r>
        <w:rPr>
          <w:b/>
          <w:bCs/>
        </w:rPr>
        <w:t xml:space="preserve">Issue 16 — Investors’ Rights Agreement (MEDIUM).</w:t>
      </w:r>
      <w:r>
        <w:t xml:space="preserve"> </w:t>
      </w:r>
      <w:r>
        <w:t xml:space="preserve">The Cascade Questionnaire (Section 2(b)) states that all rights under the Company’s</w:t>
      </w:r>
      <w:r>
        <w:t xml:space="preserve"> </w:t>
      </w:r>
      <w:r>
        <w:rPr>
          <w:b/>
          <w:bCs/>
        </w:rPr>
        <w:t xml:space="preserve">Investors’ Rights Agreement</w:t>
      </w:r>
      <w:r>
        <w:t xml:space="preserve"> </w:t>
      </w:r>
      <w:r>
        <w:t xml:space="preserve">will terminate upon the closing of the IPO. The S-1 does not mention an Investors’ Rights Agreement.</w:t>
      </w:r>
      <w:r>
        <w:t xml:space="preserve"> </w:t>
      </w:r>
      <w:r>
        <w:rPr>
          <w:i/>
          <w:iCs/>
        </w:rPr>
        <w:t xml:space="preserve">Recommendation:</w:t>
      </w:r>
      <w:r>
        <w:t xml:space="preserve"> </w:t>
      </w:r>
      <w:r>
        <w:t xml:space="preserve">Confirm the existence and termination of the Investors’ Rights Agreement and that no surviving registration rights would conflict with the lock-up or the Offering. The Underwriting Agreement’s Selling Stockholder representation regarding registration rights (Section 3.4) covers this, but the existence of the IRA should be confirmed and, if material, disclosed.</w:t>
      </w:r>
    </w:p>
    <w:bookmarkEnd w:id="24"/>
    <w:bookmarkStart w:id="25" w:name="d.-offering-structure-discrepancies-high"/>
    <w:p>
      <w:pPr>
        <w:pStyle w:val="Heading3"/>
      </w:pPr>
      <w:r>
        <w:t xml:space="preserve">D. Offering Structure Discrepancies (HIGH)</w:t>
      </w:r>
    </w:p>
    <w:p>
      <w:pPr>
        <w:pStyle w:val="FirstParagraph"/>
      </w:pPr>
      <w:r>
        <w:rPr>
          <w:b/>
          <w:bCs/>
        </w:rPr>
        <w:t xml:space="preserve">Issue 17 — Over-Allotment Option source (HIGH).</w:t>
      </w:r>
      <w:r>
        <w:t xml:space="preserve"> </w:t>
      </w:r>
      <w:r>
        <w:t xml:space="preserve">The Term Sheet (Section 2.2) grants the Over-Allotment Option to purchase shares</w:t>
      </w:r>
      <w:r>
        <w:t xml:space="preserve"> </w:t>
      </w:r>
      <w:r>
        <w:rPr>
          <w:b/>
          <w:bCs/>
        </w:rPr>
        <w:t xml:space="preserve">“</w:t>
      </w:r>
      <w:r>
        <w:rPr>
          <w:b/>
          <w:bCs/>
        </w:rPr>
        <w:t xml:space="preserve">from the Company and/or the Selling Stockholders.</w:t>
      </w:r>
      <w:r>
        <w:rPr>
          <w:b/>
          <w:bCs/>
        </w:rPr>
        <w:t xml:space="preserve">”</w:t>
      </w:r>
      <w:r>
        <w:t xml:space="preserve"> </w:t>
      </w:r>
      <w:r>
        <w:t xml:space="preserve">The Engagement Letter (Section 2), the S-1 (cover page and Section XI.B), and the Cascade Questionnaire (Section 2(b)) all state that the option shares are sourced</w:t>
      </w:r>
      <w:r>
        <w:t xml:space="preserve"> </w:t>
      </w:r>
      <w:r>
        <w:rPr>
          <w:b/>
          <w:bCs/>
        </w:rPr>
        <w:t xml:space="preserve">“</w:t>
      </w:r>
      <w:r>
        <w:rPr>
          <w:b/>
          <w:bCs/>
        </w:rPr>
        <w:t xml:space="preserve">exclusively from newly issued [Company] shares.</w:t>
      </w:r>
      <w:r>
        <w:rPr>
          <w:b/>
          <w:bCs/>
        </w:rPr>
        <w:t xml:space="preserve">”</w:t>
      </w:r>
      <w:r>
        <w:t xml:space="preserve"> </w:t>
      </w:r>
      <w:r>
        <w:t xml:space="preserve">The Underwriting Agreement (Section 1.3(b)) adopts the</w:t>
      </w:r>
      <w:r>
        <w:t xml:space="preserve"> </w:t>
      </w:r>
      <w:r>
        <w:t xml:space="preserve">“</w:t>
      </w:r>
      <w:r>
        <w:t xml:space="preserve">exclusively from the Company</w:t>
      </w:r>
      <w:r>
        <w:t xml:space="preserve">”</w:t>
      </w:r>
      <w:r>
        <w:t xml:space="preserve"> </w:t>
      </w:r>
      <w:r>
        <w:t xml:space="preserve">position to match the S-1 (the operative disclosure document) and the Engagement Letter.</w:t>
      </w:r>
      <w:r>
        <w:t xml:space="preserve"> </w:t>
      </w:r>
      <w:r>
        <w:rPr>
          <w:i/>
          <w:iCs/>
        </w:rPr>
        <w:t xml:space="preserve">Recommendation:</w:t>
      </w:r>
      <w:r>
        <w:t xml:space="preserve"> </w:t>
      </w:r>
      <w:r>
        <w:t xml:space="preserve">Confirm the sourcing of the option shares. If the option is to be exercisable against the Selling Stockholders, the S-1 disclosure (which states</w:t>
      </w:r>
      <w:r>
        <w:t xml:space="preserve"> </w:t>
      </w:r>
      <w:r>
        <w:t xml:space="preserve">“</w:t>
      </w:r>
      <w:r>
        <w:t xml:space="preserve">from us</w:t>
      </w:r>
      <w:r>
        <w:t xml:space="preserve">”</w:t>
      </w:r>
      <w:r>
        <w:t xml:space="preserve">) must be corrected and the Selling Stockholders’ maximum sale obligations revisited. The Term Sheet’s</w:t>
      </w:r>
      <w:r>
        <w:t xml:space="preserve"> </w:t>
      </w:r>
      <w:r>
        <w:t xml:space="preserve">“</w:t>
      </w:r>
      <w:r>
        <w:t xml:space="preserve">and/or</w:t>
      </w:r>
      <w:r>
        <w:t xml:space="preserve">”</w:t>
      </w:r>
      <w:r>
        <w:t xml:space="preserve"> </w:t>
      </w:r>
      <w:r>
        <w:t xml:space="preserve">language should be conformed.</w:t>
      </w:r>
    </w:p>
    <w:p>
      <w:pPr>
        <w:pStyle w:val="BodyText"/>
      </w:pPr>
      <w:r>
        <w:rPr>
          <w:b/>
          <w:bCs/>
        </w:rPr>
        <w:t xml:space="preserve">Issue 18 — Dr. Krishnamurthy’s Selling Stockholder Shares (HIGH).</w:t>
      </w:r>
      <w:r>
        <w:t xml:space="preserve"> </w:t>
      </w:r>
      <w:r>
        <w:t xml:space="preserve">The Term Sheet (Section 2.1), the S-1, and the POA (Schedule A) each state that Dr. Krishnamurthy will sell</w:t>
      </w:r>
      <w:r>
        <w:t xml:space="preserve"> </w:t>
      </w:r>
      <w:r>
        <w:rPr>
          <w:b/>
          <w:bCs/>
        </w:rPr>
        <w:t xml:space="preserve">500,000 shares.</w:t>
      </w:r>
      <w:r>
        <w:t xml:space="preserve"> </w:t>
      </w:r>
      <w:r>
        <w:t xml:space="preserve">The Engagement Letter (Section 2 and Annex A) states</w:t>
      </w:r>
      <w:r>
        <w:t xml:space="preserve"> </w:t>
      </w:r>
      <w:r>
        <w:rPr>
          <w:b/>
          <w:bCs/>
        </w:rPr>
        <w:t xml:space="preserve">“</w:t>
      </w:r>
      <w:r>
        <w:rPr>
          <w:b/>
          <w:bCs/>
        </w:rPr>
        <w:t xml:space="preserve">up to 750,000 shares</w:t>
      </w:r>
      <w:r>
        <w:rPr>
          <w:b/>
          <w:bCs/>
        </w:rPr>
        <w:t xml:space="preserve">”</w:t>
      </w:r>
      <w:r>
        <w:t xml:space="preserve"> </w:t>
      </w:r>
      <w:r>
        <w:t xml:space="preserve">(with a 500,000-share baseline for economic calculations). The Underwriting Agreement (Schedule B) uses</w:t>
      </w:r>
      <w:r>
        <w:t xml:space="preserve"> </w:t>
      </w:r>
      <w:r>
        <w:rPr>
          <w:b/>
          <w:bCs/>
        </w:rPr>
        <w:t xml:space="preserve">500,000 shares</w:t>
      </w:r>
      <w:r>
        <w:t xml:space="preserve">, consistent with the S-1 as declared effective.</w:t>
      </w:r>
      <w:r>
        <w:t xml:space="preserve"> </w:t>
      </w:r>
      <w:r>
        <w:rPr>
          <w:i/>
          <w:iCs/>
        </w:rPr>
        <w:t xml:space="preserve">Recommendation:</w:t>
      </w:r>
      <w:r>
        <w:t xml:space="preserve"> </w:t>
      </w:r>
      <w:r>
        <w:t xml:space="preserve">Confirm 500,000 shares. Because the Registration Statement is already effective with 500,000 shares, increasing to 750,000 would require a post-effective amendment or prospectus supplement and is not feasible at pricing. The Engagement Letter’s</w:t>
      </w:r>
      <w:r>
        <w:t xml:space="preserve"> </w:t>
      </w:r>
      <w:r>
        <w:t xml:space="preserve">“</w:t>
      </w:r>
      <w:r>
        <w:t xml:space="preserve">up to 750,000</w:t>
      </w:r>
      <w:r>
        <w:t xml:space="preserve">”</w:t>
      </w:r>
      <w:r>
        <w:t xml:space="preserve"> </w:t>
      </w:r>
      <w:r>
        <w:t xml:space="preserve">figure is stale and should be disregarded/conformed.</w:t>
      </w:r>
    </w:p>
    <w:p>
      <w:pPr>
        <w:pStyle w:val="BodyText"/>
      </w:pPr>
      <w:r>
        <w:rPr>
          <w:b/>
          <w:bCs/>
        </w:rPr>
        <w:t xml:space="preserve">Issue 19 — Dr. Krishnamurthy’s shares currently held (MEDIUM).</w:t>
      </w:r>
      <w:r>
        <w:t xml:space="preserve"> </w:t>
      </w:r>
      <w:r>
        <w:t xml:space="preserve">The Term Sheet (Section 6.1) states Dr. Krishnamurthy holds</w:t>
      </w:r>
      <w:r>
        <w:t xml:space="preserve"> </w:t>
      </w:r>
      <w:r>
        <w:rPr>
          <w:b/>
          <w:bCs/>
        </w:rPr>
        <w:t xml:space="preserve">“</w:t>
      </w:r>
      <w:r>
        <w:rPr>
          <w:b/>
          <w:bCs/>
        </w:rPr>
        <w:t xml:space="preserve">approximately 8.5 million</w:t>
      </w:r>
      <w:r>
        <w:rPr>
          <w:b/>
          <w:bCs/>
        </w:rPr>
        <w:t xml:space="preserve">”</w:t>
      </w:r>
      <w:r>
        <w:t xml:space="preserve"> </w:t>
      </w:r>
      <w:r>
        <w:t xml:space="preserve">shares (and</w:t>
      </w:r>
      <w:r>
        <w:t xml:space="preserve"> </w:t>
      </w:r>
      <w:r>
        <w:t xml:space="preserve">“</w:t>
      </w:r>
      <w:r>
        <w:t xml:space="preserve">approximately 8.0 million</w:t>
      </w:r>
      <w:r>
        <w:t xml:space="preserve">”</w:t>
      </w:r>
      <w:r>
        <w:t xml:space="preserve"> </w:t>
      </w:r>
      <w:r>
        <w:t xml:space="preserve">after the Offering). The S-1 (beneficial ownership table), the Engagement Letter (Annex A), and the POA (Schedule A) each state</w:t>
      </w:r>
      <w:r>
        <w:t xml:space="preserve"> </w:t>
      </w:r>
      <w:r>
        <w:rPr>
          <w:b/>
          <w:bCs/>
        </w:rPr>
        <w:t xml:space="preserve">8,400,000 shares</w:t>
      </w:r>
      <w:r>
        <w:t xml:space="preserve"> </w:t>
      </w:r>
      <w:r>
        <w:t xml:space="preserve">(7,600,000 directly plus 800,000 options), with 7,900,000 after the Offering. The Underwriting Agreement (Schedule B) uses</w:t>
      </w:r>
      <w:r>
        <w:t xml:space="preserve"> </w:t>
      </w:r>
      <w:r>
        <w:rPr>
          <w:b/>
          <w:bCs/>
        </w:rPr>
        <w:t xml:space="preserve">8,400,000</w:t>
      </w:r>
      <w:r>
        <w:t xml:space="preserve">, consistent with the S-1.</w:t>
      </w:r>
      <w:r>
        <w:t xml:space="preserve"> </w:t>
      </w:r>
      <w:r>
        <w:rPr>
          <w:i/>
          <w:iCs/>
        </w:rPr>
        <w:t xml:space="preserve">Recommendation:</w:t>
      </w:r>
      <w:r>
        <w:t xml:space="preserve"> </w:t>
      </w:r>
      <w:r>
        <w:t xml:space="preserve">Conform the Term Sheet’s</w:t>
      </w:r>
      <w:r>
        <w:t xml:space="preserve"> </w:t>
      </w:r>
      <w:r>
        <w:t xml:space="preserve">“</w:t>
      </w:r>
      <w:r>
        <w:t xml:space="preserve">approximately 8.5 million</w:t>
      </w:r>
      <w:r>
        <w:t xml:space="preserve">”</w:t>
      </w:r>
      <w:r>
        <w:t xml:space="preserve"> </w:t>
      </w:r>
      <w:r>
        <w:t xml:space="preserve">to the precise 8,400,000 figure used in the S-1.</w:t>
      </w:r>
    </w:p>
    <w:bookmarkEnd w:id="25"/>
    <w:bookmarkStart w:id="26" w:name="e.-lock-up-discrepancies-high-medium"/>
    <w:p>
      <w:pPr>
        <w:pStyle w:val="Heading3"/>
      </w:pPr>
      <w:r>
        <w:t xml:space="preserve">E. Lock-Up Discrepancies (HIGH / MEDIUM)</w:t>
      </w:r>
    </w:p>
    <w:p>
      <w:pPr>
        <w:pStyle w:val="FirstParagraph"/>
      </w:pPr>
      <w:r>
        <w:rPr>
          <w:b/>
          <w:bCs/>
        </w:rPr>
        <w:t xml:space="preserve">Issue 20 — Springing extension for Dr. Krishnamurthy not in Form Lock-Up or S-1 (HIGH).</w:t>
      </w:r>
      <w:r>
        <w:t xml:space="preserve"> </w:t>
      </w:r>
      <w:r>
        <w:t xml:space="preserve">The Term Sheet (Section 10.2) provides a</w:t>
      </w:r>
      <w:r>
        <w:t xml:space="preserve"> </w:t>
      </w:r>
      <w:r>
        <w:rPr>
          <w:b/>
          <w:bCs/>
        </w:rPr>
        <w:t xml:space="preserve">market standoff springing extension</w:t>
      </w:r>
      <w:r>
        <w:t xml:space="preserve"> </w:t>
      </w:r>
      <w:r>
        <w:t xml:space="preserve">applicable solely to Dr. Krishnamurthy: if the closing price of the Common Stock is below the IPO Price for five (5) consecutive trading days during the final seventeen (17) trading days of the 180-day lock-up, Dr. Krishnamurthy’s lock-up automatically extends by eighteen (18) calendar days (to 198 days total). The POA (Section 2(c)) references this springing extension. However, the</w:t>
      </w:r>
      <w:r>
        <w:t xml:space="preserve"> </w:t>
      </w:r>
      <w:r>
        <w:rPr>
          <w:b/>
          <w:bCs/>
        </w:rPr>
        <w:t xml:space="preserve">Form Lock-Up does not contain the springing extension</w:t>
      </w:r>
      <w:r>
        <w:t xml:space="preserve">, and the</w:t>
      </w:r>
      <w:r>
        <w:t xml:space="preserve"> </w:t>
      </w:r>
      <w:r>
        <w:rPr>
          <w:b/>
          <w:bCs/>
        </w:rPr>
        <w:t xml:space="preserve">S-1’s lock-up disclosure does not mention it.</w:t>
      </w:r>
      <w:r>
        <w:t xml:space="preserve"> </w:t>
      </w:r>
      <w:r>
        <w:t xml:space="preserve">The Underwriting Agreement addresses this by (a) including the springing extension as a supplemental provision in Schedule C-1 and (b) making the executed lock-up (including the springing extension) a closing condition (Section 6.8).</w:t>
      </w:r>
      <w:r>
        <w:t xml:space="preserve"> </w:t>
      </w:r>
      <w:r>
        <w:rPr>
          <w:i/>
          <w:iCs/>
        </w:rPr>
        <w:t xml:space="preserve">Recommendation:</w:t>
      </w:r>
      <w:r>
        <w:t xml:space="preserve"> </w:t>
      </w:r>
      <w:r>
        <w:t xml:space="preserve">(a) Prepare a supplemental lock-up agreement (or a rider/annex to the Form Lock-Up) for Dr. Krishnamurthy incorporating the springing extension; (b) update the S-1’s lock-up disclosure in the Final Prospectus to describe the springing extension, since the S-1 currently discloses only a uniform 180-day lock-up; and (c) confirm that the springing extension does not conflict with the Form Lock-Up’s termination provisions.</w:t>
      </w:r>
    </w:p>
    <w:p>
      <w:pPr>
        <w:pStyle w:val="BodyText"/>
      </w:pPr>
      <w:r>
        <w:rPr>
          <w:b/>
          <w:bCs/>
        </w:rPr>
        <w:t xml:space="preserve">Issue 21 — Early-release threshold (HIGH).</w:t>
      </w:r>
      <w:r>
        <w:t xml:space="preserve"> </w:t>
      </w:r>
      <w:r>
        <w:t xml:space="preserve">The Term Sheet (Section 10.1) leaves the early-release notice threshold as</w:t>
      </w:r>
      <w:r>
        <w:t xml:space="preserve"> </w:t>
      </w:r>
      <w:r>
        <w:rPr>
          <w:b/>
          <w:bCs/>
        </w:rPr>
        <w:t xml:space="preserve">“</w:t>
      </w:r>
      <w:r>
        <w:rPr>
          <w:b/>
          <w:bCs/>
        </w:rPr>
        <w:t xml:space="preserve">a threshold to be agreed upon in the definitive underwriting agreement.</w:t>
      </w:r>
      <w:r>
        <w:rPr>
          <w:b/>
          <w:bCs/>
        </w:rPr>
        <w:t xml:space="preserve">”</w:t>
      </w:r>
      <w:r>
        <w:t xml:space="preserve"> </w:t>
      </w:r>
      <w:r>
        <w:t xml:space="preserve">The Engagement Letter (Section 7) and the Form Lock-Up (Section 3) specify</w:t>
      </w:r>
      <w:r>
        <w:t xml:space="preserve"> </w:t>
      </w:r>
      <w:r>
        <w:rPr>
          <w:b/>
          <w:bCs/>
        </w:rPr>
        <w:t xml:space="preserve">“</w:t>
      </w:r>
      <w:r>
        <w:rPr>
          <w:b/>
          <w:bCs/>
        </w:rPr>
        <w:t xml:space="preserve">more than 1%</w:t>
      </w:r>
      <w:r>
        <w:rPr>
          <w:b/>
          <w:bCs/>
        </w:rPr>
        <w:t xml:space="preserve">”</w:t>
      </w:r>
      <w:r>
        <w:t xml:space="preserve"> </w:t>
      </w:r>
      <w:r>
        <w:t xml:space="preserve">of the outstanding shares. The S-1 refers to a</w:t>
      </w:r>
      <w:r>
        <w:t xml:space="preserve"> </w:t>
      </w:r>
      <w:r>
        <w:rPr>
          <w:b/>
          <w:bCs/>
        </w:rPr>
        <w:t xml:space="preserve">“</w:t>
      </w:r>
      <w:r>
        <w:rPr>
          <w:b/>
          <w:bCs/>
        </w:rPr>
        <w:t xml:space="preserve">material number of shares.</w:t>
      </w:r>
      <w:r>
        <w:rPr>
          <w:b/>
          <w:bCs/>
        </w:rPr>
        <w:t xml:space="preserve">”</w:t>
      </w:r>
      <w:r>
        <w:t xml:space="preserve"> </w:t>
      </w:r>
      <w:r>
        <w:t xml:space="preserve">The Underwriting Agreement (Schedule C) adopts the</w:t>
      </w:r>
      <w:r>
        <w:t xml:space="preserve"> </w:t>
      </w:r>
      <w:r>
        <w:rPr>
          <w:b/>
          <w:bCs/>
        </w:rPr>
        <w:t xml:space="preserve">1% threshold</w:t>
      </w:r>
      <w:r>
        <w:t xml:space="preserve">, consistent with the Engagement Letter and the Form Lock-Up.</w:t>
      </w:r>
      <w:r>
        <w:t xml:space="preserve"> </w:t>
      </w:r>
      <w:r>
        <w:rPr>
          <w:i/>
          <w:iCs/>
        </w:rPr>
        <w:t xml:space="preserve">Recommendation:</w:t>
      </w:r>
      <w:r>
        <w:t xml:space="preserve"> </w:t>
      </w:r>
      <w:r>
        <w:t xml:space="preserve">Confirm the 1% threshold and conform the S-1’s</w:t>
      </w:r>
      <w:r>
        <w:t xml:space="preserve"> </w:t>
      </w:r>
      <w:r>
        <w:t xml:space="preserve">“</w:t>
      </w:r>
      <w:r>
        <w:t xml:space="preserve">material number of shares</w:t>
      </w:r>
      <w:r>
        <w:t xml:space="preserve">”</w:t>
      </w:r>
      <w:r>
        <w:t xml:space="preserve"> </w:t>
      </w:r>
      <w:r>
        <w:t xml:space="preserve">language.</w:t>
      </w:r>
    </w:p>
    <w:p>
      <w:pPr>
        <w:pStyle w:val="BodyText"/>
      </w:pPr>
      <w:r>
        <w:rPr>
          <w:b/>
          <w:bCs/>
        </w:rPr>
        <w:t xml:space="preserve">Issue 22 — Lock-up exceptions scope (MEDIUM).</w:t>
      </w:r>
      <w:r>
        <w:t xml:space="preserve"> </w:t>
      </w:r>
      <w:r>
        <w:t xml:space="preserve">The lock-up exceptions differ in scope across the documents. The Term Sheet (Section 10.1) lists four exceptions (gifts; estate-planning trusts; operation of law; Rule 10b5-1 plans with no sales during the lock-up). The S-1 lists six (gifts/estate planning; will/intestacy; QDRO; transfers to affiliates/LPs/members; pro rata distributions; pre-existing Rule 10b5-1 plans). The Form Lock-Up lists eight (gifts/charitable; family/trusts; operation of law including QDRO/divorce/intestacy; affiliates/members; pre-existing Rule 10b5-1 plans; option exercise/RSU settlement and sell-to-cover; shares sold in the Offering; transfers to the Company). The Engagement Letter lists three.</w:t>
      </w:r>
      <w:r>
        <w:t xml:space="preserve"> </w:t>
      </w:r>
      <w:r>
        <w:rPr>
          <w:i/>
          <w:iCs/>
        </w:rPr>
        <w:t xml:space="preserve">Recommendation:</w:t>
      </w:r>
      <w:r>
        <w:t xml:space="preserve"> </w:t>
      </w:r>
      <w:r>
        <w:t xml:space="preserve">The Form Lock-Up is the most comprehensive and is the controlling document for the executed lock-ups. Conform the S-1’s lock-up exceptions to the Form Lock-Up, and confirm that the Term Sheet’s narrower exceptions are superseded by the Form Lock-Up.</w:t>
      </w:r>
    </w:p>
    <w:bookmarkEnd w:id="26"/>
    <w:bookmarkStart w:id="27" w:name="Xfb61831c8bc2611ef32d620eb2120181eb81a53"/>
    <w:p>
      <w:pPr>
        <w:pStyle w:val="Heading3"/>
      </w:pPr>
      <w:r>
        <w:t xml:space="preserve">F. Syndicate and Designation Discrepancies (MEDIUM)</w:t>
      </w:r>
    </w:p>
    <w:p>
      <w:pPr>
        <w:pStyle w:val="FirstParagraph"/>
      </w:pPr>
      <w:r>
        <w:rPr>
          <w:b/>
          <w:bCs/>
        </w:rPr>
        <w:t xml:space="preserve">Issue 23 — Underwriter designation (</w:t>
      </w:r>
      <w:r>
        <w:rPr>
          <w:b/>
          <w:bCs/>
        </w:rPr>
        <w:t xml:space="preserve">“</w:t>
      </w:r>
      <w:r>
        <w:rPr>
          <w:b/>
          <w:bCs/>
        </w:rPr>
        <w:t xml:space="preserve">Joint Book-Running Manager</w:t>
      </w:r>
      <w:r>
        <w:rPr>
          <w:b/>
          <w:bCs/>
        </w:rPr>
        <w:t xml:space="preserve">”</w:t>
      </w:r>
      <w:r>
        <w:rPr>
          <w:b/>
          <w:bCs/>
        </w:rPr>
        <w:t xml:space="preserve">) (MEDIUM).</w:t>
      </w:r>
      <w:r>
        <w:t xml:space="preserve"> </w:t>
      </w:r>
      <w:r>
        <w:t xml:space="preserve">The S-1</w:t>
      </w:r>
      <w:r>
        <w:t xml:space="preserve"> </w:t>
      </w:r>
      <w:r>
        <w:rPr>
          <w:b/>
          <w:bCs/>
        </w:rPr>
        <w:t xml:space="preserve">cover page</w:t>
      </w:r>
      <w:r>
        <w:t xml:space="preserve"> </w:t>
      </w:r>
      <w:r>
        <w:t xml:space="preserve">designates Hargrove Securities LLC as</w:t>
      </w:r>
      <w:r>
        <w:t xml:space="preserve"> </w:t>
      </w:r>
      <w:r>
        <w:rPr>
          <w:b/>
          <w:bCs/>
        </w:rPr>
        <w:t xml:space="preserve">“</w:t>
      </w:r>
      <w:r>
        <w:rPr>
          <w:b/>
          <w:bCs/>
        </w:rPr>
        <w:t xml:space="preserve">Joint Book-Running Manager</w:t>
      </w:r>
      <w:r>
        <w:rPr>
          <w:b/>
          <w:bCs/>
        </w:rPr>
        <w:t xml:space="preserve">”</w:t>
      </w:r>
      <w:r>
        <w:t xml:space="preserve"> </w:t>
      </w:r>
      <w:r>
        <w:t xml:space="preserve">and Bellweather Capital Markets, Inc. as</w:t>
      </w:r>
      <w:r>
        <w:t xml:space="preserve"> </w:t>
      </w:r>
      <w:r>
        <w:t xml:space="preserve">“</w:t>
      </w:r>
      <w:r>
        <w:t xml:space="preserve">Co-Manager.</w:t>
      </w:r>
      <w:r>
        <w:t xml:space="preserve">”</w:t>
      </w:r>
      <w:r>
        <w:t xml:space="preserve"> </w:t>
      </w:r>
      <w:r>
        <w:t xml:space="preserve">The S-1’s Underwriting section (XI.A), the Term Sheet (Section 4.1), and the Engagement Letter each designate Hargrove as</w:t>
      </w:r>
      <w:r>
        <w:t xml:space="preserve"> </w:t>
      </w:r>
      <w:r>
        <w:rPr>
          <w:b/>
          <w:bCs/>
        </w:rPr>
        <w:t xml:space="preserve">“</w:t>
      </w:r>
      <w:r>
        <w:rPr>
          <w:b/>
          <w:bCs/>
        </w:rPr>
        <w:t xml:space="preserve">lead book-running manager</w:t>
      </w:r>
      <w:r>
        <w:rPr>
          <w:b/>
          <w:bCs/>
        </w:rPr>
        <w:t xml:space="preserve">”</w:t>
      </w:r>
      <w:r>
        <w:t xml:space="preserve"> </w:t>
      </w:r>
      <w:r>
        <w:t xml:space="preserve">and Bellweather as</w:t>
      </w:r>
      <w:r>
        <w:t xml:space="preserve"> </w:t>
      </w:r>
      <w:r>
        <w:rPr>
          <w:b/>
          <w:bCs/>
        </w:rPr>
        <w:t xml:space="preserve">“</w:t>
      </w:r>
      <w:r>
        <w:rPr>
          <w:b/>
          <w:bCs/>
        </w:rPr>
        <w:t xml:space="preserve">co-manager</w:t>
      </w:r>
      <w:r>
        <w:rPr>
          <w:b/>
          <w:bCs/>
        </w:rPr>
        <w:t xml:space="preserve">”</w:t>
      </w:r>
      <w:r>
        <w:t xml:space="preserve"> </w:t>
      </w:r>
      <w:r>
        <w:t xml:space="preserve">(or</w:t>
      </w:r>
      <w:r>
        <w:t xml:space="preserve"> </w:t>
      </w:r>
      <w:r>
        <w:t xml:space="preserve">“</w:t>
      </w:r>
      <w:r>
        <w:t xml:space="preserve">co-managing underwriter</w:t>
      </w:r>
      <w:r>
        <w:t xml:space="preserve">”</w:t>
      </w:r>
      <w:r>
        <w:t xml:space="preserve">). Because there is only one book-running manager (Hargrove), the cover-page designation</w:t>
      </w:r>
      <w:r>
        <w:t xml:space="preserve"> </w:t>
      </w:r>
      <w:r>
        <w:t xml:space="preserve">“</w:t>
      </w:r>
      <w:r>
        <w:t xml:space="preserve">Joint Book-Running Manager</w:t>
      </w:r>
      <w:r>
        <w:t xml:space="preserve">”</w:t>
      </w:r>
      <w:r>
        <w:t xml:space="preserve"> </w:t>
      </w:r>
      <w:r>
        <w:t xml:space="preserve">appears to be an error (or, alternatively, Bellweather is intended to be a joint book-runner, in which case the Underwriting section, the Term Sheet, and the Engagement Letter are wrong). The Underwriting Agreement designates Hargrove as the</w:t>
      </w:r>
      <w:r>
        <w:t xml:space="preserve"> </w:t>
      </w:r>
      <w:r>
        <w:t xml:space="preserve">“</w:t>
      </w:r>
      <w:r>
        <w:t xml:space="preserve">Representative</w:t>
      </w:r>
      <w:r>
        <w:t xml:space="preserve">”</w:t>
      </w:r>
      <w:r>
        <w:t xml:space="preserve"> </w:t>
      </w:r>
      <w:r>
        <w:t xml:space="preserve">/</w:t>
      </w:r>
      <w:r>
        <w:t xml:space="preserve"> </w:t>
      </w:r>
      <w:r>
        <w:t xml:space="preserve">“</w:t>
      </w:r>
      <w:r>
        <w:t xml:space="preserve">Lead Book-Runner</w:t>
      </w:r>
      <w:r>
        <w:t xml:space="preserve">”</w:t>
      </w:r>
      <w:r>
        <w:t xml:space="preserve"> </w:t>
      </w:r>
      <w:r>
        <w:t xml:space="preserve">and Bellweather as</w:t>
      </w:r>
      <w:r>
        <w:t xml:space="preserve"> </w:t>
      </w:r>
      <w:r>
        <w:t xml:space="preserve">“</w:t>
      </w:r>
      <w:r>
        <w:t xml:space="preserve">Co-Manager.</w:t>
      </w:r>
      <w:r>
        <w:t xml:space="preserve">”</w:t>
      </w:r>
      <w:r>
        <w:t xml:space="preserve"> </w:t>
      </w:r>
      <w:r>
        <w:rPr>
          <w:i/>
          <w:iCs/>
        </w:rPr>
        <w:t xml:space="preserve">Recommendation:</w:t>
      </w:r>
      <w:r>
        <w:t xml:space="preserve"> </w:t>
      </w:r>
      <w:r>
        <w:t xml:space="preserve">Reconcile the syndicate designations across the S-1 cover page, the S-1 Underwriting section, the Term Sheet, and the Engagement Letter, and conform the Final Prospectus.</w:t>
      </w:r>
    </w:p>
    <w:bookmarkEnd w:id="27"/>
    <w:bookmarkStart w:id="28" w:name="Xa1f678f8a464566cbbd1c8ceaf3195efbe0973d"/>
    <w:p>
      <w:pPr>
        <w:pStyle w:val="Heading3"/>
      </w:pPr>
      <w:r>
        <w:t xml:space="preserve">G. Organizational Documents and Credit Agreement Consents (MEDIUM)</w:t>
      </w:r>
    </w:p>
    <w:p>
      <w:pPr>
        <w:pStyle w:val="FirstParagraph"/>
      </w:pPr>
      <w:r>
        <w:rPr>
          <w:b/>
          <w:bCs/>
        </w:rPr>
        <w:t xml:space="preserve">Issue 24 — Further charter amendment in connection with the IPO (MEDIUM).</w:t>
      </w:r>
      <w:r>
        <w:t xml:space="preserve"> </w:t>
      </w:r>
      <w:r>
        <w:t xml:space="preserve">The S-1’s Description of Capital Stock refers to</w:t>
      </w:r>
      <w:r>
        <w:t xml:space="preserve"> </w:t>
      </w:r>
      <w:r>
        <w:t xml:space="preserve">“</w:t>
      </w:r>
      <w:r>
        <w:t xml:space="preserve">our amended and restated certificate of incorporation,</w:t>
      </w:r>
      <w:r>
        <w:t xml:space="preserve"> </w:t>
      </w:r>
      <w:r>
        <w:rPr>
          <w:b/>
          <w:bCs/>
        </w:rPr>
        <w:t xml:space="preserve">as it will be in effect upon the closing of this offering</w:t>
      </w:r>
      <w:r>
        <w:t xml:space="preserve">,</w:t>
      </w:r>
      <w:r>
        <w:t xml:space="preserve">”</w:t>
      </w:r>
      <w:r>
        <w:t xml:space="preserve"> </w:t>
      </w:r>
      <w:r>
        <w:t xml:space="preserve">which implies that the Charter effective December 20, 2024 may be further amended in connection with the Offering. The Charter provided is effective December 20, 2024.</w:t>
      </w:r>
      <w:r>
        <w:t xml:space="preserve"> </w:t>
      </w:r>
      <w:r>
        <w:rPr>
          <w:i/>
          <w:iCs/>
        </w:rPr>
        <w:t xml:space="preserve">Recommendation:</w:t>
      </w:r>
      <w:r>
        <w:t xml:space="preserve"> </w:t>
      </w:r>
      <w:r>
        <w:t xml:space="preserve">Confirm whether a further amended and restated certificate of incorporation will be filed and become effective at or prior to the Closing. If so, (a) obtain the lender’s consent (see Issue 25), (b) update the Underwriting Agreement’s organizational-documents representation (Section 2.1) and the secretary’s certificate delivered at Closing, and (c) confirm the S-1’s description of capital stock matches the charter as in effect at Closing.</w:t>
      </w:r>
    </w:p>
    <w:p>
      <w:pPr>
        <w:pStyle w:val="BodyText"/>
      </w:pPr>
      <w:r>
        <w:rPr>
          <w:b/>
          <w:bCs/>
        </w:rPr>
        <w:t xml:space="preserve">Issue 25 — Lender consent for organizational-document amendments (MEDIUM).</w:t>
      </w:r>
      <w:r>
        <w:t xml:space="preserve"> </w:t>
      </w:r>
      <w:r>
        <w:t xml:space="preserve">The Credit Summary (Section 8) notes that the credit agreement prohibits material amendments to the certificate of incorporation or bylaws without the lender’s prior written consent, and flags that the Company filed an Amended and Restated Certificate of Incorporation on December 20, 2024 — requiring confirmation that the lender consented. The Credit Summary also flags that any further IPO-related charter amendment would require lender consent.</w:t>
      </w:r>
      <w:r>
        <w:t xml:space="preserve"> </w:t>
      </w:r>
      <w:r>
        <w:rPr>
          <w:i/>
          <w:iCs/>
        </w:rPr>
        <w:t xml:space="preserve">Recommendation:</w:t>
      </w:r>
      <w:r>
        <w:t xml:space="preserve"> </w:t>
      </w:r>
      <w:r>
        <w:t xml:space="preserve">Confirm that the lender consented to the December 20, 2024 Charter and obtain any consent required for a further IPO-related charter amendment. The Underwriting Agreement’s closing condition (Section 6.13) requires all required consents, including any required lender consent.</w:t>
      </w:r>
    </w:p>
    <w:p>
      <w:pPr>
        <w:pStyle w:val="BodyText"/>
      </w:pPr>
      <w:r>
        <w:rPr>
          <w:b/>
          <w:bCs/>
        </w:rPr>
        <w:t xml:space="preserve">Issue 26 — Credit agreement equity-issuance prior notice (MEDIUM).</w:t>
      </w:r>
      <w:r>
        <w:t xml:space="preserve"> </w:t>
      </w:r>
      <w:r>
        <w:t xml:space="preserve">The Credit Summary (Section 10) states that the credit agreement requires the Company to provide at least</w:t>
      </w:r>
      <w:r>
        <w:t xml:space="preserve"> </w:t>
      </w:r>
      <w:r>
        <w:rPr>
          <w:b/>
          <w:bCs/>
        </w:rPr>
        <w:t xml:space="preserve">10 business days’ prior written notice</w:t>
      </w:r>
      <w:r>
        <w:t xml:space="preserve"> </w:t>
      </w:r>
      <w:r>
        <w:t xml:space="preserve">of any equity issuance (including the IPO), together with a summary of terms.</w:t>
      </w:r>
      <w:r>
        <w:t xml:space="preserve"> </w:t>
      </w:r>
      <w:r>
        <w:rPr>
          <w:i/>
          <w:iCs/>
        </w:rPr>
        <w:t xml:space="preserve">Recommendation:</w:t>
      </w:r>
      <w:r>
        <w:t xml:space="preserve"> </w:t>
      </w:r>
      <w:r>
        <w:t xml:space="preserve">Confirm that this notice was timely provided to the lender. The Underwriting Agreement’s closing condition (Section 6.13) requires all required consents and approvals.</w:t>
      </w:r>
    </w:p>
    <w:bookmarkEnd w:id="28"/>
    <w:bookmarkStart w:id="29" w:name="h.-other-open-items-medium"/>
    <w:p>
      <w:pPr>
        <w:pStyle w:val="Heading3"/>
      </w:pPr>
      <w:r>
        <w:t xml:space="preserve">H. Other Open Items (MEDIUM)</w:t>
      </w:r>
    </w:p>
    <w:p>
      <w:pPr>
        <w:pStyle w:val="FirstParagraph"/>
      </w:pPr>
      <w:r>
        <w:rPr>
          <w:b/>
          <w:bCs/>
        </w:rPr>
        <w:t xml:space="preserve">Issue 27 — Net-proceeds definition (MEDIUM).</w:t>
      </w:r>
      <w:r>
        <w:t xml:space="preserve"> </w:t>
      </w:r>
      <w:r>
        <w:t xml:space="preserve">The Term Sheet’s</w:t>
      </w:r>
      <w:r>
        <w:t xml:space="preserve"> </w:t>
      </w:r>
      <w:r>
        <w:t xml:space="preserve">“</w:t>
      </w:r>
      <w:r>
        <w:t xml:space="preserve">net proceeds</w:t>
      </w:r>
      <w:r>
        <w:t xml:space="preserve">”</w:t>
      </w:r>
      <w:r>
        <w:t xml:space="preserve"> </w:t>
      </w:r>
      <w:r>
        <w:t xml:space="preserve">figures (e.g., $180,480,000 to the Company from primary shares) are</w:t>
      </w:r>
      <w:r>
        <w:t xml:space="preserve"> </w:t>
      </w:r>
      <w:r>
        <w:rPr>
          <w:b/>
          <w:bCs/>
        </w:rPr>
        <w:t xml:space="preserve">net of the underwriting discount only</w:t>
      </w:r>
      <w:r>
        <w:t xml:space="preserve"> </w:t>
      </w:r>
      <w:r>
        <w:t xml:space="preserve">(per share $22.56 = $24.00 − $1.44). The S-1’s</w:t>
      </w:r>
      <w:r>
        <w:t xml:space="preserve"> </w:t>
      </w:r>
      <w:r>
        <w:t xml:space="preserve">“</w:t>
      </w:r>
      <w:r>
        <w:t xml:space="preserve">net proceeds</w:t>
      </w:r>
      <w:r>
        <w:t xml:space="preserve">”</w:t>
      </w:r>
      <w:r>
        <w:t xml:space="preserve"> </w:t>
      </w:r>
      <w:r>
        <w:t xml:space="preserve">figures (e.g., ~$177.3 million) are</w:t>
      </w:r>
      <w:r>
        <w:t xml:space="preserve"> </w:t>
      </w:r>
      <w:r>
        <w:rPr>
          <w:b/>
          <w:bCs/>
        </w:rPr>
        <w:t xml:space="preserve">net of both the underwriting discount and estimated offering expenses</w:t>
      </w:r>
      <w:r>
        <w:t xml:space="preserve"> </w:t>
      </w:r>
      <w:r>
        <w:t xml:space="preserve">($192,000,000 − $11,520,000 − $3,200,000 = $177,280,000). The Comfort Letter (Section VII.D) agrees with the S-1’s $177,280,000. The Underwriting Agreement’s Schedule E uses the Term Sheet’s discount-only figures (consistent with the</w:t>
      </w:r>
      <w:r>
        <w:t xml:space="preserve"> </w:t>
      </w:r>
      <w:r>
        <w:t xml:space="preserve">“</w:t>
      </w:r>
      <w:r>
        <w:t xml:space="preserve">Net Price</w:t>
      </w:r>
      <w:r>
        <w:t xml:space="preserve">”</w:t>
      </w:r>
      <w:r>
        <w:t xml:space="preserve"> </w:t>
      </w:r>
      <w:r>
        <w:t xml:space="preserve">definition in Section 1.2).</w:t>
      </w:r>
      <w:r>
        <w:t xml:space="preserve"> </w:t>
      </w:r>
      <w:r>
        <w:rPr>
          <w:i/>
          <w:iCs/>
        </w:rPr>
        <w:t xml:space="preserve">Recommendation:</w:t>
      </w:r>
      <w:r>
        <w:t xml:space="preserve"> </w:t>
      </w:r>
      <w:r>
        <w:t xml:space="preserve">Confirm that the parties understand the difference between</w:t>
      </w:r>
      <w:r>
        <w:t xml:space="preserve"> </w:t>
      </w:r>
      <w:r>
        <w:t xml:space="preserve">“</w:t>
      </w:r>
      <w:r>
        <w:t xml:space="preserve">Net Price</w:t>
      </w:r>
      <w:r>
        <w:t xml:space="preserve">”</w:t>
      </w:r>
      <w:r>
        <w:t xml:space="preserve"> </w:t>
      </w:r>
      <w:r>
        <w:t xml:space="preserve">(discount only, used in the Underwriting Agreement) and</w:t>
      </w:r>
      <w:r>
        <w:t xml:space="preserve"> </w:t>
      </w:r>
      <w:r>
        <w:t xml:space="preserve">“</w:t>
      </w:r>
      <w:r>
        <w:t xml:space="preserve">net proceeds</w:t>
      </w:r>
      <w:r>
        <w:t xml:space="preserve">”</w:t>
      </w:r>
      <w:r>
        <w:t xml:space="preserve"> </w:t>
      </w:r>
      <w:r>
        <w:t xml:space="preserve">(discount and expenses, used in the S-1 Use of Proceeds). No change required to the Underwriting Agreement, but the distinction should be clear to the deal team.</w:t>
      </w:r>
    </w:p>
    <w:p>
      <w:pPr>
        <w:pStyle w:val="BodyText"/>
      </w:pPr>
      <w:r>
        <w:rPr>
          <w:b/>
          <w:bCs/>
        </w:rPr>
        <w:t xml:space="preserve">Issue 28 — Public offering price confirmation (MEDIUM).</w:t>
      </w:r>
      <w:r>
        <w:t xml:space="preserve"> </w:t>
      </w:r>
      <w:r>
        <w:t xml:space="preserve">The Underwriting Agreement states a Public Offering Price of</w:t>
      </w:r>
      <w:r>
        <w:t xml:space="preserve"> </w:t>
      </w:r>
      <w:r>
        <w:rPr>
          <w:b/>
          <w:bCs/>
        </w:rPr>
        <w:t xml:space="preserve">$24.00 per share</w:t>
      </w:r>
      <w:r>
        <w:t xml:space="preserve"> </w:t>
      </w:r>
      <w:r>
        <w:t xml:space="preserve">(the midpoint of the $22.00–$26.00 range), consistent with the assumed price used throughout the deal documents. The actual price will be set at the Pricing Date based on market conditions.</w:t>
      </w:r>
      <w:r>
        <w:t xml:space="preserve"> </w:t>
      </w:r>
      <w:r>
        <w:rPr>
          <w:i/>
          <w:iCs/>
        </w:rPr>
        <w:t xml:space="preserve">Recommendation:</w:t>
      </w:r>
      <w:r>
        <w:t xml:space="preserve"> </w:t>
      </w:r>
      <w:r>
        <w:t xml:space="preserve">Confirm the final Public Offering Price at pricing and update the Underwriting Agreement (Section 1.2 and Schedule E) and the Final Prospectus accordingly. The Underwriting Agreement’s representation that the Final Prospectus will disclose the actual price (Section 2.5) covers this.</w:t>
      </w:r>
    </w:p>
    <w:p>
      <w:pPr>
        <w:pStyle w:val="BodyText"/>
      </w:pPr>
      <w:r>
        <w:rPr>
          <w:b/>
          <w:bCs/>
        </w:rPr>
        <w:t xml:space="preserve">Issue 29 — Expense reimbursement upon non-consummation (MEDIUM).</w:t>
      </w:r>
      <w:r>
        <w:t xml:space="preserve"> </w:t>
      </w:r>
      <w:r>
        <w:t xml:space="preserve">The Engagement Letter (Section 5) provides for expense reimbursement to Hargrove of up to</w:t>
      </w:r>
      <w:r>
        <w:t xml:space="preserve"> </w:t>
      </w:r>
      <w:r>
        <w:rPr>
          <w:b/>
          <w:bCs/>
        </w:rPr>
        <w:t xml:space="preserve">$500,000</w:t>
      </w:r>
      <w:r>
        <w:t xml:space="preserve"> </w:t>
      </w:r>
      <w:r>
        <w:t xml:space="preserve">(including Underwriters’ Counsel fees) if the Offering is not consummated for reasons other than Hargrove’s material breach. The Underwriting Agreement (Section 10.6(d)) carries forward this $500,000 cap.</w:t>
      </w:r>
      <w:r>
        <w:t xml:space="preserve"> </w:t>
      </w:r>
      <w:r>
        <w:rPr>
          <w:i/>
          <w:iCs/>
        </w:rPr>
        <w:t xml:space="preserve">Recommendation:</w:t>
      </w:r>
      <w:r>
        <w:t xml:space="preserve"> </w:t>
      </w:r>
      <w:r>
        <w:t xml:space="preserve">Confirm that the Company and the Representative agree to carry the $500,000 cap into the Underwriting Agreement (it is reflected in Section 10.6(d)).</w:t>
      </w:r>
    </w:p>
    <w:p>
      <w:pPr>
        <w:pStyle w:val="BodyText"/>
      </w:pPr>
      <w:r>
        <w:rPr>
          <w:b/>
          <w:bCs/>
        </w:rPr>
        <w:t xml:space="preserve">Issue 30 — Credit agreement cross-default / judgment thresholds and VitaBand litigation (MEDIUM).</w:t>
      </w:r>
      <w:r>
        <w:t xml:space="preserve"> </w:t>
      </w:r>
      <w:r>
        <w:t xml:space="preserve">The Credit Summary (Section 11) notes that the credit agreement contains a cross-default to other indebtedness exceeding $1,000,000 and a judgments default for judgments exceeding $2,000,000 not stayed or insured within 60 days. The pending VitaBand Corp. litigation seeks $45,000,000 in damages; an adverse judgment exceeding $2,000,000 that is not stayed or insured would constitute an event of default under the credit agreement.</w:t>
      </w:r>
      <w:r>
        <w:t xml:space="preserve"> </w:t>
      </w:r>
      <w:r>
        <w:rPr>
          <w:i/>
          <w:iCs/>
        </w:rPr>
        <w:t xml:space="preserve">Recommendation:</w:t>
      </w:r>
      <w:r>
        <w:t xml:space="preserve"> </w:t>
      </w:r>
      <w:r>
        <w:t xml:space="preserve">Consider whether the S-1’s litigation disclosure should expressly note the potential cross-default interaction, and confirm the Company’s litigation counsel’s assessment remains that no loss is probable.</w:t>
      </w:r>
    </w:p>
    <w:p>
      <w:r>
        <w:pict>
          <v:rect style="width:0;height:1.5pt" o:hralign="center" o:hrstd="t" o:hr="t"/>
        </w:pict>
      </w:r>
    </w:p>
    <w:bookmarkEnd w:id="29"/>
    <w:bookmarkEnd w:id="30"/>
    <w:bookmarkStart w:id="31" w:name="iv.-summary-table-of-issues"/>
    <w:p>
      <w:pPr>
        <w:pStyle w:val="Heading2"/>
      </w:pPr>
      <w:r>
        <w:t xml:space="preserve">IV.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Documents in Conflict</w:t>
            </w:r>
          </w:p>
        </w:tc>
        <w:tc>
          <w:tcPr/>
          <w:p>
            <w:pPr>
              <w:pStyle w:val="Compact"/>
              <w:jc w:val="left"/>
            </w:pPr>
            <w:r>
              <w:t xml:space="preserve">Status in Underwriting Agreement</w:t>
            </w:r>
          </w:p>
        </w:tc>
      </w:tr>
      <w:tr>
        <w:tc>
          <w:tcPr/>
          <w:p>
            <w:pPr>
              <w:pStyle w:val="Compact"/>
              <w:jc w:val="left"/>
            </w:pPr>
            <w:r>
              <w:t xml:space="preserve">1</w:t>
            </w:r>
          </w:p>
        </w:tc>
        <w:tc>
          <w:tcPr/>
          <w:p>
            <w:pPr>
              <w:pStyle w:val="Compact"/>
              <w:jc w:val="left"/>
            </w:pPr>
            <w:r>
              <w:t xml:space="preserve">Lender identity (Oakvale vs. Ridgemont)</w:t>
            </w:r>
          </w:p>
        </w:tc>
        <w:tc>
          <w:tcPr/>
          <w:p>
            <w:pPr>
              <w:pStyle w:val="Compact"/>
              <w:jc w:val="left"/>
            </w:pPr>
            <w:r>
              <w:t xml:space="preserve">CRITICAL</w:t>
            </w:r>
          </w:p>
        </w:tc>
        <w:tc>
          <w:tcPr/>
          <w:p>
            <w:pPr>
              <w:pStyle w:val="Compact"/>
              <w:jc w:val="left"/>
            </w:pPr>
            <w:r>
              <w:t xml:space="preserve">S-1, Term Sheet, Comfort Letter vs. Credit Summary</w:t>
            </w:r>
          </w:p>
        </w:tc>
        <w:tc>
          <w:tcPr/>
          <w:p>
            <w:pPr>
              <w:pStyle w:val="Compact"/>
              <w:jc w:val="left"/>
            </w:pPr>
            <w:r>
              <w:t xml:space="preserve">Uses</w:t>
            </w:r>
            <w:r>
              <w:t xml:space="preserve"> </w:t>
            </w:r>
            <w:r>
              <w:t xml:space="preserve">“</w:t>
            </w:r>
            <w:r>
              <w:t xml:space="preserve">Oakvale</w:t>
            </w:r>
            <w:r>
              <w:t xml:space="preserve">”</w:t>
            </w:r>
            <w:r>
              <w:t xml:space="preserve"> </w:t>
            </w:r>
            <w:r>
              <w:t xml:space="preserve">(S-1); flagged for reconciliation</w:t>
            </w:r>
          </w:p>
        </w:tc>
      </w:tr>
      <w:tr>
        <w:tc>
          <w:tcPr/>
          <w:p>
            <w:pPr>
              <w:pStyle w:val="Compact"/>
              <w:jc w:val="left"/>
            </w:pPr>
            <w:r>
              <w:t xml:space="preserve">2</w:t>
            </w:r>
          </w:p>
        </w:tc>
        <w:tc>
          <w:tcPr/>
          <w:p>
            <w:pPr>
              <w:pStyle w:val="Compact"/>
              <w:jc w:val="left"/>
            </w:pPr>
            <w:r>
              <w:t xml:space="preserve">Credit agreement date (July 15, 2022 vs. June 15, 2023)</w:t>
            </w:r>
          </w:p>
        </w:tc>
        <w:tc>
          <w:tcPr/>
          <w:p>
            <w:pPr>
              <w:pStyle w:val="Compact"/>
              <w:jc w:val="left"/>
            </w:pPr>
            <w:r>
              <w:t xml:space="preserve">CRITICAL</w:t>
            </w:r>
          </w:p>
        </w:tc>
        <w:tc>
          <w:tcPr/>
          <w:p>
            <w:pPr>
              <w:pStyle w:val="Compact"/>
              <w:jc w:val="left"/>
            </w:pPr>
            <w:r>
              <w:t xml:space="preserve">S-1 vs. Credit Summary</w:t>
            </w:r>
          </w:p>
        </w:tc>
        <w:tc>
          <w:tcPr/>
          <w:p>
            <w:pPr>
              <w:pStyle w:val="Compact"/>
              <w:jc w:val="left"/>
            </w:pPr>
            <w:r>
              <w:t xml:space="preserve">Not addressed; requires S-1 correction</w:t>
            </w:r>
          </w:p>
        </w:tc>
      </w:tr>
      <w:tr>
        <w:tc>
          <w:tcPr/>
          <w:p>
            <w:pPr>
              <w:pStyle w:val="Compact"/>
              <w:jc w:val="left"/>
            </w:pPr>
            <w:r>
              <w:t xml:space="preserve">3</w:t>
            </w:r>
          </w:p>
        </w:tc>
        <w:tc>
          <w:tcPr/>
          <w:p>
            <w:pPr>
              <w:pStyle w:val="Compact"/>
              <w:jc w:val="left"/>
            </w:pPr>
            <w:r>
              <w:t xml:space="preserve">Maturity date (Dec 31, 2026 vs. June 15, 2027)</w:t>
            </w:r>
          </w:p>
        </w:tc>
        <w:tc>
          <w:tcPr/>
          <w:p>
            <w:pPr>
              <w:pStyle w:val="Compact"/>
              <w:jc w:val="left"/>
            </w:pPr>
            <w:r>
              <w:t xml:space="preserve">CRITICAL</w:t>
            </w:r>
          </w:p>
        </w:tc>
        <w:tc>
          <w:tcPr/>
          <w:p>
            <w:pPr>
              <w:pStyle w:val="Compact"/>
              <w:jc w:val="left"/>
            </w:pPr>
            <w:r>
              <w:t xml:space="preserve">S-1 vs. Credit Summary</w:t>
            </w:r>
          </w:p>
        </w:tc>
        <w:tc>
          <w:tcPr/>
          <w:p>
            <w:pPr>
              <w:pStyle w:val="Compact"/>
              <w:jc w:val="left"/>
            </w:pPr>
            <w:r>
              <w:t xml:space="preserve">Not addressed; requires S-1 correction</w:t>
            </w:r>
          </w:p>
        </w:tc>
      </w:tr>
      <w:tr>
        <w:tc>
          <w:tcPr/>
          <w:p>
            <w:pPr>
              <w:pStyle w:val="Compact"/>
              <w:jc w:val="left"/>
            </w:pPr>
            <w:r>
              <w:t xml:space="preserve">4</w:t>
            </w:r>
          </w:p>
        </w:tc>
        <w:tc>
          <w:tcPr/>
          <w:p>
            <w:pPr>
              <w:pStyle w:val="Compact"/>
              <w:jc w:val="left"/>
            </w:pPr>
            <w:r>
              <w:t xml:space="preserve">Interest rate (SOFR+2.50% vs. grid/current 2.25%)</w:t>
            </w:r>
          </w:p>
        </w:tc>
        <w:tc>
          <w:tcPr/>
          <w:p>
            <w:pPr>
              <w:pStyle w:val="Compact"/>
              <w:jc w:val="left"/>
            </w:pPr>
            <w:r>
              <w:t xml:space="preserve">HIGH</w:t>
            </w:r>
          </w:p>
        </w:tc>
        <w:tc>
          <w:tcPr/>
          <w:p>
            <w:pPr>
              <w:pStyle w:val="Compact"/>
              <w:jc w:val="left"/>
            </w:pPr>
            <w:r>
              <w:t xml:space="preserve">S-1 vs. Credit Summary</w:t>
            </w:r>
          </w:p>
        </w:tc>
        <w:tc>
          <w:tcPr/>
          <w:p>
            <w:pPr>
              <w:pStyle w:val="Compact"/>
              <w:jc w:val="left"/>
            </w:pPr>
            <w:r>
              <w:t xml:space="preserve">Not addressed; requires S-1 correction</w:t>
            </w:r>
          </w:p>
        </w:tc>
      </w:tr>
      <w:tr>
        <w:tc>
          <w:tcPr/>
          <w:p>
            <w:pPr>
              <w:pStyle w:val="Compact"/>
              <w:jc w:val="left"/>
            </w:pPr>
            <w:r>
              <w:t xml:space="preserve">5</w:t>
            </w:r>
          </w:p>
        </w:tc>
        <w:tc>
          <w:tcPr/>
          <w:p>
            <w:pPr>
              <w:pStyle w:val="Compact"/>
              <w:jc w:val="left"/>
            </w:pPr>
            <w:r>
              <w:t xml:space="preserve">Change-of-control threshold (50% vs. 35%)</w:t>
            </w:r>
          </w:p>
        </w:tc>
        <w:tc>
          <w:tcPr/>
          <w:p>
            <w:pPr>
              <w:pStyle w:val="Compact"/>
              <w:jc w:val="left"/>
            </w:pPr>
            <w:r>
              <w:t xml:space="preserve">CRITICAL</w:t>
            </w:r>
          </w:p>
        </w:tc>
        <w:tc>
          <w:tcPr/>
          <w:p>
            <w:pPr>
              <w:pStyle w:val="Compact"/>
              <w:jc w:val="left"/>
            </w:pPr>
            <w:r>
              <w:t xml:space="preserve">S-1 vs. Credit Summary</w:t>
            </w:r>
          </w:p>
        </w:tc>
        <w:tc>
          <w:tcPr/>
          <w:p>
            <w:pPr>
              <w:pStyle w:val="Compact"/>
              <w:jc w:val="left"/>
            </w:pPr>
            <w:r>
              <w:t xml:space="preserve">Not addressed; requires S-1 correction</w:t>
            </w:r>
          </w:p>
        </w:tc>
      </w:tr>
      <w:tr>
        <w:tc>
          <w:tcPr/>
          <w:p>
            <w:pPr>
              <w:pStyle w:val="Compact"/>
              <w:jc w:val="left"/>
            </w:pPr>
            <w:r>
              <w:t xml:space="preserve">6</w:t>
            </w:r>
          </w:p>
        </w:tc>
        <w:tc>
          <w:tcPr/>
          <w:p>
            <w:pPr>
              <w:pStyle w:val="Compact"/>
              <w:jc w:val="left"/>
            </w:pPr>
            <w:r>
              <w:t xml:space="preserve">Financial covenants mismatch</w:t>
            </w:r>
          </w:p>
        </w:tc>
        <w:tc>
          <w:tcPr/>
          <w:p>
            <w:pPr>
              <w:pStyle w:val="Compact"/>
              <w:jc w:val="left"/>
            </w:pPr>
            <w:r>
              <w:t xml:space="preserve">HIGH</w:t>
            </w:r>
          </w:p>
        </w:tc>
        <w:tc>
          <w:tcPr/>
          <w:p>
            <w:pPr>
              <w:pStyle w:val="Compact"/>
              <w:jc w:val="left"/>
            </w:pPr>
            <w:r>
              <w:t xml:space="preserve">S-1 vs. Credit Summary</w:t>
            </w:r>
          </w:p>
        </w:tc>
        <w:tc>
          <w:tcPr/>
          <w:p>
            <w:pPr>
              <w:pStyle w:val="Compact"/>
              <w:jc w:val="left"/>
            </w:pPr>
            <w:r>
              <w:t xml:space="preserve">Not addressed; requires S-1 correction</w:t>
            </w:r>
          </w:p>
        </w:tc>
      </w:tr>
      <w:tr>
        <w:tc>
          <w:tcPr/>
          <w:p>
            <w:pPr>
              <w:pStyle w:val="Compact"/>
              <w:jc w:val="left"/>
            </w:pPr>
            <w:r>
              <w:t xml:space="preserve">7</w:t>
            </w:r>
          </w:p>
        </w:tc>
        <w:tc>
          <w:tcPr/>
          <w:p>
            <w:pPr>
              <w:pStyle w:val="Compact"/>
              <w:jc w:val="left"/>
            </w:pPr>
            <w:r>
              <w:t xml:space="preserve">Mandatory prepayment ($15.2M/$13.64M) vs. Use of Proceeds ($10M)</w:t>
            </w:r>
          </w:p>
        </w:tc>
        <w:tc>
          <w:tcPr/>
          <w:p>
            <w:pPr>
              <w:pStyle w:val="Compact"/>
              <w:jc w:val="left"/>
            </w:pPr>
            <w:r>
              <w:t xml:space="preserve">CRITICAL</w:t>
            </w:r>
          </w:p>
        </w:tc>
        <w:tc>
          <w:tcPr/>
          <w:p>
            <w:pPr>
              <w:pStyle w:val="Compact"/>
              <w:jc w:val="left"/>
            </w:pPr>
            <w:r>
              <w:t xml:space="preserve">S-1 (internal) + Credit Summary</w:t>
            </w:r>
          </w:p>
        </w:tc>
        <w:tc>
          <w:tcPr/>
          <w:p>
            <w:pPr>
              <w:pStyle w:val="Compact"/>
              <w:jc w:val="left"/>
            </w:pPr>
            <w:r>
              <w:t xml:space="preserve">UA tracks credit-agreement obligation (§§ 2.16, 4.7)</w:t>
            </w:r>
          </w:p>
        </w:tc>
      </w:tr>
      <w:tr>
        <w:tc>
          <w:tcPr/>
          <w:p>
            <w:pPr>
              <w:pStyle w:val="Compact"/>
              <w:jc w:val="left"/>
            </w:pPr>
            <w:r>
              <w:t xml:space="preserve">8</w:t>
            </w:r>
          </w:p>
        </w:tc>
        <w:tc>
          <w:tcPr/>
          <w:p>
            <w:pPr>
              <w:pStyle w:val="Compact"/>
              <w:jc w:val="left"/>
            </w:pPr>
            <w:r>
              <w:t xml:space="preserve">Comfort Letter balance-sheet figures vs. S-1 Capitalization/Dilution</w:t>
            </w:r>
          </w:p>
        </w:tc>
        <w:tc>
          <w:tcPr/>
          <w:p>
            <w:pPr>
              <w:pStyle w:val="Compact"/>
              <w:jc w:val="left"/>
            </w:pPr>
            <w:r>
              <w:t xml:space="preserve">CRITICAL</w:t>
            </w:r>
          </w:p>
        </w:tc>
        <w:tc>
          <w:tcPr/>
          <w:p>
            <w:pPr>
              <w:pStyle w:val="Compact"/>
              <w:jc w:val="left"/>
            </w:pPr>
            <w:r>
              <w:t xml:space="preserve">Comfort Letter vs. S-1</w:t>
            </w:r>
          </w:p>
        </w:tc>
        <w:tc>
          <w:tcPr/>
          <w:p>
            <w:pPr>
              <w:pStyle w:val="Compact"/>
              <w:jc w:val="left"/>
            </w:pPr>
            <w:r>
              <w:t xml:space="preserve">Closing condition (§ 6.5) requires satisfactory comfort letter</w:t>
            </w:r>
          </w:p>
        </w:tc>
      </w:tr>
      <w:tr>
        <w:tc>
          <w:tcPr/>
          <w:p>
            <w:pPr>
              <w:pStyle w:val="Compact"/>
              <w:jc w:val="left"/>
            </w:pPr>
            <w:r>
              <w:t xml:space="preserve">9</w:t>
            </w:r>
          </w:p>
        </w:tc>
        <w:tc>
          <w:tcPr/>
          <w:p>
            <w:pPr>
              <w:pStyle w:val="Compact"/>
              <w:jc w:val="left"/>
            </w:pPr>
            <w:r>
              <w:t xml:space="preserve">Comfort Letter</w:t>
            </w:r>
            <w:r>
              <w:t xml:space="preserve"> </w:t>
            </w:r>
            <w:r>
              <w:t xml:space="preserve">“</w:t>
            </w:r>
            <w:r>
              <w:t xml:space="preserve">Section 7(d)</w:t>
            </w:r>
            <w:r>
              <w:t xml:space="preserve">”</w:t>
            </w:r>
            <w:r>
              <w:t xml:space="preserve"> </w:t>
            </w:r>
            <w:r>
              <w:t xml:space="preserve">cross-reference</w:t>
            </w:r>
          </w:p>
        </w:tc>
        <w:tc>
          <w:tcPr/>
          <w:p>
            <w:pPr>
              <w:pStyle w:val="Compact"/>
              <w:jc w:val="left"/>
            </w:pPr>
            <w:r>
              <w:t xml:space="preserve">MEDIUM</w:t>
            </w:r>
          </w:p>
        </w:tc>
        <w:tc>
          <w:tcPr/>
          <w:p>
            <w:pPr>
              <w:pStyle w:val="Compact"/>
              <w:jc w:val="left"/>
            </w:pPr>
            <w:r>
              <w:t xml:space="preserve">Comfort Letter vs. UA</w:t>
            </w:r>
          </w:p>
        </w:tc>
        <w:tc>
          <w:tcPr/>
          <w:p>
            <w:pPr>
              <w:pStyle w:val="Compact"/>
              <w:jc w:val="left"/>
            </w:pPr>
            <w:r>
              <w:t xml:space="preserve">Confirm section numbering</w:t>
            </w:r>
          </w:p>
        </w:tc>
      </w:tr>
      <w:tr>
        <w:tc>
          <w:tcPr/>
          <w:p>
            <w:pPr>
              <w:pStyle w:val="Compact"/>
              <w:jc w:val="left"/>
            </w:pPr>
            <w:r>
              <w:t xml:space="preserve">10</w:t>
            </w:r>
          </w:p>
        </w:tc>
        <w:tc>
          <w:tcPr/>
          <w:p>
            <w:pPr>
              <w:pStyle w:val="Compact"/>
              <w:jc w:val="left"/>
            </w:pPr>
            <w:r>
              <w:t xml:space="preserve">Comfort Letter Change Period cutoff (March 10)</w:t>
            </w:r>
          </w:p>
        </w:tc>
        <w:tc>
          <w:tcPr/>
          <w:p>
            <w:pPr>
              <w:pStyle w:val="Compact"/>
              <w:jc w:val="left"/>
            </w:pPr>
            <w:r>
              <w:t xml:space="preserve">MEDIUM</w:t>
            </w:r>
          </w:p>
        </w:tc>
        <w:tc>
          <w:tcPr/>
          <w:p>
            <w:pPr>
              <w:pStyle w:val="Compact"/>
              <w:jc w:val="left"/>
            </w:pPr>
            <w:r>
              <w:t xml:space="preserve">Comfort Letter vs. timeline</w:t>
            </w:r>
          </w:p>
        </w:tc>
        <w:tc>
          <w:tcPr/>
          <w:p>
            <w:pPr>
              <w:pStyle w:val="Compact"/>
              <w:jc w:val="left"/>
            </w:pPr>
            <w:r>
              <w:t xml:space="preserve">Bring-down letter to extend</w:t>
            </w:r>
          </w:p>
        </w:tc>
      </w:tr>
      <w:tr>
        <w:tc>
          <w:tcPr/>
          <w:p>
            <w:pPr>
              <w:pStyle w:val="Compact"/>
              <w:jc w:val="left"/>
            </w:pPr>
            <w:r>
              <w:t xml:space="preserve">11</w:t>
            </w:r>
          </w:p>
        </w:tc>
        <w:tc>
          <w:tcPr/>
          <w:p>
            <w:pPr>
              <w:pStyle w:val="Compact"/>
              <w:jc w:val="left"/>
            </w:pPr>
            <w:r>
              <w:t xml:space="preserve">Cascade GP / control persons / address</w:t>
            </w:r>
          </w:p>
        </w:tc>
        <w:tc>
          <w:tcPr/>
          <w:p>
            <w:pPr>
              <w:pStyle w:val="Compact"/>
              <w:jc w:val="left"/>
            </w:pPr>
            <w:r>
              <w:t xml:space="preserve">CRITICAL</w:t>
            </w:r>
          </w:p>
        </w:tc>
        <w:tc>
          <w:tcPr/>
          <w:p>
            <w:pPr>
              <w:pStyle w:val="Compact"/>
              <w:jc w:val="left"/>
            </w:pPr>
            <w:r>
              <w:t xml:space="preserve">S-1 vs. Questionnaire vs. POA</w:t>
            </w:r>
          </w:p>
        </w:tc>
        <w:tc>
          <w:tcPr/>
          <w:p>
            <w:pPr>
              <w:pStyle w:val="Compact"/>
              <w:jc w:val="left"/>
            </w:pPr>
            <w:r>
              <w:t xml:space="preserve">UA uses S-1 names; flagged</w:t>
            </w:r>
          </w:p>
        </w:tc>
      </w:tr>
      <w:tr>
        <w:tc>
          <w:tcPr/>
          <w:p>
            <w:pPr>
              <w:pStyle w:val="Compact"/>
              <w:jc w:val="left"/>
            </w:pPr>
            <w:r>
              <w:t xml:space="preserve">12</w:t>
            </w:r>
          </w:p>
        </w:tc>
        <w:tc>
          <w:tcPr/>
          <w:p>
            <w:pPr>
              <w:pStyle w:val="Compact"/>
              <w:jc w:val="left"/>
            </w:pPr>
            <w:r>
              <w:t xml:space="preserve">POA entity-name error (</w:t>
            </w:r>
            <w:r>
              <w:t xml:space="preserve">“</w:t>
            </w:r>
            <w:r>
              <w:t xml:space="preserve">Cascade Ridge Ventures, LP</w:t>
            </w:r>
            <w:r>
              <w:t xml:space="preserve">”</w:t>
            </w:r>
            <w:r>
              <w:t xml:space="preserve">)</w:t>
            </w:r>
          </w:p>
        </w:tc>
        <w:tc>
          <w:tcPr/>
          <w:p>
            <w:pPr>
              <w:pStyle w:val="Compact"/>
              <w:jc w:val="left"/>
            </w:pPr>
            <w:r>
              <w:t xml:space="preserve">CRITICAL</w:t>
            </w:r>
          </w:p>
        </w:tc>
        <w:tc>
          <w:tcPr/>
          <w:p>
            <w:pPr>
              <w:pStyle w:val="Compact"/>
              <w:jc w:val="left"/>
            </w:pPr>
            <w:r>
              <w:t xml:space="preserve">POA</w:t>
            </w:r>
          </w:p>
        </w:tc>
        <w:tc>
          <w:tcPr/>
          <w:p>
            <w:pPr>
              <w:pStyle w:val="Compact"/>
              <w:jc w:val="left"/>
            </w:pPr>
            <w:r>
              <w:t xml:space="preserve">UA uses correct name; POA to be corrected</w:t>
            </w:r>
          </w:p>
        </w:tc>
      </w:tr>
      <w:tr>
        <w:tc>
          <w:tcPr/>
          <w:p>
            <w:pPr>
              <w:pStyle w:val="Compact"/>
              <w:jc w:val="left"/>
            </w:pPr>
            <w:r>
              <w:t xml:space="preserve">13</w:t>
            </w:r>
          </w:p>
        </w:tc>
        <w:tc>
          <w:tcPr/>
          <w:p>
            <w:pPr>
              <w:pStyle w:val="Compact"/>
              <w:jc w:val="left"/>
            </w:pPr>
            <w:r>
              <w:t xml:space="preserve">Northlight GP / control persons</w:t>
            </w:r>
          </w:p>
        </w:tc>
        <w:tc>
          <w:tcPr/>
          <w:p>
            <w:pPr>
              <w:pStyle w:val="Compact"/>
              <w:jc w:val="left"/>
            </w:pPr>
            <w:r>
              <w:t xml:space="preserve">HIGH</w:t>
            </w:r>
          </w:p>
        </w:tc>
        <w:tc>
          <w:tcPr/>
          <w:p>
            <w:pPr>
              <w:pStyle w:val="Compact"/>
              <w:jc w:val="left"/>
            </w:pPr>
            <w:r>
              <w:t xml:space="preserve">S-1 vs. POA</w:t>
            </w:r>
          </w:p>
        </w:tc>
        <w:tc>
          <w:tcPr/>
          <w:p>
            <w:pPr>
              <w:pStyle w:val="Compact"/>
              <w:jc w:val="left"/>
            </w:pPr>
            <w:r>
              <w:t xml:space="preserve">UA uses S-1 names; flagged</w:t>
            </w:r>
          </w:p>
        </w:tc>
      </w:tr>
      <w:tr>
        <w:tc>
          <w:tcPr/>
          <w:p>
            <w:pPr>
              <w:pStyle w:val="Compact"/>
              <w:jc w:val="left"/>
            </w:pPr>
            <w:r>
              <w:t xml:space="preserve">14</w:t>
            </w:r>
          </w:p>
        </w:tc>
        <w:tc>
          <w:tcPr/>
          <w:p>
            <w:pPr>
              <w:pStyle w:val="Compact"/>
              <w:jc w:val="left"/>
            </w:pPr>
            <w:r>
              <w:t xml:space="preserve">Missing questionnaires (Northlight, Krishnamurthy)</w:t>
            </w:r>
          </w:p>
        </w:tc>
        <w:tc>
          <w:tcPr/>
          <w:p>
            <w:pPr>
              <w:pStyle w:val="Compact"/>
              <w:jc w:val="left"/>
            </w:pPr>
            <w:r>
              <w:t xml:space="preserve">HIGH</w:t>
            </w:r>
          </w:p>
        </w:tc>
        <w:tc>
          <w:tcPr/>
          <w:p>
            <w:pPr>
              <w:pStyle w:val="Compact"/>
              <w:jc w:val="left"/>
            </w:pPr>
            <w:r>
              <w:t xml:space="preserve">—</w:t>
            </w:r>
          </w:p>
        </w:tc>
        <w:tc>
          <w:tcPr/>
          <w:p>
            <w:pPr>
              <w:pStyle w:val="Compact"/>
              <w:jc w:val="left"/>
            </w:pPr>
            <w:r>
              <w:t xml:space="preserve">Closing condition (§ 6.10)</w:t>
            </w:r>
          </w:p>
        </w:tc>
      </w:tr>
      <w:tr>
        <w:tc>
          <w:tcPr/>
          <w:p>
            <w:pPr>
              <w:pStyle w:val="Compact"/>
              <w:jc w:val="left"/>
            </w:pPr>
            <w:r>
              <w:t xml:space="preserve">15</w:t>
            </w:r>
          </w:p>
        </w:tc>
        <w:tc>
          <w:tcPr/>
          <w:p>
            <w:pPr>
              <w:pStyle w:val="Compact"/>
              <w:jc w:val="left"/>
            </w:pPr>
            <w:r>
              <w:t xml:space="preserve">Cascade board observer seat disclosure</w:t>
            </w:r>
          </w:p>
        </w:tc>
        <w:tc>
          <w:tcPr/>
          <w:p>
            <w:pPr>
              <w:pStyle w:val="Compact"/>
              <w:jc w:val="left"/>
            </w:pPr>
            <w:r>
              <w:t xml:space="preserve">MEDIUM</w:t>
            </w:r>
          </w:p>
        </w:tc>
        <w:tc>
          <w:tcPr/>
          <w:p>
            <w:pPr>
              <w:pStyle w:val="Compact"/>
              <w:jc w:val="left"/>
            </w:pPr>
            <w:r>
              <w:t xml:space="preserve">Questionnaire vs. S-1</w:t>
            </w:r>
          </w:p>
        </w:tc>
        <w:tc>
          <w:tcPr/>
          <w:p>
            <w:pPr>
              <w:pStyle w:val="Compact"/>
              <w:jc w:val="left"/>
            </w:pPr>
            <w:r>
              <w:t xml:space="preserve">Confirm/add S-1 disclosure</w:t>
            </w:r>
          </w:p>
        </w:tc>
      </w:tr>
      <w:tr>
        <w:tc>
          <w:tcPr/>
          <w:p>
            <w:pPr>
              <w:pStyle w:val="Compact"/>
              <w:jc w:val="left"/>
            </w:pPr>
            <w:r>
              <w:t xml:space="preserve">16</w:t>
            </w:r>
          </w:p>
        </w:tc>
        <w:tc>
          <w:tcPr/>
          <w:p>
            <w:pPr>
              <w:pStyle w:val="Compact"/>
              <w:jc w:val="left"/>
            </w:pPr>
            <w:r>
              <w:t xml:space="preserve">Investors’ Rights Agreement termination</w:t>
            </w:r>
          </w:p>
        </w:tc>
        <w:tc>
          <w:tcPr/>
          <w:p>
            <w:pPr>
              <w:pStyle w:val="Compact"/>
              <w:jc w:val="left"/>
            </w:pPr>
            <w:r>
              <w:t xml:space="preserve">MEDIUM</w:t>
            </w:r>
          </w:p>
        </w:tc>
        <w:tc>
          <w:tcPr/>
          <w:p>
            <w:pPr>
              <w:pStyle w:val="Compact"/>
              <w:jc w:val="left"/>
            </w:pPr>
            <w:r>
              <w:t xml:space="preserve">Questionnaire vs. S-1</w:t>
            </w:r>
          </w:p>
        </w:tc>
        <w:tc>
          <w:tcPr/>
          <w:p>
            <w:pPr>
              <w:pStyle w:val="Compact"/>
              <w:jc w:val="left"/>
            </w:pPr>
            <w:r>
              <w:t xml:space="preserve">Covered by § 3.4; confirm</w:t>
            </w:r>
          </w:p>
        </w:tc>
      </w:tr>
      <w:tr>
        <w:tc>
          <w:tcPr/>
          <w:p>
            <w:pPr>
              <w:pStyle w:val="Compact"/>
              <w:jc w:val="left"/>
            </w:pPr>
            <w:r>
              <w:t xml:space="preserve">17</w:t>
            </w:r>
          </w:p>
        </w:tc>
        <w:tc>
          <w:tcPr/>
          <w:p>
            <w:pPr>
              <w:pStyle w:val="Compact"/>
              <w:jc w:val="left"/>
            </w:pPr>
            <w:r>
              <w:t xml:space="preserve">Over-Allotment Option source (Company and/or SH vs. Company only)</w:t>
            </w:r>
          </w:p>
        </w:tc>
        <w:tc>
          <w:tcPr/>
          <w:p>
            <w:pPr>
              <w:pStyle w:val="Compact"/>
              <w:jc w:val="left"/>
            </w:pPr>
            <w:r>
              <w:t xml:space="preserve">HIGH</w:t>
            </w:r>
          </w:p>
        </w:tc>
        <w:tc>
          <w:tcPr/>
          <w:p>
            <w:pPr>
              <w:pStyle w:val="Compact"/>
              <w:jc w:val="left"/>
            </w:pPr>
            <w:r>
              <w:t xml:space="preserve">Term Sheet vs. S-1, Engagement Letter, Questionnaire</w:t>
            </w:r>
          </w:p>
        </w:tc>
        <w:tc>
          <w:tcPr/>
          <w:p>
            <w:pPr>
              <w:pStyle w:val="Compact"/>
              <w:jc w:val="left"/>
            </w:pPr>
            <w:r>
              <w:t xml:space="preserve">UA: Company only (§ 1.3(b))</w:t>
            </w:r>
          </w:p>
        </w:tc>
      </w:tr>
      <w:tr>
        <w:tc>
          <w:tcPr/>
          <w:p>
            <w:pPr>
              <w:pStyle w:val="Compact"/>
              <w:jc w:val="left"/>
            </w:pPr>
            <w:r>
              <w:t xml:space="preserve">18</w:t>
            </w:r>
          </w:p>
        </w:tc>
        <w:tc>
          <w:tcPr/>
          <w:p>
            <w:pPr>
              <w:pStyle w:val="Compact"/>
              <w:jc w:val="left"/>
            </w:pPr>
            <w:r>
              <w:t xml:space="preserve">Dr. Krishnamurthy shares (500,000 vs. up to 750,000)</w:t>
            </w:r>
          </w:p>
        </w:tc>
        <w:tc>
          <w:tcPr/>
          <w:p>
            <w:pPr>
              <w:pStyle w:val="Compact"/>
              <w:jc w:val="left"/>
            </w:pPr>
            <w:r>
              <w:t xml:space="preserve">HIGH</w:t>
            </w:r>
          </w:p>
        </w:tc>
        <w:tc>
          <w:tcPr/>
          <w:p>
            <w:pPr>
              <w:pStyle w:val="Compact"/>
              <w:jc w:val="left"/>
            </w:pPr>
            <w:r>
              <w:t xml:space="preserve">Engagement Letter vs. S-1, Term Sheet, POA</w:t>
            </w:r>
          </w:p>
        </w:tc>
        <w:tc>
          <w:tcPr/>
          <w:p>
            <w:pPr>
              <w:pStyle w:val="Compact"/>
              <w:jc w:val="left"/>
            </w:pPr>
            <w:r>
              <w:t xml:space="preserve">UA: 500,000 (Schedule B)</w:t>
            </w:r>
          </w:p>
        </w:tc>
      </w:tr>
      <w:tr>
        <w:tc>
          <w:tcPr/>
          <w:p>
            <w:pPr>
              <w:pStyle w:val="Compact"/>
              <w:jc w:val="left"/>
            </w:pPr>
            <w:r>
              <w:t xml:space="preserve">19</w:t>
            </w:r>
          </w:p>
        </w:tc>
        <w:tc>
          <w:tcPr/>
          <w:p>
            <w:pPr>
              <w:pStyle w:val="Compact"/>
              <w:jc w:val="left"/>
            </w:pPr>
            <w:r>
              <w:t xml:space="preserve">Dr. Krishnamurthy shares held (~8.5M vs. 8,400,000)</w:t>
            </w:r>
          </w:p>
        </w:tc>
        <w:tc>
          <w:tcPr/>
          <w:p>
            <w:pPr>
              <w:pStyle w:val="Compact"/>
              <w:jc w:val="left"/>
            </w:pPr>
            <w:r>
              <w:t xml:space="preserve">MEDIUM</w:t>
            </w:r>
          </w:p>
        </w:tc>
        <w:tc>
          <w:tcPr/>
          <w:p>
            <w:pPr>
              <w:pStyle w:val="Compact"/>
              <w:jc w:val="left"/>
            </w:pPr>
            <w:r>
              <w:t xml:space="preserve">Term Sheet vs. S-1, POA</w:t>
            </w:r>
          </w:p>
        </w:tc>
        <w:tc>
          <w:tcPr/>
          <w:p>
            <w:pPr>
              <w:pStyle w:val="Compact"/>
              <w:jc w:val="left"/>
            </w:pPr>
            <w:r>
              <w:t xml:space="preserve">UA: 8,400,000 (Schedule B)</w:t>
            </w:r>
          </w:p>
        </w:tc>
      </w:tr>
      <w:tr>
        <w:tc>
          <w:tcPr/>
          <w:p>
            <w:pPr>
              <w:pStyle w:val="Compact"/>
              <w:jc w:val="left"/>
            </w:pPr>
            <w:r>
              <w:t xml:space="preserve">20</w:t>
            </w:r>
          </w:p>
        </w:tc>
        <w:tc>
          <w:tcPr/>
          <w:p>
            <w:pPr>
              <w:pStyle w:val="Compact"/>
              <w:jc w:val="left"/>
            </w:pPr>
            <w:r>
              <w:t xml:space="preserve">Springing extension not in Form Lock-Up or S-1</w:t>
            </w:r>
          </w:p>
        </w:tc>
        <w:tc>
          <w:tcPr/>
          <w:p>
            <w:pPr>
              <w:pStyle w:val="Compact"/>
              <w:jc w:val="left"/>
            </w:pPr>
            <w:r>
              <w:t xml:space="preserve">HIGH</w:t>
            </w:r>
          </w:p>
        </w:tc>
        <w:tc>
          <w:tcPr/>
          <w:p>
            <w:pPr>
              <w:pStyle w:val="Compact"/>
              <w:jc w:val="left"/>
            </w:pPr>
            <w:r>
              <w:t xml:space="preserve">Term Sheet, POA vs. Form Lock-Up, S-1</w:t>
            </w:r>
          </w:p>
        </w:tc>
        <w:tc>
          <w:tcPr/>
          <w:p>
            <w:pPr>
              <w:pStyle w:val="Compact"/>
              <w:jc w:val="left"/>
            </w:pPr>
            <w:r>
              <w:t xml:space="preserve">UA: Schedule C-1 + closing condition (§ 6.8)</w:t>
            </w:r>
          </w:p>
        </w:tc>
      </w:tr>
      <w:tr>
        <w:tc>
          <w:tcPr/>
          <w:p>
            <w:pPr>
              <w:pStyle w:val="Compact"/>
              <w:jc w:val="left"/>
            </w:pPr>
            <w:r>
              <w:t xml:space="preserve">21</w:t>
            </w:r>
          </w:p>
        </w:tc>
        <w:tc>
          <w:tcPr/>
          <w:p>
            <w:pPr>
              <w:pStyle w:val="Compact"/>
              <w:jc w:val="left"/>
            </w:pPr>
            <w:r>
              <w:t xml:space="preserve">Early-release threshold (to be agreed vs. 1% vs. material)</w:t>
            </w:r>
          </w:p>
        </w:tc>
        <w:tc>
          <w:tcPr/>
          <w:p>
            <w:pPr>
              <w:pStyle w:val="Compact"/>
              <w:jc w:val="left"/>
            </w:pPr>
            <w:r>
              <w:t xml:space="preserve">HIGH</w:t>
            </w:r>
          </w:p>
        </w:tc>
        <w:tc>
          <w:tcPr/>
          <w:p>
            <w:pPr>
              <w:pStyle w:val="Compact"/>
              <w:jc w:val="left"/>
            </w:pPr>
            <w:r>
              <w:t xml:space="preserve">Term Sheet vs. Engagement Letter, Form Lock-Up vs. S-1</w:t>
            </w:r>
          </w:p>
        </w:tc>
        <w:tc>
          <w:tcPr/>
          <w:p>
            <w:pPr>
              <w:pStyle w:val="Compact"/>
              <w:jc w:val="left"/>
            </w:pPr>
            <w:r>
              <w:t xml:space="preserve">UA: 1% (Schedule C)</w:t>
            </w:r>
          </w:p>
        </w:tc>
      </w:tr>
      <w:tr>
        <w:tc>
          <w:tcPr/>
          <w:p>
            <w:pPr>
              <w:pStyle w:val="Compact"/>
              <w:jc w:val="left"/>
            </w:pPr>
            <w:r>
              <w:t xml:space="preserve">22</w:t>
            </w:r>
          </w:p>
        </w:tc>
        <w:tc>
          <w:tcPr/>
          <w:p>
            <w:pPr>
              <w:pStyle w:val="Compact"/>
              <w:jc w:val="left"/>
            </w:pPr>
            <w:r>
              <w:t xml:space="preserve">Lock-up exceptions scope</w:t>
            </w:r>
          </w:p>
        </w:tc>
        <w:tc>
          <w:tcPr/>
          <w:p>
            <w:pPr>
              <w:pStyle w:val="Compact"/>
              <w:jc w:val="left"/>
            </w:pPr>
            <w:r>
              <w:t xml:space="preserve">MEDIUM</w:t>
            </w:r>
          </w:p>
        </w:tc>
        <w:tc>
          <w:tcPr/>
          <w:p>
            <w:pPr>
              <w:pStyle w:val="Compact"/>
              <w:jc w:val="left"/>
            </w:pPr>
            <w:r>
              <w:t xml:space="preserve">Term Sheet vs. S-1 vs. Form Lock-Up vs. Engagement Letter</w:t>
            </w:r>
          </w:p>
        </w:tc>
        <w:tc>
          <w:tcPr/>
          <w:p>
            <w:pPr>
              <w:pStyle w:val="Compact"/>
              <w:jc w:val="left"/>
            </w:pPr>
            <w:r>
              <w:t xml:space="preserve">UA: Form Lock-Up controls (Schedule C)</w:t>
            </w:r>
          </w:p>
        </w:tc>
      </w:tr>
      <w:tr>
        <w:tc>
          <w:tcPr/>
          <w:p>
            <w:pPr>
              <w:pStyle w:val="Compact"/>
              <w:jc w:val="left"/>
            </w:pPr>
            <w:r>
              <w:t xml:space="preserve">23</w:t>
            </w:r>
          </w:p>
        </w:tc>
        <w:tc>
          <w:tcPr/>
          <w:p>
            <w:pPr>
              <w:pStyle w:val="Compact"/>
              <w:jc w:val="left"/>
            </w:pPr>
            <w:r>
              <w:t xml:space="preserve">“</w:t>
            </w:r>
            <w:r>
              <w:t xml:space="preserve">Joint Book-Running Manager</w:t>
            </w:r>
            <w:r>
              <w:t xml:space="preserve">”</w:t>
            </w:r>
            <w:r>
              <w:t xml:space="preserve"> </w:t>
            </w:r>
            <w:r>
              <w:t xml:space="preserve">designation</w:t>
            </w:r>
          </w:p>
        </w:tc>
        <w:tc>
          <w:tcPr/>
          <w:p>
            <w:pPr>
              <w:pStyle w:val="Compact"/>
              <w:jc w:val="left"/>
            </w:pPr>
            <w:r>
              <w:t xml:space="preserve">MEDIUM</w:t>
            </w:r>
          </w:p>
        </w:tc>
        <w:tc>
          <w:tcPr/>
          <w:p>
            <w:pPr>
              <w:pStyle w:val="Compact"/>
              <w:jc w:val="left"/>
            </w:pPr>
            <w:r>
              <w:t xml:space="preserve">S-1 cover vs. S-1 § XI.A, Term Sheet, Engagement Letter</w:t>
            </w:r>
          </w:p>
        </w:tc>
        <w:tc>
          <w:tcPr/>
          <w:p>
            <w:pPr>
              <w:pStyle w:val="Compact"/>
              <w:jc w:val="left"/>
            </w:pPr>
            <w:r>
              <w:t xml:space="preserve">UA: Hargrove = Representative/Lead Book-Runner</w:t>
            </w:r>
          </w:p>
        </w:tc>
      </w:tr>
      <w:tr>
        <w:tc>
          <w:tcPr/>
          <w:p>
            <w:pPr>
              <w:pStyle w:val="Compact"/>
              <w:jc w:val="left"/>
            </w:pPr>
            <w:r>
              <w:t xml:space="preserve">24</w:t>
            </w:r>
          </w:p>
        </w:tc>
        <w:tc>
          <w:tcPr/>
          <w:p>
            <w:pPr>
              <w:pStyle w:val="Compact"/>
              <w:jc w:val="left"/>
            </w:pPr>
            <w:r>
              <w:t xml:space="preserve">Further charter amendment for IPO</w:t>
            </w:r>
          </w:p>
        </w:tc>
        <w:tc>
          <w:tcPr/>
          <w:p>
            <w:pPr>
              <w:pStyle w:val="Compact"/>
              <w:jc w:val="left"/>
            </w:pPr>
            <w:r>
              <w:t xml:space="preserve">MEDIUM</w:t>
            </w:r>
          </w:p>
        </w:tc>
        <w:tc>
          <w:tcPr/>
          <w:p>
            <w:pPr>
              <w:pStyle w:val="Compact"/>
              <w:jc w:val="left"/>
            </w:pPr>
            <w:r>
              <w:t xml:space="preserve">S-1 vs. Charter</w:t>
            </w:r>
          </w:p>
        </w:tc>
        <w:tc>
          <w:tcPr/>
          <w:p>
            <w:pPr>
              <w:pStyle w:val="Compact"/>
              <w:jc w:val="left"/>
            </w:pPr>
            <w:r>
              <w:t xml:space="preserve">Confirm; update § 2.1 if needed</w:t>
            </w:r>
          </w:p>
        </w:tc>
      </w:tr>
      <w:tr>
        <w:tc>
          <w:tcPr/>
          <w:p>
            <w:pPr>
              <w:pStyle w:val="Compact"/>
              <w:jc w:val="left"/>
            </w:pPr>
            <w:r>
              <w:t xml:space="preserve">25</w:t>
            </w:r>
          </w:p>
        </w:tc>
        <w:tc>
          <w:tcPr/>
          <w:p>
            <w:pPr>
              <w:pStyle w:val="Compact"/>
              <w:jc w:val="left"/>
            </w:pPr>
            <w:r>
              <w:t xml:space="preserve">Lender consent for charter amendments</w:t>
            </w:r>
          </w:p>
        </w:tc>
        <w:tc>
          <w:tcPr/>
          <w:p>
            <w:pPr>
              <w:pStyle w:val="Compact"/>
              <w:jc w:val="left"/>
            </w:pPr>
            <w:r>
              <w:t xml:space="preserve">MEDIUM</w:t>
            </w:r>
          </w:p>
        </w:tc>
        <w:tc>
          <w:tcPr/>
          <w:p>
            <w:pPr>
              <w:pStyle w:val="Compact"/>
              <w:jc w:val="left"/>
            </w:pPr>
            <w:r>
              <w:t xml:space="preserve">Credit Summary</w:t>
            </w:r>
          </w:p>
        </w:tc>
        <w:tc>
          <w:tcPr/>
          <w:p>
            <w:pPr>
              <w:pStyle w:val="Compact"/>
              <w:jc w:val="left"/>
            </w:pPr>
            <w:r>
              <w:t xml:space="preserve">Closing condition (§ 6.13)</w:t>
            </w:r>
          </w:p>
        </w:tc>
      </w:tr>
      <w:tr>
        <w:tc>
          <w:tcPr/>
          <w:p>
            <w:pPr>
              <w:pStyle w:val="Compact"/>
              <w:jc w:val="left"/>
            </w:pPr>
            <w:r>
              <w:t xml:space="preserve">26</w:t>
            </w:r>
          </w:p>
        </w:tc>
        <w:tc>
          <w:tcPr/>
          <w:p>
            <w:pPr>
              <w:pStyle w:val="Compact"/>
              <w:jc w:val="left"/>
            </w:pPr>
            <w:r>
              <w:t xml:space="preserve">Credit agreement equity-issuance prior notice</w:t>
            </w:r>
          </w:p>
        </w:tc>
        <w:tc>
          <w:tcPr/>
          <w:p>
            <w:pPr>
              <w:pStyle w:val="Compact"/>
              <w:jc w:val="left"/>
            </w:pPr>
            <w:r>
              <w:t xml:space="preserve">MEDIUM</w:t>
            </w:r>
          </w:p>
        </w:tc>
        <w:tc>
          <w:tcPr/>
          <w:p>
            <w:pPr>
              <w:pStyle w:val="Compact"/>
              <w:jc w:val="left"/>
            </w:pPr>
            <w:r>
              <w:t xml:space="preserve">Credit Summary</w:t>
            </w:r>
          </w:p>
        </w:tc>
        <w:tc>
          <w:tcPr/>
          <w:p>
            <w:pPr>
              <w:pStyle w:val="Compact"/>
              <w:jc w:val="left"/>
            </w:pPr>
            <w:r>
              <w:t xml:space="preserve">Closing condition (§ 6.13)</w:t>
            </w:r>
          </w:p>
        </w:tc>
      </w:tr>
      <w:tr>
        <w:tc>
          <w:tcPr/>
          <w:p>
            <w:pPr>
              <w:pStyle w:val="Compact"/>
              <w:jc w:val="left"/>
            </w:pPr>
            <w:r>
              <w:t xml:space="preserve">27</w:t>
            </w:r>
          </w:p>
        </w:tc>
        <w:tc>
          <w:tcPr/>
          <w:p>
            <w:pPr>
              <w:pStyle w:val="Compact"/>
              <w:jc w:val="left"/>
            </w:pPr>
            <w:r>
              <w:t xml:space="preserve">Net-proceeds definition (discount only vs. discount + expenses)</w:t>
            </w:r>
          </w:p>
        </w:tc>
        <w:tc>
          <w:tcPr/>
          <w:p>
            <w:pPr>
              <w:pStyle w:val="Compact"/>
              <w:jc w:val="left"/>
            </w:pPr>
            <w:r>
              <w:t xml:space="preserve">MEDIUM</w:t>
            </w:r>
          </w:p>
        </w:tc>
        <w:tc>
          <w:tcPr/>
          <w:p>
            <w:pPr>
              <w:pStyle w:val="Compact"/>
              <w:jc w:val="left"/>
            </w:pPr>
            <w:r>
              <w:t xml:space="preserve">Term Sheet vs. S-1, Comfort Letter</w:t>
            </w:r>
          </w:p>
        </w:tc>
        <w:tc>
          <w:tcPr/>
          <w:p>
            <w:pPr>
              <w:pStyle w:val="Compact"/>
              <w:jc w:val="left"/>
            </w:pPr>
            <w:r>
              <w:t xml:space="preserve">UA uses</w:t>
            </w:r>
            <w:r>
              <w:t xml:space="preserve"> </w:t>
            </w:r>
            <w:r>
              <w:t xml:space="preserve">“</w:t>
            </w:r>
            <w:r>
              <w:t xml:space="preserve">Net Price</w:t>
            </w:r>
            <w:r>
              <w:t xml:space="preserve">”</w:t>
            </w:r>
            <w:r>
              <w:t xml:space="preserve"> </w:t>
            </w:r>
            <w:r>
              <w:t xml:space="preserve">(discount only); noted</w:t>
            </w:r>
          </w:p>
        </w:tc>
      </w:tr>
      <w:tr>
        <w:tc>
          <w:tcPr/>
          <w:p>
            <w:pPr>
              <w:pStyle w:val="Compact"/>
              <w:jc w:val="left"/>
            </w:pPr>
            <w:r>
              <w:t xml:space="preserve">28</w:t>
            </w:r>
          </w:p>
        </w:tc>
        <w:tc>
          <w:tcPr/>
          <w:p>
            <w:pPr>
              <w:pStyle w:val="Compact"/>
              <w:jc w:val="left"/>
            </w:pPr>
            <w:r>
              <w:t xml:space="preserve">Public offering price confirmation ($24.00 assumed)</w:t>
            </w:r>
          </w:p>
        </w:tc>
        <w:tc>
          <w:tcPr/>
          <w:p>
            <w:pPr>
              <w:pStyle w:val="Compact"/>
              <w:jc w:val="left"/>
            </w:pPr>
            <w:r>
              <w:t xml:space="preserve">MEDIUM</w:t>
            </w:r>
          </w:p>
        </w:tc>
        <w:tc>
          <w:tcPr/>
          <w:p>
            <w:pPr>
              <w:pStyle w:val="Compact"/>
              <w:jc w:val="left"/>
            </w:pPr>
            <w:r>
              <w:t xml:space="preserve">—</w:t>
            </w:r>
          </w:p>
        </w:tc>
        <w:tc>
          <w:tcPr/>
          <w:p>
            <w:pPr>
              <w:pStyle w:val="Compact"/>
              <w:jc w:val="left"/>
            </w:pPr>
            <w:r>
              <w:t xml:space="preserve">Confirm at pricing; update § 1.2, Schedule E</w:t>
            </w:r>
          </w:p>
        </w:tc>
      </w:tr>
      <w:tr>
        <w:tc>
          <w:tcPr/>
          <w:p>
            <w:pPr>
              <w:pStyle w:val="Compact"/>
              <w:jc w:val="left"/>
            </w:pPr>
            <w:r>
              <w:t xml:space="preserve">29</w:t>
            </w:r>
          </w:p>
        </w:tc>
        <w:tc>
          <w:tcPr/>
          <w:p>
            <w:pPr>
              <w:pStyle w:val="Compact"/>
              <w:jc w:val="left"/>
            </w:pPr>
            <w:r>
              <w:t xml:space="preserve">Expense reimbursement cap ($500,000)</w:t>
            </w:r>
          </w:p>
        </w:tc>
        <w:tc>
          <w:tcPr/>
          <w:p>
            <w:pPr>
              <w:pStyle w:val="Compact"/>
              <w:jc w:val="left"/>
            </w:pPr>
            <w:r>
              <w:t xml:space="preserve">MEDIUM</w:t>
            </w:r>
          </w:p>
        </w:tc>
        <w:tc>
          <w:tcPr/>
          <w:p>
            <w:pPr>
              <w:pStyle w:val="Compact"/>
              <w:jc w:val="left"/>
            </w:pPr>
            <w:r>
              <w:t xml:space="preserve">Engagement Letter</w:t>
            </w:r>
          </w:p>
        </w:tc>
        <w:tc>
          <w:tcPr/>
          <w:p>
            <w:pPr>
              <w:pStyle w:val="Compact"/>
              <w:jc w:val="left"/>
            </w:pPr>
            <w:r>
              <w:t xml:space="preserve">Reflected in § 10.6(d)</w:t>
            </w:r>
          </w:p>
        </w:tc>
      </w:tr>
      <w:tr>
        <w:tc>
          <w:tcPr/>
          <w:p>
            <w:pPr>
              <w:pStyle w:val="Compact"/>
              <w:jc w:val="left"/>
            </w:pPr>
            <w:r>
              <w:t xml:space="preserve">30</w:t>
            </w:r>
          </w:p>
        </w:tc>
        <w:tc>
          <w:tcPr/>
          <w:p>
            <w:pPr>
              <w:pStyle w:val="Compact"/>
              <w:jc w:val="left"/>
            </w:pPr>
            <w:r>
              <w:t xml:space="preserve">Cross-default / VitaBand litigation interaction</w:t>
            </w:r>
          </w:p>
        </w:tc>
        <w:tc>
          <w:tcPr/>
          <w:p>
            <w:pPr>
              <w:pStyle w:val="Compact"/>
              <w:jc w:val="left"/>
            </w:pPr>
            <w:r>
              <w:t xml:space="preserve">MEDIUM</w:t>
            </w:r>
          </w:p>
        </w:tc>
        <w:tc>
          <w:tcPr/>
          <w:p>
            <w:pPr>
              <w:pStyle w:val="Compact"/>
              <w:jc w:val="left"/>
            </w:pPr>
            <w:r>
              <w:t xml:space="preserve">Credit Summary vs. S-1</w:t>
            </w:r>
          </w:p>
        </w:tc>
        <w:tc>
          <w:tcPr/>
          <w:p>
            <w:pPr>
              <w:pStyle w:val="Compact"/>
              <w:jc w:val="left"/>
            </w:pPr>
            <w:r>
              <w:t xml:space="preserve">Consider S-1 disclosure enhancement</w:t>
            </w:r>
          </w:p>
        </w:tc>
      </w:tr>
    </w:tbl>
    <w:p>
      <w:r>
        <w:pict>
          <v:rect style="width:0;height:1.5pt" o:hralign="center" o:hrstd="t" o:hr="t"/>
        </w:pict>
      </w:r>
    </w:p>
    <w:bookmarkEnd w:id="31"/>
    <w:bookmarkStart w:id="32" w:name="X5b4bc0708fb1814fa17f6df25112fa445531bb2"/>
    <w:p>
      <w:pPr>
        <w:pStyle w:val="Heading2"/>
      </w:pPr>
      <w:r>
        <w:t xml:space="preserve">V. Recommended Action Items Before Execution and Closing</w:t>
      </w:r>
    </w:p>
    <w:p>
      <w:pPr>
        <w:pStyle w:val="FirstParagraph"/>
      </w:pPr>
      <w:r>
        <w:rPr>
          <w:b/>
          <w:bCs/>
        </w:rPr>
        <w:t xml:space="preserve">Before execution of the Underwriting Agreement (Pricing Date — March 19, 2025):</w:t>
      </w:r>
    </w:p>
    <w:p>
      <w:pPr>
        <w:pStyle w:val="Compact"/>
        <w:numPr>
          <w:ilvl w:val="0"/>
          <w:numId w:val="1001"/>
        </w:numPr>
      </w:pPr>
      <w:r>
        <w:t xml:space="preserve">Reconcile the credit-facility discrepancies (Issues 1–6) and determine whether the S-1 or the Credit Summary is correct. If the S-1 is misstated, prepare a prospectus supplement or post-effective amendment before filing the Final Prospectus under Rule 424(b)(4).</w:t>
      </w:r>
      <w:r>
        <w:t xml:space="preserve"> </w:t>
      </w:r>
      <w:r>
        <w:rPr>
          <w:i/>
          <w:iCs/>
        </w:rPr>
        <w:t xml:space="preserve">(Issues 1–6)</w:t>
      </w:r>
    </w:p>
    <w:p>
      <w:pPr>
        <w:pStyle w:val="Compact"/>
        <w:numPr>
          <w:ilvl w:val="0"/>
          <w:numId w:val="1001"/>
        </w:numPr>
      </w:pPr>
      <w:r>
        <w:t xml:space="preserve">Reconcile the Comfort Letter balance-sheet figures with the S-1’s Capitalization and Dilution disclosures (Issue 8). Do not finalize the Comfort Letter until the audited balance sheet figures are confirmed and the S-1 is conformed.</w:t>
      </w:r>
    </w:p>
    <w:p>
      <w:pPr>
        <w:pStyle w:val="Compact"/>
        <w:numPr>
          <w:ilvl w:val="0"/>
          <w:numId w:val="1001"/>
        </w:numPr>
      </w:pPr>
      <w:r>
        <w:t xml:space="preserve">Correct the POA entity-name error and reconcile the Cascade and Northlight general-partner/control-person disclosures across the S-1, the POA, and the questionnaires (Issues 11–13).</w:t>
      </w:r>
    </w:p>
    <w:p>
      <w:pPr>
        <w:pStyle w:val="Compact"/>
        <w:numPr>
          <w:ilvl w:val="0"/>
          <w:numId w:val="1001"/>
        </w:numPr>
      </w:pPr>
      <w:r>
        <w:t xml:space="preserve">Confirm the Over-Allotment Option sourcing (Issue 17) and Dr. Krishnamurthy’s share count (Issue 18).</w:t>
      </w:r>
    </w:p>
    <w:p>
      <w:pPr>
        <w:pStyle w:val="Compact"/>
        <w:numPr>
          <w:ilvl w:val="0"/>
          <w:numId w:val="1001"/>
        </w:numPr>
      </w:pPr>
      <w:r>
        <w:t xml:space="preserve">Prepare the supplemental springing-extension lock-up for Dr. Krishnamurthy (Issue 20) and update the S-1’s lock-up disclosure in the Final Prospectus.</w:t>
      </w:r>
    </w:p>
    <w:p>
      <w:pPr>
        <w:pStyle w:val="Compact"/>
        <w:numPr>
          <w:ilvl w:val="0"/>
          <w:numId w:val="1001"/>
        </w:numPr>
      </w:pPr>
      <w:r>
        <w:t xml:space="preserve">Confirm the final Public Offering Price (Issue 28) and update the Underwriting Agreement and Final Prospectus.</w:t>
      </w:r>
    </w:p>
    <w:p>
      <w:pPr>
        <w:pStyle w:val="FirstParagraph"/>
      </w:pPr>
      <w:r>
        <w:rPr>
          <w:b/>
          <w:bCs/>
        </w:rPr>
        <w:t xml:space="preserve">Before the Closing (March 24, 2025):</w:t>
      </w:r>
    </w:p>
    <w:p>
      <w:pPr>
        <w:pStyle w:val="Compact"/>
        <w:numPr>
          <w:ilvl w:val="0"/>
          <w:numId w:val="1002"/>
        </w:numPr>
      </w:pPr>
      <w:r>
        <w:t xml:space="preserve">Revise the S-1 Use of Proceeds to reflect the actual mandatory prepayment (Issue 7).</w:t>
      </w:r>
    </w:p>
    <w:p>
      <w:pPr>
        <w:pStyle w:val="Compact"/>
        <w:numPr>
          <w:ilvl w:val="0"/>
          <w:numId w:val="1002"/>
        </w:numPr>
      </w:pPr>
      <w:r>
        <w:t xml:space="preserve">Obtain lender consent for any charter amendments and confirm the equity-issuance prior notice was given (Issues 25–26).</w:t>
      </w:r>
    </w:p>
    <w:p>
      <w:pPr>
        <w:pStyle w:val="Compact"/>
        <w:numPr>
          <w:ilvl w:val="0"/>
          <w:numId w:val="1002"/>
        </w:numPr>
      </w:pPr>
      <w:r>
        <w:t xml:space="preserve">Receive completed selling stockholder questionnaires from Northlight and Dr. Krishnamurthy (Issue 14).</w:t>
      </w:r>
    </w:p>
    <w:p>
      <w:pPr>
        <w:pStyle w:val="Compact"/>
        <w:numPr>
          <w:ilvl w:val="0"/>
          <w:numId w:val="1002"/>
        </w:numPr>
      </w:pPr>
      <w:r>
        <w:t xml:space="preserve">Receive the final Comfort Letter and bring-down Comfort Letter with a current Change Period (Issues 9–10).</w:t>
      </w:r>
    </w:p>
    <w:p>
      <w:pPr>
        <w:pStyle w:val="Compact"/>
        <w:numPr>
          <w:ilvl w:val="0"/>
          <w:numId w:val="1002"/>
        </w:numPr>
      </w:pPr>
      <w:r>
        <w:t xml:space="preserve">Receive the legal opinions, officers’ and secretary’s certificates, executed lock-up agreements (including the springing extension for Dr. Krishnamurthy), and executed POAs (Sections 6.5–6.9).</w:t>
      </w:r>
    </w:p>
    <w:p>
      <w:pPr>
        <w:pStyle w:val="Compact"/>
        <w:numPr>
          <w:ilvl w:val="0"/>
          <w:numId w:val="1002"/>
        </w:numPr>
      </w:pPr>
      <w:r>
        <w:t xml:space="preserve">Obtain FINRA clearance and all required consents (Sections 6.12–6.13).</w:t>
      </w:r>
    </w:p>
    <w:p>
      <w:r>
        <w:pict>
          <v:rect style="width:0;height:1.5pt" o:hralign="center" o:hrstd="t" o:hr="t"/>
        </w:pict>
      </w:r>
    </w:p>
    <w:bookmarkEnd w:id="32"/>
    <w:bookmarkStart w:id="33" w:name="vi.-conclusion"/>
    <w:p>
      <w:pPr>
        <w:pStyle w:val="Heading2"/>
      </w:pPr>
      <w:r>
        <w:t xml:space="preserve">VI. Conclusion</w:t>
      </w:r>
    </w:p>
    <w:p>
      <w:pPr>
        <w:pStyle w:val="FirstParagraph"/>
      </w:pPr>
      <w:r>
        <w:t xml:space="preserve">The Underwriting Agreement is drafted to be execution-ready and adopts reconciled positions where the deal documents conflict, generally favoring the disclosure in the S-1 (the operative document as declared effective) and the more detailed internal work-product where the S-1 appears understated or incomplete. However, several</w:t>
      </w:r>
      <w:r>
        <w:t xml:space="preserve"> </w:t>
      </w:r>
      <w:r>
        <w:rPr>
          <w:b/>
          <w:bCs/>
        </w:rPr>
        <w:t xml:space="preserve">CRITICAL</w:t>
      </w:r>
      <w:r>
        <w:t xml:space="preserve"> </w:t>
      </w:r>
      <w:r>
        <w:t xml:space="preserve">discrepancies — most notably the credit-facility terms, the Comfort Letter balance-sheet figures, and the Selling Stockholder identity disclosures — must be reconciled before the Underwriting Agreement is executed and before the Closing conditions can be cleared. We recommend that the deal team prioritize the items in Section V and that Company counsel confirm the credit-facility terms and the audited balance-sheet figures as soon as possible.</w:t>
      </w:r>
    </w:p>
    <w:p>
      <w:pPr>
        <w:pStyle w:val="BodyText"/>
      </w:pPr>
      <w:r>
        <w:t xml:space="preserve">This memorandum is prepared in anticipation of litigation and constitutes attorney work product. It is privileged and confidential and should not be distributed outside the underwriting working group.</w:t>
      </w:r>
    </w:p>
    <w:p>
      <w:pPr>
        <w:pStyle w:val="BodyText"/>
      </w:pPr>
      <w:r>
        <w:rPr>
          <w:i/>
          <w:iCs/>
        </w:rPr>
        <w:t xml:space="preserve">End of Memorandum.</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2026-06-28T18:16:16Z</dcterms:created>
  <dcterms:modified xsi:type="dcterms:W3CDTF">2026-06-28T18:16:16Z</dcterms:modified>
</cp:coreProperties>
</file>

<file path=docProps/custom.xml><?xml version="1.0" encoding="utf-8"?>
<Properties xmlns="http://schemas.openxmlformats.org/officeDocument/2006/custom-properties" xmlns:vt="http://schemas.openxmlformats.org/officeDocument/2006/docPropsVTypes"/>
</file>