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issues-memorandum"/>
    <w:p>
      <w:pPr>
        <w:pStyle w:val="Heading1"/>
      </w:pPr>
      <w:r>
        <w:t xml:space="preserve">ISSUES MEMORANDUM</w:t>
      </w:r>
    </w:p>
    <w:p>
      <w:pPr>
        <w:pStyle w:val="FirstParagraph"/>
      </w:pPr>
      <w:r>
        <w:rPr>
          <w:b/>
          <w:bCs/>
        </w:rPr>
        <w:t xml:space="preserve">PRIVILEGED AND CONFIDENTIAL — ATTORNEY WORK PRODUCT</w:t>
      </w:r>
    </w:p>
    <w:p>
      <w:pPr>
        <w:pStyle w:val="BodyText"/>
      </w:pPr>
      <w:r>
        <w:rPr>
          <w:b/>
          <w:bCs/>
        </w:rPr>
        <w:t xml:space="preserve">Re:</w:t>
      </w:r>
      <w:r>
        <w:t xml:space="preserve"> </w:t>
      </w:r>
      <w:r>
        <w:t xml:space="preserve">Initial Public Offering of Common Stock of Meridian Pulse Technologies, Inc. — Cross-Document Discrepancies and Open Items in Connection with the Underwriting Agreement</w:t>
      </w:r>
    </w:p>
    <w:p>
      <w:pPr>
        <w:pStyle w:val="BodyText"/>
      </w:pPr>
      <w:r>
        <w:rPr>
          <w:b/>
          <w:bCs/>
        </w:rPr>
        <w:t xml:space="preserve">To:</w:t>
      </w:r>
      <w:r>
        <w:t xml:space="preserve"> </w:t>
      </w:r>
      <w:r>
        <w:t xml:space="preserve">Deal Team — Hargrove Securities LLC (Lead Book-Runner); Bellweather Capital Markets, Inc. (Co-Manager); Meridian Pulse Technologies, Inc.; Stonebridge &amp; Calloway LLP (Company Counsel)</w:t>
      </w:r>
    </w:p>
    <w:p>
      <w:pPr>
        <w:pStyle w:val="BodyText"/>
      </w:pPr>
      <w:r>
        <w:rPr>
          <w:b/>
          <w:bCs/>
        </w:rPr>
        <w:t xml:space="preserve">From:</w:t>
      </w:r>
      <w:r>
        <w:t xml:space="preserve"> </w:t>
      </w:r>
      <w:r>
        <w:t xml:space="preserve">Ashford &amp; Pine LLP (Underwriters’ Counsel)</w:t>
      </w:r>
    </w:p>
    <w:p>
      <w:pPr>
        <w:pStyle w:val="BodyText"/>
      </w:pPr>
      <w:r>
        <w:rPr>
          <w:b/>
          <w:bCs/>
        </w:rPr>
        <w:t xml:space="preserve">Date:</w:t>
      </w:r>
      <w:r>
        <w:t xml:space="preserve"> </w:t>
      </w:r>
      <w:r>
        <w:t xml:space="preserve">March 18, 2025</w:t>
      </w:r>
    </w:p>
    <w:p>
      <w:pPr>
        <w:pStyle w:val="BodyText"/>
      </w:pPr>
      <w:r>
        <w:rPr>
          <w:b/>
          <w:bCs/>
        </w:rPr>
        <w:t xml:space="preserve">Re:</w:t>
      </w:r>
      <w:r>
        <w:t xml:space="preserve"> </w:t>
      </w:r>
      <w:r>
        <w:t xml:space="preserve">Cross-document discrepancies and open items identified during review of the IPO transaction documents in connection with the preparation and execution of the firm-commitment Underwriting Agreement (the</w:t>
      </w:r>
      <w:r>
        <w:t xml:space="preserve"> </w:t>
      </w:r>
      <w:r>
        <w:t xml:space="preserve">“</w:t>
      </w:r>
      <w:r>
        <w:t xml:space="preserve">Underwriting Agreement</w:t>
      </w:r>
      <w:r>
        <w:t xml:space="preserve">”</w:t>
      </w:r>
      <w:r>
        <w:t xml:space="preserve">), dated as of March 19, 2025</w:t>
      </w:r>
    </w:p>
    <w:p>
      <w:r>
        <w:pict>
          <v:rect style="width:0;height:1.5pt" o:hralign="center" o:hrstd="t" o:hr="t"/>
        </w:pict>
      </w:r>
    </w:p>
    <w:bookmarkStart w:id="20" w:name="i.-introduction-and-scope"/>
    <w:p>
      <w:pPr>
        <w:pStyle w:val="Heading2"/>
      </w:pPr>
      <w:r>
        <w:t xml:space="preserve">I. Introduction and Scope</w:t>
      </w:r>
    </w:p>
    <w:p>
      <w:pPr>
        <w:pStyle w:val="FirstParagraph"/>
      </w:pPr>
      <w:r>
        <w:t xml:space="preserve">This memorandum summarizes the discrepancies and open items identified by Underwriters’ Counsel during a review of the following transaction documents in connection with the proposed initial public offering (the</w:t>
      </w:r>
      <w:r>
        <w:t xml:space="preserve"> </w:t>
      </w:r>
      <w:r>
        <w:t xml:space="preserve">“</w:t>
      </w:r>
      <w:r>
        <w:t xml:space="preserve">Offering</w:t>
      </w:r>
      <w:r>
        <w:t xml:space="preserve">”</w:t>
      </w:r>
      <w:r>
        <w:t xml:space="preserve">) of 12,000,000 shares of common stock of Meridian Pulse Technologies, Inc. (the</w:t>
      </w:r>
      <w:r>
        <w:t xml:space="preserve"> </w:t>
      </w:r>
      <w:r>
        <w:t xml:space="preserve">“</w:t>
      </w:r>
      <w:r>
        <w:t xml:space="preserve">Company</w:t>
      </w:r>
      <w:r>
        <w:t xml:space="preserve">”</w:t>
      </w:r>
      <w:r>
        <w:t xml:space="preserve">):</w:t>
      </w:r>
    </w:p>
    <w:p>
      <w:pPr>
        <w:pStyle w:val="Compact"/>
        <w:numPr>
          <w:ilvl w:val="0"/>
          <w:numId w:val="1001"/>
        </w:numPr>
      </w:pPr>
      <w:r>
        <w:t xml:space="preserve">IPO Term Sheet, dated March 19, 2025 (the</w:t>
      </w:r>
      <w:r>
        <w:t xml:space="preserve"> </w:t>
      </w:r>
      <w:r>
        <w:t xml:space="preserve">“</w:t>
      </w:r>
      <w:r>
        <w:t xml:space="preserve">Term Sheet</w:t>
      </w:r>
      <w:r>
        <w:t xml:space="preserve">”</w:t>
      </w:r>
      <w:r>
        <w:t xml:space="preserve">);</w:t>
      </w:r>
    </w:p>
    <w:p>
      <w:pPr>
        <w:pStyle w:val="Compact"/>
        <w:numPr>
          <w:ilvl w:val="0"/>
          <w:numId w:val="1001"/>
        </w:numPr>
      </w:pPr>
      <w:r>
        <w:t xml:space="preserve">Registration Statement on Form S-1 (File No. 333-284517) — selected excerpts (the</w:t>
      </w:r>
      <w:r>
        <w:t xml:space="preserve"> </w:t>
      </w:r>
      <w:r>
        <w:t xml:space="preserve">“</w:t>
      </w:r>
      <w:r>
        <w:t xml:space="preserve">S-1</w:t>
      </w:r>
      <w:r>
        <w:t xml:space="preserve">”</w:t>
      </w:r>
      <w:r>
        <w:t xml:space="preserve">);</w:t>
      </w:r>
    </w:p>
    <w:p>
      <w:pPr>
        <w:pStyle w:val="Compact"/>
        <w:numPr>
          <w:ilvl w:val="0"/>
          <w:numId w:val="1001"/>
        </w:numPr>
      </w:pPr>
      <w:r>
        <w:t xml:space="preserve">Amended and Restated Certificate of Incorporation (the</w:t>
      </w:r>
      <w:r>
        <w:t xml:space="preserve"> </w:t>
      </w:r>
      <w:r>
        <w:t xml:space="preserve">“</w:t>
      </w:r>
      <w:r>
        <w:t xml:space="preserve">Charter</w:t>
      </w:r>
      <w:r>
        <w:t xml:space="preserve">”</w:t>
      </w:r>
      <w:r>
        <w:t xml:space="preserve">);</w:t>
      </w:r>
    </w:p>
    <w:p>
      <w:pPr>
        <w:pStyle w:val="Compact"/>
        <w:numPr>
          <w:ilvl w:val="0"/>
          <w:numId w:val="1001"/>
        </w:numPr>
      </w:pPr>
      <w:r>
        <w:t xml:space="preserve">Summary of Key Terms — Revolving Credit Agreement, prepared by Stonebridge &amp; Calloway LLP (the</w:t>
      </w:r>
      <w:r>
        <w:t xml:space="preserve"> </w:t>
      </w:r>
      <w:r>
        <w:t xml:space="preserve">“</w:t>
      </w:r>
      <w:r>
        <w:t xml:space="preserve">Credit Summary</w:t>
      </w:r>
      <w:r>
        <w:t xml:space="preserve">”</w:t>
      </w:r>
      <w:r>
        <w:t xml:space="preserve">);</w:t>
      </w:r>
    </w:p>
    <w:p>
      <w:pPr>
        <w:pStyle w:val="Compact"/>
        <w:numPr>
          <w:ilvl w:val="0"/>
          <w:numId w:val="1001"/>
        </w:numPr>
      </w:pPr>
      <w:r>
        <w:t xml:space="preserve">Engagement Letter, dated November 8, 2024 (the</w:t>
      </w:r>
      <w:r>
        <w:t xml:space="preserve"> </w:t>
      </w:r>
      <w:r>
        <w:t xml:space="preserve">“</w:t>
      </w:r>
      <w:r>
        <w:t xml:space="preserve">Engagement Letter</w:t>
      </w:r>
      <w:r>
        <w:t xml:space="preserve">”</w:t>
      </w:r>
      <w:r>
        <w:t xml:space="preserve">);</w:t>
      </w:r>
    </w:p>
    <w:p>
      <w:pPr>
        <w:pStyle w:val="Compact"/>
        <w:numPr>
          <w:ilvl w:val="0"/>
          <w:numId w:val="1001"/>
        </w:numPr>
      </w:pPr>
      <w:r>
        <w:t xml:space="preserve">Form of Lock-Up Agreement (the</w:t>
      </w:r>
      <w:r>
        <w:t xml:space="preserve"> </w:t>
      </w:r>
      <w:r>
        <w:t xml:space="preserve">“</w:t>
      </w:r>
      <w:r>
        <w:t xml:space="preserve">Lock-Up Form</w:t>
      </w:r>
      <w:r>
        <w:t xml:space="preserve">”</w:t>
      </w:r>
      <w:r>
        <w:t xml:space="preserve">);</w:t>
      </w:r>
    </w:p>
    <w:p>
      <w:pPr>
        <w:pStyle w:val="Compact"/>
        <w:numPr>
          <w:ilvl w:val="0"/>
          <w:numId w:val="1001"/>
        </w:numPr>
      </w:pPr>
      <w:r>
        <w:t xml:space="preserve">Draft Comfort Letter from Whitman Reese &amp; Co., dated March 18, 2025 (the</w:t>
      </w:r>
      <w:r>
        <w:t xml:space="preserve"> </w:t>
      </w:r>
      <w:r>
        <w:t xml:space="preserve">“</w:t>
      </w:r>
      <w:r>
        <w:t xml:space="preserve">Comfort Letter</w:t>
      </w:r>
      <w:r>
        <w:t xml:space="preserve">”</w:t>
      </w:r>
      <w:r>
        <w:t xml:space="preserve">);</w:t>
      </w:r>
    </w:p>
    <w:p>
      <w:pPr>
        <w:pStyle w:val="Compact"/>
        <w:numPr>
          <w:ilvl w:val="0"/>
          <w:numId w:val="1001"/>
        </w:numPr>
      </w:pPr>
      <w:r>
        <w:t xml:space="preserve">Power of Attorney and Custody Agreement (the</w:t>
      </w:r>
      <w:r>
        <w:t xml:space="preserve"> </w:t>
      </w:r>
      <w:r>
        <w:t xml:space="preserve">“</w:t>
      </w:r>
      <w:r>
        <w:t xml:space="preserve">POA</w:t>
      </w:r>
      <w:r>
        <w:t xml:space="preserve">”</w:t>
      </w:r>
      <w:r>
        <w:t xml:space="preserve">); and</w:t>
      </w:r>
    </w:p>
    <w:p>
      <w:pPr>
        <w:pStyle w:val="Compact"/>
        <w:numPr>
          <w:ilvl w:val="0"/>
          <w:numId w:val="1001"/>
        </w:numPr>
      </w:pPr>
      <w:r>
        <w:t xml:space="preserve">Selling Stockholder Questionnaire — Cascade Kestridge Ventures, LP (the</w:t>
      </w:r>
      <w:r>
        <w:t xml:space="preserve"> </w:t>
      </w:r>
      <w:r>
        <w:t xml:space="preserve">“</w:t>
      </w:r>
      <w:r>
        <w:t xml:space="preserve">Questionnaire</w:t>
      </w:r>
      <w:r>
        <w:t xml:space="preserve">”</w:t>
      </w:r>
      <w:r>
        <w:t xml:space="preserve">).</w:t>
      </w:r>
    </w:p>
    <w:p>
      <w:pPr>
        <w:pStyle w:val="FirstParagraph"/>
      </w:pPr>
      <w:r>
        <w:t xml:space="preserve">The issues are organized by severity:</w:t>
      </w:r>
      <w:r>
        <w:t xml:space="preserve"> </w:t>
      </w:r>
      <w:r>
        <w:rPr>
          <w:b/>
          <w:bCs/>
        </w:rPr>
        <w:t xml:space="preserve">Section II</w:t>
      </w:r>
      <w:r>
        <w:t xml:space="preserve"> </w:t>
      </w:r>
      <w:r>
        <w:t xml:space="preserve">(critical — must be resolved before execution of the Underwriting Agreement or filing of the Final Prospectus);</w:t>
      </w:r>
      <w:r>
        <w:t xml:space="preserve"> </w:t>
      </w:r>
      <w:r>
        <w:rPr>
          <w:b/>
          <w:bCs/>
        </w:rPr>
        <w:t xml:space="preserve">Section III</w:t>
      </w:r>
      <w:r>
        <w:t xml:space="preserve"> </w:t>
      </w:r>
      <w:r>
        <w:t xml:space="preserve">(material — should be resolved before execution);</w:t>
      </w:r>
      <w:r>
        <w:t xml:space="preserve"> </w:t>
      </w:r>
      <w:r>
        <w:rPr>
          <w:b/>
          <w:bCs/>
        </w:rPr>
        <w:t xml:space="preserve">Section IV</w:t>
      </w:r>
      <w:r>
        <w:t xml:space="preserve"> </w:t>
      </w:r>
      <w:r>
        <w:t xml:space="preserve">(minor / drafting-coordination items); and</w:t>
      </w:r>
      <w:r>
        <w:t xml:space="preserve"> </w:t>
      </w:r>
      <w:r>
        <w:rPr>
          <w:b/>
          <w:bCs/>
        </w:rPr>
        <w:t xml:space="preserve">Section V</w:t>
      </w:r>
      <w:r>
        <w:t xml:space="preserve"> </w:t>
      </w:r>
      <w:r>
        <w:t xml:space="preserve">(open items and conditions to closing). A consolidated recommendation list appears in</w:t>
      </w:r>
      <w:r>
        <w:t xml:space="preserve"> </w:t>
      </w:r>
      <w:r>
        <w:rPr>
          <w:b/>
          <w:bCs/>
        </w:rPr>
        <w:t xml:space="preserve">Section VI</w:t>
      </w:r>
      <w:r>
        <w:t xml:space="preserve">.</w:t>
      </w:r>
    </w:p>
    <w:p>
      <w:pPr>
        <w:pStyle w:val="BodyText"/>
      </w:pPr>
      <w:r>
        <w:t xml:space="preserve">The Underwriting Agreement has been drafted on the basis of the most recent and most authoritative documents (principally the Term Sheet and the S-1), with conflicts resolved in favor of the S-1 where the Underwriting Agreement must bring down the accuracy of the Registration Statement. Each conflict is flagged below for confirmation by the deal team.</w:t>
      </w:r>
    </w:p>
    <w:p>
      <w:r>
        <w:pict>
          <v:rect style="width:0;height:1.5pt" o:hralign="center" o:hrstd="t" o:hr="t"/>
        </w:pict>
      </w:r>
    </w:p>
    <w:bookmarkEnd w:id="20"/>
    <w:bookmarkStart w:id="26" w:name="X298342fc52be274e185bd245e75ecdfe7ca1b8c"/>
    <w:p>
      <w:pPr>
        <w:pStyle w:val="Heading2"/>
      </w:pPr>
      <w:r>
        <w:t xml:space="preserve">II. Critical Discrepancies (Resolution Required Before Execution)</w:t>
      </w:r>
    </w:p>
    <w:bookmarkStart w:id="21" w:name="X4677c226eafc861203466dc89dba00bd47e0b1c"/>
    <w:p>
      <w:pPr>
        <w:pStyle w:val="Heading3"/>
      </w:pPr>
      <w:r>
        <w:t xml:space="preserve">Issue 1 — Identity of the Lender Under the Revolving Credit Facility</w:t>
      </w:r>
    </w:p>
    <w:p>
      <w:pPr>
        <w:pStyle w:val="FirstParagraph"/>
      </w:pPr>
      <w:r>
        <w:rPr>
          <w:b/>
          <w:bCs/>
        </w:rPr>
        <w:t xml:space="preserve">Discrepancy.</w:t>
      </w:r>
      <w:r>
        <w:t xml:space="preserve"> </w:t>
      </w:r>
      <w:r>
        <w:t xml:space="preserve">The revolving credit facility lender is identified by two different names across the transaction documents:</w:t>
      </w:r>
    </w:p>
    <w:p>
      <w:pPr>
        <w:pStyle w:val="Compact"/>
        <w:numPr>
          <w:ilvl w:val="0"/>
          <w:numId w:val="1002"/>
        </w:numPr>
      </w:pPr>
      <w:r>
        <w:rPr>
          <w:b/>
          <w:bCs/>
        </w:rPr>
        <w:t xml:space="preserve">“</w:t>
      </w:r>
      <w:r>
        <w:rPr>
          <w:b/>
          <w:bCs/>
        </w:rPr>
        <w:t xml:space="preserve">Oakvale National Bank</w:t>
      </w:r>
      <w:r>
        <w:rPr>
          <w:b/>
          <w:bCs/>
        </w:rPr>
        <w:t xml:space="preserve">”</w:t>
      </w:r>
      <w:r>
        <w:t xml:space="preserve"> </w:t>
      </w:r>
      <w:r>
        <w:t xml:space="preserve">— used in the S-1 (Risk Factors III.C; Material Contracts IX.A; Use of Proceeds; Capitalization) and in the Comfort Letter (Section V.A(v); Section VII.A).</w:t>
      </w:r>
    </w:p>
    <w:p>
      <w:pPr>
        <w:pStyle w:val="Compact"/>
        <w:numPr>
          <w:ilvl w:val="0"/>
          <w:numId w:val="1002"/>
        </w:numPr>
      </w:pPr>
      <w:r>
        <w:rPr>
          <w:b/>
          <w:bCs/>
        </w:rPr>
        <w:t xml:space="preserve">“</w:t>
      </w:r>
      <w:r>
        <w:rPr>
          <w:b/>
          <w:bCs/>
        </w:rPr>
        <w:t xml:space="preserve">Ridgemont National Bank</w:t>
      </w:r>
      <w:r>
        <w:rPr>
          <w:b/>
          <w:bCs/>
        </w:rPr>
        <w:t xml:space="preserve">”</w:t>
      </w:r>
      <w:r>
        <w:t xml:space="preserve"> </w:t>
      </w:r>
      <w:r>
        <w:t xml:space="preserve">— used throughout the Credit Summary (Sections 1, 6, 8, 9, 10, 14, and 15), including in the deal-team notes that themselves reference the S-1.</w:t>
      </w:r>
    </w:p>
    <w:p>
      <w:pPr>
        <w:pStyle w:val="FirstParagraph"/>
      </w:pPr>
      <w:r>
        <w:rPr>
          <w:b/>
          <w:bCs/>
        </w:rPr>
        <w:t xml:space="preserve">Significance.</w:t>
      </w:r>
      <w:r>
        <w:t xml:space="preserve"> </w:t>
      </w:r>
      <w:r>
        <w:t xml:space="preserve">This is a fundamental factual conflict that pervades the disclosure. The Underwriting Agreement (Section 4.9) and the Company’s material-contracts representation refer to</w:t>
      </w:r>
      <w:r>
        <w:t xml:space="preserve"> </w:t>
      </w:r>
      <w:r>
        <w:t xml:space="preserve">“</w:t>
      </w:r>
      <w:r>
        <w:t xml:space="preserve">the revolving credit facility with Oakvale National Bank,</w:t>
      </w:r>
      <w:r>
        <w:t xml:space="preserve">”</w:t>
      </w:r>
      <w:r>
        <w:t xml:space="preserve"> </w:t>
      </w:r>
      <w:r>
        <w:t xml:space="preserve">consistent with the S-1. If the actual lender is Ridgemont National Bank, the S-1 contains a material misstatement of fact, the Comfort Letter’s confirmation of the facility balance is misattributed, and the Underwriting Agreement’s representation would be inaccurate. If the actual lender is Oakvale National Bank, the Credit Summary (an internal diligence work product) is internally inconsistent and must be corrected.</w:t>
      </w:r>
    </w:p>
    <w:p>
      <w:pPr>
        <w:pStyle w:val="BodyText"/>
      </w:pPr>
      <w:r>
        <w:rPr>
          <w:b/>
          <w:bCs/>
        </w:rPr>
        <w:t xml:space="preserve">Recommendation.</w:t>
      </w:r>
      <w:r>
        <w:t xml:space="preserve"> </w:t>
      </w:r>
      <w:r>
        <w:t xml:space="preserve">Confirm the legal name of the lender under the credit agreement by reference to the executed credit agreement and any amendments. Reconcile all documents to the correct name. If the S-1 is incorrect, file a prospectus supplement or amend the Registration Statement before the Final Prospectus is filed. This must be resolved before execution of the Underwriting Agreement.</w:t>
      </w:r>
    </w:p>
    <w:bookmarkEnd w:id="21"/>
    <w:bookmarkStart w:id="22" w:name="Xed5e48338cecb171afd85fa7bd28e2771b9bf72"/>
    <w:p>
      <w:pPr>
        <w:pStyle w:val="Heading3"/>
      </w:pPr>
      <w:r>
        <w:t xml:space="preserve">Issue 2 — Mandatory Prepayment Obligation vs. </w:t>
      </w:r>
      <w:r>
        <w:t xml:space="preserve">“</w:t>
      </w:r>
      <w:r>
        <w:t xml:space="preserve">Use of Proceeds</w:t>
      </w:r>
      <w:r>
        <w:t xml:space="preserve">”</w:t>
      </w:r>
      <w:r>
        <w:t xml:space="preserve"> </w:t>
      </w:r>
      <w:r>
        <w:t xml:space="preserve">Disclosure</w:t>
      </w:r>
    </w:p>
    <w:p>
      <w:pPr>
        <w:pStyle w:val="FirstParagraph"/>
      </w:pPr>
      <w:r>
        <w:rPr>
          <w:b/>
          <w:bCs/>
        </w:rPr>
        <w:t xml:space="preserve">Discrepancy.</w:t>
      </w:r>
      <w:r>
        <w:t xml:space="preserve"> </w:t>
      </w:r>
      <w:r>
        <w:t xml:space="preserve">The amount of the Company’s mandatory prepayment of the revolving credit facility from IPO proceeds is stated inconsistently:</w:t>
      </w:r>
    </w:p>
    <w:p>
      <w:pPr>
        <w:pStyle w:val="Compact"/>
        <w:numPr>
          <w:ilvl w:val="0"/>
          <w:numId w:val="1003"/>
        </w:numPr>
      </w:pPr>
      <w:r>
        <w:rPr>
          <w:b/>
          <w:bCs/>
        </w:rPr>
        <w:t xml:space="preserve">S-1</w:t>
      </w:r>
      <w:r>
        <w:rPr>
          <w:b/>
          <w:bCs/>
        </w:rPr>
        <w:t xml:space="preserve"> </w:t>
      </w:r>
      <w:r>
        <w:rPr>
          <w:b/>
          <w:bCs/>
        </w:rPr>
        <w:t xml:space="preserve">“</w:t>
      </w:r>
      <w:r>
        <w:rPr>
          <w:b/>
          <w:bCs/>
        </w:rPr>
        <w:t xml:space="preserve">Use of Proceeds</w:t>
      </w:r>
      <w:r>
        <w:rPr>
          <w:b/>
          <w:bCs/>
        </w:rPr>
        <w:t xml:space="preserve">”</w:t>
      </w:r>
      <w:r>
        <w:rPr>
          <w:b/>
          <w:bCs/>
        </w:rPr>
        <w:t xml:space="preserve">:</w:t>
      </w:r>
      <w:r>
        <w:t xml:space="preserve"> </w:t>
      </w:r>
      <w:r>
        <w:t xml:space="preserve">“</w:t>
      </w:r>
      <w:r>
        <w:t xml:space="preserve">approximately $10 million to repay a portion of the outstanding balance.</w:t>
      </w:r>
      <w:r>
        <w:t xml:space="preserve">”</w:t>
      </w:r>
      <w:r>
        <w:t xml:space="preserve"> </w:t>
      </w:r>
      <w:r>
        <w:t xml:space="preserve">The S-1 Capitalization table reflects a pro forma revolving credit facility balance of $12.5 million (i.e., $22.5M − $10.0M) and pro forma cash of $205.7 million (i.e., $38.4M + $177.3M − $10.0M).</w:t>
      </w:r>
    </w:p>
    <w:p>
      <w:pPr>
        <w:pStyle w:val="Compact"/>
        <w:numPr>
          <w:ilvl w:val="0"/>
          <w:numId w:val="1003"/>
        </w:numPr>
      </w:pPr>
      <w:r>
        <w:rPr>
          <w:b/>
          <w:bCs/>
        </w:rPr>
        <w:t xml:space="preserve">S-1</w:t>
      </w:r>
      <w:r>
        <w:rPr>
          <w:b/>
          <w:bCs/>
        </w:rPr>
        <w:t xml:space="preserve"> </w:t>
      </w:r>
      <w:r>
        <w:rPr>
          <w:b/>
          <w:bCs/>
        </w:rPr>
        <w:t xml:space="preserve">“</w:t>
      </w:r>
      <w:r>
        <w:rPr>
          <w:b/>
          <w:bCs/>
        </w:rPr>
        <w:t xml:space="preserve">Risk Factors</w:t>
      </w:r>
      <w:r>
        <w:rPr>
          <w:b/>
          <w:bCs/>
        </w:rPr>
        <w:t xml:space="preserve">”</w:t>
      </w:r>
      <w:r>
        <w:rPr>
          <w:b/>
          <w:bCs/>
        </w:rPr>
        <w:t xml:space="preserve"> </w:t>
      </w:r>
      <w:r>
        <w:rPr>
          <w:b/>
          <w:bCs/>
        </w:rPr>
        <w:t xml:space="preserve">(III.C):</w:t>
      </w:r>
      <w:r>
        <w:t xml:space="preserve"> </w:t>
      </w:r>
      <w:r>
        <w:t xml:space="preserve">“</w:t>
      </w:r>
      <w:r>
        <w:t xml:space="preserve">we expect to be required to make a mandatory prepayment of approximately $15.2 million under the credit facility.</w:t>
      </w:r>
      <w:r>
        <w:t xml:space="preserve">”</w:t>
      </w:r>
    </w:p>
    <w:p>
      <w:pPr>
        <w:pStyle w:val="Compact"/>
        <w:numPr>
          <w:ilvl w:val="0"/>
          <w:numId w:val="1003"/>
        </w:numPr>
      </w:pPr>
      <w:r>
        <w:rPr>
          <w:b/>
          <w:bCs/>
        </w:rPr>
        <w:t xml:space="preserve">Credit Summary (Section 6):</w:t>
      </w:r>
      <w:r>
        <w:t xml:space="preserve"> </w:t>
      </w:r>
      <w:r>
        <w:t xml:space="preserve">The mandatory prepayment under Section 2.05(b)(i) equals 50% of Net Equity Proceeds in excess of $150 million, yielding</w:t>
      </w:r>
      <w:r>
        <w:t xml:space="preserve"> </w:t>
      </w:r>
      <w:r>
        <w:rPr>
          <w:b/>
          <w:bCs/>
        </w:rPr>
        <w:t xml:space="preserve">$15,240,000</w:t>
      </w:r>
      <w:r>
        <w:t xml:space="preserve"> </w:t>
      </w:r>
      <w:r>
        <w:t xml:space="preserve">(or</w:t>
      </w:r>
      <w:r>
        <w:t xml:space="preserve"> </w:t>
      </w:r>
      <w:r>
        <w:rPr>
          <w:b/>
          <w:bCs/>
        </w:rPr>
        <w:t xml:space="preserve">$13,640,000</w:t>
      </w:r>
      <w:r>
        <w:t xml:space="preserve"> </w:t>
      </w:r>
      <w:r>
        <w:t xml:space="preserve">if the $3.2 million of offering expenses are deductible from</w:t>
      </w:r>
      <w:r>
        <w:t xml:space="preserve"> </w:t>
      </w:r>
      <w:r>
        <w:t xml:space="preserve">“</w:t>
      </w:r>
      <w:r>
        <w:t xml:space="preserve">Net Equity Proceeds</w:t>
      </w:r>
      <w:r>
        <w:t xml:space="preserve">”</w:t>
      </w:r>
      <w:r>
        <w:t xml:space="preserve">). In either case, this exceeds the $10 million disclosed in the Use of Proceeds by $3.64 million to $5.24 million.</w:t>
      </w:r>
    </w:p>
    <w:p>
      <w:pPr>
        <w:pStyle w:val="FirstParagraph"/>
      </w:pPr>
      <w:r>
        <w:rPr>
          <w:b/>
          <w:bCs/>
        </w:rPr>
        <w:t xml:space="preserve">Significance.</w:t>
      </w:r>
      <w:r>
        <w:t xml:space="preserve"> </w:t>
      </w:r>
      <w:r>
        <w:t xml:space="preserve">This is both an</w:t>
      </w:r>
      <w:r>
        <w:t xml:space="preserve"> </w:t>
      </w:r>
      <w:r>
        <w:rPr>
          <w:b/>
          <w:bCs/>
        </w:rPr>
        <w:t xml:space="preserve">internal inconsistency within the S-1</w:t>
      </w:r>
      <w:r>
        <w:t xml:space="preserve"> </w:t>
      </w:r>
      <w:r>
        <w:t xml:space="preserve">(Use of Proceeds says $10M; Risk Factors says $15.2M) and a</w:t>
      </w:r>
      <w:r>
        <w:t xml:space="preserve"> </w:t>
      </w:r>
      <w:r>
        <w:rPr>
          <w:b/>
          <w:bCs/>
        </w:rPr>
        <w:t xml:space="preserve">discrepancy with the Credit Summary</w:t>
      </w:r>
      <w:r>
        <w:t xml:space="preserve">. The Use of Proceeds disclosure appears to understate the mandatory prepayment obligation by a material amount. The pro forma Capitalization table (debt and cash) is computed on the $10 million assumption and would be incorrect if the mandatory prepayment is $15.24 million (which would leave a facility balance of $7.26 million, not $12.5 million). The Underwriting Agreement (Section 4.15) represents that the use of proceeds will be consistent with the Final Prospectus and the credit agreement’s mandatory prepayment provisions; this representation cannot be made accurately until the disclosure is reconciled.</w:t>
      </w:r>
    </w:p>
    <w:p>
      <w:pPr>
        <w:pStyle w:val="BodyText"/>
      </w:pPr>
      <w:r>
        <w:rPr>
          <w:b/>
          <w:bCs/>
        </w:rPr>
        <w:t xml:space="preserve">Recommendation.</w:t>
      </w:r>
      <w:r>
        <w:t xml:space="preserve"> </w:t>
      </w:r>
      <w:r>
        <w:t xml:space="preserve">(a) Company Counsel to confirm the correct interpretation of</w:t>
      </w:r>
      <w:r>
        <w:t xml:space="preserve"> </w:t>
      </w:r>
      <w:r>
        <w:t xml:space="preserve">“</w:t>
      </w:r>
      <w:r>
        <w:t xml:space="preserve">Net Equity Proceeds</w:t>
      </w:r>
      <w:r>
        <w:t xml:space="preserve">”</w:t>
      </w:r>
      <w:r>
        <w:t xml:space="preserve"> </w:t>
      </w:r>
      <w:r>
        <w:t xml:space="preserve">and whether offering expenses are deductible. (b) Revise the Use of Proceeds section and the pro forma Capitalization table in the Final Prospectus to reflect the actual mandatory prepayment. (c) Ensure the Risk Factors and Use of Proceeds figures are internally consistent. (d) Update the Underwriting Agreement’s use-of-proceeds representation accordingly.</w:t>
      </w:r>
    </w:p>
    <w:bookmarkEnd w:id="22"/>
    <w:bookmarkStart w:id="23" w:name="X3358cb2d67c2ec0b813a1eba6c54e21c62ef13b"/>
    <w:p>
      <w:pPr>
        <w:pStyle w:val="Heading3"/>
      </w:pPr>
      <w:r>
        <w:t xml:space="preserve">Issue 3 — Comfort Letter Financial Data vs. S-1 Capitalization and Dilution Tables</w:t>
      </w:r>
    </w:p>
    <w:p>
      <w:pPr>
        <w:pStyle w:val="FirstParagraph"/>
      </w:pPr>
      <w:r>
        <w:rPr>
          <w:b/>
          <w:bCs/>
        </w:rPr>
        <w:t xml:space="preserve">Discrepancy.</w:t>
      </w:r>
      <w:r>
        <w:t xml:space="preserve"> </w:t>
      </w:r>
      <w:r>
        <w:t xml:space="preserve">The Comfort Letter confirms certain balance-sheet amounts as of December 31, 2024 that</w:t>
      </w:r>
      <w:r>
        <w:t xml:space="preserve"> </w:t>
      </w:r>
      <w:r>
        <w:rPr>
          <w:b/>
          <w:bCs/>
        </w:rPr>
        <w:t xml:space="preserve">do not agree</w:t>
      </w:r>
      <w:r>
        <w:t xml:space="preserve"> </w:t>
      </w:r>
      <w:r>
        <w:t xml:space="preserve">with the corresponding amounts in the S-1 Capitalization and Dilution sections: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Comfort Letter (states</w:t>
            </w:r>
            <w:r>
              <w:t xml:space="preserve"> </w:t>
            </w:r>
            <w:r>
              <w:t xml:space="preserve">“</w:t>
            </w:r>
            <w:r>
              <w:t xml:space="preserve">agrees</w:t>
            </w:r>
            <w:r>
              <w:t xml:space="preserve">”</w:t>
            </w:r>
            <w:r>
              <w:t xml:space="preserve"> </w:t>
            </w:r>
            <w:r>
              <w:t xml:space="preserve">with audited balance sheet)</w:t>
            </w:r>
          </w:p>
        </w:tc>
        <w:tc>
          <w:tcPr/>
          <w:p>
            <w:pPr>
              <w:pStyle w:val="Compact"/>
              <w:jc w:val="left"/>
            </w:pPr>
            <w:r>
              <w:t xml:space="preserve">S-1 Capitalization / Dilution</w:t>
            </w:r>
          </w:p>
        </w:tc>
      </w:tr>
      <w:tr>
        <w:tc>
          <w:tcPr/>
          <w:p>
            <w:pPr>
              <w:pStyle w:val="Compact"/>
              <w:jc w:val="left"/>
            </w:pPr>
            <w:r>
              <w:t xml:space="preserve">Cash and cash equivalents, Dec. 31, 2024</w:t>
            </w:r>
          </w:p>
        </w:tc>
        <w:tc>
          <w:tcPr/>
          <w:p>
            <w:pPr>
              <w:pStyle w:val="Compact"/>
              <w:jc w:val="left"/>
            </w:pPr>
            <w:r>
              <w:rPr>
                <w:b/>
                <w:bCs/>
              </w:rPr>
              <w:t xml:space="preserve">$47,300,000</w:t>
            </w:r>
            <w:r>
              <w:t xml:space="preserve"> </w:t>
            </w:r>
            <w:r>
              <w:t xml:space="preserve">(Sec. V.A(vi); Table 1)</w:t>
            </w:r>
          </w:p>
        </w:tc>
        <w:tc>
          <w:tcPr/>
          <w:p>
            <w:pPr>
              <w:pStyle w:val="Compact"/>
              <w:jc w:val="left"/>
            </w:pPr>
            <w:r>
              <w:rPr>
                <w:b/>
                <w:bCs/>
              </w:rPr>
              <w:t xml:space="preserve">$38,400,000</w:t>
            </w:r>
            <w:r>
              <w:t xml:space="preserve"> </w:t>
            </w:r>
            <w:r>
              <w:t xml:space="preserve">(Capitalization table,</w:t>
            </w:r>
            <w:r>
              <w:t xml:space="preserve"> </w:t>
            </w:r>
            <w:r>
              <w:t xml:space="preserve">“</w:t>
            </w:r>
            <w:r>
              <w:t xml:space="preserve">Actual</w:t>
            </w:r>
            <w:r>
              <w:t xml:space="preserve">”</w:t>
            </w:r>
            <w:r>
              <w:t xml:space="preserve">)</w:t>
            </w:r>
          </w:p>
        </w:tc>
      </w:tr>
      <w:tr>
        <w:tc>
          <w:tcPr/>
          <w:p>
            <w:pPr>
              <w:pStyle w:val="Compact"/>
              <w:jc w:val="left"/>
            </w:pPr>
            <w:r>
              <w:t xml:space="preserve">Total stockholders’ equity, Dec. 31, 2024</w:t>
            </w:r>
          </w:p>
        </w:tc>
        <w:tc>
          <w:tcPr/>
          <w:p>
            <w:pPr>
              <w:pStyle w:val="Compact"/>
              <w:jc w:val="left"/>
            </w:pPr>
            <w:r>
              <w:rPr>
                <w:b/>
                <w:bCs/>
              </w:rPr>
              <w:t xml:space="preserve">$198,400,000</w:t>
            </w:r>
            <w:r>
              <w:t xml:space="preserve"> </w:t>
            </w:r>
            <w:r>
              <w:t xml:space="preserve">(Sec. V.A(iv); Table 2)</w:t>
            </w:r>
          </w:p>
        </w:tc>
        <w:tc>
          <w:tcPr/>
          <w:p>
            <w:pPr>
              <w:pStyle w:val="Compact"/>
              <w:jc w:val="left"/>
            </w:pPr>
            <w:r>
              <w:rPr>
                <w:b/>
                <w:bCs/>
              </w:rPr>
              <w:t xml:space="preserve">$101,400,000</w:t>
            </w:r>
            <w:r>
              <w:t xml:space="preserve"> </w:t>
            </w:r>
            <w:r>
              <w:t xml:space="preserve">(Capitalization table,</w:t>
            </w:r>
            <w:r>
              <w:t xml:space="preserve"> </w:t>
            </w:r>
            <w:r>
              <w:t xml:space="preserve">“</w:t>
            </w:r>
            <w:r>
              <w:t xml:space="preserve">Actual</w:t>
            </w:r>
            <w:r>
              <w:t xml:space="preserve">”</w:t>
            </w:r>
            <w:r>
              <w:t xml:space="preserve">)</w:t>
            </w:r>
          </w:p>
        </w:tc>
      </w:tr>
      <w:tr>
        <w:tc>
          <w:tcPr/>
          <w:p>
            <w:pPr>
              <w:pStyle w:val="Compact"/>
              <w:jc w:val="left"/>
            </w:pPr>
            <w:r>
              <w:t xml:space="preserve">Net tangible book value per share (actual)</w:t>
            </w:r>
          </w:p>
        </w:tc>
        <w:tc>
          <w:tcPr/>
          <w:p>
            <w:pPr>
              <w:pStyle w:val="Compact"/>
              <w:jc w:val="left"/>
            </w:pPr>
            <w:r>
              <w:rPr>
                <w:b/>
                <w:bCs/>
              </w:rPr>
              <w:t xml:space="preserve">$4.72</w:t>
            </w:r>
            <w:r>
              <w:t xml:space="preserve"> </w:t>
            </w:r>
            <w:r>
              <w:t xml:space="preserve">(Table 3)</w:t>
            </w:r>
          </w:p>
        </w:tc>
        <w:tc>
          <w:tcPr/>
          <w:p>
            <w:pPr>
              <w:pStyle w:val="Compact"/>
              <w:jc w:val="left"/>
            </w:pPr>
            <w:r>
              <w:rPr>
                <w:b/>
                <w:bCs/>
              </w:rPr>
              <w:t xml:space="preserve">$2.17</w:t>
            </w:r>
            <w:r>
              <w:t xml:space="preserve"> </w:t>
            </w:r>
            <w:r>
              <w:t xml:space="preserve">(Dilution section)</w:t>
            </w:r>
          </w:p>
        </w:tc>
      </w:tr>
      <w:tr>
        <w:tc>
          <w:tcPr/>
          <w:p>
            <w:pPr>
              <w:pStyle w:val="Compact"/>
              <w:jc w:val="left"/>
            </w:pPr>
            <w:r>
              <w:t xml:space="preserve">Increase in NTBV per share attributable to Offering</w:t>
            </w:r>
          </w:p>
        </w:tc>
        <w:tc>
          <w:tcPr/>
          <w:p>
            <w:pPr>
              <w:pStyle w:val="Compact"/>
              <w:jc w:val="left"/>
            </w:pPr>
            <w:r>
              <w:rPr>
                <w:b/>
                <w:bCs/>
              </w:rPr>
              <w:t xml:space="preserve">$2.61</w:t>
            </w:r>
            <w:r>
              <w:t xml:space="preserve"> </w:t>
            </w:r>
            <w:r>
              <w:t xml:space="preserve">(Table 3)</w:t>
            </w:r>
          </w:p>
        </w:tc>
        <w:tc>
          <w:tcPr/>
          <w:p>
            <w:pPr>
              <w:pStyle w:val="Compact"/>
              <w:jc w:val="left"/>
            </w:pPr>
            <w:r>
              <w:rPr>
                <w:b/>
                <w:bCs/>
              </w:rPr>
              <w:t xml:space="preserve">$3.20</w:t>
            </w:r>
            <w:r>
              <w:t xml:space="preserve"> </w:t>
            </w:r>
            <w:r>
              <w:t xml:space="preserve">(Dilution section)</w:t>
            </w:r>
          </w:p>
        </w:tc>
      </w:tr>
    </w:tbl>
    <w:p>
      <w:pPr>
        <w:pStyle w:val="BodyText"/>
      </w:pPr>
      <w:r>
        <w:rPr>
          <w:b/>
          <w:bCs/>
        </w:rPr>
        <w:t xml:space="preserve">Significance.</w:t>
      </w:r>
      <w:r>
        <w:t xml:space="preserve"> </w:t>
      </w:r>
      <w:r>
        <w:t xml:space="preserve">The Comfort Letter expressly states that these amounts</w:t>
      </w:r>
      <w:r>
        <w:t xml:space="preserve"> </w:t>
      </w:r>
      <w:r>
        <w:t xml:space="preserve">“</w:t>
      </w:r>
      <w:r>
        <w:t xml:space="preserve">agree with the audited consolidated balance sheet.</w:t>
      </w:r>
      <w:r>
        <w:t xml:space="preserve">”</w:t>
      </w:r>
      <w:r>
        <w:t xml:space="preserve"> </w:t>
      </w:r>
      <w:r>
        <w:t xml:space="preserve">If the audited balance sheet shows $47.3 million of cash and $198.4 million of total stockholders’ equity, then the S-1 Capitalization table (showing $38.4 million cash and $101.4 million equity) and the S-1 Dilution section (showing $2.17 per share NTBV) appear to be</w:t>
      </w:r>
      <w:r>
        <w:t xml:space="preserve"> </w:t>
      </w:r>
      <w:r>
        <w:rPr>
          <w:b/>
          <w:bCs/>
        </w:rPr>
        <w:t xml:space="preserve">materially inconsistent with the audited financial statements</w:t>
      </w:r>
      <w:r>
        <w:t xml:space="preserve">. This is a serious disclosure issue: the Capitalization and Dilution tables are core offering disclosures, and the bring-down comfort letter at closing will confirm figures tied to the audited balance sheet. The discrepancy is approximately $8.9 million (cash) and $97.0 million (total stockholders’ equity).</w:t>
      </w:r>
    </w:p>
    <w:p>
      <w:pPr>
        <w:pStyle w:val="BodyText"/>
      </w:pPr>
      <w:r>
        <w:rPr>
          <w:b/>
          <w:bCs/>
        </w:rPr>
        <w:t xml:space="preserve">Recommendation.</w:t>
      </w:r>
      <w:r>
        <w:t xml:space="preserve"> </w:t>
      </w:r>
      <w:r>
        <w:t xml:space="preserve">This requires immediate reconciliation by the Company, Company Counsel, and Whitman Reese &amp; Co. Determine whether the S-1 Capitalization/Dilution tables are computed on a different basis (e.g., excluding certain equity or reflecting a different balance-sheet date or a pre-reorganization capital structure) than the audited balance sheet, or whether the tables contain errors. The Final Prospectus Capitalization and Dilution tables must agree with the audited financial statements as confirmed by the Comfort Letter. Do not proceed to pricing until reconciled.</w:t>
      </w:r>
    </w:p>
    <w:bookmarkEnd w:id="23"/>
    <w:bookmarkStart w:id="24" w:name="X47bfc8f77bb1f33e236b40dcbe28f108fbf99b9"/>
    <w:p>
      <w:pPr>
        <w:pStyle w:val="Heading3"/>
      </w:pPr>
      <w:r>
        <w:t xml:space="preserve">Issue 4 — Identity of Selling Stockholder</w:t>
      </w:r>
      <w:r>
        <w:t xml:space="preserve"> </w:t>
      </w:r>
      <w:r>
        <w:t xml:space="preserve">“</w:t>
      </w:r>
      <w:r>
        <w:t xml:space="preserve">Cascade</w:t>
      </w:r>
      <w:r>
        <w:t xml:space="preserve">”</w:t>
      </w:r>
      <w:r>
        <w:t xml:space="preserve"> </w:t>
      </w:r>
      <w:r>
        <w:t xml:space="preserve">— Entity Name, General Partner, and Control Persons</w:t>
      </w:r>
    </w:p>
    <w:p>
      <w:pPr>
        <w:pStyle w:val="FirstParagraph"/>
      </w:pPr>
      <w:r>
        <w:rPr>
          <w:b/>
          <w:bCs/>
        </w:rPr>
        <w:t xml:space="preserve">Discrepancy.</w:t>
      </w:r>
      <w:r>
        <w:t xml:space="preserve"> </w:t>
      </w:r>
      <w:r>
        <w:t xml:space="preserve">The first selling stockholder is identified inconsistently across documents as to its legal name, its general partner, and the natural persons with voting/investment control: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w:t>
            </w:r>
          </w:p>
        </w:tc>
        <w:tc>
          <w:tcPr/>
          <w:p>
            <w:pPr>
              <w:pStyle w:val="Compact"/>
              <w:jc w:val="left"/>
            </w:pPr>
            <w:r>
              <w:t xml:space="preserve">Limited Partnership Name</w:t>
            </w:r>
          </w:p>
        </w:tc>
        <w:tc>
          <w:tcPr/>
          <w:p>
            <w:pPr>
              <w:pStyle w:val="Compact"/>
              <w:jc w:val="left"/>
            </w:pPr>
            <w:r>
              <w:t xml:space="preserve">General Partner</w:t>
            </w:r>
          </w:p>
        </w:tc>
        <w:tc>
          <w:tcPr/>
          <w:p>
            <w:pPr>
              <w:pStyle w:val="Compact"/>
              <w:jc w:val="left"/>
            </w:pPr>
            <w:r>
              <w:t xml:space="preserve">Control Person(s)</w:t>
            </w:r>
          </w:p>
        </w:tc>
      </w:tr>
      <w:tr>
        <w:tc>
          <w:tcPr/>
          <w:p>
            <w:pPr>
              <w:pStyle w:val="Compact"/>
              <w:jc w:val="left"/>
            </w:pPr>
            <w:r>
              <w:t xml:space="preserve">S-1 (footnote 1)</w:t>
            </w:r>
          </w:p>
        </w:tc>
        <w:tc>
          <w:tcPr/>
          <w:p>
            <w:pPr>
              <w:pStyle w:val="Compact"/>
              <w:jc w:val="left"/>
            </w:pPr>
            <w:r>
              <w:t xml:space="preserve">Cascade Kestridge Ventures, LP</w:t>
            </w:r>
          </w:p>
        </w:tc>
        <w:tc>
          <w:tcPr/>
          <w:p>
            <w:pPr>
              <w:pStyle w:val="Compact"/>
              <w:jc w:val="left"/>
            </w:pPr>
            <w:r>
              <w:t xml:space="preserve">Cascade Ridge Capital Management LLC</w:t>
            </w:r>
          </w:p>
        </w:tc>
        <w:tc>
          <w:tcPr/>
          <w:p>
            <w:pPr>
              <w:pStyle w:val="Compact"/>
              <w:jc w:val="left"/>
            </w:pPr>
            <w:r>
              <w:t xml:space="preserve">James Whitfield (managing member)</w:t>
            </w:r>
          </w:p>
        </w:tc>
      </w:tr>
      <w:tr>
        <w:tc>
          <w:tcPr/>
          <w:p>
            <w:pPr>
              <w:pStyle w:val="Compact"/>
              <w:jc w:val="left"/>
            </w:pPr>
            <w:r>
              <w:t xml:space="preserve">POA (signature block; Schedule A)</w:t>
            </w:r>
          </w:p>
        </w:tc>
        <w:tc>
          <w:tcPr/>
          <w:p>
            <w:pPr>
              <w:pStyle w:val="Compact"/>
              <w:jc w:val="left"/>
            </w:pPr>
            <w:r>
              <w:t xml:space="preserve">“</w:t>
            </w:r>
            <w:r>
              <w:t xml:space="preserve">CASCADE RIDGE VENTURES, LP</w:t>
            </w:r>
            <w:r>
              <w:t xml:space="preserve">”</w:t>
            </w:r>
          </w:p>
        </w:tc>
        <w:tc>
          <w:tcPr/>
          <w:p>
            <w:pPr>
              <w:pStyle w:val="Compact"/>
              <w:jc w:val="left"/>
            </w:pPr>
            <w:r>
              <w:t xml:space="preserve">Cascade Ridge Capital Management, LLC</w:t>
            </w:r>
          </w:p>
        </w:tc>
        <w:tc>
          <w:tcPr/>
          <w:p>
            <w:pPr>
              <w:pStyle w:val="Compact"/>
              <w:jc w:val="left"/>
            </w:pPr>
            <w:r>
              <w:t xml:space="preserve">Margaret T. Okonkwo (managing member)</w:t>
            </w:r>
          </w:p>
        </w:tc>
      </w:tr>
      <w:tr>
        <w:tc>
          <w:tcPr/>
          <w:p>
            <w:pPr>
              <w:pStyle w:val="Compact"/>
              <w:jc w:val="left"/>
            </w:pPr>
            <w:r>
              <w:t xml:space="preserve">Questionnaire (Sec. 1; signature)</w:t>
            </w:r>
          </w:p>
        </w:tc>
        <w:tc>
          <w:tcPr/>
          <w:p>
            <w:pPr>
              <w:pStyle w:val="Compact"/>
              <w:jc w:val="left"/>
            </w:pPr>
            <w:r>
              <w:t xml:space="preserve">“</w:t>
            </w:r>
            <w:r>
              <w:t xml:space="preserve">Cascade Kestridge Ventures, LP</w:t>
            </w:r>
            <w:r>
              <w:t xml:space="preserve">”</w:t>
            </w:r>
            <w:r>
              <w:t xml:space="preserve"> </w:t>
            </w:r>
            <w:r>
              <w:t xml:space="preserve">(body) /</w:t>
            </w:r>
            <w:r>
              <w:t xml:space="preserve"> </w:t>
            </w:r>
            <w:r>
              <w:t xml:space="preserve">“</w:t>
            </w:r>
            <w:r>
              <w:t xml:space="preserve">CASCADE RIDGE VENTURES, LP</w:t>
            </w:r>
            <w:r>
              <w:t xml:space="preserve">”</w:t>
            </w:r>
            <w:r>
              <w:t xml:space="preserve"> </w:t>
            </w:r>
            <w:r>
              <w:t xml:space="preserve">(signature)</w:t>
            </w:r>
          </w:p>
        </w:tc>
        <w:tc>
          <w:tcPr/>
          <w:p>
            <w:pPr>
              <w:pStyle w:val="Compact"/>
              <w:jc w:val="left"/>
            </w:pPr>
            <w:r>
              <w:t xml:space="preserve">Cascade Kestridge Ventures Management, LLC</w:t>
            </w:r>
          </w:p>
        </w:tc>
        <w:tc>
          <w:tcPr/>
          <w:p>
            <w:pPr>
              <w:pStyle w:val="Compact"/>
              <w:jc w:val="left"/>
            </w:pPr>
            <w:r>
              <w:t xml:space="preserve">Marcus J. Aldridge (managing partner); Teresa Huang (partner)</w:t>
            </w:r>
          </w:p>
        </w:tc>
      </w:tr>
    </w:tbl>
    <w:p>
      <w:pPr>
        <w:pStyle w:val="BodyText"/>
      </w:pPr>
      <w:r>
        <w:t xml:space="preserve">The Questionnaire also lists a principal business address of</w:t>
      </w:r>
      <w:r>
        <w:t xml:space="preserve"> </w:t>
      </w:r>
      <w:r>
        <w:rPr>
          <w:b/>
          <w:bCs/>
        </w:rPr>
        <w:t xml:space="preserve">2800 Sand Hill Road, Suite 210, Menlo Park, CA 94025</w:t>
      </w:r>
      <w:r>
        <w:t xml:space="preserve">, whereas the S-1 (footnote 1) lists the address as</w:t>
      </w:r>
      <w:r>
        <w:t xml:space="preserve"> </w:t>
      </w:r>
      <w:r>
        <w:rPr>
          <w:b/>
          <w:bCs/>
        </w:rPr>
        <w:t xml:space="preserve">1200 Fourth Avenue, Suite 3000, Seattle, WA 98101</w:t>
      </w:r>
      <w:r>
        <w:t xml:space="preserve">.</w:t>
      </w:r>
    </w:p>
    <w:p>
      <w:pPr>
        <w:pStyle w:val="BodyText"/>
      </w:pPr>
      <w:r>
        <w:rPr>
          <w:b/>
          <w:bCs/>
        </w:rPr>
        <w:t xml:space="preserve">Significance.</w:t>
      </w:r>
      <w:r>
        <w:t xml:space="preserve"> </w:t>
      </w:r>
      <w:r>
        <w:t xml:space="preserve">The Underwriting Agreement (Schedule A) and the S-1 beneficial-ownership table must identify the selling stockholder by its correct legal name, and the entity must have authority to sell. Three different general-partner names and three different control persons appear. The POA (which authorizes the attorneys-in-fact to execute the Underwriting Agreement) is signed in the name of</w:t>
      </w:r>
      <w:r>
        <w:t xml:space="preserve"> </w:t>
      </w:r>
      <w:r>
        <w:t xml:space="preserve">“</w:t>
      </w:r>
      <w:r>
        <w:t xml:space="preserve">Cascade Ridge Ventures, LP</w:t>
      </w:r>
      <w:r>
        <w:t xml:space="preserve">”</w:t>
      </w:r>
      <w:r>
        <w:t xml:space="preserve"> </w:t>
      </w:r>
      <w:r>
        <w:t xml:space="preserve">by a general partner (</w:t>
      </w:r>
      <w:r>
        <w:t xml:space="preserve">“</w:t>
      </w:r>
      <w:r>
        <w:t xml:space="preserve">Cascade Ridge Capital Management, LLC</w:t>
      </w:r>
      <w:r>
        <w:t xml:space="preserve">”</w:t>
      </w:r>
      <w:r>
        <w:t xml:space="preserve">) whose managing member (Margaret Okonkwo) differs from both the S-1’s control person (James Whitfield) and the Questionnaire’s control persons (Aldridge/Huang). If the POA was executed by an unauthorized person or in the name of a non-existent or differently named entity, the Selling Stockholder’s execution of the Underwriting Agreement (via the attorneys-in-fact) may be ineffective, and the beneficial-ownership disclosure in the S-1 may be inaccurate.</w:t>
      </w:r>
    </w:p>
    <w:p>
      <w:pPr>
        <w:pStyle w:val="BodyText"/>
      </w:pPr>
      <w:r>
        <w:rPr>
          <w:b/>
          <w:bCs/>
        </w:rPr>
        <w:t xml:space="preserve">Recommendation.</w:t>
      </w:r>
      <w:r>
        <w:t xml:space="preserve"> </w:t>
      </w:r>
      <w:r>
        <w:t xml:space="preserve">(a) Confirm the exact legal name of the limited partnership and its general partner by reference to the certificate of limited partnership and the general partner’s formation documents. (b) Confirm the identity of the natural person(s) with voting and investment control and the authorized signatory of the general partner. (c) Reconcile the S-1 beneficial-ownership footnote, the POA, and the Questionnaire to a single, consistent set of names. (d) Confirm the correct principal address. (e) Verify that the POA was executed by a duly authorized signatory of the correct general partner. Resolve before execution.</w:t>
      </w:r>
    </w:p>
    <w:bookmarkEnd w:id="24"/>
    <w:bookmarkStart w:id="25" w:name="Xc101ab58971f1b721110c3510c0339e25c2439b"/>
    <w:p>
      <w:pPr>
        <w:pStyle w:val="Heading3"/>
      </w:pPr>
      <w:r>
        <w:t xml:space="preserve">Issue 5 — Identity of Selling Stockholder</w:t>
      </w:r>
      <w:r>
        <w:t xml:space="preserve"> </w:t>
      </w:r>
      <w:r>
        <w:t xml:space="preserve">“</w:t>
      </w:r>
      <w:r>
        <w:t xml:space="preserve">Northlight</w:t>
      </w:r>
      <w:r>
        <w:t xml:space="preserve">”</w:t>
      </w:r>
      <w:r>
        <w:t xml:space="preserve"> </w:t>
      </w:r>
      <w:r>
        <w:t xml:space="preserve">— General Partner and Control Person</w:t>
      </w:r>
    </w:p>
    <w:p>
      <w:pPr>
        <w:pStyle w:val="FirstParagraph"/>
      </w:pPr>
      <w:r>
        <w:rPr>
          <w:b/>
          <w:bCs/>
        </w:rPr>
        <w:t xml:space="preserve">Discrepancy.</w:t>
      </w:r>
      <w:r>
        <w:t xml:space="preserve"> </w:t>
      </w:r>
      <w:r>
        <w:t xml:space="preserve">The second selling stockholder’s general partner and control person are identified inconsistently: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General Partner</w:t>
            </w:r>
          </w:p>
        </w:tc>
        <w:tc>
          <w:tcPr/>
          <w:p>
            <w:pPr>
              <w:pStyle w:val="Compact"/>
              <w:jc w:val="left"/>
            </w:pPr>
            <w:r>
              <w:t xml:space="preserve">Control Person</w:t>
            </w:r>
          </w:p>
        </w:tc>
      </w:tr>
      <w:tr>
        <w:tc>
          <w:tcPr/>
          <w:p>
            <w:pPr>
              <w:pStyle w:val="Compact"/>
              <w:jc w:val="left"/>
            </w:pPr>
            <w:r>
              <w:t xml:space="preserve">S-1 (footnote 2)</w:t>
            </w:r>
          </w:p>
        </w:tc>
        <w:tc>
          <w:tcPr/>
          <w:p>
            <w:pPr>
              <w:pStyle w:val="Compact"/>
              <w:jc w:val="left"/>
            </w:pPr>
            <w:r>
              <w:t xml:space="preserve">Northlight Capital Advisors LLC</w:t>
            </w:r>
          </w:p>
        </w:tc>
        <w:tc>
          <w:tcPr/>
          <w:p>
            <w:pPr>
              <w:pStyle w:val="Compact"/>
              <w:jc w:val="left"/>
            </w:pPr>
            <w:r>
              <w:t xml:space="preserve">Caroline Briggs (managing member)</w:t>
            </w:r>
          </w:p>
        </w:tc>
      </w:tr>
      <w:tr>
        <w:tc>
          <w:tcPr/>
          <w:p>
            <w:pPr>
              <w:pStyle w:val="Compact"/>
              <w:jc w:val="left"/>
            </w:pPr>
            <w:r>
              <w:t xml:space="preserve">POA (signature block)</w:t>
            </w:r>
          </w:p>
        </w:tc>
        <w:tc>
          <w:tcPr/>
          <w:p>
            <w:pPr>
              <w:pStyle w:val="Compact"/>
              <w:jc w:val="left"/>
            </w:pPr>
            <w:r>
              <w:t xml:space="preserve">Northlight Growth Advisors, LLC</w:t>
            </w:r>
          </w:p>
        </w:tc>
        <w:tc>
          <w:tcPr/>
          <w:p>
            <w:pPr>
              <w:pStyle w:val="Compact"/>
              <w:jc w:val="left"/>
            </w:pPr>
            <w:r>
              <w:t xml:space="preserve">Eric P. Johansson (managing partner)</w:t>
            </w:r>
          </w:p>
        </w:tc>
      </w:tr>
    </w:tbl>
    <w:p>
      <w:pPr>
        <w:pStyle w:val="BodyText"/>
      </w:pPr>
      <w:r>
        <w:rPr>
          <w:b/>
          <w:bCs/>
        </w:rPr>
        <w:t xml:space="preserve">Significance.</w:t>
      </w:r>
      <w:r>
        <w:t xml:space="preserve"> </w:t>
      </w:r>
      <w:r>
        <w:t xml:space="preserve">Same concern as Issue 4. The general partner is named differently (</w:t>
      </w:r>
      <w:r>
        <w:t xml:space="preserve">“</w:t>
      </w:r>
      <w:r>
        <w:t xml:space="preserve">Northlight Capital Advisors LLC</w:t>
      </w:r>
      <w:r>
        <w:t xml:space="preserve">”</w:t>
      </w:r>
      <w:r>
        <w:t xml:space="preserve"> </w:t>
      </w:r>
      <w:r>
        <w:t xml:space="preserve">vs. </w:t>
      </w:r>
      <w:r>
        <w:t xml:space="preserve">“</w:t>
      </w:r>
      <w:r>
        <w:t xml:space="preserve">Northlight Growth Advisors, LLC</w:t>
      </w:r>
      <w:r>
        <w:t xml:space="preserve">”</w:t>
      </w:r>
      <w:r>
        <w:t xml:space="preserve">), and the control person differs (Caroline Briggs vs. Eric P. Johansson). The POA is signed by</w:t>
      </w:r>
      <w:r>
        <w:t xml:space="preserve"> </w:t>
      </w:r>
      <w:r>
        <w:t xml:space="preserve">“</w:t>
      </w:r>
      <w:r>
        <w:t xml:space="preserve">Northlight Growth Advisors, LLC</w:t>
      </w:r>
      <w:r>
        <w:t xml:space="preserve">”</w:t>
      </w:r>
      <w:r>
        <w:t xml:space="preserve"> </w:t>
      </w:r>
      <w:r>
        <w:t xml:space="preserve">through Eric P. Johansson; if the actual general partner is</w:t>
      </w:r>
      <w:r>
        <w:t xml:space="preserve"> </w:t>
      </w:r>
      <w:r>
        <w:t xml:space="preserve">“</w:t>
      </w:r>
      <w:r>
        <w:t xml:space="preserve">Northlight Capital Advisors LLC,</w:t>
      </w:r>
      <w:r>
        <w:t xml:space="preserve">”</w:t>
      </w:r>
      <w:r>
        <w:t xml:space="preserve"> </w:t>
      </w:r>
      <w:r>
        <w:t xml:space="preserve">the POA may be ineffective and the S-1 disclosure inaccurate.</w:t>
      </w:r>
    </w:p>
    <w:p>
      <w:pPr>
        <w:pStyle w:val="BodyText"/>
      </w:pPr>
      <w:r>
        <w:rPr>
          <w:b/>
          <w:bCs/>
        </w:rPr>
        <w:t xml:space="preserve">Recommendation.</w:t>
      </w:r>
      <w:r>
        <w:t xml:space="preserve"> </w:t>
      </w:r>
      <w:r>
        <w:t xml:space="preserve">Confirm the correct legal name of the general partner and the identity of the authorized signatory and control person by reference to the limited partnership’s certificate and the general partner’s formation documents. Reconcile the S-1, the POA, and (when received) the Northlight Questionnaire. Resolve before execution.</w:t>
      </w:r>
    </w:p>
    <w:p>
      <w:r>
        <w:pict>
          <v:rect style="width:0;height:1.5pt" o:hralign="center" o:hrstd="t" o:hr="t"/>
        </w:pict>
      </w:r>
    </w:p>
    <w:bookmarkEnd w:id="25"/>
    <w:bookmarkEnd w:id="26"/>
    <w:bookmarkStart w:id="38" w:name="Xaade8aa29c91a09579d6ac0403631b53ef06ed4"/>
    <w:p>
      <w:pPr>
        <w:pStyle w:val="Heading2"/>
      </w:pPr>
      <w:r>
        <w:t xml:space="preserve">III. Material Discrepancies (Should Be Resolved Before Execution)</w:t>
      </w:r>
    </w:p>
    <w:bookmarkStart w:id="27" w:name="issue-6-date-of-the-credit-agreement"/>
    <w:p>
      <w:pPr>
        <w:pStyle w:val="Heading3"/>
      </w:pPr>
      <w:r>
        <w:t xml:space="preserve">Issue 6 — Date of the Credit Agreement</w:t>
      </w:r>
    </w:p>
    <w:p>
      <w:pPr>
        <w:pStyle w:val="FirstParagraph"/>
      </w:pPr>
      <w:r>
        <w:rPr>
          <w:b/>
          <w:bCs/>
        </w:rPr>
        <w:t xml:space="preserve">Discrepancy.</w:t>
      </w:r>
      <w:r>
        <w:t xml:space="preserve"> </w:t>
      </w:r>
      <w:r>
        <w:t xml:space="preserve">The S-1 (Material Contracts IX.A) states the credit agreement was entered into</w:t>
      </w:r>
      <w:r>
        <w:t xml:space="preserve"> </w:t>
      </w:r>
      <w:r>
        <w:t xml:space="preserve">“</w:t>
      </w:r>
      <w:r>
        <w:t xml:space="preserve">On July 15, 2022.</w:t>
      </w:r>
      <w:r>
        <w:t xml:space="preserve">”</w:t>
      </w:r>
      <w:r>
        <w:t xml:space="preserve"> </w:t>
      </w:r>
      <w:r>
        <w:t xml:space="preserve">The Credit Summary (Section 1) states the credit agreement is</w:t>
      </w:r>
      <w:r>
        <w:t xml:space="preserve"> </w:t>
      </w:r>
      <w:r>
        <w:t xml:space="preserve">“</w:t>
      </w:r>
      <w:r>
        <w:t xml:space="preserve">dated as of June 15, 2023 (as amended by that certain First Amendment to Revolving Credit Agreement dated as of February 28, 2024).</w:t>
      </w:r>
      <w:r>
        <w:t xml:space="preserve">”</w:t>
      </w:r>
    </w:p>
    <w:p>
      <w:pPr>
        <w:pStyle w:val="BodyText"/>
      </w:pPr>
      <w:r>
        <w:rPr>
          <w:b/>
          <w:bCs/>
        </w:rPr>
        <w:t xml:space="preserve">Significance.</w:t>
      </w:r>
      <w:r>
        <w:t xml:space="preserve"> </w:t>
      </w:r>
      <w:r>
        <w:t xml:space="preserve">The date of the credit agreement is a material term disclosed in the S-1. A one-year discrepancy suggests either the S-1 describes the wrong agreement/date or the Credit Summary is incorrect. The Underwriting Agreement’s material-contracts representation (Section 4.9) incorporates the S-1’s description.</w:t>
      </w:r>
    </w:p>
    <w:p>
      <w:pPr>
        <w:pStyle w:val="BodyText"/>
      </w:pPr>
      <w:r>
        <w:rPr>
          <w:b/>
          <w:bCs/>
        </w:rPr>
        <w:t xml:space="preserve">Recommendation.</w:t>
      </w:r>
      <w:r>
        <w:t xml:space="preserve"> </w:t>
      </w:r>
      <w:r>
        <w:t xml:space="preserve">Confirm the execution date of the credit agreement and any amendments. Correct the S-1 if necessary.</w:t>
      </w:r>
    </w:p>
    <w:bookmarkEnd w:id="27"/>
    <w:bookmarkStart w:id="28" w:name="Xd52b0e2075ed937999d915de9e32738c37fd34d"/>
    <w:p>
      <w:pPr>
        <w:pStyle w:val="Heading3"/>
      </w:pPr>
      <w:r>
        <w:t xml:space="preserve">Issue 7 — Maturity Date of the Credit Facility</w:t>
      </w:r>
    </w:p>
    <w:p>
      <w:pPr>
        <w:pStyle w:val="FirstParagraph"/>
      </w:pPr>
      <w:r>
        <w:rPr>
          <w:b/>
          <w:bCs/>
        </w:rPr>
        <w:t xml:space="preserve">Discrepancy.</w:t>
      </w:r>
      <w:r>
        <w:t xml:space="preserve"> </w:t>
      </w:r>
      <w:r>
        <w:t xml:space="preserve">The S-1 (Material Contracts IX.A; Use of Proceeds) states the facility</w:t>
      </w:r>
      <w:r>
        <w:t xml:space="preserve"> </w:t>
      </w:r>
      <w:r>
        <w:t xml:space="preserve">“</w:t>
      </w:r>
      <w:r>
        <w:t xml:space="preserve">matures on December 31, 2026.</w:t>
      </w:r>
      <w:r>
        <w:t xml:space="preserve">”</w:t>
      </w:r>
      <w:r>
        <w:t xml:space="preserve"> </w:t>
      </w:r>
      <w:r>
        <w:t xml:space="preserve">The Credit Summary (Section 3) states the</w:t>
      </w:r>
      <w:r>
        <w:t xml:space="preserve"> </w:t>
      </w:r>
      <w:r>
        <w:t xml:space="preserve">“</w:t>
      </w:r>
      <w:r>
        <w:t xml:space="preserve">Maturity Date: June 15, 2027 (four-year term from original execution).</w:t>
      </w:r>
      <w:r>
        <w:t xml:space="preserve">”</w:t>
      </w:r>
    </w:p>
    <w:p>
      <w:pPr>
        <w:pStyle w:val="BodyText"/>
      </w:pPr>
      <w:r>
        <w:rPr>
          <w:b/>
          <w:bCs/>
        </w:rPr>
        <w:t xml:space="preserve">Significance.</w:t>
      </w:r>
      <w:r>
        <w:t xml:space="preserve"> </w:t>
      </w:r>
      <w:r>
        <w:t xml:space="preserve">The maturity date is a material term. A six-month discrepancy affects the Company’s liquidity profile and the accuracy of the S-1 disclosure.</w:t>
      </w:r>
    </w:p>
    <w:p>
      <w:pPr>
        <w:pStyle w:val="BodyText"/>
      </w:pPr>
      <w:r>
        <w:rPr>
          <w:b/>
          <w:bCs/>
        </w:rPr>
        <w:t xml:space="preserve">Recommendation.</w:t>
      </w:r>
      <w:r>
        <w:t xml:space="preserve"> </w:t>
      </w:r>
      <w:r>
        <w:t xml:space="preserve">Confirm the correct maturity date from the credit agreement. Reconcile the S-1 and the Credit Summary.</w:t>
      </w:r>
    </w:p>
    <w:bookmarkEnd w:id="28"/>
    <w:bookmarkStart w:id="29" w:name="issue-8-interest-rate-applicable-margin"/>
    <w:p>
      <w:pPr>
        <w:pStyle w:val="Heading3"/>
      </w:pPr>
      <w:r>
        <w:t xml:space="preserve">Issue 8 — Interest Rate / Applicable Margin</w:t>
      </w:r>
    </w:p>
    <w:p>
      <w:pPr>
        <w:pStyle w:val="FirstParagraph"/>
      </w:pPr>
      <w:r>
        <w:rPr>
          <w:b/>
          <w:bCs/>
        </w:rPr>
        <w:t xml:space="preserve">Discrepancy.</w:t>
      </w:r>
      <w:r>
        <w:t xml:space="preserve"> </w:t>
      </w:r>
      <w:r>
        <w:t xml:space="preserve">The S-1 (Material Contracts IX.A; Use of Proceeds) states borrowings bear interest at</w:t>
      </w:r>
      <w:r>
        <w:t xml:space="preserve"> </w:t>
      </w:r>
      <w:r>
        <w:t xml:space="preserve">“</w:t>
      </w:r>
      <w:r>
        <w:t xml:space="preserve">SOFR plus 2.50% per annum.</w:t>
      </w:r>
      <w:r>
        <w:t xml:space="preserve">”</w:t>
      </w:r>
      <w:r>
        <w:t xml:space="preserve"> </w:t>
      </w:r>
      <w:r>
        <w:t xml:space="preserve">The Credit Summary (Section 4) describes a pricing grid with SOFR margins of 2.25% / 2.75% / 3.25% based on the Total Net Leverage Ratio, with the current applicable margin at</w:t>
      </w:r>
      <w:r>
        <w:t xml:space="preserve"> </w:t>
      </w:r>
      <w:r>
        <w:rPr>
          <w:b/>
          <w:bCs/>
        </w:rPr>
        <w:t xml:space="preserve">SOFR + 2.25%</w:t>
      </w:r>
      <w:r>
        <w:t xml:space="preserve">.</w:t>
      </w:r>
    </w:p>
    <w:p>
      <w:pPr>
        <w:pStyle w:val="BodyText"/>
      </w:pPr>
      <w:r>
        <w:rPr>
          <w:b/>
          <w:bCs/>
        </w:rPr>
        <w:t xml:space="preserve">Significance.</w:t>
      </w:r>
      <w:r>
        <w:t xml:space="preserve"> </w:t>
      </w:r>
      <w:r>
        <w:t xml:space="preserve">The S-1 discloses a flat 2.50% margin; the Credit Summary describes a grid currently pricing at 2.25%. The disclosure is inconsistent and the S-1 may overstate the current cost of borrowings.</w:t>
      </w:r>
    </w:p>
    <w:p>
      <w:pPr>
        <w:pStyle w:val="BodyText"/>
      </w:pPr>
      <w:r>
        <w:rPr>
          <w:b/>
          <w:bCs/>
        </w:rPr>
        <w:t xml:space="preserve">Recommendation.</w:t>
      </w:r>
      <w:r>
        <w:t xml:space="preserve"> </w:t>
      </w:r>
      <w:r>
        <w:t xml:space="preserve">Confirm the interest-rate mechanics. Update the S-1 to describe the pricing grid accurately, or confirm the flat-rate disclosure if the grid is not applicable.</w:t>
      </w:r>
    </w:p>
    <w:bookmarkEnd w:id="29"/>
    <w:bookmarkStart w:id="30" w:name="issue-9-change-of-control-threshold"/>
    <w:p>
      <w:pPr>
        <w:pStyle w:val="Heading3"/>
      </w:pPr>
      <w:r>
        <w:t xml:space="preserve">Issue 9 — Change-of-Control Threshold</w:t>
      </w:r>
    </w:p>
    <w:p>
      <w:pPr>
        <w:pStyle w:val="FirstParagraph"/>
      </w:pPr>
      <w:r>
        <w:rPr>
          <w:b/>
          <w:bCs/>
        </w:rPr>
        <w:t xml:space="preserve">Discrepancy.</w:t>
      </w:r>
      <w:r>
        <w:t xml:space="preserve"> </w:t>
      </w:r>
      <w:r>
        <w:t xml:space="preserve">The S-1 (Risk Factors III.C; Material Contracts IX.A) defines a change of control as the acquisition of</w:t>
      </w:r>
      <w:r>
        <w:t xml:space="preserve"> </w:t>
      </w:r>
      <w:r>
        <w:t xml:space="preserve">“</w:t>
      </w:r>
      <w:r>
        <w:t xml:space="preserve">more than 50% of our voting stock.</w:t>
      </w:r>
      <w:r>
        <w:t xml:space="preserve">”</w:t>
      </w:r>
      <w:r>
        <w:t xml:space="preserve"> </w:t>
      </w:r>
      <w:r>
        <w:t xml:space="preserve">The Credit Summary (Section 9) defines</w:t>
      </w:r>
      <w:r>
        <w:t xml:space="preserve"> </w:t>
      </w:r>
      <w:r>
        <w:t xml:space="preserve">“</w:t>
      </w:r>
      <w:r>
        <w:t xml:space="preserve">Change of Control</w:t>
      </w:r>
      <w:r>
        <w:t xml:space="preserve">”</w:t>
      </w:r>
      <w:r>
        <w:t xml:space="preserve"> </w:t>
      </w:r>
      <w:r>
        <w:t xml:space="preserve">as the acquisition of</w:t>
      </w:r>
      <w:r>
        <w:t xml:space="preserve"> </w:t>
      </w:r>
      <w:r>
        <w:t xml:space="preserve">“</w:t>
      </w:r>
      <w:r>
        <w:t xml:space="preserve">more than 35% of the outstanding voting equity interests.</w:t>
      </w:r>
      <w:r>
        <w:t xml:space="preserve">”</w:t>
      </w:r>
    </w:p>
    <w:p>
      <w:pPr>
        <w:pStyle w:val="BodyText"/>
      </w:pPr>
      <w:r>
        <w:rPr>
          <w:b/>
          <w:bCs/>
        </w:rPr>
        <w:t xml:space="preserve">Significance.</w:t>
      </w:r>
      <w:r>
        <w:t xml:space="preserve"> </w:t>
      </w:r>
      <w:r>
        <w:t xml:space="preserve">A 15-percentage-point difference in the change-of-control threshold is material. The Credit Summary’s 35% threshold is meaningfully more restrictive and could be triggered by post-IPO ownership levels that would not trigger the 50% threshold described in the S-1. The S-1 disclosure may understate the risk of acceleration. The Credit Summary’s own change-of-control analysis (Section 9) notes that no holder is expected to exceed 35% post-IPO, but this is a closer call than the 50% threshold the S-1 describes.</w:t>
      </w:r>
    </w:p>
    <w:p>
      <w:pPr>
        <w:pStyle w:val="BodyText"/>
      </w:pPr>
      <w:r>
        <w:rPr>
          <w:b/>
          <w:bCs/>
        </w:rPr>
        <w:t xml:space="preserve">Recommendation.</w:t>
      </w:r>
      <w:r>
        <w:t xml:space="preserve"> </w:t>
      </w:r>
      <w:r>
        <w:t xml:space="preserve">Confirm the actual change-of-control threshold from the credit agreement. Correct the S-1 disclosure. Reconfirm the post-IPO change-of-control analysis against the correct threshold.</w:t>
      </w:r>
    </w:p>
    <w:bookmarkEnd w:id="30"/>
    <w:bookmarkStart w:id="31" w:name="issue-10-financial-covenants"/>
    <w:p>
      <w:pPr>
        <w:pStyle w:val="Heading3"/>
      </w:pPr>
      <w:r>
        <w:t xml:space="preserve">Issue 10 — Financial Covenants</w:t>
      </w:r>
    </w:p>
    <w:p>
      <w:pPr>
        <w:pStyle w:val="FirstParagraph"/>
      </w:pPr>
      <w:r>
        <w:rPr>
          <w:b/>
          <w:bCs/>
        </w:rPr>
        <w:t xml:space="preserve">Discrepancy.</w:t>
      </w:r>
      <w:r>
        <w:t xml:space="preserve"> </w:t>
      </w:r>
      <w:r>
        <w:t xml:space="preserve">The financial covenants are described differently:</w:t>
      </w:r>
    </w:p>
    <w:p>
      <w:pPr>
        <w:pStyle w:val="Compact"/>
        <w:numPr>
          <w:ilvl w:val="0"/>
          <w:numId w:val="1004"/>
        </w:numPr>
      </w:pPr>
      <w:r>
        <w:rPr>
          <w:b/>
          <w:bCs/>
        </w:rPr>
        <w:t xml:space="preserve">S-1 (Material Contracts IX.A):</w:t>
      </w:r>
      <w:r>
        <w:t xml:space="preserve"> </w:t>
      </w:r>
      <w:r>
        <w:t xml:space="preserve">(i) minimum unrestricted cash of $15 million; (ii) maximum total leverage ratio of 3.00:1.00; (iii) minimum interest coverage ratio of 3.00:1.00.</w:t>
      </w:r>
    </w:p>
    <w:p>
      <w:pPr>
        <w:pStyle w:val="Compact"/>
        <w:numPr>
          <w:ilvl w:val="0"/>
          <w:numId w:val="1004"/>
        </w:numPr>
      </w:pPr>
      <w:r>
        <w:rPr>
          <w:b/>
          <w:bCs/>
        </w:rPr>
        <w:t xml:space="preserve">Credit Summary (Section 7):</w:t>
      </w:r>
      <w:r>
        <w:t xml:space="preserve"> </w:t>
      </w:r>
      <w:r>
        <w:t xml:space="preserve">(i) minimum revenue of $200 million; (ii) maximum Total Net Leverage Ratio of 3.00:1.00; (iii) minimum liquidity of $15 million (cash</w:t>
      </w:r>
      <w:r>
        <w:t xml:space="preserve"> </w:t>
      </w:r>
      <w:r>
        <w:rPr>
          <w:b/>
          <w:bCs/>
        </w:rPr>
        <w:t xml:space="preserve">plus available revolving commitment</w:t>
      </w:r>
      <w:r>
        <w:t xml:space="preserve">); (iv) Fixed Charge Coverage Ratio of 1.25:1.00.</w:t>
      </w:r>
    </w:p>
    <w:p>
      <w:pPr>
        <w:pStyle w:val="FirstParagraph"/>
      </w:pPr>
      <w:r>
        <w:rPr>
          <w:b/>
          <w:bCs/>
        </w:rPr>
        <w:t xml:space="preserve">Significance.</w:t>
      </w:r>
      <w:r>
        <w:t xml:space="preserve"> </w:t>
      </w:r>
      <w:r>
        <w:t xml:space="preserve">The S-1 omits the minimum revenue covenant and the fixed charge coverage ratio, and substitutes a</w:t>
      </w:r>
      <w:r>
        <w:t xml:space="preserve"> </w:t>
      </w:r>
      <w:r>
        <w:t xml:space="preserve">“</w:t>
      </w:r>
      <w:r>
        <w:t xml:space="preserve">minimum interest coverage ratio</w:t>
      </w:r>
      <w:r>
        <w:t xml:space="preserve">”</w:t>
      </w:r>
      <w:r>
        <w:t xml:space="preserve"> </w:t>
      </w:r>
      <w:r>
        <w:t xml:space="preserve">(3.00:1.00) that does not appear in the Credit Summary (which instead has a fixed charge coverage ratio of 1.25:1.00). The minimum liquidity definition also differs (cash only vs. cash plus available revolver). The S-1’s description of the financial covenants appears incomplete and partly inaccurate.</w:t>
      </w:r>
    </w:p>
    <w:p>
      <w:pPr>
        <w:pStyle w:val="BodyText"/>
      </w:pPr>
      <w:r>
        <w:rPr>
          <w:b/>
          <w:bCs/>
        </w:rPr>
        <w:t xml:space="preserve">Recommendation.</w:t>
      </w:r>
      <w:r>
        <w:t xml:space="preserve"> </w:t>
      </w:r>
      <w:r>
        <w:t xml:space="preserve">Confirm the actual financial covenants from the credit agreement. Update the S-1 to describe all financial covenants accurately, including the minimum revenue covenant and the fixed charge coverage ratio, and correct the minimum liquidity definition.</w:t>
      </w:r>
    </w:p>
    <w:bookmarkEnd w:id="31"/>
    <w:bookmarkStart w:id="32" w:name="X786714919f3e54e62ae42cafbb5ba33994d703e"/>
    <w:p>
      <w:pPr>
        <w:pStyle w:val="Heading3"/>
      </w:pPr>
      <w:r>
        <w:t xml:space="preserve">Issue 11 — Source of Over-Allotment Option Shares</w:t>
      </w:r>
    </w:p>
    <w:p>
      <w:pPr>
        <w:pStyle w:val="FirstParagraph"/>
      </w:pPr>
      <w:r>
        <w:rPr>
          <w:b/>
          <w:bCs/>
        </w:rPr>
        <w:t xml:space="preserve">Discrepancy.</w:t>
      </w:r>
      <w:r>
        <w:t xml:space="preserve"> </w:t>
      </w:r>
      <w:r>
        <w:t xml:space="preserve">The source of the over-allotment option shares is described inconsistently:</w:t>
      </w:r>
    </w:p>
    <w:p>
      <w:pPr>
        <w:pStyle w:val="Compact"/>
        <w:numPr>
          <w:ilvl w:val="0"/>
          <w:numId w:val="1005"/>
        </w:numPr>
      </w:pPr>
      <w:r>
        <w:rPr>
          <w:b/>
          <w:bCs/>
        </w:rPr>
        <w:t xml:space="preserve">Term Sheet (Section 2.2):</w:t>
      </w:r>
      <w:r>
        <w:t xml:space="preserve"> </w:t>
      </w:r>
      <w:r>
        <w:t xml:space="preserve">the option is to purchase shares</w:t>
      </w:r>
      <w:r>
        <w:t xml:space="preserve"> </w:t>
      </w:r>
      <w:r>
        <w:t xml:space="preserve">“</w:t>
      </w:r>
      <w:r>
        <w:t xml:space="preserve">from the Company</w:t>
      </w:r>
      <w:r>
        <w:t xml:space="preserve"> </w:t>
      </w:r>
      <w:r>
        <w:rPr>
          <w:b/>
          <w:bCs/>
        </w:rPr>
        <w:t xml:space="preserve">and/or the Selling Stockholders</w:t>
      </w:r>
      <w:r>
        <w:t xml:space="preserve">.</w:t>
      </w:r>
      <w:r>
        <w:t xml:space="preserve">”</w:t>
      </w:r>
    </w:p>
    <w:p>
      <w:pPr>
        <w:pStyle w:val="Compact"/>
        <w:numPr>
          <w:ilvl w:val="0"/>
          <w:numId w:val="1005"/>
        </w:numPr>
      </w:pPr>
      <w:r>
        <w:rPr>
          <w:b/>
          <w:bCs/>
        </w:rPr>
        <w:t xml:space="preserve">S-1 (cover page;</w:t>
      </w:r>
      <w:r>
        <w:rPr>
          <w:b/>
          <w:bCs/>
        </w:rPr>
        <w:t xml:space="preserve"> </w:t>
      </w:r>
      <w:r>
        <w:rPr>
          <w:b/>
          <w:bCs/>
        </w:rPr>
        <w:t xml:space="preserve">“</w:t>
      </w:r>
      <w:r>
        <w:rPr>
          <w:b/>
          <w:bCs/>
        </w:rPr>
        <w:t xml:space="preserve">The Offering</w:t>
      </w:r>
      <w:r>
        <w:rPr>
          <w:b/>
          <w:bCs/>
        </w:rPr>
        <w:t xml:space="preserve">”</w:t>
      </w:r>
      <w:r>
        <w:rPr>
          <w:b/>
          <w:bCs/>
        </w:rPr>
        <w:t xml:space="preserve">; Underwriting XI.B):</w:t>
      </w:r>
      <w:r>
        <w:t xml:space="preserve"> </w:t>
      </w:r>
      <w:r>
        <w:t xml:space="preserve">“</w:t>
      </w:r>
      <w:r>
        <w:t xml:space="preserve">Up to 1,800,000 additional shares offered by</w:t>
      </w:r>
      <w:r>
        <w:t xml:space="preserve"> </w:t>
      </w:r>
      <w:r>
        <w:rPr>
          <w:b/>
          <w:bCs/>
        </w:rPr>
        <w:t xml:space="preserve">us</w:t>
      </w:r>
      <w:r>
        <w:t xml:space="preserve">”</w:t>
      </w:r>
      <w:r>
        <w:t xml:space="preserve"> </w:t>
      </w:r>
      <w:r>
        <w:t xml:space="preserve">(i.e., the Company only).</w:t>
      </w:r>
    </w:p>
    <w:p>
      <w:pPr>
        <w:pStyle w:val="Compact"/>
        <w:numPr>
          <w:ilvl w:val="0"/>
          <w:numId w:val="1005"/>
        </w:numPr>
      </w:pPr>
      <w:r>
        <w:rPr>
          <w:b/>
          <w:bCs/>
        </w:rPr>
        <w:t xml:space="preserve">Engagement Letter (Section 2):</w:t>
      </w:r>
      <w:r>
        <w:t xml:space="preserve"> </w:t>
      </w:r>
      <w:r>
        <w:t xml:space="preserve">“</w:t>
      </w:r>
      <w:r>
        <w:t xml:space="preserve">The over-allotment option shares shall be sourced</w:t>
      </w:r>
      <w:r>
        <w:t xml:space="preserve"> </w:t>
      </w:r>
      <w:r>
        <w:rPr>
          <w:b/>
          <w:bCs/>
        </w:rPr>
        <w:t xml:space="preserve">exclusively from newly issued Company shares</w:t>
      </w:r>
      <w:r>
        <w:t xml:space="preserve">.</w:t>
      </w:r>
      <w:r>
        <w:t xml:space="preserve">”</w:t>
      </w:r>
    </w:p>
    <w:p>
      <w:pPr>
        <w:pStyle w:val="Compact"/>
        <w:numPr>
          <w:ilvl w:val="0"/>
          <w:numId w:val="1005"/>
        </w:numPr>
      </w:pPr>
      <w:r>
        <w:rPr>
          <w:b/>
          <w:bCs/>
        </w:rPr>
        <w:t xml:space="preserve">Questionnaire (Section 2(b)):</w:t>
      </w:r>
      <w:r>
        <w:t xml:space="preserve"> </w:t>
      </w:r>
      <w:r>
        <w:t xml:space="preserve">“</w:t>
      </w:r>
      <w:r>
        <w:t xml:space="preserve">the over-allotment option is sourced</w:t>
      </w:r>
      <w:r>
        <w:t xml:space="preserve"> </w:t>
      </w:r>
      <w:r>
        <w:rPr>
          <w:b/>
          <w:bCs/>
        </w:rPr>
        <w:t xml:space="preserve">exclusively from newly issued shares of the Company</w:t>
      </w:r>
      <w:r>
        <w:t xml:space="preserve">.</w:t>
      </w:r>
      <w:r>
        <w:t xml:space="preserve">”</w:t>
      </w:r>
    </w:p>
    <w:p>
      <w:pPr>
        <w:pStyle w:val="FirstParagraph"/>
      </w:pPr>
      <w:r>
        <w:rPr>
          <w:b/>
          <w:bCs/>
        </w:rPr>
        <w:t xml:space="preserve">Significance.</w:t>
      </w:r>
      <w:r>
        <w:t xml:space="preserve"> </w:t>
      </w:r>
      <w:r>
        <w:t xml:space="preserve">The Term Sheet (a non-binding, indicative document) contemplates that the option shares may come from the Company and/or the Selling Stockholders, while the S-1, the Engagement Letter, and the Questionnaire all state the option is sourced exclusively from the Company. The Underwriting Agreement (Section 3.1) has been drafted to provide that the Option Securities are newly issued Company shares, consistent with the S-1, the Engagement Letter, and the Questionnaire. The Term Sheet’s</w:t>
      </w:r>
      <w:r>
        <w:t xml:space="preserve"> </w:t>
      </w:r>
      <w:r>
        <w:t xml:space="preserve">“</w:t>
      </w:r>
      <w:r>
        <w:t xml:space="preserve">and/or</w:t>
      </w:r>
      <w:r>
        <w:t xml:space="preserve">”</w:t>
      </w:r>
      <w:r>
        <w:t xml:space="preserve"> </w:t>
      </w:r>
      <w:r>
        <w:t xml:space="preserve">language must be reconciled (likely by confirming the Company-only structure).</w:t>
      </w:r>
    </w:p>
    <w:p>
      <w:pPr>
        <w:pStyle w:val="BodyText"/>
      </w:pPr>
      <w:r>
        <w:rPr>
          <w:b/>
          <w:bCs/>
        </w:rPr>
        <w:t xml:space="preserve">Recommendation.</w:t>
      </w:r>
      <w:r>
        <w:t xml:space="preserve"> </w:t>
      </w:r>
      <w:r>
        <w:t xml:space="preserve">Confirm that the over-allotment option is sourced exclusively from the Company. The Term Sheet’s</w:t>
      </w:r>
      <w:r>
        <w:t xml:space="preserve"> </w:t>
      </w:r>
      <w:r>
        <w:t xml:space="preserve">“</w:t>
      </w:r>
      <w:r>
        <w:t xml:space="preserve">and/or Selling Stockholders</w:t>
      </w:r>
      <w:r>
        <w:t xml:space="preserve">”</w:t>
      </w:r>
      <w:r>
        <w:t xml:space="preserve"> </w:t>
      </w:r>
      <w:r>
        <w:t xml:space="preserve">language should be disregarded as superseded by the S-1 and the Engagement Letter. No Selling Stockholder Shares are subject to the option.</w:t>
      </w:r>
    </w:p>
    <w:bookmarkEnd w:id="32"/>
    <w:bookmarkStart w:id="33" w:name="Xb0e4555ba5b061d31e88a8199cc7524f5aea05c"/>
    <w:p>
      <w:pPr>
        <w:pStyle w:val="Heading3"/>
      </w:pPr>
      <w:r>
        <w:t xml:space="preserve">Issue 12 — Number of Shares to Be Sold by Dr. Anand Krishnamurthy</w:t>
      </w:r>
    </w:p>
    <w:p>
      <w:pPr>
        <w:pStyle w:val="FirstParagraph"/>
      </w:pPr>
      <w:r>
        <w:rPr>
          <w:b/>
          <w:bCs/>
        </w:rPr>
        <w:t xml:space="preserve">Discrepancy.</w:t>
      </w:r>
      <w:r>
        <w:t xml:space="preserve"> </w:t>
      </w:r>
      <w:r>
        <w:t xml:space="preserve">The number of Selling Stockholder Shares to be sold by Dr. Krishnamurthy is stated inconsistently:</w:t>
      </w:r>
    </w:p>
    <w:p>
      <w:pPr>
        <w:pStyle w:val="Compact"/>
        <w:numPr>
          <w:ilvl w:val="0"/>
          <w:numId w:val="1006"/>
        </w:numPr>
      </w:pPr>
      <w:r>
        <w:rPr>
          <w:b/>
          <w:bCs/>
        </w:rPr>
        <w:t xml:space="preserve">Term Sheet (Section 2.1; 6.1):</w:t>
      </w:r>
      <w:r>
        <w:t xml:space="preserve"> </w:t>
      </w:r>
      <w:r>
        <w:t xml:space="preserve">500,000 shares.</w:t>
      </w:r>
    </w:p>
    <w:p>
      <w:pPr>
        <w:pStyle w:val="Compact"/>
        <w:numPr>
          <w:ilvl w:val="0"/>
          <w:numId w:val="1006"/>
        </w:numPr>
      </w:pPr>
      <w:r>
        <w:rPr>
          <w:b/>
          <w:bCs/>
        </w:rPr>
        <w:t xml:space="preserve">S-1 (beneficial-ownership table):</w:t>
      </w:r>
      <w:r>
        <w:t xml:space="preserve"> </w:t>
      </w:r>
      <w:r>
        <w:t xml:space="preserve">500,000 shares.</w:t>
      </w:r>
    </w:p>
    <w:p>
      <w:pPr>
        <w:pStyle w:val="Compact"/>
        <w:numPr>
          <w:ilvl w:val="0"/>
          <w:numId w:val="1006"/>
        </w:numPr>
      </w:pPr>
      <w:r>
        <w:rPr>
          <w:b/>
          <w:bCs/>
        </w:rPr>
        <w:t xml:space="preserve">POA (Schedule A):</w:t>
      </w:r>
      <w:r>
        <w:t xml:space="preserve"> </w:t>
      </w:r>
      <w:r>
        <w:t xml:space="preserve">up to 500,000 shares.</w:t>
      </w:r>
    </w:p>
    <w:p>
      <w:pPr>
        <w:pStyle w:val="Compact"/>
        <w:numPr>
          <w:ilvl w:val="0"/>
          <w:numId w:val="1006"/>
        </w:numPr>
      </w:pPr>
      <w:r>
        <w:rPr>
          <w:b/>
          <w:bCs/>
        </w:rPr>
        <w:t xml:space="preserve">Engagement Letter (Section 2; Annex A):</w:t>
      </w:r>
      <w:r>
        <w:t xml:space="preserve"> </w:t>
      </w:r>
      <w:r>
        <w:t xml:space="preserve">“</w:t>
      </w:r>
      <w:r>
        <w:t xml:space="preserve">up to</w:t>
      </w:r>
      <w:r>
        <w:t xml:space="preserve"> </w:t>
      </w:r>
      <w:r>
        <w:rPr>
          <w:b/>
          <w:bCs/>
        </w:rPr>
        <w:t xml:space="preserve">750,000</w:t>
      </w:r>
      <w:r>
        <w:t xml:space="preserve"> </w:t>
      </w:r>
      <w:r>
        <w:t xml:space="preserve">shares</w:t>
      </w:r>
      <w:r>
        <w:t xml:space="preserve">”</w:t>
      </w:r>
      <w:r>
        <w:t xml:space="preserve"> </w:t>
      </w:r>
      <w:r>
        <w:t xml:space="preserve">(with a baseline assumption of 500,000 for economic calculations).</w:t>
      </w:r>
    </w:p>
    <w:p>
      <w:pPr>
        <w:pStyle w:val="FirstParagraph"/>
      </w:pPr>
      <w:r>
        <w:rPr>
          <w:b/>
          <w:bCs/>
        </w:rPr>
        <w:t xml:space="preserve">Significance.</w:t>
      </w:r>
      <w:r>
        <w:t xml:space="preserve"> </w:t>
      </w:r>
      <w:r>
        <w:t xml:space="preserve">The Engagement Letter (the earliest document, dated November 8, 2024) contemplates up to 750,000 shares, while all subsequent documents (Term Sheet, S-1, POA) reflect 500,000 shares. The Underwriting Agreement (Schedule A) uses 500,000 shares, consistent with the most recent documents. The Engagement Letter’s</w:t>
      </w:r>
      <w:r>
        <w:t xml:space="preserve"> </w:t>
      </w:r>
      <w:r>
        <w:t xml:space="preserve">“</w:t>
      </w:r>
      <w:r>
        <w:t xml:space="preserve">up to 750,000</w:t>
      </w:r>
      <w:r>
        <w:t xml:space="preserve">”</w:t>
      </w:r>
      <w:r>
        <w:t xml:space="preserve"> </w:t>
      </w:r>
      <w:r>
        <w:t xml:space="preserve">appears to have been reduced to 500,000, but this should be confirmed.</w:t>
      </w:r>
    </w:p>
    <w:p>
      <w:pPr>
        <w:pStyle w:val="BodyText"/>
      </w:pPr>
      <w:r>
        <w:rPr>
          <w:b/>
          <w:bCs/>
        </w:rPr>
        <w:t xml:space="preserve">Recommendation.</w:t>
      </w:r>
      <w:r>
        <w:t xml:space="preserve"> </w:t>
      </w:r>
      <w:r>
        <w:t xml:space="preserve">Confirm that Dr. Krishnamurthy will sell 500,000 shares (not up to 750,000). The Engagement Letter’s</w:t>
      </w:r>
      <w:r>
        <w:t xml:space="preserve"> </w:t>
      </w:r>
      <w:r>
        <w:t xml:space="preserve">“</w:t>
      </w:r>
      <w:r>
        <w:t xml:space="preserve">up to</w:t>
      </w:r>
      <w:r>
        <w:t xml:space="preserve">”</w:t>
      </w:r>
      <w:r>
        <w:t xml:space="preserve"> </w:t>
      </w:r>
      <w:r>
        <w:t xml:space="preserve">language is superseded. No change to the Underwriting Agreement is required if 500,000 is confirmed.</w:t>
      </w:r>
    </w:p>
    <w:bookmarkEnd w:id="33"/>
    <w:bookmarkStart w:id="34" w:name="X04aa3e7dc06b8a7436d5630aef7ee0d72a05e1f"/>
    <w:p>
      <w:pPr>
        <w:pStyle w:val="Heading3"/>
      </w:pPr>
      <w:r>
        <w:t xml:space="preserve">Issue 13 — Dr. Krishnamurthy’s Share Ownership Figures</w:t>
      </w:r>
    </w:p>
    <w:p>
      <w:pPr>
        <w:pStyle w:val="FirstParagraph"/>
      </w:pPr>
      <w:r>
        <w:rPr>
          <w:b/>
          <w:bCs/>
        </w:rPr>
        <w:t xml:space="preserve">Discrepancy.</w:t>
      </w:r>
      <w:r>
        <w:t xml:space="preserve"> </w:t>
      </w:r>
      <w:r>
        <w:t xml:space="preserve">Dr. Krishnamurthy’s share ownership is stated inconsistently:</w:t>
      </w:r>
    </w:p>
    <w:p>
      <w:pPr>
        <w:pStyle w:val="Compact"/>
        <w:numPr>
          <w:ilvl w:val="0"/>
          <w:numId w:val="1007"/>
        </w:numPr>
      </w:pPr>
      <w:r>
        <w:rPr>
          <w:b/>
          <w:bCs/>
        </w:rPr>
        <w:t xml:space="preserve">Shares currently held:</w:t>
      </w:r>
      <w:r>
        <w:t xml:space="preserve"> </w:t>
      </w:r>
      <w:r>
        <w:t xml:space="preserve">Term Sheet (Section 6.1) says</w:t>
      </w:r>
      <w:r>
        <w:t xml:space="preserve"> </w:t>
      </w:r>
      <w:r>
        <w:t xml:space="preserve">“</w:t>
      </w:r>
      <w:r>
        <w:t xml:space="preserve">approximately 8.5 million</w:t>
      </w:r>
      <w:r>
        <w:t xml:space="preserve">”</w:t>
      </w:r>
      <w:r>
        <w:t xml:space="preserve">; the S-1 (beneficial-ownership table, footnote 3), the Engagement Letter (Annex A), and the POA (Schedule A) all say</w:t>
      </w:r>
      <w:r>
        <w:t xml:space="preserve"> </w:t>
      </w:r>
      <w:r>
        <w:rPr>
          <w:b/>
          <w:bCs/>
        </w:rPr>
        <w:t xml:space="preserve">8,400,000</w:t>
      </w:r>
      <w:r>
        <w:t xml:space="preserve"> </w:t>
      </w:r>
      <w:r>
        <w:t xml:space="preserve">(7,600,000 direct + 800,000 options).</w:t>
      </w:r>
    </w:p>
    <w:p>
      <w:pPr>
        <w:pStyle w:val="Compact"/>
        <w:numPr>
          <w:ilvl w:val="0"/>
          <w:numId w:val="1007"/>
        </w:numPr>
      </w:pPr>
      <w:r>
        <w:rPr>
          <w:b/>
          <w:bCs/>
        </w:rPr>
        <w:t xml:space="preserve">Shares after offering:</w:t>
      </w:r>
      <w:r>
        <w:t xml:space="preserve"> </w:t>
      </w:r>
      <w:r>
        <w:t xml:space="preserve">Term Sheet (Section 6.1) says</w:t>
      </w:r>
      <w:r>
        <w:t xml:space="preserve"> </w:t>
      </w:r>
      <w:r>
        <w:t xml:space="preserve">“</w:t>
      </w:r>
      <w:r>
        <w:t xml:space="preserve">approximately 8.0 million</w:t>
      </w:r>
      <w:r>
        <w:t xml:space="preserve">”</w:t>
      </w:r>
      <w:r>
        <w:t xml:space="preserve">; the S-1 (beneficial-ownership table) and the Credit Summary (Section 9) say</w:t>
      </w:r>
      <w:r>
        <w:t xml:space="preserve"> </w:t>
      </w:r>
      <w:r>
        <w:rPr>
          <w:b/>
          <w:bCs/>
        </w:rPr>
        <w:t xml:space="preserve">7,900,000</w:t>
      </w:r>
      <w:r>
        <w:t xml:space="preserve">.</w:t>
      </w:r>
    </w:p>
    <w:p>
      <w:pPr>
        <w:pStyle w:val="FirstParagraph"/>
      </w:pPr>
      <w:r>
        <w:rPr>
          <w:b/>
          <w:bCs/>
        </w:rPr>
        <w:t xml:space="preserve">Significance.</w:t>
      </w:r>
      <w:r>
        <w:t xml:space="preserve"> </w:t>
      </w:r>
      <w:r>
        <w:t xml:space="preserve">The Term Sheet’s</w:t>
      </w:r>
      <w:r>
        <w:t xml:space="preserve"> </w:t>
      </w:r>
      <w:r>
        <w:t xml:space="preserve">“</w:t>
      </w:r>
      <w:r>
        <w:t xml:space="preserve">approximately 8.5 million</w:t>
      </w:r>
      <w:r>
        <w:t xml:space="preserve">”</w:t>
      </w:r>
      <w:r>
        <w:t xml:space="preserve"> </w:t>
      </w:r>
      <w:r>
        <w:t xml:space="preserve">and</w:t>
      </w:r>
      <w:r>
        <w:t xml:space="preserve"> </w:t>
      </w:r>
      <w:r>
        <w:t xml:space="preserve">“</w:t>
      </w:r>
      <w:r>
        <w:t xml:space="preserve">approximately 8.0 million</w:t>
      </w:r>
      <w:r>
        <w:t xml:space="preserve">”</w:t>
      </w:r>
      <w:r>
        <w:t xml:space="preserve"> </w:t>
      </w:r>
      <w:r>
        <w:t xml:space="preserve">are imprecise and inconsistent with the precise figures (8,400,000 and 7,900,000) used in the S-1, the Engagement Letter, the POA, and the Credit Summary. The Underwriting Agreement (Schedule A) uses 8,400,000 and 7,900,000, consistent with the S-1.</w:t>
      </w:r>
    </w:p>
    <w:p>
      <w:pPr>
        <w:pStyle w:val="BodyText"/>
      </w:pPr>
      <w:r>
        <w:rPr>
          <w:b/>
          <w:bCs/>
        </w:rPr>
        <w:t xml:space="preserve">Recommendation.</w:t>
      </w:r>
      <w:r>
        <w:t xml:space="preserve"> </w:t>
      </w:r>
      <w:r>
        <w:t xml:space="preserve">Confirm 8,400,000 shares currently held and 7,900,000 shares after offering. The Term Sheet’s rounded figures should be corrected for consistency.</w:t>
      </w:r>
    </w:p>
    <w:bookmarkEnd w:id="34"/>
    <w:bookmarkStart w:id="35" w:name="X2a1764a7c7e9cba444f53e9ffbdfd8326ffab1e"/>
    <w:p>
      <w:pPr>
        <w:pStyle w:val="Heading3"/>
      </w:pPr>
      <w:r>
        <w:t xml:space="preserve">Issue 14 — Springing Lock-Up Extension for Dr. Krishnamurthy Not Reflected in the Lock-Up Form</w:t>
      </w:r>
    </w:p>
    <w:p>
      <w:pPr>
        <w:pStyle w:val="FirstParagraph"/>
      </w:pPr>
      <w:r>
        <w:rPr>
          <w:b/>
          <w:bCs/>
        </w:rPr>
        <w:t xml:space="preserve">Discrepancy.</w:t>
      </w:r>
      <w:r>
        <w:t xml:space="preserve"> </w:t>
      </w:r>
      <w:r>
        <w:t xml:space="preserve">The Term Sheet (Section 10.2) and the POA (Section 2(c)) both contemplate a</w:t>
      </w:r>
      <w:r>
        <w:t xml:space="preserve"> </w:t>
      </w:r>
      <w:r>
        <w:rPr>
          <w:b/>
          <w:bCs/>
        </w:rPr>
        <w:t xml:space="preserve">springing market standoff extension</w:t>
      </w:r>
      <w:r>
        <w:t xml:space="preserve"> </w:t>
      </w:r>
      <w:r>
        <w:t xml:space="preserve">for Dr. Krishnamurthy: if the closing price of the Common Stock is below the IPO Price for five (5) consecutive trading days during the final seventeen (17) trading days of the standard 180-day lock-up period, Dr. Krishnamurthy’s lock-up automatically extends by eighteen (18) calendar days (to 198 days total). However, the</w:t>
      </w:r>
      <w:r>
        <w:t xml:space="preserve"> </w:t>
      </w:r>
      <w:r>
        <w:rPr>
          <w:b/>
          <w:bCs/>
        </w:rPr>
        <w:t xml:space="preserve">Lock-Up Form</w:t>
      </w:r>
      <w:r>
        <w:t xml:space="preserve"> </w:t>
      </w:r>
      <w:r>
        <w:t xml:space="preserve">(the form of lock-up agreement to be executed by locked-up parties) contains only the standard 180-day restriction and</w:t>
      </w:r>
      <w:r>
        <w:t xml:space="preserve"> </w:t>
      </w:r>
      <w:r>
        <w:rPr>
          <w:b/>
          <w:bCs/>
        </w:rPr>
        <w:t xml:space="preserve">does not include the springing extension</w:t>
      </w:r>
      <w:r>
        <w:t xml:space="preserve">.</w:t>
      </w:r>
    </w:p>
    <w:p>
      <w:pPr>
        <w:pStyle w:val="BodyText"/>
      </w:pPr>
      <w:r>
        <w:rPr>
          <w:b/>
          <w:bCs/>
        </w:rPr>
        <w:t xml:space="preserve">Significance.</w:t>
      </w:r>
      <w:r>
        <w:t xml:space="preserve"> </w:t>
      </w:r>
      <w:r>
        <w:t xml:space="preserve">The Lock-Up Form, as currently drafted, would not impose the springing extension on Dr. Krishnamurthy. The Underwriting Agreement (Section 12.2) requires Dr. Krishnamurthy’s Lock-Up Agreement to include the springing extension, and the POA authorizes the attorneys-in-fact to execute a lock-up agreement</w:t>
      </w:r>
      <w:r>
        <w:t xml:space="preserve"> </w:t>
      </w:r>
      <w:r>
        <w:t xml:space="preserve">“</w:t>
      </w:r>
      <w:r>
        <w:t xml:space="preserve">inclusive of the springing extension provision.</w:t>
      </w:r>
      <w:r>
        <w:t xml:space="preserve">”</w:t>
      </w:r>
      <w:r>
        <w:t xml:space="preserve"> </w:t>
      </w:r>
      <w:r>
        <w:t xml:space="preserve">The Lock-Up Form must be amended (or a separate form prepared) for Dr. Krishnamurthy to include the springing extension.</w:t>
      </w:r>
    </w:p>
    <w:p>
      <w:pPr>
        <w:pStyle w:val="BodyText"/>
      </w:pPr>
      <w:r>
        <w:rPr>
          <w:b/>
          <w:bCs/>
        </w:rPr>
        <w:t xml:space="preserve">Recommendation.</w:t>
      </w:r>
      <w:r>
        <w:t xml:space="preserve"> </w:t>
      </w:r>
      <w:r>
        <w:t xml:space="preserve">Prepare a separate form of Lock-Up Agreement (or an addendum to the standard form) for Dr. Krishnamurthy that includes the springing market standoff extension described in Term Sheet Section 10.2 and Underwriting Agreement Section 12.2. Ensure Dr. Krishnamurthy executes the amended form.</w:t>
      </w:r>
    </w:p>
    <w:bookmarkEnd w:id="35"/>
    <w:bookmarkStart w:id="36" w:name="X82d1ed84c4782bb9bfa7415b086ef972c8ee5ae"/>
    <w:p>
      <w:pPr>
        <w:pStyle w:val="Heading3"/>
      </w:pPr>
      <w:r>
        <w:t xml:space="preserve">Issue 15 — Timing of the Preferred Stock Conversion / Corporate Reorganization</w:t>
      </w:r>
    </w:p>
    <w:p>
      <w:pPr>
        <w:pStyle w:val="FirstParagraph"/>
      </w:pPr>
      <w:r>
        <w:rPr>
          <w:b/>
          <w:bCs/>
        </w:rPr>
        <w:t xml:space="preserve">Discrepancy.</w:t>
      </w:r>
      <w:r>
        <w:t xml:space="preserve"> </w:t>
      </w:r>
      <w:r>
        <w:t xml:space="preserve">The timing of the conversion of preferred stock to common stock is stated inconsistently:</w:t>
      </w:r>
    </w:p>
    <w:p>
      <w:pPr>
        <w:pStyle w:val="Compact"/>
        <w:numPr>
          <w:ilvl w:val="0"/>
          <w:numId w:val="1008"/>
        </w:numPr>
      </w:pPr>
      <w:r>
        <w:rPr>
          <w:b/>
          <w:bCs/>
        </w:rPr>
        <w:t xml:space="preserve">Charter (Article IV, Section 4.3; effective December 20, 2024):</w:t>
      </w:r>
      <w:r>
        <w:t xml:space="preserve"> </w:t>
      </w:r>
      <w:r>
        <w:t xml:space="preserve">states that</w:t>
      </w:r>
      <w:r>
        <w:t xml:space="preserve"> </w:t>
      </w:r>
      <w:r>
        <w:t xml:space="preserve">“</w:t>
      </w:r>
      <w:r>
        <w:t xml:space="preserve">all previously designated series of Preferred Stock (including any Series A Preferred Stock and Series B Preferred Stock previously outstanding) have been converted to Common Stock in accordance with their respective terms, and no shares of Preferred Stock are outstanding</w:t>
      </w:r>
      <w:r>
        <w:t xml:space="preserve">”</w:t>
      </w:r>
      <w:r>
        <w:t xml:space="preserve"> </w:t>
      </w:r>
      <w:r>
        <w:t xml:space="preserve">as of the effective date of the Charter (December 20, 2024).</w:t>
      </w:r>
    </w:p>
    <w:p>
      <w:pPr>
        <w:pStyle w:val="Compact"/>
        <w:numPr>
          <w:ilvl w:val="0"/>
          <w:numId w:val="1008"/>
        </w:numPr>
      </w:pPr>
      <w:r>
        <w:rPr>
          <w:b/>
          <w:bCs/>
        </w:rPr>
        <w:t xml:space="preserve">S-1 (Capitalization):</w:t>
      </w:r>
      <w:r>
        <w:t xml:space="preserve"> </w:t>
      </w:r>
      <w:r>
        <w:t xml:space="preserve">states that</w:t>
      </w:r>
      <w:r>
        <w:t xml:space="preserve"> </w:t>
      </w:r>
      <w:r>
        <w:t xml:space="preserve">“</w:t>
      </w:r>
      <w:r>
        <w:t xml:space="preserve">All outstanding shares of preferred stock issued in these financing rounds were converted into shares of common stock in connection with the corporate reorganization completed on</w:t>
      </w:r>
      <w:r>
        <w:t xml:space="preserve"> </w:t>
      </w:r>
      <w:r>
        <w:rPr>
          <w:b/>
          <w:bCs/>
        </w:rPr>
        <w:t xml:space="preserve">January 15, 2025</w:t>
      </w:r>
      <w:r>
        <w:t xml:space="preserve">.</w:t>
      </w:r>
      <w:r>
        <w:t xml:space="preserve">”</w:t>
      </w:r>
    </w:p>
    <w:p>
      <w:pPr>
        <w:pStyle w:val="FirstParagraph"/>
      </w:pPr>
      <w:r>
        <w:rPr>
          <w:b/>
          <w:bCs/>
        </w:rPr>
        <w:t xml:space="preserve">Significance.</w:t>
      </w:r>
      <w:r>
        <w:t xml:space="preserve"> </w:t>
      </w:r>
      <w:r>
        <w:t xml:space="preserve">The Charter (effective December 20, 2024) indicates the preferred stock had already been converted by that date, while the S-1 states the conversion occurred in connection with a reorganization completed January 15, 2025. The S-1 Capitalization table (as of December 31, 2024,</w:t>
      </w:r>
      <w:r>
        <w:t xml:space="preserve"> </w:t>
      </w:r>
      <w:r>
        <w:t xml:space="preserve">“</w:t>
      </w:r>
      <w:r>
        <w:t xml:space="preserve">Actual</w:t>
      </w:r>
      <w:r>
        <w:t xml:space="preserve">”</w:t>
      </w:r>
      <w:r>
        <w:t xml:space="preserve">) shows no preferred stock outstanding, which is consistent with the Charter (conversion by December 20, 2024) but inconsistent with the S-1 narrative (conversion January 15, 2025). This internal inconsistency in the S-1 should be reconciled.</w:t>
      </w:r>
    </w:p>
    <w:p>
      <w:pPr>
        <w:pStyle w:val="BodyText"/>
      </w:pPr>
      <w:r>
        <w:rPr>
          <w:b/>
          <w:bCs/>
        </w:rPr>
        <w:t xml:space="preserve">Recommendation.</w:t>
      </w:r>
      <w:r>
        <w:t xml:space="preserve"> </w:t>
      </w:r>
      <w:r>
        <w:t xml:space="preserve">Confirm the actual date(s) of the preferred stock conversion and the corporate reorganization. Reconcile the S-1 narrative with the Charter and the Capitalization table. This may also bear on Issue 3 (the equity figures) if the Capitalization table reflects a pre-conversion capital structure.</w:t>
      </w:r>
    </w:p>
    <w:bookmarkEnd w:id="36"/>
    <w:bookmarkStart w:id="37" w:name="issue-16-definition-of-net-proceeds"/>
    <w:p>
      <w:pPr>
        <w:pStyle w:val="Heading3"/>
      </w:pPr>
      <w:r>
        <w:t xml:space="preserve">Issue 16 — Definition of</w:t>
      </w:r>
      <w:r>
        <w:t xml:space="preserve"> </w:t>
      </w:r>
      <w:r>
        <w:t xml:space="preserve">“</w:t>
      </w:r>
      <w:r>
        <w:t xml:space="preserve">Net Proceeds</w:t>
      </w:r>
      <w:r>
        <w:t xml:space="preserve">”</w:t>
      </w:r>
    </w:p>
    <w:p>
      <w:pPr>
        <w:pStyle w:val="FirstParagraph"/>
      </w:pPr>
      <w:r>
        <w:rPr>
          <w:b/>
          <w:bCs/>
        </w:rPr>
        <w:t xml:space="preserve">Discrepancy.</w:t>
      </w:r>
      <w:r>
        <w:t xml:space="preserve"> </w:t>
      </w:r>
      <w:r>
        <w:t xml:space="preserve">The term</w:t>
      </w:r>
      <w:r>
        <w:t xml:space="preserve"> </w:t>
      </w:r>
      <w:r>
        <w:t xml:space="preserve">“</w:t>
      </w:r>
      <w:r>
        <w:t xml:space="preserve">net proceeds</w:t>
      </w:r>
      <w:r>
        <w:t xml:space="preserve">”</w:t>
      </w:r>
      <w:r>
        <w:t xml:space="preserve"> </w:t>
      </w:r>
      <w:r>
        <w:t xml:space="preserve">is used with different meanings:</w:t>
      </w:r>
    </w:p>
    <w:p>
      <w:pPr>
        <w:pStyle w:val="Compact"/>
        <w:numPr>
          <w:ilvl w:val="0"/>
          <w:numId w:val="1009"/>
        </w:numPr>
      </w:pPr>
      <w:r>
        <w:rPr>
          <w:b/>
          <w:bCs/>
        </w:rPr>
        <w:t xml:space="preserve">Term Sheet (Section 5.2):</w:t>
      </w:r>
      <w:r>
        <w:t xml:space="preserve"> </w:t>
      </w:r>
      <w:r>
        <w:t xml:space="preserve">“</w:t>
      </w:r>
      <w:r>
        <w:t xml:space="preserve">Net proceeds</w:t>
      </w:r>
      <w:r>
        <w:t xml:space="preserve">”</w:t>
      </w:r>
      <w:r>
        <w:t xml:space="preserve"> </w:t>
      </w:r>
      <w:r>
        <w:t xml:space="preserve">figures are net of the underwriting discount</w:t>
      </w:r>
      <w:r>
        <w:t xml:space="preserve"> </w:t>
      </w:r>
      <w:r>
        <w:rPr>
          <w:b/>
          <w:bCs/>
        </w:rPr>
        <w:t xml:space="preserve">only</w:t>
      </w:r>
      <w:r>
        <w:t xml:space="preserve"> </w:t>
      </w:r>
      <w:r>
        <w:t xml:space="preserve">(e.g., Company primary shares: 8,000,000 × $22.56 = $180,480,000; with greenshoe: $221,088,000). Offering expenses are not deducted from these</w:t>
      </w:r>
      <w:r>
        <w:t xml:space="preserve"> </w:t>
      </w:r>
      <w:r>
        <w:t xml:space="preserve">“</w:t>
      </w:r>
      <w:r>
        <w:t xml:space="preserve">net proceeds</w:t>
      </w:r>
      <w:r>
        <w:t xml:space="preserve">”</w:t>
      </w:r>
      <w:r>
        <w:t xml:space="preserve"> </w:t>
      </w:r>
      <w:r>
        <w:t xml:space="preserve">figures.</w:t>
      </w:r>
    </w:p>
    <w:p>
      <w:pPr>
        <w:pStyle w:val="Compact"/>
        <w:numPr>
          <w:ilvl w:val="0"/>
          <w:numId w:val="1009"/>
        </w:numPr>
      </w:pPr>
      <w:r>
        <w:rPr>
          <w:b/>
          <w:bCs/>
        </w:rPr>
        <w:t xml:space="preserve">S-1 (Use of Proceeds):</w:t>
      </w:r>
      <w:r>
        <w:t xml:space="preserve"> </w:t>
      </w:r>
      <w:r>
        <w:t xml:space="preserve">“</w:t>
      </w:r>
      <w:r>
        <w:t xml:space="preserve">Net proceeds</w:t>
      </w:r>
      <w:r>
        <w:t xml:space="preserve">”</w:t>
      </w:r>
      <w:r>
        <w:t xml:space="preserve"> </w:t>
      </w:r>
      <w:r>
        <w:t xml:space="preserve">are net of the underwriting discount</w:t>
      </w:r>
      <w:r>
        <w:t xml:space="preserve"> </w:t>
      </w:r>
      <w:r>
        <w:rPr>
          <w:b/>
          <w:bCs/>
        </w:rPr>
        <w:t xml:space="preserve">and</w:t>
      </w:r>
      <w:r>
        <w:t xml:space="preserve"> </w:t>
      </w:r>
      <w:r>
        <w:t xml:space="preserve">estimated offering expenses (e.g., $177.3 million for 8,000,000 shares; $217.9 million with the greenshoe, which equals $221,088,000 − $3,200,000).</w:t>
      </w:r>
    </w:p>
    <w:p>
      <w:pPr>
        <w:pStyle w:val="FirstParagraph"/>
      </w:pPr>
      <w:r>
        <w:rPr>
          <w:b/>
          <w:bCs/>
        </w:rPr>
        <w:t xml:space="preserve">Significance.</w:t>
      </w:r>
      <w:r>
        <w:t xml:space="preserve"> </w:t>
      </w:r>
      <w:r>
        <w:t xml:space="preserve">The Term Sheet’s</w:t>
      </w:r>
      <w:r>
        <w:t xml:space="preserve"> </w:t>
      </w:r>
      <w:r>
        <w:t xml:space="preserve">“</w:t>
      </w:r>
      <w:r>
        <w:t xml:space="preserve">net proceeds</w:t>
      </w:r>
      <w:r>
        <w:t xml:space="preserve">”</w:t>
      </w:r>
      <w:r>
        <w:t xml:space="preserve"> </w:t>
      </w:r>
      <w:r>
        <w:t xml:space="preserve">($180.48M / $221.09M) and the S-1’s</w:t>
      </w:r>
      <w:r>
        <w:t xml:space="preserve"> </w:t>
      </w:r>
      <w:r>
        <w:t xml:space="preserve">“</w:t>
      </w:r>
      <w:r>
        <w:t xml:space="preserve">net proceeds</w:t>
      </w:r>
      <w:r>
        <w:t xml:space="preserve">”</w:t>
      </w:r>
      <w:r>
        <w:t xml:space="preserve"> </w:t>
      </w:r>
      <w:r>
        <w:t xml:space="preserve">($177.3M / $217.9M) differ by exactly the $3.2 million of offering expenses. The Underwriting Agreement (Section 2.3) distinguishes between net proceeds before offering expenses ($270,720,000 aggregate; $180,480,000 to the Company) and net proceeds after offering expenses (approximately $177,280,000 to the Company), and should be read carefully to avoid confusion. The Final Prospectus should use</w:t>
      </w:r>
      <w:r>
        <w:t xml:space="preserve"> </w:t>
      </w:r>
      <w:r>
        <w:t xml:space="preserve">“</w:t>
      </w:r>
      <w:r>
        <w:t xml:space="preserve">net proceeds</w:t>
      </w:r>
      <w:r>
        <w:t xml:space="preserve">”</w:t>
      </w:r>
      <w:r>
        <w:t xml:space="preserve"> </w:t>
      </w:r>
      <w:r>
        <w:t xml:space="preserve">consistently.</w:t>
      </w:r>
    </w:p>
    <w:p>
      <w:pPr>
        <w:pStyle w:val="BodyText"/>
      </w:pPr>
      <w:r>
        <w:rPr>
          <w:b/>
          <w:bCs/>
        </w:rPr>
        <w:t xml:space="preserve">Recommendation.</w:t>
      </w:r>
      <w:r>
        <w:t xml:space="preserve"> </w:t>
      </w:r>
      <w:r>
        <w:t xml:space="preserve">Ensure the Final Prospectus and the Underwriting Agreement use</w:t>
      </w:r>
      <w:r>
        <w:t xml:space="preserve"> </w:t>
      </w:r>
      <w:r>
        <w:t xml:space="preserve">“</w:t>
      </w:r>
      <w:r>
        <w:t xml:space="preserve">net proceeds</w:t>
      </w:r>
      <w:r>
        <w:t xml:space="preserve">”</w:t>
      </w:r>
      <w:r>
        <w:t xml:space="preserve"> </w:t>
      </w:r>
      <w:r>
        <w:t xml:space="preserve">consistently and define the term clearly (net of discount only, or net of discount and expenses). The Underwriting Agreement’s Section 2.3 makes this distinction explicit.</w:t>
      </w:r>
    </w:p>
    <w:p>
      <w:r>
        <w:pict>
          <v:rect style="width:0;height:1.5pt" o:hralign="center" o:hrstd="t" o:hr="t"/>
        </w:pict>
      </w:r>
    </w:p>
    <w:bookmarkEnd w:id="37"/>
    <w:bookmarkEnd w:id="38"/>
    <w:bookmarkStart w:id="44" w:name="X2da03852eb2739a546f4be0760cbb2257c90bb5"/>
    <w:p>
      <w:pPr>
        <w:pStyle w:val="Heading2"/>
      </w:pPr>
      <w:r>
        <w:t xml:space="preserve">IV. Minor Discrepancies and Drafting-Coordination Items</w:t>
      </w:r>
    </w:p>
    <w:bookmarkStart w:id="39" w:name="issue-17-lock-up-early-release-threshold"/>
    <w:p>
      <w:pPr>
        <w:pStyle w:val="Heading3"/>
      </w:pPr>
      <w:r>
        <w:t xml:space="preserve">Issue 17 — Lock-Up Early-Release Threshold</w:t>
      </w:r>
    </w:p>
    <w:p>
      <w:pPr>
        <w:pStyle w:val="FirstParagraph"/>
      </w:pPr>
      <w:r>
        <w:t xml:space="preserve">The Term Sheet (Section 10.1) leaves the early-release notice threshold as</w:t>
      </w:r>
      <w:r>
        <w:t xml:space="preserve"> </w:t>
      </w:r>
      <w:r>
        <w:t xml:space="preserve">“</w:t>
      </w:r>
      <w:r>
        <w:t xml:space="preserve">a threshold to be agreed upon in the definitive underwriting agreement.</w:t>
      </w:r>
      <w:r>
        <w:t xml:space="preserve">”</w:t>
      </w:r>
      <w:r>
        <w:t xml:space="preserve"> </w:t>
      </w:r>
      <w:r>
        <w:t xml:space="preserve">The Engagement Letter (Section 7) and the Lock-Up Form (Section 3) both specify</w:t>
      </w:r>
      <w:r>
        <w:t xml:space="preserve"> </w:t>
      </w:r>
      <w:r>
        <w:rPr>
          <w:b/>
          <w:bCs/>
        </w:rPr>
        <w:t xml:space="preserve">1% of the outstanding shares</w:t>
      </w:r>
      <w:r>
        <w:t xml:space="preserve">. The Underwriting Agreement (Section 12.3) adopts the 1% threshold, consistent with the Engagement Letter and the Lock-Up Form.</w:t>
      </w:r>
      <w:r>
        <w:t xml:space="preserve"> </w:t>
      </w:r>
      <w:r>
        <w:rPr>
          <w:b/>
          <w:bCs/>
        </w:rPr>
        <w:t xml:space="preserve">No further action required</w:t>
      </w:r>
      <w:r>
        <w:t xml:space="preserve">; the Term Sheet’s open threshold is resolved at 1%.</w:t>
      </w:r>
    </w:p>
    <w:bookmarkEnd w:id="39"/>
    <w:bookmarkStart w:id="40" w:name="issue-18-lock-up-permitted-exceptions"/>
    <w:p>
      <w:pPr>
        <w:pStyle w:val="Heading3"/>
      </w:pPr>
      <w:r>
        <w:t xml:space="preserve">Issue 18 — Lock-Up Permitted Exceptions</w:t>
      </w:r>
    </w:p>
    <w:p>
      <w:pPr>
        <w:pStyle w:val="FirstParagraph"/>
      </w:pPr>
      <w:r>
        <w:t xml:space="preserve">The lists of permitted lock-up exceptions differ across documents. The Term Sheet (Section 10.1) lists four exceptions (gifts; estate-planning trusts; operation of law; Rule 10b5-1 plans). The S-1 (Underwriting XI.D) lists six (gifts/estate planning; will/intestacy; QDRO; transfers to affiliates/LPs/members; pro rata distributions; Rule 10b5-1 plans). The Engagement Letter (Section 7) lists three (gifts; Rule 10b5-1 plans; operation of law/QDRO). The Lock-Up Form (Section 2) is the most comprehensive, listing eight exceptions (gifts/charitable; family/trusts; operation of law/QDRO/divorce/intestacy; transfers to affiliates/members; Rule 10b5-1 plans; exercise of options/sell-to-cover; shares sold in the Offering; transfers to the Company).</w:t>
      </w:r>
    </w:p>
    <w:p>
      <w:pPr>
        <w:pStyle w:val="BodyText"/>
      </w:pPr>
      <w:r>
        <w:rPr>
          <w:b/>
          <w:bCs/>
        </w:rPr>
        <w:t xml:space="preserve">Recommendation.</w:t>
      </w:r>
      <w:r>
        <w:t xml:space="preserve"> </w:t>
      </w:r>
      <w:r>
        <w:t xml:space="preserve">The Lock-Up Form (the operative document to be executed) controls. The Underwriting Agreement (Section 12.1) references the Lock-Up Form. Ensure the Final Prospectus’s description of the lock-up exceptions is consistent with the Lock-Up Form. The Term Sheet’s and Engagement Letter’s narrower exception lists are superseded.</w:t>
      </w:r>
    </w:p>
    <w:bookmarkEnd w:id="40"/>
    <w:bookmarkStart w:id="41" w:name="issue-19-underwriter-role-designation"/>
    <w:p>
      <w:pPr>
        <w:pStyle w:val="Heading3"/>
      </w:pPr>
      <w:r>
        <w:t xml:space="preserve">Issue 19 — Underwriter Role Designation</w:t>
      </w:r>
    </w:p>
    <w:p>
      <w:pPr>
        <w:pStyle w:val="FirstParagraph"/>
      </w:pPr>
      <w:r>
        <w:t xml:space="preserve">The S-1 cover page labels Hargrove Securities LLC as</w:t>
      </w:r>
      <w:r>
        <w:t xml:space="preserve"> </w:t>
      </w:r>
      <w:r>
        <w:t xml:space="preserve">“</w:t>
      </w:r>
      <w:r>
        <w:rPr>
          <w:b/>
          <w:bCs/>
        </w:rPr>
        <w:t xml:space="preserve">Joint Book-Running Manager</w:t>
      </w:r>
      <w:r>
        <w:t xml:space="preserve">,</w:t>
      </w:r>
      <w:r>
        <w:t xml:space="preserve">”</w:t>
      </w:r>
      <w:r>
        <w:t xml:space="preserve"> </w:t>
      </w:r>
      <w:r>
        <w:t xml:space="preserve">while the S-1 Underwriting section (XI.A), the Term Sheet (Section 4.1), and the Engagement Letter describe Hargrove as the</w:t>
      </w:r>
      <w:r>
        <w:t xml:space="preserve"> </w:t>
      </w:r>
      <w:r>
        <w:t xml:space="preserve">“</w:t>
      </w:r>
      <w:r>
        <w:rPr>
          <w:b/>
          <w:bCs/>
        </w:rPr>
        <w:t xml:space="preserve">lead book-running manager</w:t>
      </w:r>
      <w:r>
        <w:t xml:space="preserve">”</w:t>
      </w:r>
      <w:r>
        <w:t xml:space="preserve"> </w:t>
      </w:r>
      <w:r>
        <w:t xml:space="preserve">(with Bellweather as</w:t>
      </w:r>
      <w:r>
        <w:t xml:space="preserve"> </w:t>
      </w:r>
      <w:r>
        <w:t xml:space="preserve">“</w:t>
      </w:r>
      <w:r>
        <w:t xml:space="preserve">Co-Manager</w:t>
      </w:r>
      <w:r>
        <w:t xml:space="preserve">”</w:t>
      </w:r>
      <w:r>
        <w:t xml:space="preserve">). The label</w:t>
      </w:r>
      <w:r>
        <w:t xml:space="preserve"> </w:t>
      </w:r>
      <w:r>
        <w:t xml:space="preserve">“</w:t>
      </w:r>
      <w:r>
        <w:t xml:space="preserve">Joint Book-Running Manager</w:t>
      </w:r>
      <w:r>
        <w:t xml:space="preserve">”</w:t>
      </w:r>
      <w:r>
        <w:t xml:space="preserve"> </w:t>
      </w:r>
      <w:r>
        <w:t xml:space="preserve">on the cover page (with only one firm listed) is unusual and may be a drafting error;</w:t>
      </w:r>
      <w:r>
        <w:t xml:space="preserve"> </w:t>
      </w:r>
      <w:r>
        <w:t xml:space="preserve">“</w:t>
      </w:r>
      <w:r>
        <w:t xml:space="preserve">Joint Book-Running Managers</w:t>
      </w:r>
      <w:r>
        <w:t xml:space="preserve">”</w:t>
      </w:r>
      <w:r>
        <w:t xml:space="preserve"> </w:t>
      </w:r>
      <w:r>
        <w:t xml:space="preserve">typically denotes multiple book-runners. The Engagement Letter also refers to Bellweather as</w:t>
      </w:r>
      <w:r>
        <w:t xml:space="preserve"> </w:t>
      </w:r>
      <w:r>
        <w:t xml:space="preserve">“</w:t>
      </w:r>
      <w:r>
        <w:t xml:space="preserve">co-managing underwriter,</w:t>
      </w:r>
      <w:r>
        <w:t xml:space="preserve">”</w:t>
      </w:r>
      <w:r>
        <w:t xml:space="preserve"> </w:t>
      </w:r>
      <w:r>
        <w:t xml:space="preserve">while the Term Sheet and S-1 use</w:t>
      </w:r>
      <w:r>
        <w:t xml:space="preserve"> </w:t>
      </w:r>
      <w:r>
        <w:t xml:space="preserve">“</w:t>
      </w:r>
      <w:r>
        <w:t xml:space="preserve">Co-Manager.</w:t>
      </w:r>
      <w:r>
        <w:t xml:space="preserve">”</w:t>
      </w:r>
    </w:p>
    <w:p>
      <w:pPr>
        <w:pStyle w:val="BodyText"/>
      </w:pPr>
      <w:r>
        <w:rPr>
          <w:b/>
          <w:bCs/>
        </w:rPr>
        <w:t xml:space="preserve">Recommendation.</w:t>
      </w:r>
      <w:r>
        <w:t xml:space="preserve"> </w:t>
      </w:r>
      <w:r>
        <w:t xml:space="preserve">Confirm the intended role designations. The Underwriting Agreement uses</w:t>
      </w:r>
      <w:r>
        <w:t xml:space="preserve"> </w:t>
      </w:r>
      <w:r>
        <w:t xml:space="preserve">“</w:t>
      </w:r>
      <w:r>
        <w:t xml:space="preserve">Lead Book-Runner</w:t>
      </w:r>
      <w:r>
        <w:t xml:space="preserve">”</w:t>
      </w:r>
      <w:r>
        <w:t xml:space="preserve"> </w:t>
      </w:r>
      <w:r>
        <w:t xml:space="preserve">/</w:t>
      </w:r>
      <w:r>
        <w:t xml:space="preserve"> </w:t>
      </w:r>
      <w:r>
        <w:t xml:space="preserve">“</w:t>
      </w:r>
      <w:r>
        <w:t xml:space="preserve">Representative</w:t>
      </w:r>
      <w:r>
        <w:t xml:space="preserve">”</w:t>
      </w:r>
      <w:r>
        <w:t xml:space="preserve"> </w:t>
      </w:r>
      <w:r>
        <w:t xml:space="preserve">for Hargrove and</w:t>
      </w:r>
      <w:r>
        <w:t xml:space="preserve"> </w:t>
      </w:r>
      <w:r>
        <w:t xml:space="preserve">“</w:t>
      </w:r>
      <w:r>
        <w:t xml:space="preserve">Co-Manager</w:t>
      </w:r>
      <w:r>
        <w:t xml:space="preserve">”</w:t>
      </w:r>
      <w:r>
        <w:t xml:space="preserve"> </w:t>
      </w:r>
      <w:r>
        <w:t xml:space="preserve">for Bellweather, consistent with the Term Sheet and the S-1 Underwriting section. Correct the S-1 cover page if</w:t>
      </w:r>
      <w:r>
        <w:t xml:space="preserve"> </w:t>
      </w:r>
      <w:r>
        <w:t xml:space="preserve">“</w:t>
      </w:r>
      <w:r>
        <w:t xml:space="preserve">Joint Book-Running Manager</w:t>
      </w:r>
      <w:r>
        <w:t xml:space="preserve">”</w:t>
      </w:r>
      <w:r>
        <w:t xml:space="preserve"> </w:t>
      </w:r>
      <w:r>
        <w:t xml:space="preserve">is not intended.</w:t>
      </w:r>
    </w:p>
    <w:bookmarkEnd w:id="41"/>
    <w:bookmarkStart w:id="42" w:name="X80729b6fe9de265837a8776dfff2f1d88405383"/>
    <w:p>
      <w:pPr>
        <w:pStyle w:val="Heading3"/>
      </w:pPr>
      <w:r>
        <w:t xml:space="preserve">Issue 20 — Comfort Letter Cross-Reference to Underwriting Agreement Section</w:t>
      </w:r>
    </w:p>
    <w:p>
      <w:pPr>
        <w:pStyle w:val="FirstParagraph"/>
      </w:pPr>
      <w:r>
        <w:t xml:space="preserve">The Comfort Letter (Section I) states it is</w:t>
      </w:r>
      <w:r>
        <w:t xml:space="preserve"> </w:t>
      </w:r>
      <w:r>
        <w:t xml:space="preserve">“</w:t>
      </w:r>
      <w:r>
        <w:t xml:space="preserve">furnished pursuant to Section 7(d) of the Underwriting Agreement.</w:t>
      </w:r>
      <w:r>
        <w:t xml:space="preserve">”</w:t>
      </w:r>
      <w:r>
        <w:t xml:space="preserve"> </w:t>
      </w:r>
      <w:r>
        <w:t xml:space="preserve">The Underwriting Agreement places the comfort-letter delivery condition in</w:t>
      </w:r>
      <w:r>
        <w:t xml:space="preserve"> </w:t>
      </w:r>
      <w:r>
        <w:rPr>
          <w:b/>
          <w:bCs/>
        </w:rPr>
        <w:t xml:space="preserve">Section 7.3</w:t>
      </w:r>
      <w:r>
        <w:t xml:space="preserve"> </w:t>
      </w:r>
      <w:r>
        <w:t xml:space="preserve">(Conditions to the Obligations of the Underwriters). The section cross-reference in the final Comfort Letter should be updated to match the executed Underwriting Agreement’s section numbering.</w:t>
      </w:r>
    </w:p>
    <w:p>
      <w:pPr>
        <w:pStyle w:val="BodyText"/>
      </w:pPr>
      <w:r>
        <w:rPr>
          <w:b/>
          <w:bCs/>
        </w:rPr>
        <w:t xml:space="preserve">Recommendation.</w:t>
      </w:r>
      <w:r>
        <w:t xml:space="preserve"> </w:t>
      </w:r>
      <w:r>
        <w:t xml:space="preserve">Update the final Comfort Letter’s cross-reference to the correct section of the executed Underwriting Agreement (Section 7.3).</w:t>
      </w:r>
    </w:p>
    <w:bookmarkEnd w:id="42"/>
    <w:bookmarkStart w:id="43" w:name="issue-21-comfort-letter-is-in-draft-form"/>
    <w:p>
      <w:pPr>
        <w:pStyle w:val="Heading3"/>
      </w:pPr>
      <w:r>
        <w:t xml:space="preserve">Issue 21 — Comfort Letter Is in Draft Form</w:t>
      </w:r>
    </w:p>
    <w:p>
      <w:pPr>
        <w:pStyle w:val="FirstParagraph"/>
      </w:pPr>
      <w:r>
        <w:t xml:space="preserve">The Comfort Letter is expressly furnished</w:t>
      </w:r>
      <w:r>
        <w:t xml:space="preserve"> </w:t>
      </w:r>
      <w:r>
        <w:t xml:space="preserve">“</w:t>
      </w:r>
      <w:r>
        <w:t xml:space="preserve">in draft form.</w:t>
      </w:r>
      <w:r>
        <w:t xml:space="preserve">”</w:t>
      </w:r>
      <w:r>
        <w:t xml:space="preserve"> </w:t>
      </w:r>
      <w:r>
        <w:t xml:space="preserve">The final Comfort Letter (to be dated as of the pricing date, March 19, 2025) and the Bring-Down Comfort Letter (to be dated as of the Closing Date, March 24, 2025) remain to be delivered. The draft Comfort Letter’s Change Period extends only through March 10, 2025; the final and bring-down letters will extend the negative-assurance period to a more current date.</w:t>
      </w:r>
    </w:p>
    <w:p>
      <w:pPr>
        <w:pStyle w:val="BodyText"/>
      </w:pPr>
      <w:r>
        <w:rPr>
          <w:b/>
          <w:bCs/>
        </w:rPr>
        <w:t xml:space="preserve">Recommendation.</w:t>
      </w:r>
      <w:r>
        <w:t xml:space="preserve"> </w:t>
      </w:r>
      <w:r>
        <w:t xml:space="preserve">Ensure the final Comfort Letter and the Bring-Down Comfort Letter are delivered in accordance with Underwriting Agreement Section 7.3 before pricing and closing, respectively.</w:t>
      </w:r>
    </w:p>
    <w:p>
      <w:r>
        <w:pict>
          <v:rect style="width:0;height:1.5pt" o:hralign="center" o:hrstd="t" o:hr="t"/>
        </w:pict>
      </w:r>
    </w:p>
    <w:bookmarkEnd w:id="43"/>
    <w:bookmarkEnd w:id="44"/>
    <w:bookmarkStart w:id="45" w:name="v.-open-items-and-conditions-to-closing"/>
    <w:p>
      <w:pPr>
        <w:pStyle w:val="Heading2"/>
      </w:pPr>
      <w:r>
        <w:t xml:space="preserve">V. Open Items and Conditions to Closing</w:t>
      </w:r>
    </w:p>
    <w:p>
      <w:pPr>
        <w:pStyle w:val="FirstParagraph"/>
      </w:pPr>
      <w:r>
        <w:t xml:space="preserve">The following items remain open and must be satisfied on or before the Closing Date (March 24, 2025) in accordance with the conditions set forth in Section 7 of the Underwriting Agreement:</w:t>
      </w:r>
    </w:p>
    <w:p>
      <w:pPr>
        <w:numPr>
          <w:ilvl w:val="0"/>
          <w:numId w:val="1010"/>
        </w:numPr>
      </w:pPr>
      <w:r>
        <w:rPr>
          <w:b/>
          <w:bCs/>
        </w:rPr>
        <w:t xml:space="preserve">FINRA clearance.</w:t>
      </w:r>
      <w:r>
        <w:t xml:space="preserve"> </w:t>
      </w:r>
      <w:r>
        <w:t xml:space="preserve">Obtain FINRA clearance of the underwriting compensation arrangements under FINRA Rule 5110 (compensation not to exceed 8% of gross offering proceeds) and confirmation of no disqualifying conflict under FINRA Rule 5121. (Underwriting Agreement Section 7.9.)</w:t>
      </w:r>
    </w:p>
    <w:p>
      <w:pPr>
        <w:numPr>
          <w:ilvl w:val="0"/>
          <w:numId w:val="1010"/>
        </w:numPr>
      </w:pPr>
      <w:r>
        <w:rPr>
          <w:b/>
          <w:bCs/>
        </w:rPr>
        <w:t xml:space="preserve">Nasdaq listing approval.</w:t>
      </w:r>
      <w:r>
        <w:t xml:space="preserve"> </w:t>
      </w:r>
      <w:r>
        <w:t xml:space="preserve">Obtain official notice of issuance confirming listing of the Common Stock on the Nasdaq Global Select Market under the symbol</w:t>
      </w:r>
      <w:r>
        <w:t xml:space="preserve"> </w:t>
      </w:r>
      <w:r>
        <w:t xml:space="preserve">“</w:t>
      </w:r>
      <w:r>
        <w:t xml:space="preserve">MPLS.</w:t>
      </w:r>
      <w:r>
        <w:t xml:space="preserve">”</w:t>
      </w:r>
      <w:r>
        <w:t xml:space="preserve"> </w:t>
      </w:r>
      <w:r>
        <w:t xml:space="preserve">(Underwriting Agreement Section 7.8.)</w:t>
      </w:r>
    </w:p>
    <w:p>
      <w:pPr>
        <w:numPr>
          <w:ilvl w:val="0"/>
          <w:numId w:val="1010"/>
        </w:numPr>
      </w:pPr>
      <w:r>
        <w:rPr>
          <w:b/>
          <w:bCs/>
        </w:rPr>
        <w:t xml:space="preserve">Lender consent for the Charter amendment.</w:t>
      </w:r>
      <w:r>
        <w:t xml:space="preserve"> </w:t>
      </w:r>
      <w:r>
        <w:t xml:space="preserve">The Credit Summary (Section 8) flags that the credit agreement restricts material amendments to organizational documents without lender consent. Confirm that the lender consented to the Amended and Restated Certificate of Incorporation filed December 20, 2024, and confirm whether any further IPO-related charter amendments require consent.</w:t>
      </w:r>
    </w:p>
    <w:p>
      <w:pPr>
        <w:numPr>
          <w:ilvl w:val="0"/>
          <w:numId w:val="1010"/>
        </w:numPr>
      </w:pPr>
      <w:r>
        <w:rPr>
          <w:b/>
          <w:bCs/>
        </w:rPr>
        <w:t xml:space="preserve">Lender prior notice of the equity issuance.</w:t>
      </w:r>
      <w:r>
        <w:t xml:space="preserve"> </w:t>
      </w:r>
      <w:r>
        <w:t xml:space="preserve">The Credit Summary (Section 10) flags a requirement to provide the lender at least 10 business days’ prior written notice of any equity issuance, with a summary of terms. Confirm that this notice was timely provided.</w:t>
      </w:r>
    </w:p>
    <w:p>
      <w:pPr>
        <w:numPr>
          <w:ilvl w:val="0"/>
          <w:numId w:val="1010"/>
        </w:numPr>
      </w:pPr>
      <w:r>
        <w:rPr>
          <w:b/>
          <w:bCs/>
        </w:rPr>
        <w:t xml:space="preserve">Change-of-control analysis.</w:t>
      </w:r>
      <w:r>
        <w:t xml:space="preserve"> </w:t>
      </w:r>
      <w:r>
        <w:t xml:space="preserve">Reconfirm, against the correct change-of-control threshold (see Issue 9), that the post-IPO ownership structure does not trigger a change of control under the credit agreement.</w:t>
      </w:r>
    </w:p>
    <w:p>
      <w:pPr>
        <w:numPr>
          <w:ilvl w:val="0"/>
          <w:numId w:val="1010"/>
        </w:numPr>
      </w:pPr>
      <w:r>
        <w:rPr>
          <w:b/>
          <w:bCs/>
        </w:rPr>
        <w:t xml:space="preserve">UT Austin license — security-interest / anti-assignment interaction.</w:t>
      </w:r>
      <w:r>
        <w:t xml:space="preserve"> </w:t>
      </w:r>
      <w:r>
        <w:t xml:space="preserve">The Credit Summary (Section 5; Section 15, item 5) flags that the credit agreement’s collateral includes the Company’s rights under the UT Austin exclusive license</w:t>
      </w:r>
      <w:r>
        <w:t xml:space="preserve"> </w:t>
      </w:r>
      <w:r>
        <w:t xml:space="preserve">“</w:t>
      </w:r>
      <w:r>
        <w:t xml:space="preserve">to the extent assignable,</w:t>
      </w:r>
      <w:r>
        <w:t xml:space="preserve">”</w:t>
      </w:r>
      <w:r>
        <w:t xml:space="preserve"> </w:t>
      </w:r>
      <w:r>
        <w:t xml:space="preserve">and notes potential interaction with the license’s anti-assignment or change-of-control provisions. Confirm that the Offering and the credit facility’s security interest do not implicate the UT Austin license’s assignment restrictions in a manner that would impair the license.</w:t>
      </w:r>
    </w:p>
    <w:p>
      <w:pPr>
        <w:numPr>
          <w:ilvl w:val="0"/>
          <w:numId w:val="1010"/>
        </w:numPr>
      </w:pPr>
      <w:r>
        <w:rPr>
          <w:b/>
          <w:bCs/>
        </w:rPr>
        <w:t xml:space="preserve">Final Prospectus filing.</w:t>
      </w:r>
      <w:r>
        <w:t xml:space="preserve"> </w:t>
      </w:r>
      <w:r>
        <w:t xml:space="preserve">File the Final Prospectus with the Commission pursuant to Rule 424(b)(4) under the Act within the required timeframe following pricing. (Underwriting Agreement Section 7.2.)</w:t>
      </w:r>
    </w:p>
    <w:p>
      <w:pPr>
        <w:numPr>
          <w:ilvl w:val="0"/>
          <w:numId w:val="1010"/>
        </w:numPr>
      </w:pPr>
      <w:r>
        <w:rPr>
          <w:b/>
          <w:bCs/>
        </w:rPr>
        <w:t xml:space="preserve">Final and bring-down comfort letters.</w:t>
      </w:r>
      <w:r>
        <w:t xml:space="preserve"> </w:t>
      </w:r>
      <w:r>
        <w:t xml:space="preserve">Deliver the final Comfort Letter (dated as of the pricing date) and the Bring-Down Comfort Letter (dated as of the Closing Date) from Whitman Reese &amp; Co. (Underwriting Agreement Section 7.3.)</w:t>
      </w:r>
    </w:p>
    <w:p>
      <w:pPr>
        <w:numPr>
          <w:ilvl w:val="0"/>
          <w:numId w:val="1010"/>
        </w:numPr>
      </w:pPr>
      <w:r>
        <w:rPr>
          <w:b/>
          <w:bCs/>
        </w:rPr>
        <w:t xml:space="preserve">Legal opinions.</w:t>
      </w:r>
      <w:r>
        <w:t xml:space="preserve"> </w:t>
      </w:r>
      <w:r>
        <w:t xml:space="preserve">Deliver the opinion and negative-assurance letter of Company Counsel (Stonebridge &amp; Calloway LLP) and the opinion of Underwriters’ Counsel (Ashford &amp; Pine LLP), each dated as of the Closing Date. (Underwriting Agreement Section 7.4.)</w:t>
      </w:r>
    </w:p>
    <w:p>
      <w:pPr>
        <w:numPr>
          <w:ilvl w:val="0"/>
          <w:numId w:val="1010"/>
        </w:numPr>
      </w:pPr>
      <w:r>
        <w:rPr>
          <w:b/>
          <w:bCs/>
        </w:rPr>
        <w:t xml:space="preserve">Officers’ certificate and secretary’s certificate.</w:t>
      </w:r>
      <w:r>
        <w:t xml:space="preserve"> </w:t>
      </w:r>
      <w:r>
        <w:t xml:space="preserve">Deliver the Officers’ Certificate (signed by Dr. Krishnamurthy and David Nishimura) and the Secretary’s Certificate (signed by Samantha Reeves), each dated as of the Closing Date. (Underwriting Agreement Sections 7.5 and 7.6.)</w:t>
      </w:r>
    </w:p>
    <w:p>
      <w:pPr>
        <w:numPr>
          <w:ilvl w:val="0"/>
          <w:numId w:val="1010"/>
        </w:numPr>
      </w:pPr>
      <w:r>
        <w:rPr>
          <w:b/>
          <w:bCs/>
        </w:rPr>
        <w:t xml:space="preserve">Lock-up agreements.</w:t>
      </w:r>
      <w:r>
        <w:t xml:space="preserve"> </w:t>
      </w:r>
      <w:r>
        <w:t xml:space="preserve">Collect executed Lock-Up Agreements from all directors, executive officers, and holders of 1% or more of the pre-Offering outstanding Common Stock, including the amended Lock-Up Agreement with the springing extension for Dr. Krishnamurthy (see Issue 14). (Underwriting Agreement Section 7.7.)</w:t>
      </w:r>
    </w:p>
    <w:p>
      <w:pPr>
        <w:numPr>
          <w:ilvl w:val="0"/>
          <w:numId w:val="1010"/>
        </w:numPr>
      </w:pPr>
      <w:r>
        <w:rPr>
          <w:b/>
          <w:bCs/>
        </w:rPr>
        <w:t xml:space="preserve">Selling stockholder questionnaires.</w:t>
      </w:r>
      <w:r>
        <w:t xml:space="preserve"> </w:t>
      </w:r>
      <w:r>
        <w:t xml:space="preserve">Only the Cascade Kestridge Ventures, LP Questionnaire has been provided. Obtain completed selling stockholder questionnaires from Northlight Growth Partners Fund II, LP and Dr. Anand Krishnamurthy, and reconcile all questionnaires with the S-1 beneficial-ownership disclosure (see Issues 4 and 5). (Underwriting Agreement Section 7.10.)</w:t>
      </w:r>
    </w:p>
    <w:p>
      <w:pPr>
        <w:numPr>
          <w:ilvl w:val="0"/>
          <w:numId w:val="1010"/>
        </w:numPr>
      </w:pPr>
      <w:r>
        <w:rPr>
          <w:b/>
          <w:bCs/>
        </w:rPr>
        <w:t xml:space="preserve">Powers of Attorney and Custody Agreements.</w:t>
      </w:r>
      <w:r>
        <w:t xml:space="preserve"> </w:t>
      </w:r>
      <w:r>
        <w:t xml:space="preserve">Collect duly executed Powers of Attorney and Custody Agreements from all three Selling Stockholders, and confirm that each was executed by an authorized signatory of the correct entity (see Issues 4 and 5). (Underwriting Agreement Section 7.10.)</w:t>
      </w:r>
    </w:p>
    <w:p>
      <w:pPr>
        <w:numPr>
          <w:ilvl w:val="0"/>
          <w:numId w:val="1010"/>
        </w:numPr>
      </w:pPr>
      <w:r>
        <w:rPr>
          <w:b/>
          <w:bCs/>
        </w:rPr>
        <w:t xml:space="preserve">Final IPO price.</w:t>
      </w:r>
      <w:r>
        <w:t xml:space="preserve"> </w:t>
      </w:r>
      <w:r>
        <w:t xml:space="preserve">The Underwriting Agreement assumes a Public Offering Price of $24.00 per share (the midpoint of the $22.00–$26.00 range). The final price is subject to market conditions and agreement among the Company, the Selling Stockholders, and the Representative at pricing. Confirm the final price at pricing and update the Underwriting Agreement and Final Prospectus accordingly.</w:t>
      </w:r>
    </w:p>
    <w:p>
      <w:pPr>
        <w:numPr>
          <w:ilvl w:val="0"/>
          <w:numId w:val="1010"/>
        </w:numPr>
      </w:pPr>
      <w:r>
        <w:rPr>
          <w:b/>
          <w:bCs/>
        </w:rPr>
        <w:t xml:space="preserve">Reconciliation of all discrepancies.</w:t>
      </w:r>
      <w:r>
        <w:t xml:space="preserve"> </w:t>
      </w:r>
      <w:r>
        <w:t xml:space="preserve">Resolve the critical and material discrepancies identified in Sections II and III above before execution of the Underwriting Agreement and filing of the Final Prospectus.</w:t>
      </w:r>
    </w:p>
    <w:p>
      <w:r>
        <w:pict>
          <v:rect style="width:0;height:1.5pt" o:hralign="center" o:hrstd="t" o:hr="t"/>
        </w:pict>
      </w:r>
    </w:p>
    <w:bookmarkEnd w:id="45"/>
    <w:bookmarkStart w:id="46" w:name="vi.-summary-of-recommendations"/>
    <w:p>
      <w:pPr>
        <w:pStyle w:val="Heading2"/>
      </w:pPr>
      <w:r>
        <w:t xml:space="preserve">VI. Summary of Recommendations</w:t>
      </w:r>
    </w:p>
    <w:p>
      <w:pPr>
        <w:pStyle w:val="FirstParagraph"/>
      </w:pPr>
      <w:r>
        <w:t xml:space="preserve">The following actions are recommended, in order of priority:</w:t>
      </w:r>
    </w:p>
    <w:p>
      <w:pPr>
        <w:numPr>
          <w:ilvl w:val="0"/>
          <w:numId w:val="1011"/>
        </w:numPr>
      </w:pPr>
      <w:r>
        <w:rPr>
          <w:b/>
          <w:bCs/>
        </w:rPr>
        <w:t xml:space="preserve">Immediately reconcile the lender identity</w:t>
      </w:r>
      <w:r>
        <w:t xml:space="preserve"> </w:t>
      </w:r>
      <w:r>
        <w:t xml:space="preserve">(Issue 1) by reference to the executed credit agreement. This affects the S-1, the Comfort Letter, and the Underwriting Agreement’s material-contracts representation.</w:t>
      </w:r>
    </w:p>
    <w:p>
      <w:pPr>
        <w:numPr>
          <w:ilvl w:val="0"/>
          <w:numId w:val="1011"/>
        </w:numPr>
      </w:pPr>
      <w:r>
        <w:rPr>
          <w:b/>
          <w:bCs/>
        </w:rPr>
        <w:t xml:space="preserve">Immediately reconcile the Comfort Letter financial data with the S-1 Capitalization and Dilution tables</w:t>
      </w:r>
      <w:r>
        <w:t xml:space="preserve"> </w:t>
      </w:r>
      <w:r>
        <w:t xml:space="preserve">(Issue 3). The approximately $97 million difference in total stockholders’ equity and $8.9 million difference in cash must be explained and corrected before pricing.</w:t>
      </w:r>
    </w:p>
    <w:p>
      <w:pPr>
        <w:numPr>
          <w:ilvl w:val="0"/>
          <w:numId w:val="1011"/>
        </w:numPr>
      </w:pPr>
      <w:r>
        <w:rPr>
          <w:b/>
          <w:bCs/>
        </w:rPr>
        <w:t xml:space="preserve">Reconcile the mandatory prepayment / Use of Proceeds disclosure</w:t>
      </w:r>
      <w:r>
        <w:t xml:space="preserve"> </w:t>
      </w:r>
      <w:r>
        <w:t xml:space="preserve">(Issue 2). Update the Use of Proceeds and the pro forma Capitalization table in the Final Prospectus to reflect the actual mandatory prepayment, and resolve the internal S-1 inconsistency.</w:t>
      </w:r>
    </w:p>
    <w:p>
      <w:pPr>
        <w:numPr>
          <w:ilvl w:val="0"/>
          <w:numId w:val="1011"/>
        </w:numPr>
      </w:pPr>
      <w:r>
        <w:rPr>
          <w:b/>
          <w:bCs/>
        </w:rPr>
        <w:t xml:space="preserve">Confirm the correct legal names, general partners, and control persons for both Cascade and Northlight</w:t>
      </w:r>
      <w:r>
        <w:t xml:space="preserve"> </w:t>
      </w:r>
      <w:r>
        <w:t xml:space="preserve">(Issues 4 and 5) by reference to formation documents, and reconcile the S-1, the POA, and the Questionnaires. Verify the authority of the POA signatories.</w:t>
      </w:r>
    </w:p>
    <w:p>
      <w:pPr>
        <w:numPr>
          <w:ilvl w:val="0"/>
          <w:numId w:val="1011"/>
        </w:numPr>
      </w:pPr>
      <w:r>
        <w:rPr>
          <w:b/>
          <w:bCs/>
        </w:rPr>
        <w:t xml:space="preserve">Reconcile the credit agreement terms</w:t>
      </w:r>
      <w:r>
        <w:t xml:space="preserve"> </w:t>
      </w:r>
      <w:r>
        <w:t xml:space="preserve">(Issues 6–10) — execution date, maturity, interest rate, change-of-control threshold, and financial covenants — against the executed credit agreement, and update the S-1 accordingly.</w:t>
      </w:r>
    </w:p>
    <w:p>
      <w:pPr>
        <w:numPr>
          <w:ilvl w:val="0"/>
          <w:numId w:val="1011"/>
        </w:numPr>
      </w:pPr>
      <w:r>
        <w:rPr>
          <w:b/>
          <w:bCs/>
        </w:rPr>
        <w:t xml:space="preserve">Confirm the over-allotment option is sourced exclusively from the Company</w:t>
      </w:r>
      <w:r>
        <w:t xml:space="preserve"> </w:t>
      </w:r>
      <w:r>
        <w:t xml:space="preserve">(Issue 11) and confirm Dr. Krishnamurthy’s sale of 500,000 shares (Issue 12) and the share-ownership figures (Issue 13).</w:t>
      </w:r>
    </w:p>
    <w:p>
      <w:pPr>
        <w:numPr>
          <w:ilvl w:val="0"/>
          <w:numId w:val="1011"/>
        </w:numPr>
      </w:pPr>
      <w:r>
        <w:rPr>
          <w:b/>
          <w:bCs/>
        </w:rPr>
        <w:t xml:space="preserve">Prepare the amended Lock-Up Agreement for Dr. Krishnamurthy</w:t>
      </w:r>
      <w:r>
        <w:t xml:space="preserve"> </w:t>
      </w:r>
      <w:r>
        <w:t xml:space="preserve">with the springing market standoff extension (Issue 14).</w:t>
      </w:r>
    </w:p>
    <w:p>
      <w:pPr>
        <w:numPr>
          <w:ilvl w:val="0"/>
          <w:numId w:val="1011"/>
        </w:numPr>
      </w:pPr>
      <w:r>
        <w:rPr>
          <w:b/>
          <w:bCs/>
        </w:rPr>
        <w:t xml:space="preserve">Reconcile the preferred-stock conversion timing</w:t>
      </w:r>
      <w:r>
        <w:t xml:space="preserve"> </w:t>
      </w:r>
      <w:r>
        <w:t xml:space="preserve">(Issue 15) and the</w:t>
      </w:r>
      <w:r>
        <w:t xml:space="preserve"> </w:t>
      </w:r>
      <w:r>
        <w:t xml:space="preserve">“</w:t>
      </w:r>
      <w:r>
        <w:t xml:space="preserve">net proceeds</w:t>
      </w:r>
      <w:r>
        <w:t xml:space="preserve">”</w:t>
      </w:r>
      <w:r>
        <w:t xml:space="preserve"> </w:t>
      </w:r>
      <w:r>
        <w:t xml:space="preserve">definition (Issue 16).</w:t>
      </w:r>
    </w:p>
    <w:p>
      <w:pPr>
        <w:numPr>
          <w:ilvl w:val="0"/>
          <w:numId w:val="1011"/>
        </w:numPr>
      </w:pPr>
      <w:r>
        <w:rPr>
          <w:b/>
          <w:bCs/>
        </w:rPr>
        <w:t xml:space="preserve">Address the minor items</w:t>
      </w:r>
      <w:r>
        <w:t xml:space="preserve"> </w:t>
      </w:r>
      <w:r>
        <w:t xml:space="preserve">(Issues 17–21), including correcting the S-1 cover-page role designation and updating the Comfort Letter’s section cross-reference.</w:t>
      </w:r>
    </w:p>
    <w:p>
      <w:pPr>
        <w:numPr>
          <w:ilvl w:val="0"/>
          <w:numId w:val="1011"/>
        </w:numPr>
      </w:pPr>
      <w:r>
        <w:rPr>
          <w:b/>
          <w:bCs/>
        </w:rPr>
        <w:t xml:space="preserve">Satisfy the open items and closing conditions</w:t>
      </w:r>
      <w:r>
        <w:t xml:space="preserve"> </w:t>
      </w:r>
      <w:r>
        <w:t xml:space="preserve">(Section V), including FINRA clearance, Nasdaq listing, lender consents/notice, the final and bring-down comfort letters, legal opinions, officers’ and secretary’s certificates, lock-up agreements, selling stockholder questionnaires, and Powers of Attorney.</w:t>
      </w:r>
    </w:p>
    <w:p>
      <w:pPr>
        <w:pStyle w:val="FirstParagraph"/>
      </w:pPr>
      <w:r>
        <w:t xml:space="preserve">Underwriters’ Counsel is available to assist with the reconciliation of each item and to update the Underwriting Agreement as needed to reflect confirmed terms. Given the number and materiality of the discrepancies identified — particularly the lender identity (Issue 1), the financial-data reconciliation (Issue 3), and the selling-stockholder entity identities (Issues 4 and 5) — we recommend that the deal team prioritize resolution of the Section II items before proceeding to pricing and execution.</w:t>
      </w:r>
    </w:p>
    <w:p>
      <w:r>
        <w:pict>
          <v:rect style="width:0;height:1.5pt" o:hralign="center" o:hrstd="t" o:hr="t"/>
        </w:pict>
      </w:r>
    </w:p>
    <w:p>
      <w:pPr>
        <w:pStyle w:val="FirstParagraph"/>
      </w:pPr>
      <w:r>
        <w:rPr>
          <w:i/>
          <w:iCs/>
        </w:rPr>
        <w:t xml:space="preserve">This memorandum is privileged and confidential, constitutes attorney work product prepared in anticipation of the Offering, and is intended solely for the use of the addressees and their counsel in connection with the Offering. It is not intended to be relied upon by any other party.</w:t>
      </w:r>
    </w:p>
    <w:p>
      <w:pPr>
        <w:pStyle w:val="BodyText"/>
      </w:pPr>
      <w:r>
        <w:rPr>
          <w:b/>
          <w:bCs/>
        </w:rPr>
        <w:t xml:space="preserve">Ashford &amp; Pine LLP</w:t>
      </w:r>
      <w:r>
        <w:t xml:space="preserve"> </w:t>
      </w:r>
      <w:r>
        <w:t xml:space="preserve">Underwriters’ Counsel</w:t>
      </w:r>
      <w:r>
        <w:t xml:space="preserve"> </w:t>
      </w:r>
      <w:r>
        <w:t xml:space="preserve">1231 Avenue of the Americas, 34th Floor</w:t>
      </w:r>
      <w:r>
        <w:t xml:space="preserve"> </w:t>
      </w:r>
      <w:r>
        <w:t xml:space="preserve">New York, NY 10020</w:t>
      </w:r>
    </w:p>
    <w:p>
      <w:pPr>
        <w:pStyle w:val="BodyText"/>
      </w:pPr>
      <w:r>
        <w:t xml:space="preserve">March 18, 2025</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2026-06-28T21:43:22Z</dcterms:created>
  <dcterms:modified xsi:type="dcterms:W3CDTF">2026-06-28T21:43:22Z</dcterms:modified>
</cp:coreProperties>
</file>

<file path=docProps/custom.xml><?xml version="1.0" encoding="utf-8"?>
<Properties xmlns="http://schemas.openxmlformats.org/officeDocument/2006/custom-properties" xmlns:vt="http://schemas.openxmlformats.org/officeDocument/2006/docPropsVTypes"/>
</file>