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issues-memorandum"/>
    <w:p>
      <w:pPr>
        <w:pStyle w:val="Heading1"/>
      </w:pPr>
      <w:r>
        <w:t xml:space="preserve">ISSUES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Deal Team — Meridian Pulse Technologies, Inc. Initial Public Offering</w:t>
      </w:r>
      <w:r>
        <w:t xml:space="preserve"> </w:t>
      </w:r>
      <w:r>
        <w:rPr>
          <w:b/>
          <w:bCs/>
        </w:rPr>
        <w:t xml:space="preserve">From:</w:t>
      </w:r>
      <w:r>
        <w:t xml:space="preserve"> </w:t>
      </w:r>
      <w:r>
        <w:t xml:space="preserve">Ashford &amp; Pine LLP, Underwriters’ Counsel</w:t>
      </w:r>
      <w:r>
        <w:t xml:space="preserve"> </w:t>
      </w:r>
      <w:r>
        <w:rPr>
          <w:b/>
          <w:bCs/>
        </w:rPr>
        <w:t xml:space="preserve">Re:</w:t>
      </w:r>
      <w:r>
        <w:t xml:space="preserve"> </w:t>
      </w:r>
      <w:r>
        <w:t xml:space="preserve">Cross-Document Discrepancies and Open Items — Underwriting Agreement for the IPO of Meridian Pulse Technologies, Inc.</w:t>
      </w:r>
      <w:r>
        <w:t xml:space="preserve"> </w:t>
      </w:r>
      <w:r>
        <w:rPr>
          <w:b/>
          <w:bCs/>
        </w:rPr>
        <w:t xml:space="preserve">Date:</w:t>
      </w:r>
      <w:r>
        <w:t xml:space="preserve"> </w:t>
      </w:r>
      <w:r>
        <w:t xml:space="preserve">March 19, 2025</w:t>
      </w:r>
      <w:r>
        <w:t xml:space="preserve"> </w:t>
      </w:r>
      <w:r>
        <w:rPr>
          <w:b/>
          <w:bCs/>
        </w:rPr>
        <w:t xml:space="preserve">Matter:</w:t>
      </w:r>
      <w:r>
        <w:t xml:space="preserve"> </w:t>
      </w:r>
      <w:r>
        <w:t xml:space="preserve">Registration Statement on Form S-1 (File No. 333-284517); Firm-Commitment Underwriting Agreement dated March 19, 2025</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summarizes the principal discrepancies identified among the transaction documents reviewed in connection with the preparation of the firm-commitment Underwriting Agreement (the</w:t>
      </w:r>
      <w:r>
        <w:t xml:space="preserve"> </w:t>
      </w:r>
      <w:r>
        <w:t xml:space="preserve">“</w:t>
      </w:r>
      <w:r>
        <w:t xml:space="preserve">Underwriting Agreement</w:t>
      </w:r>
      <w:r>
        <w:t xml:space="preserve">”</w:t>
      </w:r>
      <w:r>
        <w:t xml:space="preserve">) for the initial public offering of common stock of Meridian Pulse Technologies, Inc. (the</w:t>
      </w:r>
      <w:r>
        <w:t xml:space="preserve"> </w:t>
      </w:r>
      <w:r>
        <w:t xml:space="preserve">“</w:t>
      </w:r>
      <w:r>
        <w:t xml:space="preserve">Company</w:t>
      </w:r>
      <w:r>
        <w:t xml:space="preserve">”</w:t>
      </w:r>
      <w:r>
        <w:t xml:space="preserve">), and flags open items that must be resolved on or before the Closing Date (March 24, 2025). The documents reviewed are: (1) the IPO Term Sheet dated March 19, 2025; (2) the S-1 Registration Statement excerpts (File No. 333-284517); (3) the Amended and Restated Certificate of Incorporation; (4) the Summary of Key Terms — Revolving Credit Agreement; (5) the Engagement Letter dated November 8, 2024; (6) the Form of Lock-Up Agreement; (7) the Draft Comfort Letter from Whitman Reese &amp; Co. dated March 18, 2025; (8) the Power of Attorney and Custody Agreement; and (9) the Selling Stockholder Questionnaire (Cascade Kestridge Ventures, LP).</w:t>
      </w:r>
    </w:p>
    <w:p>
      <w:pPr>
        <w:pStyle w:val="BodyText"/>
      </w:pPr>
      <w:r>
        <w:t xml:space="preserve">Issues are categorized by severity:</w:t>
      </w:r>
      <w:r>
        <w:t xml:space="preserve"> </w:t>
      </w:r>
      <w:r>
        <w:rPr>
          <w:b/>
          <w:bCs/>
        </w:rPr>
        <w:t xml:space="preserve">Critical</w:t>
      </w:r>
      <w:r>
        <w:t xml:space="preserve"> </w:t>
      </w:r>
      <w:r>
        <w:t xml:space="preserve">(must be resolved before the Underwriting Agreement is executed or the Final Prospectus is filed; potential material misstatement risk),</w:t>
      </w:r>
      <w:r>
        <w:t xml:space="preserve"> </w:t>
      </w:r>
      <w:r>
        <w:rPr>
          <w:b/>
          <w:bCs/>
        </w:rPr>
        <w:t xml:space="preserve">Material</w:t>
      </w:r>
      <w:r>
        <w:t xml:space="preserve"> </w:t>
      </w:r>
      <w:r>
        <w:t xml:space="preserve">(should be resolved before Closing; affects accuracy of representations or disclosure), and</w:t>
      </w:r>
      <w:r>
        <w:t xml:space="preserve"> </w:t>
      </w:r>
      <w:r>
        <w:rPr>
          <w:b/>
          <w:bCs/>
        </w:rPr>
        <w:t xml:space="preserve">Drafting/Minor</w:t>
      </w:r>
      <w:r>
        <w:t xml:space="preserve"> </w:t>
      </w:r>
      <w:r>
        <w:t xml:space="preserve">(reconcile in final documents; no closing-blocker but should be cleaned up). A closing checklist of open items appears in Part V.</w:t>
      </w:r>
    </w:p>
    <w:p>
      <w:pPr>
        <w:pStyle w:val="BodyText"/>
      </w:pPr>
      <w:r>
        <w:t xml:space="preserve">The Underwriting Agreement has been drafted to be consistent with the Registration Statement (the controlling disclosure document) wherever the documents conflict, and the conflicting items are flagged below for resolution.</w:t>
      </w:r>
    </w:p>
    <w:p>
      <w:r>
        <w:pict>
          <v:rect style="width:0;height:1.5pt" o:hralign="center" o:hrstd="t" o:hr="t"/>
        </w:pict>
      </w:r>
    </w:p>
    <w:bookmarkEnd w:id="20"/>
    <w:bookmarkStart w:id="27" w:name="ii.-critical-issues"/>
    <w:p>
      <w:pPr>
        <w:pStyle w:val="Heading2"/>
      </w:pPr>
      <w:r>
        <w:t xml:space="preserve">II. Critical Issues</w:t>
      </w:r>
    </w:p>
    <w:bookmarkStart w:id="21" w:name="Xd97519eac0d329120a9f7ce28e4e3ab9035de8b"/>
    <w:p>
      <w:pPr>
        <w:pStyle w:val="Heading3"/>
      </w:pPr>
      <w:r>
        <w:t xml:space="preserve">Issue 1 — Identity of the Lender Under the Revolving Credit Facility (Oakvale vs. Ridgemont)</w:t>
      </w:r>
    </w:p>
    <w:p>
      <w:pPr>
        <w:pStyle w:val="FirstParagraph"/>
      </w:pPr>
      <w:r>
        <w:rPr>
          <w:b/>
          <w:bCs/>
        </w:rPr>
        <w:t xml:space="preserve">Discrepancy.</w:t>
      </w:r>
      <w:r>
        <w:t xml:space="preserve"> </w:t>
      </w:r>
      <w:r>
        <w:t xml:space="preserve">The Registration Statement (Risk Factors, Use of Proceeds, Capitalization, and Material Contracts sections) and the Draft Comfort Letter (Sections V.A and VII.A) repeatedly refer to the lender under the Company’s $40 million revolving credit facility as</w:t>
      </w:r>
      <w:r>
        <w:t xml:space="preserve"> </w:t>
      </w:r>
      <w:r>
        <w:rPr>
          <w:b/>
          <w:bCs/>
        </w:rPr>
        <w:t xml:space="preserve">“</w:t>
      </w:r>
      <w:r>
        <w:rPr>
          <w:b/>
          <w:bCs/>
        </w:rPr>
        <w:t xml:space="preserve">Oakvale National Bank.</w:t>
      </w:r>
      <w:r>
        <w:rPr>
          <w:b/>
          <w:bCs/>
        </w:rPr>
        <w:t xml:space="preserve">”</w:t>
      </w:r>
      <w:r>
        <w:t xml:space="preserve"> </w:t>
      </w:r>
      <w:r>
        <w:t xml:space="preserve">The Summary of Key Terms — Revolving Credit Agreement, prepared by Company counsel (Stonebridge &amp; Calloway LLP) for the internal deal team, refers to the lender/administrative agent as</w:t>
      </w:r>
      <w:r>
        <w:t xml:space="preserve"> </w:t>
      </w:r>
      <w:r>
        <w:rPr>
          <w:b/>
          <w:bCs/>
        </w:rPr>
        <w:t xml:space="preserve">“</w:t>
      </w:r>
      <w:r>
        <w:rPr>
          <w:b/>
          <w:bCs/>
        </w:rPr>
        <w:t xml:space="preserve">Ridgemont National Bank.</w:t>
      </w:r>
      <w:r>
        <w:rPr>
          <w:b/>
          <w:bCs/>
        </w:rPr>
        <w:t xml:space="preserve">”</w:t>
      </w:r>
    </w:p>
    <w:p>
      <w:pPr>
        <w:pStyle w:val="BodyText"/>
      </w:pPr>
      <w:r>
        <w:rPr>
          <w:b/>
          <w:bCs/>
        </w:rPr>
        <w:t xml:space="preserve">Why it matters.</w:t>
      </w:r>
      <w:r>
        <w:t xml:space="preserve"> </w:t>
      </w:r>
      <w:r>
        <w:t xml:space="preserve">The Credit Facility is a material contract disclosed in the Registration Statement and is the subject of a Company representation in Section 1.11 of the Underwriting Agreement (Material Contracts). If the lender is misidentified in the Registration Statement, the Company’s representation as to the accuracy of the Disclosure Package and the Prospectus (Section 1.7) and the Material Contracts representation (Section 1.11) would be inaccurate, exposing the Company (and potentially the Selling Stockholders and Underwriters) to liability under Sections 11 and 12 of the Securities Act. The Draft Comfort Letter likewise recites</w:t>
      </w:r>
      <w:r>
        <w:t xml:space="preserve"> </w:t>
      </w:r>
      <w:r>
        <w:t xml:space="preserve">“</w:t>
      </w:r>
      <w:r>
        <w:t xml:space="preserve">Oakvale National Bank</w:t>
      </w:r>
      <w:r>
        <w:t xml:space="preserve">”</w:t>
      </w:r>
      <w:r>
        <w:t xml:space="preserve"> </w:t>
      </w:r>
      <w:r>
        <w:t xml:space="preserve">in its agreed-upon procedures, so the auditor’s circle-up is tied to the (possibly incorrect) name.</w:t>
      </w:r>
    </w:p>
    <w:p>
      <w:pPr>
        <w:pStyle w:val="BodyText"/>
      </w:pPr>
      <w:r>
        <w:rPr>
          <w:b/>
          <w:bCs/>
        </w:rPr>
        <w:t xml:space="preserve">Recommendation.</w:t>
      </w:r>
      <w:r>
        <w:t xml:space="preserve"> </w:t>
      </w:r>
      <w:r>
        <w:t xml:space="preserve">Company counsel must confirm the correct legal name of the lender by reference to the executed Credit Agreement and any amendments. If the lender is Ridgemont National Bank, the Registration Statement must be corrected by prospectus supplement or post-effective amendment, and the Draft Comfort Letter must be revised before the final comfort letter is delivered. The Underwriting Agreement has been drafted using</w:t>
      </w:r>
      <w:r>
        <w:t xml:space="preserve"> </w:t>
      </w:r>
      <w:r>
        <w:t xml:space="preserve">“</w:t>
      </w:r>
      <w:r>
        <w:t xml:space="preserve">Oakvale National Bank</w:t>
      </w:r>
      <w:r>
        <w:t xml:space="preserve">”</w:t>
      </w:r>
      <w:r>
        <w:t xml:space="preserve"> </w:t>
      </w:r>
      <w:r>
        <w:t xml:space="preserve">to match the Registration Statement; this must be corrected if the lender is in fact Ridgemont.</w:t>
      </w:r>
      <w:r>
        <w:t xml:space="preserve"> </w:t>
      </w:r>
      <w:r>
        <w:rPr>
          <w:b/>
          <w:bCs/>
        </w:rPr>
        <w:t xml:space="preserve">This is the single most important item to resolve before execution.</w:t>
      </w:r>
    </w:p>
    <w:bookmarkEnd w:id="21"/>
    <w:bookmarkStart w:id="22" w:name="X8286217fa3ed81db1a3d56f75319d3b0f415708"/>
    <w:p>
      <w:pPr>
        <w:pStyle w:val="Heading3"/>
      </w:pPr>
      <w:r>
        <w:t xml:space="preserve">Issue 2 — Mandatory Prepayment Amount Under the Credit Facility ($10 million vs. $15.24 million)</w:t>
      </w:r>
    </w:p>
    <w:p>
      <w:pPr>
        <w:pStyle w:val="FirstParagraph"/>
      </w:pPr>
      <w:r>
        <w:rPr>
          <w:b/>
          <w:bCs/>
        </w:rPr>
        <w:t xml:space="preserve">Discrepancy.</w:t>
      </w:r>
      <w:r>
        <w:t xml:space="preserve"> </w:t>
      </w:r>
      <w:r>
        <w:t xml:space="preserve">The Registration Statement</w:t>
      </w:r>
      <w:r>
        <w:t xml:space="preserve"> </w:t>
      </w:r>
      <w:r>
        <w:t xml:space="preserve">“</w:t>
      </w:r>
      <w:r>
        <w:t xml:space="preserve">Use of Proceeds</w:t>
      </w:r>
      <w:r>
        <w:t xml:space="preserve">”</w:t>
      </w:r>
      <w:r>
        <w:t xml:space="preserve"> </w:t>
      </w:r>
      <w:r>
        <w:t xml:space="preserve">section discloses that the Company intends to use</w:t>
      </w:r>
      <w:r>
        <w:t xml:space="preserve"> </w:t>
      </w:r>
      <w:r>
        <w:t xml:space="preserve">“</w:t>
      </w:r>
      <w:r>
        <w:t xml:space="preserve">approximately $10 million</w:t>
      </w:r>
      <w:r>
        <w:t xml:space="preserve">”</w:t>
      </w:r>
      <w:r>
        <w:t xml:space="preserve"> </w:t>
      </w:r>
      <w:r>
        <w:t xml:space="preserve">to repay indebtedness under the revolving credit facility. The Registration Statement</w:t>
      </w:r>
      <w:r>
        <w:t xml:space="preserve"> </w:t>
      </w:r>
      <w:r>
        <w:t xml:space="preserve">“</w:t>
      </w:r>
      <w:r>
        <w:t xml:space="preserve">Risk Factors</w:t>
      </w:r>
      <w:r>
        <w:t xml:space="preserve">”</w:t>
      </w:r>
      <w:r>
        <w:t xml:space="preserve"> </w:t>
      </w:r>
      <w:r>
        <w:t xml:space="preserve">section, however, states that the Company</w:t>
      </w:r>
      <w:r>
        <w:t xml:space="preserve"> </w:t>
      </w:r>
      <w:r>
        <w:t xml:space="preserve">“</w:t>
      </w:r>
      <w:r>
        <w:t xml:space="preserve">expect[s] to be required to make a mandatory prepayment of approximately $15.2 million</w:t>
      </w:r>
      <w:r>
        <w:t xml:space="preserve">”</w:t>
      </w:r>
      <w:r>
        <w:t xml:space="preserve"> </w:t>
      </w:r>
      <w:r>
        <w:t xml:space="preserve">under the credit facility. The Credit Agreement Summary confirms that Section 2.05(b)(i) requires a mandatory prepayment equal to 50% of Net Equity Proceeds in excess of $150 million, yielding</w:t>
      </w:r>
      <w:r>
        <w:t xml:space="preserve"> </w:t>
      </w:r>
      <w:r>
        <w:rPr>
          <w:b/>
          <w:bCs/>
        </w:rPr>
        <w:t xml:space="preserve">$15,240,000</w:t>
      </w:r>
      <w:r>
        <w:t xml:space="preserve"> </w:t>
      </w:r>
      <w:r>
        <w:t xml:space="preserve">(or</w:t>
      </w:r>
      <w:r>
        <w:t xml:space="preserve"> </w:t>
      </w:r>
      <w:r>
        <w:rPr>
          <w:b/>
          <w:bCs/>
        </w:rPr>
        <w:t xml:space="preserve">$13,640,000</w:t>
      </w:r>
      <w:r>
        <w:t xml:space="preserve"> </w:t>
      </w:r>
      <w:r>
        <w:t xml:space="preserve">if the $3.2 million of offering expenses are deductible from</w:t>
      </w:r>
      <w:r>
        <w:t xml:space="preserve"> </w:t>
      </w:r>
      <w:r>
        <w:t xml:space="preserve">“</w:t>
      </w:r>
      <w:r>
        <w:t xml:space="preserve">Net Equity Proceeds</w:t>
      </w:r>
      <w:r>
        <w:t xml:space="preserve">”</w:t>
      </w:r>
      <w:r>
        <w:t xml:space="preserve">). In either case, the mandatory prepayment exceeds the $10 million disclosed in the Use of Proceeds section by $3.64 million to $5.24 million.</w:t>
      </w:r>
    </w:p>
    <w:p>
      <w:pPr>
        <w:pStyle w:val="BodyText"/>
      </w:pPr>
      <w:r>
        <w:rPr>
          <w:b/>
          <w:bCs/>
        </w:rPr>
        <w:t xml:space="preserve">Why it matters.</w:t>
      </w:r>
      <w:r>
        <w:t xml:space="preserve"> </w:t>
      </w:r>
      <w:r>
        <w:t xml:space="preserve">This is an internal inconsistency within the Registration Statement itself (Use of Proceeds vs. Risk Factors), and the Use of Proceeds disclosure appears to understate the contractual mandatory prepayment obligation. The Underwriting Agreement contains a Use of Proceeds representation (Section 1.21) and a Material Contracts representation (Section 1.11) that depend on accurate disclosure. The Credit Agreement Summary expressly warns that</w:t>
      </w:r>
      <w:r>
        <w:t xml:space="preserve"> </w:t>
      </w:r>
      <w:r>
        <w:t xml:space="preserve">“</w:t>
      </w:r>
      <w:r>
        <w:t xml:space="preserve">failure to reconcile this discrepancy may result in a material misstatement in the Registration Statement.</w:t>
      </w:r>
      <w:r>
        <w:t xml:space="preserve">”</w:t>
      </w:r>
    </w:p>
    <w:p>
      <w:pPr>
        <w:pStyle w:val="BodyText"/>
      </w:pPr>
      <w:r>
        <w:rPr>
          <w:b/>
          <w:bCs/>
        </w:rPr>
        <w:t xml:space="preserve">Recommendation.</w:t>
      </w:r>
      <w:r>
        <w:t xml:space="preserve"> </w:t>
      </w:r>
      <w:r>
        <w:t xml:space="preserve">(a) Company counsel must confirm the correct interpretation of</w:t>
      </w:r>
      <w:r>
        <w:t xml:space="preserve"> </w:t>
      </w:r>
      <w:r>
        <w:t xml:space="preserve">“</w:t>
      </w:r>
      <w:r>
        <w:t xml:space="preserve">Net Equity Proceeds</w:t>
      </w:r>
      <w:r>
        <w:t xml:space="preserve">”</w:t>
      </w:r>
      <w:r>
        <w:t xml:space="preserve"> </w:t>
      </w:r>
      <w:r>
        <w:t xml:space="preserve">(i.e., whether offering expenses are deductible) and the resulting mandatory prepayment amount. (b) The Use of Proceeds section of the Final Prospectus must be revised to accurately state the mandatory prepayment obligation (and the resulting remaining balance under the facility). (c) The Underwriting Agreement’s Use of Proceeds representation (Section 1.21) and the bring-down officers’ certificate (Section 8.8) should be reviewed to ensure consistency with the corrected disclosure.</w:t>
      </w:r>
    </w:p>
    <w:bookmarkEnd w:id="22"/>
    <w:bookmarkStart w:id="23" w:name="X2b38e8b24bbd8a6d9d9df68c2090d6c4faec682"/>
    <w:p>
      <w:pPr>
        <w:pStyle w:val="Heading3"/>
      </w:pPr>
      <w:r>
        <w:t xml:space="preserve">Issue 3 — Draft Comfort Letter Financial Figures Do Not Match the Registration Statement</w:t>
      </w:r>
    </w:p>
    <w:p>
      <w:pPr>
        <w:pStyle w:val="FirstParagraph"/>
      </w:pPr>
      <w:r>
        <w:rPr>
          <w:b/>
          <w:bCs/>
        </w:rPr>
        <w:t xml:space="preserve">Discrepancy.</w:t>
      </w:r>
      <w:r>
        <w:t xml:space="preserve"> </w:t>
      </w:r>
      <w:r>
        <w:t xml:space="preserve">The Draft Comfort Letter (dated March 18, 2025) recites the following amounts as of December 31, 2024 and states that each</w:t>
      </w:r>
      <w:r>
        <w:t xml:space="preserve"> </w:t>
      </w:r>
      <w:r>
        <w:t xml:space="preserve">“</w:t>
      </w:r>
      <w:r>
        <w:t xml:space="preserve">agrees with the audited consolidated balance sheet</w:t>
      </w:r>
      <w:r>
        <w:t xml:space="preserve">”</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Draft Comfort Letter</w:t>
            </w:r>
          </w:p>
        </w:tc>
        <w:tc>
          <w:tcPr/>
          <w:p>
            <w:pPr>
              <w:pStyle w:val="Compact"/>
              <w:jc w:val="left"/>
            </w:pPr>
            <w:r>
              <w:t xml:space="preserve">Registration Statement (Capitalization / Dilution)</w:t>
            </w:r>
          </w:p>
        </w:tc>
      </w:tr>
      <w:tr>
        <w:tc>
          <w:tcPr/>
          <w:p>
            <w:pPr>
              <w:pStyle w:val="Compact"/>
              <w:jc w:val="left"/>
            </w:pPr>
            <w:r>
              <w:t xml:space="preserve">Total stockholders’ equity</w:t>
            </w:r>
          </w:p>
        </w:tc>
        <w:tc>
          <w:tcPr/>
          <w:p>
            <w:pPr>
              <w:pStyle w:val="Compact"/>
              <w:jc w:val="left"/>
            </w:pPr>
            <w:r>
              <w:t xml:space="preserve">$198,400,000</w:t>
            </w:r>
          </w:p>
        </w:tc>
        <w:tc>
          <w:tcPr/>
          <w:p>
            <w:pPr>
              <w:pStyle w:val="Compact"/>
              <w:jc w:val="left"/>
            </w:pPr>
            <w:r>
              <w:t xml:space="preserve">$101,400,000</w:t>
            </w:r>
          </w:p>
        </w:tc>
      </w:tr>
      <w:tr>
        <w:tc>
          <w:tcPr/>
          <w:p>
            <w:pPr>
              <w:pStyle w:val="Compact"/>
              <w:jc w:val="left"/>
            </w:pPr>
            <w:r>
              <w:t xml:space="preserve">Cash and cash equivalents</w:t>
            </w:r>
          </w:p>
        </w:tc>
        <w:tc>
          <w:tcPr/>
          <w:p>
            <w:pPr>
              <w:pStyle w:val="Compact"/>
              <w:jc w:val="left"/>
            </w:pPr>
            <w:r>
              <w:t xml:space="preserve">$47,300,000</w:t>
            </w:r>
          </w:p>
        </w:tc>
        <w:tc>
          <w:tcPr/>
          <w:p>
            <w:pPr>
              <w:pStyle w:val="Compact"/>
              <w:jc w:val="left"/>
            </w:pPr>
            <w:r>
              <w:t xml:space="preserve">$38,400,000</w:t>
            </w:r>
          </w:p>
        </w:tc>
      </w:tr>
      <w:tr>
        <w:tc>
          <w:tcPr/>
          <w:p>
            <w:pPr>
              <w:pStyle w:val="Compact"/>
              <w:jc w:val="left"/>
            </w:pPr>
            <w:r>
              <w:t xml:space="preserve">Net tangible book value per share (actual)</w:t>
            </w:r>
          </w:p>
        </w:tc>
        <w:tc>
          <w:tcPr/>
          <w:p>
            <w:pPr>
              <w:pStyle w:val="Compact"/>
              <w:jc w:val="left"/>
            </w:pPr>
            <w:r>
              <w:t xml:space="preserve">$4.72</w:t>
            </w:r>
          </w:p>
        </w:tc>
        <w:tc>
          <w:tcPr/>
          <w:p>
            <w:pPr>
              <w:pStyle w:val="Compact"/>
              <w:jc w:val="left"/>
            </w:pPr>
            <w:r>
              <w:t xml:space="preserve">$2.17</w:t>
            </w:r>
          </w:p>
        </w:tc>
      </w:tr>
      <w:tr>
        <w:tc>
          <w:tcPr/>
          <w:p>
            <w:pPr>
              <w:pStyle w:val="Compact"/>
              <w:jc w:val="left"/>
            </w:pPr>
            <w:r>
              <w:t xml:space="preserve">Increase in NTBV per share (Offering)</w:t>
            </w:r>
          </w:p>
        </w:tc>
        <w:tc>
          <w:tcPr/>
          <w:p>
            <w:pPr>
              <w:pStyle w:val="Compact"/>
              <w:jc w:val="left"/>
            </w:pPr>
            <w:r>
              <w:t xml:space="preserve">$2.61</w:t>
            </w:r>
          </w:p>
        </w:tc>
        <w:tc>
          <w:tcPr/>
          <w:p>
            <w:pPr>
              <w:pStyle w:val="Compact"/>
              <w:jc w:val="left"/>
            </w:pPr>
            <w:r>
              <w:t xml:space="preserve">$3.20</w:t>
            </w:r>
          </w:p>
        </w:tc>
      </w:tr>
    </w:tbl>
    <w:p>
      <w:pPr>
        <w:pStyle w:val="BodyText"/>
      </w:pPr>
      <w:r>
        <w:t xml:space="preserve">The Draft Comfort Letter marks each of these items</w:t>
      </w:r>
      <w:r>
        <w:t xml:space="preserve"> </w:t>
      </w:r>
      <w:r>
        <w:t xml:space="preserve">“</w:t>
      </w:r>
      <w:r>
        <w:t xml:space="preserve">Agrees,</w:t>
      </w:r>
      <w:r>
        <w:t xml:space="preserve">”</w:t>
      </w:r>
      <w:r>
        <w:t xml:space="preserve"> </w:t>
      </w:r>
      <w:r>
        <w:t xml:space="preserve">but the figures do not reconcile to the Capitalization table or the Dilution section of the Registration Statement. For example, the comfort letter’s $4.72 net tangible book value per share implies approximately $198 million of net tangible book value (4.72 × 42,000,000), which is consistent with its $198.4 million stockholders’ equity figure but inconsistent with the Registration Statement’s $91.2 million historical net tangible book value ($2.17 × 42,000,000) and $101.4 million total stockholders’ equity.</w:t>
      </w:r>
    </w:p>
    <w:p>
      <w:pPr>
        <w:pStyle w:val="BodyText"/>
      </w:pPr>
      <w:r>
        <w:rPr>
          <w:b/>
          <w:bCs/>
        </w:rPr>
        <w:t xml:space="preserve">Why it matters.</w:t>
      </w:r>
      <w:r>
        <w:t xml:space="preserve"> </w:t>
      </w:r>
      <w:r>
        <w:t xml:space="preserve">The comfort letter is a condition to the Underwriters’ obligations (Sections 8.4 and 8.5). If the auditor’s circle-up does not agree with the figures in the Prospectus, the Underwriters cannot obtain the comfort they require, and the accuracy of the Capitalization and Dilution disclosures — both of which are material to investors — is called into question. The discrepancy is approximately $97 million in stockholders’ equity and $8.9 million in cash.</w:t>
      </w:r>
    </w:p>
    <w:p>
      <w:pPr>
        <w:pStyle w:val="BodyText"/>
      </w:pPr>
      <w:r>
        <w:rPr>
          <w:b/>
          <w:bCs/>
        </w:rPr>
        <w:t xml:space="preserve">Recommendation.</w:t>
      </w:r>
      <w:r>
        <w:t xml:space="preserve"> </w:t>
      </w:r>
      <w:r>
        <w:t xml:space="preserve">This must be reconciled before the final comfort letter is delivered and before the Final Prospectus is filed. Company counsel and the auditor should determine whether (a) the Registration Statement’s Capitalization/Dilution figures are incorrect, (b) the Draft Comfort Letter is referencing a stale or incorrect version of the financial statements, or (c) there is a definitional difference (e.g., inclusion/exclusion of certain items). The Underwriters will not be in a position to close until the comfort letter and the Prospectus are reconciled.</w:t>
      </w:r>
      <w:r>
        <w:t xml:space="preserve"> </w:t>
      </w:r>
      <w:r>
        <w:rPr>
          <w:b/>
          <w:bCs/>
        </w:rPr>
        <w:t xml:space="preserve">This is a potential closing blocker.</w:t>
      </w:r>
    </w:p>
    <w:bookmarkEnd w:id="23"/>
    <w:bookmarkStart w:id="24" w:name="Xcdc5d2ae947447d171b7ef150c49ebf89b60e68"/>
    <w:p>
      <w:pPr>
        <w:pStyle w:val="Heading3"/>
      </w:pPr>
      <w:r>
        <w:t xml:space="preserve">Issue 4 — Over-Allotment Option Source (Company-only vs. Company and/or Selling Stockholders)</w:t>
      </w:r>
    </w:p>
    <w:p>
      <w:pPr>
        <w:pStyle w:val="FirstParagraph"/>
      </w:pPr>
      <w:r>
        <w:rPr>
          <w:b/>
          <w:bCs/>
        </w:rPr>
        <w:t xml:space="preserve">Discrepancy.</w:t>
      </w:r>
      <w:r>
        <w:t xml:space="preserve"> </w:t>
      </w:r>
      <w:r>
        <w:t xml:space="preserve">The Term Sheet (Section 2.2) states that the Over-Allotment Option may be exercised to purchase shares</w:t>
      </w:r>
      <w:r>
        <w:t xml:space="preserve"> </w:t>
      </w:r>
      <w:r>
        <w:t xml:space="preserve">“</w:t>
      </w:r>
      <w:r>
        <w:t xml:space="preserve">from the Company</w:t>
      </w:r>
      <w:r>
        <w:t xml:space="preserve"> </w:t>
      </w:r>
      <w:r>
        <w:rPr>
          <w:b/>
          <w:bCs/>
        </w:rPr>
        <w:t xml:space="preserve">and/or</w:t>
      </w:r>
      <w:r>
        <w:t xml:space="preserve"> </w:t>
      </w:r>
      <w:r>
        <w:t xml:space="preserve">the Selling Stockholders.</w:t>
      </w:r>
      <w:r>
        <w:t xml:space="preserve">”</w:t>
      </w:r>
      <w:r>
        <w:t xml:space="preserve"> </w:t>
      </w:r>
      <w:r>
        <w:t xml:space="preserve">The Registration Statement (cover page and</w:t>
      </w:r>
      <w:r>
        <w:t xml:space="preserve"> </w:t>
      </w:r>
      <w:r>
        <w:t xml:space="preserve">“</w:t>
      </w:r>
      <w:r>
        <w:t xml:space="preserve">The Offering</w:t>
      </w:r>
      <w:r>
        <w:t xml:space="preserve">”</w:t>
      </w:r>
      <w:r>
        <w:t xml:space="preserve"> </w:t>
      </w:r>
      <w:r>
        <w:t xml:space="preserve">table), the Engagement Letter (Section 2), and the Selling Stockholder Questionnaire (Cascade) all state that the over-allotment option shares are sourced</w:t>
      </w:r>
      <w:r>
        <w:t xml:space="preserve"> </w:t>
      </w:r>
      <w:r>
        <w:rPr>
          <w:b/>
          <w:bCs/>
        </w:rPr>
        <w:t xml:space="preserve">exclusively from newly issued Company shares</w:t>
      </w:r>
      <w:r>
        <w:t xml:space="preserve">.</w:t>
      </w:r>
    </w:p>
    <w:p>
      <w:pPr>
        <w:pStyle w:val="BodyText"/>
      </w:pPr>
      <w:r>
        <w:rPr>
          <w:b/>
          <w:bCs/>
        </w:rPr>
        <w:t xml:space="preserve">Why it matters.</w:t>
      </w:r>
      <w:r>
        <w:t xml:space="preserve"> </w:t>
      </w:r>
      <w:r>
        <w:t xml:space="preserve">The source of the over-allotment shares affects the Selling Stockholders’ maximum sale obligations, the Company’s use of proceeds, the capitalization disclosures, and the Selling Stockholder representations. The Selling Stockholder Questionnaire confirms Cascade’s understanding that its maximum sale obligation is 2,000,000 shares and that the greenshoe is Company-only. If the Term Sheet’s</w:t>
      </w:r>
      <w:r>
        <w:t xml:space="preserve"> </w:t>
      </w:r>
      <w:r>
        <w:t xml:space="preserve">“</w:t>
      </w:r>
      <w:r>
        <w:t xml:space="preserve">and/or</w:t>
      </w:r>
      <w:r>
        <w:t xml:space="preserve">”</w:t>
      </w:r>
      <w:r>
        <w:t xml:space="preserve"> </w:t>
      </w:r>
      <w:r>
        <w:t xml:space="preserve">formulation were adopted, the Selling Stockholders could be required to sell additional shares, which would be inconsistent with the Registration Statement and the questionnaires.</w:t>
      </w:r>
    </w:p>
    <w:p>
      <w:pPr>
        <w:pStyle w:val="BodyText"/>
      </w:pPr>
      <w:r>
        <w:rPr>
          <w:b/>
          <w:bCs/>
        </w:rPr>
        <w:t xml:space="preserve">Recommendation.</w:t>
      </w:r>
      <w:r>
        <w:t xml:space="preserve"> </w:t>
      </w:r>
      <w:r>
        <w:t xml:space="preserve">The Underwriting Agreement has been drafted to provide that the Option Shares are newly issued Company shares (consistent with the Registration Statement). The Term Sheet’s</w:t>
      </w:r>
      <w:r>
        <w:t xml:space="preserve"> </w:t>
      </w:r>
      <w:r>
        <w:t xml:space="preserve">“</w:t>
      </w:r>
      <w:r>
        <w:t xml:space="preserve">and/or</w:t>
      </w:r>
      <w:r>
        <w:t xml:space="preserve">”</w:t>
      </w:r>
      <w:r>
        <w:t xml:space="preserve"> </w:t>
      </w:r>
      <w:r>
        <w:t xml:space="preserve">language should be disregarded as superseded by the Registration Statement and the Engagement Letter. Confirm with the Company and the Representative that the greenshoe is Company-only.</w:t>
      </w:r>
    </w:p>
    <w:bookmarkEnd w:id="24"/>
    <w:bookmarkStart w:id="25" w:name="Xc0a80c30430171f74e0e30b6d3c52a8c1bf6f82"/>
    <w:p>
      <w:pPr>
        <w:pStyle w:val="Heading3"/>
      </w:pPr>
      <w:r>
        <w:t xml:space="preserve">Issue 5 — Conflicting Identity of Cascade Kestridge Ventures, LP (Entity Name, General Partner, Control Persons, Address)</w:t>
      </w:r>
    </w:p>
    <w:p>
      <w:pPr>
        <w:pStyle w:val="FirstParagraph"/>
      </w:pPr>
      <w:r>
        <w:rPr>
          <w:b/>
          <w:bCs/>
        </w:rPr>
        <w:t xml:space="preserve">Discrepancy.</w:t>
      </w:r>
      <w:r>
        <w:t xml:space="preserve"> </w:t>
      </w:r>
      <w:r>
        <w:t xml:space="preserve">Three documents describe the first Selling Stockholder differently: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Registration Statement (fn. 1)</w:t>
            </w:r>
          </w:p>
        </w:tc>
        <w:tc>
          <w:tcPr/>
          <w:p>
            <w:pPr>
              <w:pStyle w:val="Compact"/>
              <w:jc w:val="left"/>
            </w:pPr>
            <w:r>
              <w:t xml:space="preserve">POA/Custody (signature page)</w:t>
            </w:r>
          </w:p>
        </w:tc>
        <w:tc>
          <w:tcPr/>
          <w:p>
            <w:pPr>
              <w:pStyle w:val="Compact"/>
              <w:jc w:val="left"/>
            </w:pPr>
            <w:r>
              <w:t xml:space="preserve">Selling Stockholder Questionnaire</w:t>
            </w:r>
          </w:p>
        </w:tc>
      </w:tr>
      <w:tr>
        <w:tc>
          <w:tcPr/>
          <w:p>
            <w:pPr>
              <w:pStyle w:val="Compact"/>
              <w:jc w:val="left"/>
            </w:pPr>
            <w:r>
              <w:t xml:space="preserve">Entity name</w:t>
            </w:r>
          </w:p>
        </w:tc>
        <w:tc>
          <w:tcPr/>
          <w:p>
            <w:pPr>
              <w:pStyle w:val="Compact"/>
              <w:jc w:val="left"/>
            </w:pPr>
            <w:r>
              <w:t xml:space="preserve">Cascade Kestridge Ventures, LP</w:t>
            </w:r>
          </w:p>
        </w:tc>
        <w:tc>
          <w:tcPr/>
          <w:p>
            <w:pPr>
              <w:pStyle w:val="Compact"/>
              <w:jc w:val="left"/>
            </w:pPr>
            <w:r>
              <w:t xml:space="preserve">“</w:t>
            </w:r>
            <w:r>
              <w:t xml:space="preserve">CASCADE RIDGE VENTURES, LP</w:t>
            </w:r>
            <w:r>
              <w:t xml:space="preserve">”</w:t>
            </w:r>
          </w:p>
        </w:tc>
        <w:tc>
          <w:tcPr/>
          <w:p>
            <w:pPr>
              <w:pStyle w:val="Compact"/>
              <w:jc w:val="left"/>
            </w:pPr>
            <w:r>
              <w:t xml:space="preserve">Cascade Kestridge Ventures, LP</w:t>
            </w:r>
          </w:p>
        </w:tc>
      </w:tr>
      <w:tr>
        <w:tc>
          <w:tcPr/>
          <w:p>
            <w:pPr>
              <w:pStyle w:val="Compact"/>
              <w:jc w:val="left"/>
            </w:pPr>
            <w:r>
              <w:t xml:space="preserve">General partner</w:t>
            </w:r>
          </w:p>
        </w:tc>
        <w:tc>
          <w:tcPr/>
          <w:p>
            <w:pPr>
              <w:pStyle w:val="Compact"/>
              <w:jc w:val="left"/>
            </w:pPr>
            <w:r>
              <w:t xml:space="preserve">Cascade Ridge Capital Management LLC</w:t>
            </w:r>
          </w:p>
        </w:tc>
        <w:tc>
          <w:tcPr/>
          <w:p>
            <w:pPr>
              <w:pStyle w:val="Compact"/>
              <w:jc w:val="left"/>
            </w:pPr>
            <w:r>
              <w:t xml:space="preserve">Cascade Ridge Capital Management, LLC</w:t>
            </w:r>
          </w:p>
        </w:tc>
        <w:tc>
          <w:tcPr/>
          <w:p>
            <w:pPr>
              <w:pStyle w:val="Compact"/>
              <w:jc w:val="left"/>
            </w:pPr>
            <w:r>
              <w:t xml:space="preserve">Cascade Kestridge Ventures Management, LLC</w:t>
            </w:r>
          </w:p>
        </w:tc>
      </w:tr>
      <w:tr>
        <w:tc>
          <w:tcPr/>
          <w:p>
            <w:pPr>
              <w:pStyle w:val="Compact"/>
              <w:jc w:val="left"/>
            </w:pPr>
            <w:r>
              <w:t xml:space="preserve">Natural person(s) with control</w:t>
            </w:r>
          </w:p>
        </w:tc>
        <w:tc>
          <w:tcPr/>
          <w:p>
            <w:pPr>
              <w:pStyle w:val="Compact"/>
              <w:jc w:val="left"/>
            </w:pPr>
            <w:r>
              <w:t xml:space="preserve">James Whitfield (managing member)</w:t>
            </w:r>
          </w:p>
        </w:tc>
        <w:tc>
          <w:tcPr/>
          <w:p>
            <w:pPr>
              <w:pStyle w:val="Compact"/>
              <w:jc w:val="left"/>
            </w:pPr>
            <w:r>
              <w:t xml:space="preserve">Margaret T. Okonkwo (managing member)</w:t>
            </w:r>
          </w:p>
        </w:tc>
        <w:tc>
          <w:tcPr/>
          <w:p>
            <w:pPr>
              <w:pStyle w:val="Compact"/>
              <w:jc w:val="left"/>
            </w:pPr>
            <w:r>
              <w:t xml:space="preserve">Marcus J. Aldridge &amp; Teresa Huang</w:t>
            </w:r>
          </w:p>
        </w:tc>
      </w:tr>
      <w:tr>
        <w:tc>
          <w:tcPr/>
          <w:p>
            <w:pPr>
              <w:pStyle w:val="Compact"/>
              <w:jc w:val="left"/>
            </w:pPr>
            <w:r>
              <w:t xml:space="preserve">Address</w:t>
            </w:r>
          </w:p>
        </w:tc>
        <w:tc>
          <w:tcPr/>
          <w:p>
            <w:pPr>
              <w:pStyle w:val="Compact"/>
              <w:jc w:val="left"/>
            </w:pPr>
            <w:r>
              <w:t xml:space="preserve">1200 Fourth Avenue, Suite 3000, Seattle, WA 98101</w:t>
            </w:r>
          </w:p>
        </w:tc>
        <w:tc>
          <w:tcPr/>
          <w:p>
            <w:pPr>
              <w:pStyle w:val="Compact"/>
              <w:jc w:val="left"/>
            </w:pPr>
            <w:r>
              <w:t xml:space="preserve">(blank)</w:t>
            </w:r>
          </w:p>
        </w:tc>
        <w:tc>
          <w:tcPr/>
          <w:p>
            <w:pPr>
              <w:pStyle w:val="Compact"/>
              <w:jc w:val="left"/>
            </w:pPr>
            <w:r>
              <w:t xml:space="preserve">2800 Sand Hill Road, Suite 210, Menlo Park, CA 94025</w:t>
            </w:r>
          </w:p>
        </w:tc>
      </w:tr>
    </w:tbl>
    <w:p>
      <w:pPr>
        <w:pStyle w:val="BodyText"/>
      </w:pPr>
      <w:r>
        <w:rPr>
          <w:b/>
          <w:bCs/>
        </w:rPr>
        <w:t xml:space="preserve">Why it matters.</w:t>
      </w:r>
      <w:r>
        <w:t xml:space="preserve"> </w:t>
      </w:r>
      <w:r>
        <w:t xml:space="preserve">The Selling Stockholder’s legal name, general partner, and control persons are disclosed in the Registration Statement’s</w:t>
      </w:r>
      <w:r>
        <w:t xml:space="preserve"> </w:t>
      </w:r>
      <w:r>
        <w:t xml:space="preserve">“</w:t>
      </w:r>
      <w:r>
        <w:t xml:space="preserve">Principal and Selling Stockholders</w:t>
      </w:r>
      <w:r>
        <w:t xml:space="preserve">”</w:t>
      </w:r>
      <w:r>
        <w:t xml:space="preserve"> </w:t>
      </w:r>
      <w:r>
        <w:t xml:space="preserve">table and footnotes, and are the subject of Selling Stockholder representations (Sections 2.1, 2.2, 2.4). The Power of Attorney and Custody Agreement must be executed by the correct authorized signatory of the correct general partner. If the entity name, general partner, or signatory is wrong, the Power of Attorney and the Underwriting Agreement may not be validly executed on behalf of the Selling Stockholder, and the Registration Statement disclosure would be inaccurate. The POA signature page uses a different entity name (</w:t>
      </w:r>
      <w:r>
        <w:t xml:space="preserve">“</w:t>
      </w:r>
      <w:r>
        <w:t xml:space="preserve">Cascade Ridge Ventures, LP</w:t>
      </w:r>
      <w:r>
        <w:t xml:space="preserve">”</w:t>
      </w:r>
      <w:r>
        <w:t xml:space="preserve">) than the Registration Statement and the questionnaire (</w:t>
      </w:r>
      <w:r>
        <w:t xml:space="preserve">“</w:t>
      </w:r>
      <w:r>
        <w:t xml:space="preserve">Cascade Kestridge Ventures, LP</w:t>
      </w:r>
      <w:r>
        <w:t xml:space="preserve">”</w:t>
      </w:r>
      <w:r>
        <w:t xml:space="preserve">) — this is particularly concerning because it may indicate a different entity or a scrivener’s error that could affect title to the shares.</w:t>
      </w:r>
    </w:p>
    <w:p>
      <w:pPr>
        <w:pStyle w:val="BodyText"/>
      </w:pPr>
      <w:r>
        <w:rPr>
          <w:b/>
          <w:bCs/>
        </w:rPr>
        <w:t xml:space="preserve">Recommendation.</w:t>
      </w:r>
      <w:r>
        <w:t xml:space="preserve"> </w:t>
      </w:r>
      <w:r>
        <w:t xml:space="preserve">Company counsel must obtain certified organizational documents and a good-standing certificate for the Selling Stockholder and confirm (a) the exact legal name, (b) the exact name of the general partner, (c) the natural person(s) with voting and investment power, and (d) the principal address. The Registration Statement footnotes, the POA/Custody Agreement, and the Underwriting Agreement (Schedule A) must be made consistent. The authorized signatory for the POA and the Underwriting Agreement must be confirmed.</w:t>
      </w:r>
      <w:r>
        <w:t xml:space="preserve"> </w:t>
      </w:r>
      <w:r>
        <w:rPr>
          <w:b/>
          <w:bCs/>
        </w:rPr>
        <w:t xml:space="preserve">Resolve before execution of the POA/Custody Agreement and the Underwriting Agreement.</w:t>
      </w:r>
    </w:p>
    <w:bookmarkEnd w:id="25"/>
    <w:bookmarkStart w:id="26" w:name="Xd3633451b1291f38b6d104896104a6185991f36"/>
    <w:p>
      <w:pPr>
        <w:pStyle w:val="Heading3"/>
      </w:pPr>
      <w:r>
        <w:t xml:space="preserve">Issue 6 — Conflicting Identity of Northlight Growth Partners Fund II, LP (General Partner and Control Person)</w:t>
      </w:r>
    </w:p>
    <w:p>
      <w:pPr>
        <w:pStyle w:val="FirstParagraph"/>
      </w:pPr>
      <w:r>
        <w:rPr>
          <w:b/>
          <w:bCs/>
        </w:rPr>
        <w:t xml:space="preserve">Discrepancy.</w:t>
      </w:r>
      <w:r>
        <w:t xml:space="preserve"> </w:t>
      </w:r>
      <w:r>
        <w:t xml:space="preserve">The Registration Statement (fn. 2) identifies the general partner of Northlight Growth Partners Fund II, LP as</w:t>
      </w:r>
      <w:r>
        <w:t xml:space="preserve"> </w:t>
      </w:r>
      <w:r>
        <w:t xml:space="preserve">“</w:t>
      </w:r>
      <w:r>
        <w:t xml:space="preserve">Northlight Capital Advisors LLC</w:t>
      </w:r>
      <w:r>
        <w:t xml:space="preserve">”</w:t>
      </w:r>
      <w:r>
        <w:t xml:space="preserve"> </w:t>
      </w:r>
      <w:r>
        <w:t xml:space="preserve">and the managing member as</w:t>
      </w:r>
      <w:r>
        <w:t xml:space="preserve"> </w:t>
      </w:r>
      <w:r>
        <w:t xml:space="preserve">“</w:t>
      </w:r>
      <w:r>
        <w:t xml:space="preserve">Caroline Briggs.</w:t>
      </w:r>
      <w:r>
        <w:t xml:space="preserve">”</w:t>
      </w:r>
      <w:r>
        <w:t xml:space="preserve"> </w:t>
      </w:r>
      <w:r>
        <w:t xml:space="preserve">The POA/Custody Agreement signature page identifies the general partner as</w:t>
      </w:r>
      <w:r>
        <w:t xml:space="preserve"> </w:t>
      </w:r>
      <w:r>
        <w:t xml:space="preserve">“</w:t>
      </w:r>
      <w:r>
        <w:t xml:space="preserve">Northlight Growth Advisors, LLC</w:t>
      </w:r>
      <w:r>
        <w:t xml:space="preserve">”</w:t>
      </w:r>
      <w:r>
        <w:t xml:space="preserve"> </w:t>
      </w:r>
      <w:r>
        <w:t xml:space="preserve">and the signatory as</w:t>
      </w:r>
      <w:r>
        <w:t xml:space="preserve"> </w:t>
      </w:r>
      <w:r>
        <w:t xml:space="preserve">“</w:t>
      </w:r>
      <w:r>
        <w:t xml:space="preserve">Eric P. Johansson, Managing Partner.</w:t>
      </w:r>
      <w:r>
        <w:t xml:space="preserve">”</w:t>
      </w:r>
    </w:p>
    <w:p>
      <w:pPr>
        <w:pStyle w:val="BodyText"/>
      </w:pPr>
      <w:r>
        <w:rPr>
          <w:b/>
          <w:bCs/>
        </w:rPr>
        <w:t xml:space="preserve">Why it matters.</w:t>
      </w:r>
      <w:r>
        <w:t xml:space="preserve"> </w:t>
      </w:r>
      <w:r>
        <w:t xml:space="preserve">Same concerns as Issue 5 — the general partner name and authorized signatory must be correct for valid execution of the POA/Custody Agreement and the Underwriting Agreement, and for accurate Registration Statement disclosure.</w:t>
      </w:r>
    </w:p>
    <w:p>
      <w:pPr>
        <w:pStyle w:val="BodyText"/>
      </w:pPr>
      <w:r>
        <w:rPr>
          <w:b/>
          <w:bCs/>
        </w:rPr>
        <w:t xml:space="preserve">Recommendation.</w:t>
      </w:r>
      <w:r>
        <w:t xml:space="preserve"> </w:t>
      </w:r>
      <w:r>
        <w:t xml:space="preserve">Company counsel must confirm the correct general partner name and authorized signatory by reference to the limited partnership agreement and organizational documents. Reconcile the Registration Statement, the POA/Custody Agreement, and Schedule A to the Underwriting Agreement.</w:t>
      </w:r>
      <w:r>
        <w:t xml:space="preserve"> </w:t>
      </w:r>
      <w:r>
        <w:rPr>
          <w:b/>
          <w:bCs/>
        </w:rPr>
        <w:t xml:space="preserve">Resolve before execution.</w:t>
      </w:r>
    </w:p>
    <w:p>
      <w:r>
        <w:pict>
          <v:rect style="width:0;height:1.5pt" o:hralign="center" o:hrstd="t" o:hr="t"/>
        </w:pict>
      </w:r>
    </w:p>
    <w:bookmarkEnd w:id="26"/>
    <w:bookmarkEnd w:id="27"/>
    <w:bookmarkStart w:id="36" w:name="iii.-material-issues"/>
    <w:p>
      <w:pPr>
        <w:pStyle w:val="Heading2"/>
      </w:pPr>
      <w:r>
        <w:t xml:space="preserve">III. Material Issues</w:t>
      </w:r>
    </w:p>
    <w:bookmarkStart w:id="28" w:name="X261603ee2dae2a5c9cd2b6d7181f40edadf612c"/>
    <w:p>
      <w:pPr>
        <w:pStyle w:val="Heading3"/>
      </w:pPr>
      <w:r>
        <w:t xml:space="preserve">Issue 7 — Additional Credit Facility Term Discrepancies (Date, Maturity, Interest Rate, Change-of-Control Threshold, Financial Covenants)</w:t>
      </w:r>
    </w:p>
    <w:p>
      <w:pPr>
        <w:pStyle w:val="FirstParagraph"/>
      </w:pPr>
      <w:r>
        <w:t xml:space="preserve">Beyond the lender name (Issue 1) and mandatory prepayment (Issue 2), the Credit Agreement Summary and the Registration Statement disagree on several other material terms of the Credit Facility: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Registration Statement</w:t>
            </w:r>
          </w:p>
        </w:tc>
        <w:tc>
          <w:tcPr/>
          <w:p>
            <w:pPr>
              <w:pStyle w:val="Compact"/>
              <w:jc w:val="left"/>
            </w:pPr>
            <w:r>
              <w:t xml:space="preserve">Credit Agreement Summary</w:t>
            </w:r>
          </w:p>
        </w:tc>
      </w:tr>
      <w:tr>
        <w:tc>
          <w:tcPr/>
          <w:p>
            <w:pPr>
              <w:pStyle w:val="Compact"/>
              <w:jc w:val="left"/>
            </w:pPr>
            <w:r>
              <w:t xml:space="preserve">Agreement date</w:t>
            </w:r>
          </w:p>
        </w:tc>
        <w:tc>
          <w:tcPr/>
          <w:p>
            <w:pPr>
              <w:pStyle w:val="Compact"/>
              <w:jc w:val="left"/>
            </w:pPr>
            <w:r>
              <w:t xml:space="preserve">July 15, 2022</w:t>
            </w:r>
          </w:p>
        </w:tc>
        <w:tc>
          <w:tcPr/>
          <w:p>
            <w:pPr>
              <w:pStyle w:val="Compact"/>
              <w:jc w:val="left"/>
            </w:pPr>
            <w:r>
              <w:t xml:space="preserve">June 15, 2023 (amended Feb. 28, 2024)</w:t>
            </w:r>
          </w:p>
        </w:tc>
      </w:tr>
      <w:tr>
        <w:tc>
          <w:tcPr/>
          <w:p>
            <w:pPr>
              <w:pStyle w:val="Compact"/>
              <w:jc w:val="left"/>
            </w:pPr>
            <w:r>
              <w:t xml:space="preserve">Maturity date</w:t>
            </w:r>
          </w:p>
        </w:tc>
        <w:tc>
          <w:tcPr/>
          <w:p>
            <w:pPr>
              <w:pStyle w:val="Compact"/>
              <w:jc w:val="left"/>
            </w:pPr>
            <w:r>
              <w:t xml:space="preserve">December 31, 2026</w:t>
            </w:r>
          </w:p>
        </w:tc>
        <w:tc>
          <w:tcPr/>
          <w:p>
            <w:pPr>
              <w:pStyle w:val="Compact"/>
              <w:jc w:val="left"/>
            </w:pPr>
            <w:r>
              <w:t xml:space="preserve">June 15, 2027</w:t>
            </w:r>
          </w:p>
        </w:tc>
      </w:tr>
      <w:tr>
        <w:tc>
          <w:tcPr/>
          <w:p>
            <w:pPr>
              <w:pStyle w:val="Compact"/>
              <w:jc w:val="left"/>
            </w:pPr>
            <w:r>
              <w:t xml:space="preserve">Interest rate</w:t>
            </w:r>
          </w:p>
        </w:tc>
        <w:tc>
          <w:tcPr/>
          <w:p>
            <w:pPr>
              <w:pStyle w:val="Compact"/>
              <w:jc w:val="left"/>
            </w:pPr>
            <w:r>
              <w:t xml:space="preserve">SOFR + 2.50% (flat)</w:t>
            </w:r>
          </w:p>
        </w:tc>
        <w:tc>
          <w:tcPr/>
          <w:p>
            <w:pPr>
              <w:pStyle w:val="Compact"/>
              <w:jc w:val="left"/>
            </w:pPr>
            <w:r>
              <w:t xml:space="preserve">Grid: SOFR + 2.25% / 2.75% / 3.25% (current 2.25%)</w:t>
            </w:r>
          </w:p>
        </w:tc>
      </w:tr>
      <w:tr>
        <w:tc>
          <w:tcPr/>
          <w:p>
            <w:pPr>
              <w:pStyle w:val="Compact"/>
              <w:jc w:val="left"/>
            </w:pPr>
            <w:r>
              <w:t xml:space="preserve">Change-of-control threshold</w:t>
            </w:r>
          </w:p>
        </w:tc>
        <w:tc>
          <w:tcPr/>
          <w:p>
            <w:pPr>
              <w:pStyle w:val="Compact"/>
              <w:jc w:val="left"/>
            </w:pPr>
            <w:r>
              <w:t xml:space="preserve">&gt;50% of voting stock</w:t>
            </w:r>
          </w:p>
        </w:tc>
        <w:tc>
          <w:tcPr/>
          <w:p>
            <w:pPr>
              <w:pStyle w:val="Compact"/>
              <w:jc w:val="left"/>
            </w:pPr>
            <w:r>
              <w:t xml:space="preserve">&gt;35% of voting equity</w:t>
            </w:r>
          </w:p>
        </w:tc>
      </w:tr>
      <w:tr>
        <w:tc>
          <w:tcPr/>
          <w:p>
            <w:pPr>
              <w:pStyle w:val="Compact"/>
              <w:jc w:val="left"/>
            </w:pPr>
            <w:r>
              <w:t xml:space="preserve">Coverage covenant</w:t>
            </w:r>
          </w:p>
        </w:tc>
        <w:tc>
          <w:tcPr/>
          <w:p>
            <w:pPr>
              <w:pStyle w:val="Compact"/>
              <w:jc w:val="left"/>
            </w:pPr>
            <w:r>
              <w:t xml:space="preserve">Minimum interest coverage ≥ 3.00:1.00</w:t>
            </w:r>
          </w:p>
        </w:tc>
        <w:tc>
          <w:tcPr/>
          <w:p>
            <w:pPr>
              <w:pStyle w:val="Compact"/>
              <w:jc w:val="left"/>
            </w:pPr>
            <w:r>
              <w:t xml:space="preserve">Fixed charge coverage ≥ 1.25:1.00</w:t>
            </w:r>
          </w:p>
        </w:tc>
      </w:tr>
      <w:tr>
        <w:tc>
          <w:tcPr/>
          <w:p>
            <w:pPr>
              <w:pStyle w:val="Compact"/>
              <w:jc w:val="left"/>
            </w:pPr>
            <w:r>
              <w:t xml:space="preserve">Revenue covenant</w:t>
            </w:r>
          </w:p>
        </w:tc>
        <w:tc>
          <w:tcPr/>
          <w:p>
            <w:pPr>
              <w:pStyle w:val="Compact"/>
              <w:jc w:val="left"/>
            </w:pPr>
            <w:r>
              <w:t xml:space="preserve">Not disclosed</w:t>
            </w:r>
          </w:p>
        </w:tc>
        <w:tc>
          <w:tcPr/>
          <w:p>
            <w:pPr>
              <w:pStyle w:val="Compact"/>
              <w:jc w:val="left"/>
            </w:pPr>
            <w:r>
              <w:t xml:space="preserve">Minimum revenue ≥ $200 million</w:t>
            </w:r>
          </w:p>
        </w:tc>
      </w:tr>
      <w:tr>
        <w:tc>
          <w:tcPr/>
          <w:p>
            <w:pPr>
              <w:pStyle w:val="Compact"/>
              <w:jc w:val="left"/>
            </w:pPr>
            <w:r>
              <w:t xml:space="preserve">Minimum liquidity</w:t>
            </w:r>
          </w:p>
        </w:tc>
        <w:tc>
          <w:tcPr/>
          <w:p>
            <w:pPr>
              <w:pStyle w:val="Compact"/>
              <w:jc w:val="left"/>
            </w:pPr>
            <w:r>
              <w:t xml:space="preserve">Minimum unrestricted cash ≥ $15 million</w:t>
            </w:r>
          </w:p>
        </w:tc>
        <w:tc>
          <w:tcPr/>
          <w:p>
            <w:pPr>
              <w:pStyle w:val="Compact"/>
              <w:jc w:val="left"/>
            </w:pPr>
            <w:r>
              <w:t xml:space="preserve">Unrestricted cash + available revolver ≥ $15 million</w:t>
            </w:r>
          </w:p>
        </w:tc>
      </w:tr>
    </w:tbl>
    <w:p>
      <w:pPr>
        <w:pStyle w:val="BodyText"/>
      </w:pPr>
      <w:r>
        <w:rPr>
          <w:b/>
          <w:bCs/>
        </w:rPr>
        <w:t xml:space="preserve">Why it matters.</w:t>
      </w:r>
      <w:r>
        <w:t xml:space="preserve"> </w:t>
      </w:r>
      <w:r>
        <w:t xml:space="preserve">These terms are disclosed in the Registration Statement’s Risk Factors and Material Contracts sections and are relevant to the Company’s Material Contracts representation (Section 1.11) and the No Conflicts representation (Section 1.5). The change-of-control threshold (50% vs. 35%) is particularly important because it affects the analysis of whether the IPO or post-IPO ownership triggers an event of default. The Credit Agreement Summary concludes the IPO does not trigger a change of control under the 35% threshold (largest post-IPO holder is Dr. Krishnamurthy at 15.8%); if the threshold were 50%, the analysis would be even more comfortable, but the disclosed threshold must be accurate.</w:t>
      </w:r>
    </w:p>
    <w:p>
      <w:pPr>
        <w:pStyle w:val="BodyText"/>
      </w:pPr>
      <w:r>
        <w:rPr>
          <w:b/>
          <w:bCs/>
        </w:rPr>
        <w:t xml:space="preserve">Recommendation.</w:t>
      </w:r>
      <w:r>
        <w:t xml:space="preserve"> </w:t>
      </w:r>
      <w:r>
        <w:t xml:space="preserve">Company counsel must reconcile each of these terms against the executed Credit Agreement and First Amendment. The Registration Statement’s Material Contracts and Risk Factors descriptions should be corrected in the Final Prospectus if any are inaccurate. The Underwriting Agreement’s Material Contracts representation (Section 1.11) should be reviewed for consistency. Confirm the post-IPO change-of-control analysis using the correct threshold.</w:t>
      </w:r>
    </w:p>
    <w:bookmarkEnd w:id="28"/>
    <w:bookmarkStart w:id="29" w:name="Xb97dcd3aed64e1ff691cdf8f3a750e7103d535c"/>
    <w:p>
      <w:pPr>
        <w:pStyle w:val="Heading3"/>
      </w:pPr>
      <w:r>
        <w:t xml:space="preserve">Issue 8 — Dr. Krishnamurthy’s Selling Stockholder Shares (500,000 vs. </w:t>
      </w:r>
      <w:r>
        <w:t xml:space="preserve">“</w:t>
      </w:r>
      <w:r>
        <w:t xml:space="preserve">up to 750,000</w:t>
      </w:r>
      <w:r>
        <w:t xml:space="preserve">”</w:t>
      </w:r>
      <w:r>
        <w:t xml:space="preserve">)</w:t>
      </w:r>
    </w:p>
    <w:p>
      <w:pPr>
        <w:pStyle w:val="FirstParagraph"/>
      </w:pPr>
      <w:r>
        <w:rPr>
          <w:b/>
          <w:bCs/>
        </w:rPr>
        <w:t xml:space="preserve">Discrepancy.</w:t>
      </w:r>
      <w:r>
        <w:t xml:space="preserve"> </w:t>
      </w:r>
      <w:r>
        <w:t xml:space="preserve">The Term Sheet (Section 2.1), the Registration Statement, and the POA/Custody Agreement (Schedule A) all state that Dr. Krishnamurthy will sell</w:t>
      </w:r>
      <w:r>
        <w:t xml:space="preserve"> </w:t>
      </w:r>
      <w:r>
        <w:rPr>
          <w:b/>
          <w:bCs/>
        </w:rPr>
        <w:t xml:space="preserve">500,000</w:t>
      </w:r>
      <w:r>
        <w:t xml:space="preserve"> </w:t>
      </w:r>
      <w:r>
        <w:t xml:space="preserve">shares. The Engagement Letter (Section 2 and Annex A) states that Dr. Krishnamurthy will sell</w:t>
      </w:r>
      <w:r>
        <w:t xml:space="preserve"> </w:t>
      </w:r>
      <w:r>
        <w:t xml:space="preserve">“</w:t>
      </w:r>
      <w:r>
        <w:rPr>
          <w:b/>
          <w:bCs/>
        </w:rPr>
        <w:t xml:space="preserve">up to 750,000</w:t>
      </w:r>
      <w:r>
        <w:t xml:space="preserve">”</w:t>
      </w:r>
      <w:r>
        <w:t xml:space="preserve"> </w:t>
      </w:r>
      <w:r>
        <w:t xml:space="preserve">shares (with a baseline assumption of 500,000 for economic calculations).</w:t>
      </w:r>
    </w:p>
    <w:p>
      <w:pPr>
        <w:pStyle w:val="BodyText"/>
      </w:pPr>
      <w:r>
        <w:rPr>
          <w:b/>
          <w:bCs/>
        </w:rPr>
        <w:t xml:space="preserve">Why it matters.</w:t>
      </w:r>
      <w:r>
        <w:t xml:space="preserve"> </w:t>
      </w:r>
      <w:r>
        <w:t xml:space="preserve">The number of Selling Stockholder Shares affects the Selling Stockholder representations, the capitalization table, the beneficial ownership table, and the net proceeds calculations. The Underwriting Agreement (Schedule A) and the Registration Statement use 500,000.</w:t>
      </w:r>
    </w:p>
    <w:p>
      <w:pPr>
        <w:pStyle w:val="BodyText"/>
      </w:pPr>
      <w:r>
        <w:rPr>
          <w:b/>
          <w:bCs/>
        </w:rPr>
        <w:t xml:space="preserve">Recommendation.</w:t>
      </w:r>
      <w:r>
        <w:t xml:space="preserve"> </w:t>
      </w:r>
      <w:r>
        <w:t xml:space="preserve">Confirm with Dr. Krishnamurthy and the Representative that the final number is 500,000 shares. The Engagement Letter’s</w:t>
      </w:r>
      <w:r>
        <w:t xml:space="preserve"> </w:t>
      </w:r>
      <w:r>
        <w:t xml:space="preserve">“</w:t>
      </w:r>
      <w:r>
        <w:t xml:space="preserve">up to 750,000</w:t>
      </w:r>
      <w:r>
        <w:t xml:space="preserve">”</w:t>
      </w:r>
      <w:r>
        <w:t xml:space="preserve"> </w:t>
      </w:r>
      <w:r>
        <w:t xml:space="preserve">appears to have been superseded. The Underwriting Agreement has been drafted with 500,000 shares. If the number is increased, the Registration Statement, the POA/Custody Agreement, and Schedule A must be updated, and the beneficial ownership table revised.</w:t>
      </w:r>
    </w:p>
    <w:bookmarkEnd w:id="29"/>
    <w:bookmarkStart w:id="30" w:name="X59a6385d227dd68b9d6d7fb126c66c7714799bc"/>
    <w:p>
      <w:pPr>
        <w:pStyle w:val="Heading3"/>
      </w:pPr>
      <w:r>
        <w:t xml:space="preserve">Issue 9 — Dr. Krishnamurthy’s Shares Held (8.4 million vs. </w:t>
      </w:r>
      <w:r>
        <w:t xml:space="preserve">“</w:t>
      </w:r>
      <w:r>
        <w:t xml:space="preserve">approximately 8.5 million</w:t>
      </w:r>
      <w:r>
        <w:t xml:space="preserve">”</w:t>
      </w:r>
      <w:r>
        <w:t xml:space="preserve">)</w:t>
      </w:r>
    </w:p>
    <w:p>
      <w:pPr>
        <w:pStyle w:val="FirstParagraph"/>
      </w:pPr>
      <w:r>
        <w:rPr>
          <w:b/>
          <w:bCs/>
        </w:rPr>
        <w:t xml:space="preserve">Discrepancy.</w:t>
      </w:r>
      <w:r>
        <w:t xml:space="preserve"> </w:t>
      </w:r>
      <w:r>
        <w:t xml:space="preserve">The Term Sheet (Sections 2.1 and 6.1) describes Dr. Krishnamurthy as holding</w:t>
      </w:r>
      <w:r>
        <w:t xml:space="preserve"> </w:t>
      </w:r>
      <w:r>
        <w:t xml:space="preserve">“</w:t>
      </w:r>
      <w:r>
        <w:t xml:space="preserve">approximately 8.5 million</w:t>
      </w:r>
      <w:r>
        <w:t xml:space="preserve">”</w:t>
      </w:r>
      <w:r>
        <w:t xml:space="preserve"> </w:t>
      </w:r>
      <w:r>
        <w:t xml:space="preserve">shares. The Registration Statement (beneficial ownership table, fn. 3: 7,600,000 direct + 800,000 options = 8,400,000), the POA/Custody Agreement (Schedule A: 8,400,000), and the Engagement Letter (Annex A: 8,400,000) all state 8,400,000 shares.</w:t>
      </w:r>
    </w:p>
    <w:p>
      <w:pPr>
        <w:pStyle w:val="BodyText"/>
      </w:pPr>
      <w:r>
        <w:rPr>
          <w:b/>
          <w:bCs/>
        </w:rPr>
        <w:t xml:space="preserve">Why it matters.</w:t>
      </w:r>
      <w:r>
        <w:t xml:space="preserve"> </w:t>
      </w:r>
      <w:r>
        <w:t xml:space="preserve">The Term Sheet figure is inconsistent with the other three documents. The Registration Statement’s beneficial ownership table is the controlling disclosure.</w:t>
      </w:r>
    </w:p>
    <w:p>
      <w:pPr>
        <w:pStyle w:val="BodyText"/>
      </w:pPr>
      <w:r>
        <w:rPr>
          <w:b/>
          <w:bCs/>
        </w:rPr>
        <w:t xml:space="preserve">Recommendation.</w:t>
      </w:r>
      <w:r>
        <w:t xml:space="preserve"> </w:t>
      </w:r>
      <w:r>
        <w:t xml:space="preserve">Use 8,400,000 (consistent with the Registration Statement). The Term Sheet’s</w:t>
      </w:r>
      <w:r>
        <w:t xml:space="preserve"> </w:t>
      </w:r>
      <w:r>
        <w:t xml:space="preserve">“</w:t>
      </w:r>
      <w:r>
        <w:t xml:space="preserve">approximately 8.5 million</w:t>
      </w:r>
      <w:r>
        <w:t xml:space="preserve">”</w:t>
      </w:r>
      <w:r>
        <w:t xml:space="preserve"> </w:t>
      </w:r>
      <w:r>
        <w:t xml:space="preserve">appears to be an approximation that should be corrected. The Underwriting Agreement (Schedule A) uses 8,400,000.</w:t>
      </w:r>
    </w:p>
    <w:bookmarkEnd w:id="30"/>
    <w:bookmarkStart w:id="31" w:name="X46dde8efebd2a8ba81181c5e280f9e6157379df"/>
    <w:p>
      <w:pPr>
        <w:pStyle w:val="Heading3"/>
      </w:pPr>
      <w:r>
        <w:t xml:space="preserve">Issue 10 — Springing Lock-Up Extension for Dr. Krishnamurthy Not Reflected in the Form Lock-Up Agreement or the Registration Statement</w:t>
      </w:r>
    </w:p>
    <w:p>
      <w:pPr>
        <w:pStyle w:val="FirstParagraph"/>
      </w:pPr>
      <w:r>
        <w:rPr>
          <w:b/>
          <w:bCs/>
        </w:rPr>
        <w:t xml:space="preserve">Discrepancy.</w:t>
      </w:r>
      <w:r>
        <w:t xml:space="preserve"> </w:t>
      </w:r>
      <w:r>
        <w:t xml:space="preserve">The Term Sheet (Section 10.2) and the POA/Custody Agreement (Section 2(c)) contemplate a</w:t>
      </w:r>
      <w:r>
        <w:t xml:space="preserve"> </w:t>
      </w:r>
      <w:r>
        <w:t xml:space="preserve">“</w:t>
      </w:r>
      <w:r>
        <w:t xml:space="preserve">market standoff</w:t>
      </w:r>
      <w:r>
        <w:t xml:space="preserve">”</w:t>
      </w:r>
      <w:r>
        <w:t xml:space="preserve"> </w:t>
      </w:r>
      <w:r>
        <w:t xml:space="preserve">springing extension for Dr. Krishnamurthy: if the closing price of the Common Stock is below the IPO Price for five (5) consecutive trading days during the final seventeen (17) trading days of the standard 180-day lock-up, Dr. Krishnamurthy’s lock-up automatically extends by 18 calendar days (to 198 days total). The Form of Lock-Up Agreement circulated does</w:t>
      </w:r>
      <w:r>
        <w:t xml:space="preserve"> </w:t>
      </w:r>
      <w:r>
        <w:rPr>
          <w:b/>
          <w:bCs/>
        </w:rPr>
        <w:t xml:space="preserve">not</w:t>
      </w:r>
      <w:r>
        <w:t xml:space="preserve"> </w:t>
      </w:r>
      <w:r>
        <w:t xml:space="preserve">include this springing extension, and the Registration Statement’s lock-up disclosure does</w:t>
      </w:r>
      <w:r>
        <w:t xml:space="preserve"> </w:t>
      </w:r>
      <w:r>
        <w:rPr>
          <w:b/>
          <w:bCs/>
        </w:rPr>
        <w:t xml:space="preserve">not</w:t>
      </w:r>
      <w:r>
        <w:t xml:space="preserve"> </w:t>
      </w:r>
      <w:r>
        <w:t xml:space="preserve">mention it.</w:t>
      </w:r>
    </w:p>
    <w:p>
      <w:pPr>
        <w:pStyle w:val="BodyText"/>
      </w:pPr>
      <w:r>
        <w:rPr>
          <w:b/>
          <w:bCs/>
        </w:rPr>
        <w:t xml:space="preserve">Why it matters.</w:t>
      </w:r>
      <w:r>
        <w:t xml:space="preserve"> </w:t>
      </w:r>
      <w:r>
        <w:t xml:space="preserve">The Underwriting Agreement (Section 7.12) requires Dr. Krishnamurthy’s Lock-Up Agreement to include the springing extension, and the POA/Custody Agreement authorizes the attorneys-in-fact to execute a lock-up</w:t>
      </w:r>
      <w:r>
        <w:t xml:space="preserve"> </w:t>
      </w:r>
      <w:r>
        <w:t xml:space="preserve">“</w:t>
      </w:r>
      <w:r>
        <w:t xml:space="preserve">inclusive of the springing extension provision.</w:t>
      </w:r>
      <w:r>
        <w:t xml:space="preserve">”</w:t>
      </w:r>
      <w:r>
        <w:t xml:space="preserve"> </w:t>
      </w:r>
      <w:r>
        <w:t xml:space="preserve">If the form Lock-Up Agreement is not modified for Dr. Krishnamurthy, the Underwriting Agreement’s lock-up condition (Section 8.10) may not be satisfied as to Dr. Krishnamurthy. In addition, the Registration Statement should disclose the springing extension because it is a material term of Dr. Krishnamurthy’s lock-up that affects the post-Offering transferability of his shares.</w:t>
      </w:r>
    </w:p>
    <w:p>
      <w:pPr>
        <w:pStyle w:val="BodyText"/>
      </w:pPr>
      <w:r>
        <w:rPr>
          <w:b/>
          <w:bCs/>
        </w:rPr>
        <w:t xml:space="preserve">Recommendation.</w:t>
      </w:r>
      <w:r>
        <w:t xml:space="preserve"> </w:t>
      </w:r>
      <w:r>
        <w:t xml:space="preserve">(a) Prepare a separate Lock-Up Agreement form (or an addendum) for Dr. Krishnamurthy that includes the springing extension, consistent with Section 7.12 of the Underwriting Agreement and Section 10.2 of the Term Sheet. (b) Consider whether the Registration Statement’s lock-up disclosure should be supplemented to describe the springing extension. (c) Confirm that the springing extension mechanics (the</w:t>
      </w:r>
      <w:r>
        <w:t xml:space="preserve"> </w:t>
      </w:r>
      <w:r>
        <w:t xml:space="preserve">“</w:t>
      </w:r>
      <w:r>
        <w:t xml:space="preserve">five consecutive trading days</w:t>
      </w:r>
      <w:r>
        <w:t xml:space="preserve">”</w:t>
      </w:r>
      <w:r>
        <w:t xml:space="preserve"> </w:t>
      </w:r>
      <w:r>
        <w:t xml:space="preserve">and</w:t>
      </w:r>
      <w:r>
        <w:t xml:space="preserve"> </w:t>
      </w:r>
      <w:r>
        <w:t xml:space="preserve">“</w:t>
      </w:r>
      <w:r>
        <w:t xml:space="preserve">final seventeen trading days</w:t>
      </w:r>
      <w:r>
        <w:t xml:space="preserve">”</w:t>
      </w:r>
      <w:r>
        <w:t xml:space="preserve"> </w:t>
      </w:r>
      <w:r>
        <w:t xml:space="preserve">parameters) are correctly captured.</w:t>
      </w:r>
    </w:p>
    <w:bookmarkEnd w:id="31"/>
    <w:bookmarkStart w:id="32" w:name="X14b2562db31c9c5fd2f88874aaf5f676456e080"/>
    <w:p>
      <w:pPr>
        <w:pStyle w:val="Heading3"/>
      </w:pPr>
      <w:r>
        <w:t xml:space="preserve">Issue 11 — Lock-Up Early-Release Threshold (</w:t>
      </w:r>
      <w:r>
        <w:t xml:space="preserve">“</w:t>
      </w:r>
      <w:r>
        <w:t xml:space="preserve">to be agreed</w:t>
      </w:r>
      <w:r>
        <w:t xml:space="preserve">”</w:t>
      </w:r>
      <w:r>
        <w:t xml:space="preserve"> </w:t>
      </w:r>
      <w:r>
        <w:t xml:space="preserve">vs. 1%)</w:t>
      </w:r>
    </w:p>
    <w:p>
      <w:pPr>
        <w:pStyle w:val="FirstParagraph"/>
      </w:pPr>
      <w:r>
        <w:rPr>
          <w:b/>
          <w:bCs/>
        </w:rPr>
        <w:t xml:space="preserve">Discrepancy.</w:t>
      </w:r>
      <w:r>
        <w:t xml:space="preserve"> </w:t>
      </w:r>
      <w:r>
        <w:t xml:space="preserve">The Term Sheet (Section 10.1) states that the early-release notice requirement applies</w:t>
      </w:r>
      <w:r>
        <w:t xml:space="preserve"> </w:t>
      </w:r>
      <w:r>
        <w:t xml:space="preserve">“</w:t>
      </w:r>
      <w:r>
        <w:t xml:space="preserve">if such release covers shares in excess of a threshold</w:t>
      </w:r>
      <w:r>
        <w:t xml:space="preserve"> </w:t>
      </w:r>
      <w:r>
        <w:rPr>
          <w:b/>
          <w:bCs/>
        </w:rPr>
        <w:t xml:space="preserve">to be agreed upon</w:t>
      </w:r>
      <w:r>
        <w:t xml:space="preserve"> </w:t>
      </w:r>
      <w:r>
        <w:t xml:space="preserve">in the definitive underwriting agreement.</w:t>
      </w:r>
      <w:r>
        <w:t xml:space="preserve">”</w:t>
      </w:r>
      <w:r>
        <w:t xml:space="preserve"> </w:t>
      </w:r>
      <w:r>
        <w:t xml:space="preserve">The Engagement Letter (Section 7) and the Form of Lock-Up Agreement (Section 3) both specify a</w:t>
      </w:r>
      <w:r>
        <w:t xml:space="preserve"> </w:t>
      </w:r>
      <w:r>
        <w:rPr>
          <w:b/>
          <w:bCs/>
        </w:rPr>
        <w:t xml:space="preserve">1%</w:t>
      </w:r>
      <w:r>
        <w:t xml:space="preserve"> </w:t>
      </w:r>
      <w:r>
        <w:t xml:space="preserve">threshold (i.e., three business days’ prior written notice to the Company if the release covers more than 1% of the outstanding shares). The Registration Statement describes the threshold as</w:t>
      </w:r>
      <w:r>
        <w:t xml:space="preserve"> </w:t>
      </w:r>
      <w:r>
        <w:t xml:space="preserve">“</w:t>
      </w:r>
      <w:r>
        <w:t xml:space="preserve">a material number of shares.</w:t>
      </w:r>
      <w:r>
        <w:t xml:space="preserve">”</w:t>
      </w:r>
    </w:p>
    <w:p>
      <w:pPr>
        <w:pStyle w:val="BodyText"/>
      </w:pPr>
      <w:r>
        <w:rPr>
          <w:b/>
          <w:bCs/>
        </w:rPr>
        <w:t xml:space="preserve">Why it matters.</w:t>
      </w:r>
      <w:r>
        <w:t xml:space="preserve"> </w:t>
      </w:r>
      <w:r>
        <w:t xml:space="preserve">The early-release threshold affects the Underwriters’ flexibility to release lock-up parties and the Company’s notice rights. The Form of Lock-Up Agreement (the document actually executed) uses 1%, which is the operative term.</w:t>
      </w:r>
    </w:p>
    <w:p>
      <w:pPr>
        <w:pStyle w:val="BodyText"/>
      </w:pPr>
      <w:r>
        <w:rPr>
          <w:b/>
          <w:bCs/>
        </w:rPr>
        <w:t xml:space="preserve">Recommendation.</w:t>
      </w:r>
      <w:r>
        <w:t xml:space="preserve"> </w:t>
      </w:r>
      <w:r>
        <w:t xml:space="preserve">The Underwriting Agreement has been drafted to reference the 1% threshold (consistent with the Form of Lock-Up Agreement and the Engagement Letter). The Term Sheet’s</w:t>
      </w:r>
      <w:r>
        <w:t xml:space="preserve"> </w:t>
      </w:r>
      <w:r>
        <w:t xml:space="preserve">“</w:t>
      </w:r>
      <w:r>
        <w:t xml:space="preserve">to be agreed</w:t>
      </w:r>
      <w:r>
        <w:t xml:space="preserve">”</w:t>
      </w:r>
      <w:r>
        <w:t xml:space="preserve"> </w:t>
      </w:r>
      <w:r>
        <w:t xml:space="preserve">language is superseded. Confirm that 1% is acceptable to the Company and the Representative.</w:t>
      </w:r>
    </w:p>
    <w:bookmarkEnd w:id="32"/>
    <w:bookmarkStart w:id="33" w:name="X51becd3ee2979efd5fb34760a3fc3c4136afdf8"/>
    <w:p>
      <w:pPr>
        <w:pStyle w:val="Heading3"/>
      </w:pPr>
      <w:r>
        <w:t xml:space="preserve">Issue 12 — Lock-Up Exceptions (Narrower in Term Sheet Than in Form Lock-Up Agreement)</w:t>
      </w:r>
    </w:p>
    <w:p>
      <w:pPr>
        <w:pStyle w:val="FirstParagraph"/>
      </w:pPr>
      <w:r>
        <w:rPr>
          <w:b/>
          <w:bCs/>
        </w:rPr>
        <w:t xml:space="preserve">Discrepancy.</w:t>
      </w:r>
      <w:r>
        <w:t xml:space="preserve"> </w:t>
      </w:r>
      <w:r>
        <w:t xml:space="preserve">The Term Sheet (Section 10.1) lists four customary exceptions to the lock-up (gifts, estate-planning trusts, operation of law, and Rule 10b5-1 plans). The Registration Statement lists six exceptions (adding QDROs, transfers to affiliates/LPs/members, and pro rata distributions). The Form of Lock-Up Agreement lists eight exceptions (adding exercise of options/sell-to-cover, shares sold in the Offering, and transfers to the Company).</w:t>
      </w:r>
    </w:p>
    <w:p>
      <w:pPr>
        <w:pStyle w:val="BodyText"/>
      </w:pPr>
      <w:r>
        <w:rPr>
          <w:b/>
          <w:bCs/>
        </w:rPr>
        <w:t xml:space="preserve">Why it matters.</w:t>
      </w:r>
      <w:r>
        <w:t xml:space="preserve"> </w:t>
      </w:r>
      <w:r>
        <w:t xml:space="preserve">The Form of Lock-Up Agreement is the document that will be executed and is the most comprehensive. The Term Sheet’s narrower list is not consistent with the form that will actually be used.</w:t>
      </w:r>
    </w:p>
    <w:p>
      <w:pPr>
        <w:pStyle w:val="BodyText"/>
      </w:pPr>
      <w:r>
        <w:rPr>
          <w:b/>
          <w:bCs/>
        </w:rPr>
        <w:t xml:space="preserve">Recommendation.</w:t>
      </w:r>
      <w:r>
        <w:t xml:space="preserve"> </w:t>
      </w:r>
      <w:r>
        <w:t xml:space="preserve">The Underwriting Agreement (Exhibit A) references the Form of Lock-Up Agreement, which governs. No change needed to the Underwriting Agreement, but the parties should confirm that the eight-exception form is acceptable. The Registration Statement’s six-exception description should be reviewed for consistency with the executed form (the Registration Statement need not enumerate every exception, but should not be misleading).</w:t>
      </w:r>
    </w:p>
    <w:bookmarkEnd w:id="33"/>
    <w:bookmarkStart w:id="34" w:name="X606f4532dbbf58011fa4fffafb9e57e0202712a"/>
    <w:p>
      <w:pPr>
        <w:pStyle w:val="Heading3"/>
      </w:pPr>
      <w:r>
        <w:t xml:space="preserve">Issue 13 — Material Adverse Effect Reference Date (December 31, 2023 vs. December 31, 2024)</w:t>
      </w:r>
    </w:p>
    <w:p>
      <w:pPr>
        <w:pStyle w:val="FirstParagraph"/>
      </w:pPr>
      <w:r>
        <w:rPr>
          <w:b/>
          <w:bCs/>
        </w:rPr>
        <w:t xml:space="preserve">Discrepancy.</w:t>
      </w:r>
      <w:r>
        <w:t xml:space="preserve"> </w:t>
      </w:r>
      <w:r>
        <w:t xml:space="preserve">The Credit Agreement Summary (Section 12) states that the Credit Agreement representations use</w:t>
      </w:r>
      <w:r>
        <w:t xml:space="preserve"> </w:t>
      </w:r>
      <w:r>
        <w:t xml:space="preserve">“</w:t>
      </w:r>
      <w:r>
        <w:t xml:space="preserve">December 31, 2023</w:t>
      </w:r>
      <w:r>
        <w:t xml:space="preserve">”</w:t>
      </w:r>
      <w:r>
        <w:t xml:space="preserve"> </w:t>
      </w:r>
      <w:r>
        <w:t xml:space="preserve">as the</w:t>
      </w:r>
      <w:r>
        <w:t xml:space="preserve"> </w:t>
      </w:r>
      <w:r>
        <w:t xml:space="preserve">“</w:t>
      </w:r>
      <w:r>
        <w:t xml:space="preserve">no Material Adverse Effect</w:t>
      </w:r>
      <w:r>
        <w:t xml:space="preserve">”</w:t>
      </w:r>
      <w:r>
        <w:t xml:space="preserve"> </w:t>
      </w:r>
      <w:r>
        <w:t xml:space="preserve">reference date. The Underwriting Agreement (Sections 1.9 and 8.12) and the Registration Statement use</w:t>
      </w:r>
      <w:r>
        <w:t xml:space="preserve"> </w:t>
      </w:r>
      <w:r>
        <w:rPr>
          <w:b/>
          <w:bCs/>
        </w:rPr>
        <w:t xml:space="preserve">December 31, 2024</w:t>
      </w:r>
      <w:r>
        <w:t xml:space="preserve"> </w:t>
      </w:r>
      <w:r>
        <w:t xml:space="preserve">(the date of the latest audited financial statements) as the Material Adverse Change reference date.</w:t>
      </w:r>
    </w:p>
    <w:p>
      <w:pPr>
        <w:pStyle w:val="BodyText"/>
      </w:pPr>
      <w:r>
        <w:rPr>
          <w:b/>
          <w:bCs/>
        </w:rPr>
        <w:t xml:space="preserve">Why it matters.</w:t>
      </w:r>
      <w:r>
        <w:t xml:space="preserve"> </w:t>
      </w:r>
      <w:r>
        <w:t xml:space="preserve">The Underwriting Agreement’s MAC representation and bring-down (Sections 1.9 and 8.12) are tied to December 31, 2024, which is appropriate for an IPO where the latest audited financials are as of that date. The Credit Agreement’s earlier reference date is a separate contractual matter but is noted here for completeness.</w:t>
      </w:r>
    </w:p>
    <w:p>
      <w:pPr>
        <w:pStyle w:val="BodyText"/>
      </w:pPr>
      <w:r>
        <w:rPr>
          <w:b/>
          <w:bCs/>
        </w:rPr>
        <w:t xml:space="preserve">Recommendation.</w:t>
      </w:r>
      <w:r>
        <w:t xml:space="preserve"> </w:t>
      </w:r>
      <w:r>
        <w:t xml:space="preserve">No change to the Underwriting Agreement (December 31, 2024 is correct). Flag for the deal team that the Credit Agreement’s MAC representation uses an earlier date; confirm the Company is not in breach of the Credit Agreement’s MAC representation as of December 31, 2023.</w:t>
      </w:r>
    </w:p>
    <w:bookmarkEnd w:id="34"/>
    <w:bookmarkStart w:id="35" w:name="X7510dc0bc172a7481e0c41808cf406830d6b1e9"/>
    <w:p>
      <w:pPr>
        <w:pStyle w:val="Heading3"/>
      </w:pPr>
      <w:r>
        <w:t xml:space="preserve">Issue 14 — Cascade Board Observer Seat — Confirm Registration Statement Disclosure</w:t>
      </w:r>
    </w:p>
    <w:p>
      <w:pPr>
        <w:pStyle w:val="FirstParagraph"/>
      </w:pPr>
      <w:r>
        <w:rPr>
          <w:b/>
          <w:bCs/>
        </w:rPr>
        <w:t xml:space="preserve">Discrepancy/Open Item.</w:t>
      </w:r>
      <w:r>
        <w:t xml:space="preserve"> </w:t>
      </w:r>
      <w:r>
        <w:t xml:space="preserve">The Selling Stockholder Questionnaire (Section 4(a)) discloses that Cascade Kestridge Ventures, LP held a board observer seat pursuant to the Series A Preferred Stock Purchase Agreement through January 2025, terminating upon IPO closing. The Registration Statement’s</w:t>
      </w:r>
      <w:r>
        <w:t xml:space="preserve"> </w:t>
      </w:r>
      <w:r>
        <w:t xml:space="preserve">“</w:t>
      </w:r>
      <w:r>
        <w:t xml:space="preserve">Principal and Selling Stockholders</w:t>
      </w:r>
      <w:r>
        <w:t xml:space="preserve">”</w:t>
      </w:r>
      <w:r>
        <w:t xml:space="preserve"> </w:t>
      </w:r>
      <w:r>
        <w:t xml:space="preserve">footnote (1) does not appear to disclose this board observer relationship.</w:t>
      </w:r>
    </w:p>
    <w:p>
      <w:pPr>
        <w:pStyle w:val="BodyText"/>
      </w:pPr>
      <w:r>
        <w:rPr>
          <w:b/>
          <w:bCs/>
        </w:rPr>
        <w:t xml:space="preserve">Why it matters.</w:t>
      </w:r>
      <w:r>
        <w:t xml:space="preserve"> </w:t>
      </w:r>
      <w:r>
        <w:t xml:space="preserve">FINRA Rule 5110 and the SEC’s selling stockholder disclosure requirements call for disclosure of material relationships between selling stockholders and the issuer. A board observer seat is a relationship that should be disclosed.</w:t>
      </w:r>
    </w:p>
    <w:p>
      <w:pPr>
        <w:pStyle w:val="BodyText"/>
      </w:pPr>
      <w:r>
        <w:rPr>
          <w:b/>
          <w:bCs/>
        </w:rPr>
        <w:t xml:space="preserve">Recommendation.</w:t>
      </w:r>
      <w:r>
        <w:t xml:space="preserve"> </w:t>
      </w:r>
      <w:r>
        <w:t xml:space="preserve">Company counsel should confirm whether the board observer relationship is disclosed in the Registration Statement and, if not, add it to the selling stockholder footnote in the Final Prospectus.</w:t>
      </w:r>
    </w:p>
    <w:p>
      <w:r>
        <w:pict>
          <v:rect style="width:0;height:1.5pt" o:hralign="center" o:hrstd="t" o:hr="t"/>
        </w:pict>
      </w:r>
    </w:p>
    <w:bookmarkEnd w:id="35"/>
    <w:bookmarkEnd w:id="36"/>
    <w:bookmarkStart w:id="44" w:name="iv.-drafting-and-minor-issues"/>
    <w:p>
      <w:pPr>
        <w:pStyle w:val="Heading2"/>
      </w:pPr>
      <w:r>
        <w:t xml:space="preserve">IV. Drafting and Minor Issues</w:t>
      </w:r>
    </w:p>
    <w:bookmarkStart w:id="37" w:name="X0fa233d33b5bf27b24228331b382bf36af42784"/>
    <w:p>
      <w:pPr>
        <w:pStyle w:val="Heading3"/>
      </w:pPr>
      <w:r>
        <w:t xml:space="preserve">Issue 15 — Underwriter Title on the Prospectus Cover (</w:t>
      </w:r>
      <w:r>
        <w:t xml:space="preserve">“</w:t>
      </w:r>
      <w:r>
        <w:t xml:space="preserve">Joint Book-Running Manager</w:t>
      </w:r>
      <w:r>
        <w:t xml:space="preserve">”</w:t>
      </w:r>
      <w:r>
        <w:t xml:space="preserve"> </w:t>
      </w:r>
      <w:r>
        <w:t xml:space="preserve">vs. </w:t>
      </w:r>
      <w:r>
        <w:t xml:space="preserve">“</w:t>
      </w:r>
      <w:r>
        <w:t xml:space="preserve">lead book-running manager</w:t>
      </w:r>
      <w:r>
        <w:t xml:space="preserve">”</w:t>
      </w:r>
      <w:r>
        <w:t xml:space="preserve">)</w:t>
      </w:r>
    </w:p>
    <w:p>
      <w:pPr>
        <w:pStyle w:val="FirstParagraph"/>
      </w:pPr>
      <w:r>
        <w:t xml:space="preserve">The Prospectus cover page labels Hargrove Securities LLC as</w:t>
      </w:r>
      <w:r>
        <w:t xml:space="preserve"> </w:t>
      </w:r>
      <w:r>
        <w:t xml:space="preserve">“</w:t>
      </w:r>
      <w:r>
        <w:t xml:space="preserve">Joint Book-Running Manager,</w:t>
      </w:r>
      <w:r>
        <w:t xml:space="preserve">”</w:t>
      </w:r>
      <w:r>
        <w:t xml:space="preserve"> </w:t>
      </w:r>
      <w:r>
        <w:t xml:space="preserve">while the Underwriting section (XI.A) of the Prospectus and the Term Sheet describe Hargrove as the</w:t>
      </w:r>
      <w:r>
        <w:t xml:space="preserve"> </w:t>
      </w:r>
      <w:r>
        <w:t xml:space="preserve">“</w:t>
      </w:r>
      <w:r>
        <w:t xml:space="preserve">lead book-running manager.</w:t>
      </w:r>
      <w:r>
        <w:t xml:space="preserve">”</w:t>
      </w:r>
      <w:r>
        <w:t xml:space="preserve"> </w:t>
      </w:r>
      <w:r>
        <w:t xml:space="preserve">“</w:t>
      </w:r>
      <w:r>
        <w:t xml:space="preserve">Joint Book-Running Manager</w:t>
      </w:r>
      <w:r>
        <w:t xml:space="preserve">”</w:t>
      </w:r>
      <w:r>
        <w:t xml:space="preserve"> </w:t>
      </w:r>
      <w:r>
        <w:t xml:space="preserve">typically implies two or more book-running managers; here there is only one (Hargrove), with Bellweather as Co-Manager. Recommend confirming the correct title on the cover page of the Final Prospectus.</w:t>
      </w:r>
    </w:p>
    <w:bookmarkEnd w:id="37"/>
    <w:bookmarkStart w:id="38" w:name="X735b0098018a6d6ee62dd223dd2039a0828a66f"/>
    <w:p>
      <w:pPr>
        <w:pStyle w:val="Heading3"/>
      </w:pPr>
      <w:r>
        <w:t xml:space="preserve">Issue 16 — Bellweather’s Title (</w:t>
      </w:r>
      <w:r>
        <w:t xml:space="preserve">“</w:t>
      </w:r>
      <w:r>
        <w:t xml:space="preserve">co-managing underwriter</w:t>
      </w:r>
      <w:r>
        <w:t xml:space="preserve">”</w:t>
      </w:r>
      <w:r>
        <w:t xml:space="preserve"> </w:t>
      </w:r>
      <w:r>
        <w:t xml:space="preserve">vs. </w:t>
      </w:r>
      <w:r>
        <w:t xml:space="preserve">“</w:t>
      </w:r>
      <w:r>
        <w:t xml:space="preserve">Co-Manager</w:t>
      </w:r>
      <w:r>
        <w:t xml:space="preserve">”</w:t>
      </w:r>
      <w:r>
        <w:t xml:space="preserve">)</w:t>
      </w:r>
    </w:p>
    <w:p>
      <w:pPr>
        <w:pStyle w:val="FirstParagraph"/>
      </w:pPr>
      <w:r>
        <w:t xml:space="preserve">The Engagement Letter refers to Bellweather as</w:t>
      </w:r>
      <w:r>
        <w:t xml:space="preserve"> </w:t>
      </w:r>
      <w:r>
        <w:t xml:space="preserve">“</w:t>
      </w:r>
      <w:r>
        <w:t xml:space="preserve">co-managing underwriter,</w:t>
      </w:r>
      <w:r>
        <w:t xml:space="preserve">”</w:t>
      </w:r>
      <w:r>
        <w:t xml:space="preserve"> </w:t>
      </w:r>
      <w:r>
        <w:t xml:space="preserve">while the Term Sheet and the Registration Statement refer to it as</w:t>
      </w:r>
      <w:r>
        <w:t xml:space="preserve"> </w:t>
      </w:r>
      <w:r>
        <w:t xml:space="preserve">“</w:t>
      </w:r>
      <w:r>
        <w:t xml:space="preserve">Co-Manager.</w:t>
      </w:r>
      <w:r>
        <w:t xml:space="preserve">”</w:t>
      </w:r>
      <w:r>
        <w:t xml:space="preserve"> </w:t>
      </w:r>
      <w:r>
        <w:t xml:space="preserve">The Underwriting Agreement uses</w:t>
      </w:r>
      <w:r>
        <w:t xml:space="preserve"> </w:t>
      </w:r>
      <w:r>
        <w:t xml:space="preserve">“</w:t>
      </w:r>
      <w:r>
        <w:t xml:space="preserve">Co-Manager</w:t>
      </w:r>
      <w:r>
        <w:t xml:space="preserve">”</w:t>
      </w:r>
      <w:r>
        <w:t xml:space="preserve"> </w:t>
      </w:r>
      <w:r>
        <w:t xml:space="preserve">(consistent with the Registration Statement). Confirm the title to be used in the Final Prospectus and the Underwriting Agreement.</w:t>
      </w:r>
    </w:p>
    <w:bookmarkEnd w:id="38"/>
    <w:bookmarkStart w:id="39" w:name="X5c315dacdeeccbf9af92ee06bfb408835b2eca5"/>
    <w:p>
      <w:pPr>
        <w:pStyle w:val="Heading3"/>
      </w:pPr>
      <w:r>
        <w:t xml:space="preserve">Issue 17 — Comfort Letter Cross-Reference to</w:t>
      </w:r>
      <w:r>
        <w:t xml:space="preserve"> </w:t>
      </w:r>
      <w:r>
        <w:t xml:space="preserve">“</w:t>
      </w:r>
      <w:r>
        <w:t xml:space="preserve">Section 7(d) of the Underwriting Agreement</w:t>
      </w:r>
      <w:r>
        <w:t xml:space="preserve">”</w:t>
      </w:r>
    </w:p>
    <w:p>
      <w:pPr>
        <w:pStyle w:val="FirstParagraph"/>
      </w:pPr>
      <w:r>
        <w:t xml:space="preserve">The Draft Comfort Letter states that it is</w:t>
      </w:r>
      <w:r>
        <w:t xml:space="preserve"> </w:t>
      </w:r>
      <w:r>
        <w:t xml:space="preserve">“</w:t>
      </w:r>
      <w:r>
        <w:t xml:space="preserve">furnished pursuant to Section 7(d) of the Underwriting Agreement.</w:t>
      </w:r>
      <w:r>
        <w:t xml:space="preserve">”</w:t>
      </w:r>
      <w:r>
        <w:t xml:space="preserve"> </w:t>
      </w:r>
      <w:r>
        <w:t xml:space="preserve">In the drafted Underwriting Agreement, the comfort letter delivery condition appears in Section 8.4 (Conditions to the Obligations of the Underwriters). The section cross-reference in the final comfort letter should be updated to match the executed Underwriting Agreement, or the Underwriting Agreement’s section numbering should be confirmed. This is a non-substantive cross-reference item.</w:t>
      </w:r>
    </w:p>
    <w:bookmarkEnd w:id="39"/>
    <w:bookmarkStart w:id="40" w:name="X52470dbf1697fe2307dc0c801ea092fcfcc6494"/>
    <w:p>
      <w:pPr>
        <w:pStyle w:val="Heading3"/>
      </w:pPr>
      <w:r>
        <w:t xml:space="preserve">Issue 18 — Engagement Letter Expense Reimbursement Cap ($500,000) Reflected in Underwriting Agreement</w:t>
      </w:r>
    </w:p>
    <w:p>
      <w:pPr>
        <w:pStyle w:val="FirstParagraph"/>
      </w:pPr>
      <w:r>
        <w:t xml:space="preserve">The Engagement Letter (Section 5) provides for a $500,000 cap on the Company’s reimbursement of the Underwriters’ out-of-pocket expenses (including Underwriters’ counsel fees) if the Offering is not consummated. The Underwriting Agreement (Section 10.2) includes a corresponding $500,000 reimbursement obligation upon termination by the Representative. Confirm that the parties intend this cap to carry over to the Underwriting Agreement and that the scope (out-of-pocket expenses including Ashford &amp; Pine fees) matches.</w:t>
      </w:r>
    </w:p>
    <w:bookmarkEnd w:id="40"/>
    <w:bookmarkStart w:id="41" w:name="issue-19-finra-filing-fee-amount"/>
    <w:p>
      <w:pPr>
        <w:pStyle w:val="Heading3"/>
      </w:pPr>
      <w:r>
        <w:t xml:space="preserve">Issue 19 — FINRA Filing Fee Amount</w:t>
      </w:r>
    </w:p>
    <w:p>
      <w:pPr>
        <w:pStyle w:val="FirstParagraph"/>
      </w:pPr>
      <w:r>
        <w:t xml:space="preserve">The Engagement Letter estimates the FINRA filing fee at $21,780 (based on the maximum aggregate offering amount). The Term Sheet and Registration Statement do not specify the FINRA fee amount. Confirm the FINRA filing fee calculation and that the FINRA filing has been or will be made.</w:t>
      </w:r>
    </w:p>
    <w:bookmarkEnd w:id="41"/>
    <w:bookmarkStart w:id="42" w:name="X1cda0e2dd2f33e779ca55eae28b7a6a44b33a4f"/>
    <w:p>
      <w:pPr>
        <w:pStyle w:val="Heading3"/>
      </w:pPr>
      <w:r>
        <w:t xml:space="preserve">Issue 20 — Credit Agreement Judgments Threshold and VitaBand Litigation</w:t>
      </w:r>
    </w:p>
    <w:p>
      <w:pPr>
        <w:pStyle w:val="FirstParagraph"/>
      </w:pPr>
      <w:r>
        <w:t xml:space="preserve">The Credit Agreement Summary (Section 11) notes that a judgment in excess of $2,000,000 not covered by insurance or stayed within 60 days would constitute an Event of Default. The VitaBand litigation seeks $45 million in damages. The Underwriting Agreement’s litigation representation (Section 1.13) and the bring-down officers’ certificate (Section 8.8) should reflect any material developments in the VitaBand litigation through the Closing Date. Confirm that no adverse judgment has been entered and that the Markman hearing (scheduled June 2025) does not affect closing.</w:t>
      </w:r>
    </w:p>
    <w:bookmarkEnd w:id="42"/>
    <w:bookmarkStart w:id="43" w:name="X7f8711d90c356a162dda7d1fddf59e4717d147e"/>
    <w:p>
      <w:pPr>
        <w:pStyle w:val="Heading3"/>
      </w:pPr>
      <w:r>
        <w:t xml:space="preserve">Issue 21 — UT Austin License — Anti-Assignment and Security-Interest Interaction</w:t>
      </w:r>
    </w:p>
    <w:p>
      <w:pPr>
        <w:pStyle w:val="FirstParagraph"/>
      </w:pPr>
      <w:r>
        <w:t xml:space="preserve">The Credit Agreement Summary (Section 5, Open Item 5) flags that the Credit Facility’s collateral includes the Company’s rights under the UT License</w:t>
      </w:r>
      <w:r>
        <w:t xml:space="preserve"> </w:t>
      </w:r>
      <w:r>
        <w:t xml:space="preserve">“</w:t>
      </w:r>
      <w:r>
        <w:t xml:space="preserve">to the extent assignable,</w:t>
      </w:r>
      <w:r>
        <w:t xml:space="preserve">”</w:t>
      </w:r>
      <w:r>
        <w:t xml:space="preserve"> </w:t>
      </w:r>
      <w:r>
        <w:t xml:space="preserve">and that the UT License contains anti-assignment provisions. The Underwriting Agreement’s Material Contracts representation (Section 1.11) and Intellectual Property representation (Section 1.10) cover the UT License. Confirm that the grant of the security interest in the UT License does not breach the UT License’s anti-assignment provisions and that the UT License remains in full force and effect.</w:t>
      </w:r>
    </w:p>
    <w:p>
      <w:r>
        <w:pict>
          <v:rect style="width:0;height:1.5pt" o:hralign="center" o:hrstd="t" o:hr="t"/>
        </w:pict>
      </w:r>
    </w:p>
    <w:bookmarkEnd w:id="43"/>
    <w:bookmarkEnd w:id="44"/>
    <w:bookmarkStart w:id="45" w:name="v.-open-items-and-closing-checklist"/>
    <w:p>
      <w:pPr>
        <w:pStyle w:val="Heading2"/>
      </w:pPr>
      <w:r>
        <w:t xml:space="preserve">V. Open Items and Closing Checklist</w:t>
      </w:r>
    </w:p>
    <w:p>
      <w:pPr>
        <w:pStyle w:val="FirstParagraph"/>
      </w:pPr>
      <w:r>
        <w:t xml:space="preserve">The following items must be completed or confirmed on or before the Closing Date (March 24, 2025):</w:t>
      </w:r>
    </w:p>
    <w:p>
      <w:pPr>
        <w:pStyle w:val="BodyText"/>
      </w:pPr>
      <w:r>
        <w:rPr>
          <w:b/>
          <w:bCs/>
        </w:rPr>
        <w:t xml:space="preserve">A. Reconciliation Items (Critical/Material — see Parts II–III)</w:t>
      </w:r>
    </w:p>
    <w:p>
      <w:pPr>
        <w:pStyle w:val="Compact"/>
        <w:numPr>
          <w:ilvl w:val="0"/>
          <w:numId w:val="1001"/>
        </w:numPr>
      </w:pPr>
      <w:r>
        <w:t xml:space="preserve">Confirm the correct legal name of the Credit Facility lender (Oakvale vs. Ridgemont) and correct the Registration Statement and comfort letter if necessary (Issue 1).</w:t>
      </w:r>
    </w:p>
    <w:p>
      <w:pPr>
        <w:pStyle w:val="Compact"/>
        <w:numPr>
          <w:ilvl w:val="0"/>
          <w:numId w:val="1001"/>
        </w:numPr>
      </w:pPr>
      <w:r>
        <w:t xml:space="preserve">Reconcile the mandatory prepayment amount and correct the Use of Proceeds disclosure in the Final Prospectus (Issue 2).</w:t>
      </w:r>
    </w:p>
    <w:p>
      <w:pPr>
        <w:pStyle w:val="Compact"/>
        <w:numPr>
          <w:ilvl w:val="0"/>
          <w:numId w:val="1001"/>
        </w:numPr>
      </w:pPr>
      <w:r>
        <w:t xml:space="preserve">Reconcile the Draft Comfort Letter financial figures with the Registration Statement Capitalization and Dilution disclosures (Issue 3).</w:t>
      </w:r>
    </w:p>
    <w:p>
      <w:pPr>
        <w:pStyle w:val="Compact"/>
        <w:numPr>
          <w:ilvl w:val="0"/>
          <w:numId w:val="1001"/>
        </w:numPr>
      </w:pPr>
      <w:r>
        <w:t xml:space="preserve">Confirm the over-allotment option is Company-only (Issue 4).</w:t>
      </w:r>
    </w:p>
    <w:p>
      <w:pPr>
        <w:pStyle w:val="Compact"/>
        <w:numPr>
          <w:ilvl w:val="0"/>
          <w:numId w:val="1001"/>
        </w:numPr>
      </w:pPr>
      <w:r>
        <w:t xml:space="preserve">Confirm the correct identity (name, general partner, control persons, address, authorized signatory) of Cascade Kestridge Ventures, LP and reconcile all documents (Issue 5).</w:t>
      </w:r>
    </w:p>
    <w:p>
      <w:pPr>
        <w:pStyle w:val="Compact"/>
        <w:numPr>
          <w:ilvl w:val="0"/>
          <w:numId w:val="1001"/>
        </w:numPr>
      </w:pPr>
      <w:r>
        <w:t xml:space="preserve">Confirm the correct identity (general partner, authorized signatory) of Northlight Growth Partners Fund II, LP and reconcile all documents (Issue 6).</w:t>
      </w:r>
    </w:p>
    <w:p>
      <w:pPr>
        <w:pStyle w:val="Compact"/>
        <w:numPr>
          <w:ilvl w:val="0"/>
          <w:numId w:val="1001"/>
        </w:numPr>
      </w:pPr>
      <w:r>
        <w:t xml:space="preserve">Reconcile the remaining Credit Facility terms (date, maturity, interest rate, change-of-control threshold, covenants) (Issue 7).</w:t>
      </w:r>
    </w:p>
    <w:p>
      <w:pPr>
        <w:pStyle w:val="Compact"/>
        <w:numPr>
          <w:ilvl w:val="0"/>
          <w:numId w:val="1001"/>
        </w:numPr>
      </w:pPr>
      <w:r>
        <w:t xml:space="preserve">Confirm Dr. Krishnamurthy’s selling shares (500,000) and shares held (8,400,000) (Issues 8–9).</w:t>
      </w:r>
    </w:p>
    <w:p>
      <w:pPr>
        <w:pStyle w:val="Compact"/>
        <w:numPr>
          <w:ilvl w:val="0"/>
          <w:numId w:val="1001"/>
        </w:numPr>
      </w:pPr>
      <w:r>
        <w:t xml:space="preserve">Prepare the springing-extension Lock-Up Agreement for Dr. Krishnamurthy and consider Registration Statement disclosure (Issue 10).</w:t>
      </w:r>
    </w:p>
    <w:p>
      <w:pPr>
        <w:pStyle w:val="Compact"/>
        <w:numPr>
          <w:ilvl w:val="0"/>
          <w:numId w:val="1001"/>
        </w:numPr>
      </w:pPr>
      <w:r>
        <w:t xml:space="preserve">Confirm the 1% early-release threshold and the lock-up exceptions (Issues 11–12).</w:t>
      </w:r>
    </w:p>
    <w:p>
      <w:pPr>
        <w:pStyle w:val="Compact"/>
        <w:numPr>
          <w:ilvl w:val="0"/>
          <w:numId w:val="1001"/>
        </w:numPr>
      </w:pPr>
      <w:r>
        <w:t xml:space="preserve">Confirm Cascade board observer seat disclosure (Issue 14).</w:t>
      </w:r>
    </w:p>
    <w:p>
      <w:pPr>
        <w:pStyle w:val="FirstParagraph"/>
      </w:pPr>
      <w:r>
        <w:rPr>
          <w:b/>
          <w:bCs/>
        </w:rPr>
        <w:t xml:space="preserve">B. Closing Deliverables (Underwriting Agreement Section 8)</w:t>
      </w:r>
    </w:p>
    <w:p>
      <w:pPr>
        <w:pStyle w:val="Compact"/>
        <w:numPr>
          <w:ilvl w:val="0"/>
          <w:numId w:val="1002"/>
        </w:numPr>
      </w:pPr>
      <w:r>
        <w:t xml:space="preserve">Final Prospectus filed with the Commission pursuant to Rule 424(b)(4) (Section 8.2).</w:t>
      </w:r>
    </w:p>
    <w:p>
      <w:pPr>
        <w:pStyle w:val="Compact"/>
        <w:numPr>
          <w:ilvl w:val="0"/>
          <w:numId w:val="1002"/>
        </w:numPr>
      </w:pPr>
      <w:r>
        <w:t xml:space="preserve">Final comfort letter from Whitman Reese &amp; Co. (Section 8.4) and bring-down comfort letter at Closing (Section 8.5).</w:t>
      </w:r>
    </w:p>
    <w:p>
      <w:pPr>
        <w:pStyle w:val="Compact"/>
        <w:numPr>
          <w:ilvl w:val="0"/>
          <w:numId w:val="1002"/>
        </w:numPr>
      </w:pPr>
      <w:r>
        <w:t xml:space="preserve">Legal opinion and negative assurance letter from Stonebridge &amp; Calloway LLP, Company counsel (Section 8.6).</w:t>
      </w:r>
    </w:p>
    <w:p>
      <w:pPr>
        <w:pStyle w:val="Compact"/>
        <w:numPr>
          <w:ilvl w:val="0"/>
          <w:numId w:val="1002"/>
        </w:numPr>
      </w:pPr>
      <w:r>
        <w:t xml:space="preserve">Legal opinion from Ashford &amp; Pine LLP, Underwriters’ counsel (Section 8.7).</w:t>
      </w:r>
    </w:p>
    <w:p>
      <w:pPr>
        <w:pStyle w:val="Compact"/>
        <w:numPr>
          <w:ilvl w:val="0"/>
          <w:numId w:val="1002"/>
        </w:numPr>
      </w:pPr>
      <w:r>
        <w:t xml:space="preserve">Officers’ certificate signed by Dr. Krishnamurthy (CEO) and David Nishimura (CFO) (Section 8.8).</w:t>
      </w:r>
    </w:p>
    <w:p>
      <w:pPr>
        <w:pStyle w:val="Compact"/>
        <w:numPr>
          <w:ilvl w:val="0"/>
          <w:numId w:val="1002"/>
        </w:numPr>
      </w:pPr>
      <w:r>
        <w:t xml:space="preserve">Secretary’s certificate signed by Samantha Reeves (Section 8.9).</w:t>
      </w:r>
    </w:p>
    <w:p>
      <w:pPr>
        <w:pStyle w:val="Compact"/>
        <w:numPr>
          <w:ilvl w:val="0"/>
          <w:numId w:val="1002"/>
        </w:numPr>
      </w:pPr>
      <w:r>
        <w:t xml:space="preserve">Executed Lock-Up Agreements from all parties on Schedule C, including the springing-extension form for Dr. Krishnamurthy (Section 8.10).</w:t>
      </w:r>
    </w:p>
    <w:p>
      <w:pPr>
        <w:pStyle w:val="Compact"/>
        <w:numPr>
          <w:ilvl w:val="0"/>
          <w:numId w:val="1002"/>
        </w:numPr>
      </w:pPr>
      <w:r>
        <w:t xml:space="preserve">Executed Power of Attorney and Custody Agreements from all three Selling Stockholders (Section 8.11).</w:t>
      </w:r>
    </w:p>
    <w:p>
      <w:pPr>
        <w:pStyle w:val="Compact"/>
        <w:numPr>
          <w:ilvl w:val="0"/>
          <w:numId w:val="1002"/>
        </w:numPr>
      </w:pPr>
      <w:r>
        <w:t xml:space="preserve">Completed selling stockholder questionnaires from all three Selling Stockholders (only Cascade’s has been provided; confirm Northlight and Dr. Krishnamurthy) (Section 8.14).</w:t>
      </w:r>
    </w:p>
    <w:p>
      <w:pPr>
        <w:pStyle w:val="Compact"/>
        <w:numPr>
          <w:ilvl w:val="0"/>
          <w:numId w:val="1002"/>
        </w:numPr>
      </w:pPr>
      <w:r>
        <w:t xml:space="preserve">Nasdaq listing approval, subject to official notice of issuance (Section 8.3).</w:t>
      </w:r>
    </w:p>
    <w:p>
      <w:pPr>
        <w:pStyle w:val="Compact"/>
        <w:numPr>
          <w:ilvl w:val="0"/>
          <w:numId w:val="1002"/>
        </w:numPr>
      </w:pPr>
      <w:r>
        <w:t xml:space="preserve">FINRA clearance of underwriting compensation under Rule 5110 and confirmation of no Rule 5121 conflict (Section 8.13).</w:t>
      </w:r>
    </w:p>
    <w:p>
      <w:pPr>
        <w:pStyle w:val="FirstParagraph"/>
      </w:pPr>
      <w:r>
        <w:rPr>
          <w:b/>
          <w:bCs/>
        </w:rPr>
        <w:t xml:space="preserve">C. Credit Agreement-Related Confirmations (from Credit Agreement Summary, Section 15)</w:t>
      </w:r>
    </w:p>
    <w:p>
      <w:pPr>
        <w:pStyle w:val="Compact"/>
        <w:numPr>
          <w:ilvl w:val="0"/>
          <w:numId w:val="1003"/>
        </w:numPr>
      </w:pPr>
      <w:r>
        <w:t xml:space="preserve">Confirm that the lender consented to the Amended and Restated Certificate of Incorporation filed December 20, 2024, and to any further IPO-related amendments.</w:t>
      </w:r>
    </w:p>
    <w:p>
      <w:pPr>
        <w:pStyle w:val="Compact"/>
        <w:numPr>
          <w:ilvl w:val="0"/>
          <w:numId w:val="1003"/>
        </w:numPr>
      </w:pPr>
      <w:r>
        <w:t xml:space="preserve">Confirm that the required 10-business-day advance written notice of the IPO (as an Equity Issuance) was timely provided to the lender.</w:t>
      </w:r>
    </w:p>
    <w:p>
      <w:pPr>
        <w:pStyle w:val="Compact"/>
        <w:numPr>
          <w:ilvl w:val="0"/>
          <w:numId w:val="1003"/>
        </w:numPr>
      </w:pPr>
      <w:r>
        <w:t xml:space="preserve">Confirm the post-IPO change-of-control analysis using the correct threshold (35% or 50%).</w:t>
      </w:r>
    </w:p>
    <w:p>
      <w:pPr>
        <w:pStyle w:val="Compact"/>
        <w:numPr>
          <w:ilvl w:val="0"/>
          <w:numId w:val="1003"/>
        </w:numPr>
      </w:pPr>
      <w:r>
        <w:t xml:space="preserve">Confirm the UT License anti-assignment/security-interest analysis (Issue 21).</w:t>
      </w:r>
    </w:p>
    <w:p>
      <w:pPr>
        <w:pStyle w:val="Compact"/>
        <w:numPr>
          <w:ilvl w:val="0"/>
          <w:numId w:val="1003"/>
        </w:numPr>
      </w:pPr>
      <w:r>
        <w:t xml:space="preserve">Confirm the mandatory prepayment will be made within five business days following receipt of net proceeds, as required by the Credit Agreement.</w:t>
      </w:r>
    </w:p>
    <w:p>
      <w:pPr>
        <w:pStyle w:val="FirstParagraph"/>
      </w:pPr>
      <w:r>
        <w:rPr>
          <w:b/>
          <w:bCs/>
        </w:rPr>
        <w:t xml:space="preserve">D. Other Confirmations</w:t>
      </w:r>
    </w:p>
    <w:p>
      <w:pPr>
        <w:pStyle w:val="Compact"/>
        <w:numPr>
          <w:ilvl w:val="0"/>
          <w:numId w:val="1004"/>
        </w:numPr>
      </w:pPr>
      <w:r>
        <w:t xml:space="preserve">Confirm the final Public Offering Price (the Underwriting Agreement is drafted at $24.00 per share, the midpoint of the range; the actual price must be confirmed at pricing).</w:t>
      </w:r>
    </w:p>
    <w:p>
      <w:pPr>
        <w:pStyle w:val="Compact"/>
        <w:numPr>
          <w:ilvl w:val="0"/>
          <w:numId w:val="1004"/>
        </w:numPr>
      </w:pPr>
      <w:r>
        <w:t xml:space="preserve">Confirm the Section 382 ownership-change analysis remains valid post-Offering (the Registration Statement states no ownership change through December 31, 2024).</w:t>
      </w:r>
    </w:p>
    <w:p>
      <w:pPr>
        <w:pStyle w:val="Compact"/>
        <w:numPr>
          <w:ilvl w:val="0"/>
          <w:numId w:val="1004"/>
        </w:numPr>
      </w:pPr>
      <w:r>
        <w:t xml:space="preserve">Confirm no material developments in the VitaBand litigation or the EEOC charge since the date of the Registration Statement (bring-down).</w:t>
      </w:r>
    </w:p>
    <w:p>
      <w:pPr>
        <w:pStyle w:val="Compact"/>
        <w:numPr>
          <w:ilvl w:val="0"/>
          <w:numId w:val="1004"/>
        </w:numPr>
      </w:pPr>
      <w:r>
        <w:t xml:space="preserve">Confirm the underwriter titles to be used in the Final Prospectus (Issues 15–16).</w:t>
      </w:r>
    </w:p>
    <w:p>
      <w:pPr>
        <w:pStyle w:val="Compact"/>
        <w:numPr>
          <w:ilvl w:val="0"/>
          <w:numId w:val="1004"/>
        </w:numPr>
      </w:pPr>
      <w:r>
        <w:t xml:space="preserve">Update the comfort letter’s</w:t>
      </w:r>
      <w:r>
        <w:t xml:space="preserve"> </w:t>
      </w:r>
      <w:r>
        <w:t xml:space="preserve">“</w:t>
      </w:r>
      <w:r>
        <w:t xml:space="preserve">Section 7(d)</w:t>
      </w:r>
      <w:r>
        <w:t xml:space="preserve">”</w:t>
      </w:r>
      <w:r>
        <w:t xml:space="preserve"> </w:t>
      </w:r>
      <w:r>
        <w:t xml:space="preserve">cross-reference to match the executed Underwriting Agreement (Issue 17).</w:t>
      </w:r>
    </w:p>
    <w:p>
      <w:r>
        <w:pict>
          <v:rect style="width:0;height:1.5pt" o:hralign="center" o:hrstd="t" o:hr="t"/>
        </w:pict>
      </w:r>
    </w:p>
    <w:bookmarkEnd w:id="45"/>
    <w:bookmarkStart w:id="46" w:name="vi.-summary"/>
    <w:p>
      <w:pPr>
        <w:pStyle w:val="Heading2"/>
      </w:pPr>
      <w:r>
        <w:t xml:space="preserve">VI. Summary</w:t>
      </w:r>
    </w:p>
    <w:p>
      <w:pPr>
        <w:pStyle w:val="FirstParagraph"/>
      </w:pPr>
      <w:r>
        <w:t xml:space="preserve">The Underwriting Agreement has been drafted as an execution-ready, firm-commitment agreement consistent with the Term Sheet and the Registration Statement, with the Registration Statement controlling where the two conflict. The most significant items requiring immediate attention are: (1) the identity of the Credit Facility lender (Issue 1); (2) the mandatory prepayment disclosure (Issue 2); (3) the reconciliation of the Draft Comfort Letter’s financial figures with the Registration Statement (Issue 3); and (4) the conflicting identities of the Cascade and Northlight Selling Stockholders (Issues 5–6). These items should be resolved before the Underwriting Agreement is executed and the Final Prospectus is filed. The remaining items are material or drafting-level matters that should be resolved on or before the Closing Date.</w:t>
      </w:r>
    </w:p>
    <w:p>
      <w:pPr>
        <w:pStyle w:val="BodyText"/>
      </w:pPr>
      <w:r>
        <w:t xml:space="preserve">We are available to discuss any of the foregoing at your convenience.</w:t>
      </w:r>
    </w:p>
    <w:p>
      <w:pPr>
        <w:pStyle w:val="BodyText"/>
      </w:pPr>
      <w:r>
        <w:rPr>
          <w:i/>
          <w:iCs/>
        </w:rPr>
        <w:t xml:space="preserve">Ashford &amp; Pine LLP</w:t>
      </w:r>
      <w:r>
        <w:t xml:space="preserve"> </w:t>
      </w:r>
      <w:r>
        <w:rPr>
          <w:i/>
          <w:iCs/>
        </w:rPr>
        <w:t xml:space="preserve">Underwriters’ Counsel</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4">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2026-06-29T00:42:45Z</dcterms:created>
  <dcterms:modified xsi:type="dcterms:W3CDTF">2026-06-29T00:42:45Z</dcterms:modified>
</cp:coreProperties>
</file>

<file path=docProps/custom.xml><?xml version="1.0" encoding="utf-8"?>
<Properties xmlns="http://schemas.openxmlformats.org/officeDocument/2006/custom-properties" xmlns:vt="http://schemas.openxmlformats.org/officeDocument/2006/docPropsVTypes"/>
</file>