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8" w:name="memorandum"/>
    <w:p>
      <w:pPr>
        <w:pStyle w:val="Heading1"/>
      </w:pPr>
      <w:r>
        <w:t xml:space="preserve">MEMORANDUM</w:t>
      </w:r>
    </w:p>
    <w:p>
      <w:pPr>
        <w:pStyle w:val="FirstParagraph"/>
      </w:pPr>
      <w:r>
        <w:rPr>
          <w:b/>
          <w:bCs/>
        </w:rPr>
        <w:t xml:space="preserve">TO:</w:t>
      </w:r>
      <w:r>
        <w:t xml:space="preserve"> </w:t>
      </w:r>
      <w:r>
        <w:t xml:space="preserve">Sandra Koh-Wexler, Chief Executive Officer, Meridian Industrial Holdings, Inc. (via Rachel Fong, General Counsel)</w:t>
      </w:r>
    </w:p>
    <w:p>
      <w:pPr>
        <w:pStyle w:val="BodyText"/>
      </w:pPr>
      <w:r>
        <w:rPr>
          <w:b/>
          <w:bCs/>
        </w:rPr>
        <w:t xml:space="preserve">FROM:</w:t>
      </w:r>
      <w:r>
        <w:t xml:space="preserve"> </w:t>
      </w:r>
      <w:r>
        <w:t xml:space="preserve">David Tanaka, Kesswick, Tanaka &amp; Moreau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Proposed Compromise Language for the Four Contested Provisions of the Intercreditor Agreement (Sections 3.01(b), 5.01, 2.03(c), and 4.02) — Presented as a Single Indivisible Package</w:t>
      </w:r>
    </w:p>
    <w:p>
      <w:r>
        <w:pict>
          <v:rect style="width:0;height:1.5pt" o:hralign="center" o:hrstd="t" o:hr="t"/>
        </w:pict>
      </w:r>
    </w:p>
    <w:p>
      <w:pPr>
        <w:pStyle w:val="FirstParagraph"/>
      </w:pPr>
      <w:r>
        <w:rPr>
          <w:b/>
          <w:bCs/>
        </w:rPr>
        <w:t xml:space="preserve">PRIVILEGED &amp; CONFIDENTIAL — ATTORNEY-CLIENT COMMUNICATION / ATTORNEY WORK PRODUCT.</w:t>
      </w:r>
      <w:r>
        <w:t xml:space="preserve"> </w:t>
      </w:r>
      <w:r>
        <w:t xml:space="preserve">This memorandum is prepared by Kesswick, Tanaka &amp; Moreau LLP (</w:t>
      </w:r>
      <w:r>
        <w:t xml:space="preserve">“</w:t>
      </w:r>
      <w:r>
        <w:t xml:space="preserve">KTM</w:t>
      </w:r>
      <w:r>
        <w:t xml:space="preserve">”</w:t>
      </w:r>
      <w:r>
        <w:t xml:space="preserve">) in its capacity as counsel to Meridian Industrial Holdings, Inc. (</w:t>
      </w:r>
      <w:r>
        <w:t xml:space="preserve">“</w:t>
      </w:r>
      <w:r>
        <w:t xml:space="preserve">Meridian</w:t>
      </w:r>
      <w:r>
        <w:t xml:space="preserve">”</w:t>
      </w:r>
      <w:r>
        <w:t xml:space="preserve"> </w:t>
      </w:r>
      <w:r>
        <w:t xml:space="preserve">or the</w:t>
      </w:r>
      <w:r>
        <w:t xml:space="preserve"> </w:t>
      </w:r>
      <w:r>
        <w:t xml:space="preserve">“</w:t>
      </w:r>
      <w:r>
        <w:t xml:space="preserve">Borrower</w:t>
      </w:r>
      <w:r>
        <w:t xml:space="preserve">”</w:t>
      </w:r>
      <w:r>
        <w:t xml:space="preserve">) in connection with the negotiation of the Intercreditor Agreement dated as of July 31, 2025 (the</w:t>
      </w:r>
      <w:r>
        <w:t xml:space="preserve"> </w:t>
      </w:r>
      <w:r>
        <w:t xml:space="preserve">“</w:t>
      </w:r>
      <w:r>
        <w:t xml:space="preserve">ICA</w:t>
      </w:r>
      <w:r>
        <w:t xml:space="preserve">”</w:t>
      </w:r>
      <w:r>
        <w:t xml:space="preserve">) among Cartwright National Bank, N.A. (</w:t>
      </w:r>
      <w:r>
        <w:t xml:space="preserve">“</w:t>
      </w:r>
      <w:r>
        <w:t xml:space="preserve">Cartwright</w:t>
      </w:r>
      <w:r>
        <w:t xml:space="preserve">”</w:t>
      </w:r>
      <w:r>
        <w:t xml:space="preserve">), as First Lien Agent, Ridgeline Capital Partners, LP (</w:t>
      </w:r>
      <w:r>
        <w:t xml:space="preserve">“</w:t>
      </w:r>
      <w:r>
        <w:t xml:space="preserve">Ridgeline</w:t>
      </w:r>
      <w:r>
        <w:t xml:space="preserve">”</w:t>
      </w:r>
      <w:r>
        <w:t xml:space="preserve">), as Second Lien Agent, and Meridian. This memorandum is protected by the attorney-client privilege and the attorney work product doctrine. It is submitted for the purpose of facilitating settlement discussions among the parties and is intended solely for the use of Meridian and its counsel. It is not a binding offer, concession, or commitment by any party and may not be offered or admitted into evidence in any judicial, arbitral, or administrative proceeding for any purpose other than to enforce any agreement reached as a result of the discussions contemplated herein. All rights, remedies, claims, and defenses of Meridian, Cartwright, and Ridgeline are expressly reserved.</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You have asked KTM to prepare proposed compromise language for the four contested provisions of the ICA that remain the subject of disagreement between Cartwright (as First Lien Agent) and Ridgeline (as Second Lien Agent), together with negotiation rationale supporting each proposed term. As you directed, the four proposals are presented in this memorandum as a</w:t>
      </w:r>
      <w:r>
        <w:t xml:space="preserve"> </w:t>
      </w:r>
      <w:r>
        <w:rPr>
          <w:b/>
          <w:bCs/>
        </w:rPr>
        <w:t xml:space="preserve">single, integrated, and indivisible package</w:t>
      </w:r>
      <w:r>
        <w:t xml:space="preserve">. The concessions on each provision are deliberately linked to, and dependent upon, the concessions on the others; the package is intended to be accepted or rejected as a whole and should not be unbundled.</w:t>
      </w:r>
    </w:p>
    <w:p>
      <w:pPr>
        <w:pStyle w:val="BodyText"/>
      </w:pPr>
      <w:r>
        <w:t xml:space="preserve">This memorandum draws on (i) the position letters from Aldgate &amp; Pryor LLP (on behalf of Cartwright, dated June 20, 2025) and Sternfeld Yates &amp; Carroll LLP (on behalf of Ridgeline, dated June 23, 2025); (ii) the informal, without-prejudice flexibility guidance communicated by both sides’ counsel; (iii) the KTM market survey of 42 first lien / second lien intercreditor agreements closed between January 2022 and December 2024 (the</w:t>
      </w:r>
      <w:r>
        <w:t xml:space="preserve"> </w:t>
      </w:r>
      <w:r>
        <w:t xml:space="preserve">“</w:t>
      </w:r>
      <w:r>
        <w:t xml:space="preserve">Market Survey</w:t>
      </w:r>
      <w:r>
        <w:t xml:space="preserve">”</w:t>
      </w:r>
      <w:r>
        <w:t xml:space="preserve">); (iv) the Meridian capital structure summary; (v) the lender appraisal of Meridian’s Total Enterprise Value; and (vi) the First Lien Credit Agreement, the Second Lien Credit Agreement, the working draft ICA, and KTM’s standard form ICA. Each proposed term is anchored to the stated flexibility of both sides and to the Market Survey data, with economic impacts quantified where the record permits.</w:t>
      </w:r>
    </w:p>
    <w:p>
      <w:pPr>
        <w:pStyle w:val="BodyText"/>
      </w:pPr>
      <w:r>
        <w:t xml:space="preserve">The urgency you have emphasized is reflected throughout. The drop-dead date for closing is</w:t>
      </w:r>
      <w:r>
        <w:t xml:space="preserve"> </w:t>
      </w:r>
      <w:r>
        <w:rPr>
          <w:b/>
          <w:bCs/>
        </w:rPr>
        <w:t xml:space="preserve">July 31, 2025</w:t>
      </w:r>
      <w:r>
        <w:t xml:space="preserve"> </w:t>
      </w:r>
      <w:r>
        <w:t xml:space="preserve">(approximately 34 days from the date of this memorandum), and Meridian’s existing credit facility matures on</w:t>
      </w:r>
      <w:r>
        <w:t xml:space="preserve"> </w:t>
      </w:r>
      <w:r>
        <w:rPr>
          <w:b/>
          <w:bCs/>
        </w:rPr>
        <w:t xml:space="preserve">August 15, 2025</w:t>
      </w:r>
      <w:r>
        <w:t xml:space="preserve">, leaving a 15-day margin with no realistic prospect of extension. The compromise package below is designed to be credible and closeable within that window without requiring re-syndication or re-pricing.</w:t>
      </w:r>
    </w:p>
    <w:bookmarkEnd w:id="21"/>
    <w:bookmarkStart w:id="22" w:name="Xf59c30b5c7df1bcdde8e73e75411fd7ff985c36"/>
    <w:p>
      <w:pPr>
        <w:pStyle w:val="Heading2"/>
      </w:pPr>
      <w:r>
        <w:t xml:space="preserve">II. Executive Summary — The Package at a Glance</w:t>
      </w:r>
    </w:p>
    <w:p>
      <w:pPr>
        <w:pStyle w:val="FirstParagraph"/>
      </w:pPr>
      <w:r>
        <w:t xml:space="preserve">The table below summarizes the opening positions of each side, the market median/majority practice, and the proposed compromise for each of the four contested provisions. The detailed contractual drafting and rationale follow in Sections V through VIII.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ICA Provision</w:t>
            </w:r>
          </w:p>
        </w:tc>
        <w:tc>
          <w:tcPr/>
          <w:p>
            <w:pPr>
              <w:pStyle w:val="Compact"/>
              <w:jc w:val="left"/>
            </w:pPr>
            <w:r>
              <w:t xml:space="preserve">Cartwright (1L) Opening Position</w:t>
            </w:r>
          </w:p>
        </w:tc>
        <w:tc>
          <w:tcPr/>
          <w:p>
            <w:pPr>
              <w:pStyle w:val="Compact"/>
              <w:jc w:val="left"/>
            </w:pPr>
            <w:r>
              <w:t xml:space="preserve">Ridgeline (2L) Opening Position</w:t>
            </w:r>
          </w:p>
        </w:tc>
        <w:tc>
          <w:tcPr/>
          <w:p>
            <w:pPr>
              <w:pStyle w:val="Compact"/>
              <w:jc w:val="left"/>
            </w:pPr>
            <w:r>
              <w:t xml:space="preserve">Market Survey Median / Majority</w:t>
            </w:r>
          </w:p>
        </w:tc>
        <w:tc>
          <w:tcPr/>
          <w:p>
            <w:pPr>
              <w:pStyle w:val="Compact"/>
              <w:jc w:val="left"/>
            </w:pPr>
            <w:r>
              <w:t xml:space="preserve">Proposed Compromise</w:t>
            </w:r>
          </w:p>
        </w:tc>
      </w:tr>
      <w:tr>
        <w:tc>
          <w:tcPr/>
          <w:p>
            <w:pPr>
              <w:pStyle w:val="Compact"/>
              <w:jc w:val="left"/>
            </w:pPr>
            <w:r>
              <w:rPr>
                <w:b/>
                <w:bCs/>
              </w:rPr>
              <w:t xml:space="preserve">3.01(b) Standstill Period</w:t>
            </w:r>
          </w:p>
        </w:tc>
        <w:tc>
          <w:tcPr/>
          <w:p>
            <w:pPr>
              <w:pStyle w:val="Compact"/>
              <w:jc w:val="left"/>
            </w:pPr>
            <w:r>
              <w:t xml:space="preserve">270 days; no early termination triggers</w:t>
            </w:r>
          </w:p>
        </w:tc>
        <w:tc>
          <w:tcPr/>
          <w:p>
            <w:pPr>
              <w:pStyle w:val="Compact"/>
              <w:jc w:val="left"/>
            </w:pPr>
            <w:r>
              <w:t xml:space="preserve">90 days from receipt of notice; with triggers</w:t>
            </w:r>
          </w:p>
        </w:tc>
        <w:tc>
          <w:tcPr/>
          <w:p>
            <w:pPr>
              <w:pStyle w:val="Compact"/>
              <w:jc w:val="left"/>
            </w:pPr>
            <w:r>
              <w:t xml:space="preserve">Median 180 days; 76% include early termination triggers; 25 of 42 deals pair ≥180 days with triggers</w:t>
            </w:r>
          </w:p>
        </w:tc>
        <w:tc>
          <w:tcPr/>
          <w:p>
            <w:pPr>
              <w:pStyle w:val="Compact"/>
              <w:jc w:val="left"/>
            </w:pPr>
            <w:r>
              <w:rPr>
                <w:b/>
                <w:bCs/>
              </w:rPr>
              <w:t xml:space="preserve">180 days</w:t>
            </w:r>
            <w:r>
              <w:t xml:space="preserve"> </w:t>
            </w:r>
            <w:r>
              <w:t xml:space="preserve">from receipt of Blockage Notice, with</w:t>
            </w:r>
            <w:r>
              <w:t xml:space="preserve"> </w:t>
            </w:r>
            <w:r>
              <w:rPr>
                <w:b/>
                <w:bCs/>
              </w:rPr>
              <w:t xml:space="preserve">four narrow, objectively verifiable early termination triggers</w:t>
            </w:r>
            <w:r>
              <w:t xml:space="preserve">;</w:t>
            </w:r>
            <w:r>
              <w:t xml:space="preserve"> </w:t>
            </w:r>
            <w:r>
              <w:rPr>
                <w:b/>
                <w:bCs/>
              </w:rPr>
              <w:t xml:space="preserve">two-Blockage-Notice cap</w:t>
            </w:r>
            <w:r>
              <w:t xml:space="preserve"> </w:t>
            </w:r>
            <w:r>
              <w:t xml:space="preserve">per rolling 360-day period</w:t>
            </w:r>
          </w:p>
        </w:tc>
      </w:tr>
      <w:tr>
        <w:tc>
          <w:tcPr/>
          <w:p>
            <w:pPr>
              <w:pStyle w:val="Compact"/>
              <w:jc w:val="left"/>
            </w:pPr>
            <w:r>
              <w:rPr>
                <w:b/>
                <w:bCs/>
              </w:rPr>
              <w:t xml:space="preserve">5.01 Purchase Right — Purchase Price</w:t>
            </w:r>
          </w:p>
        </w:tc>
        <w:tc>
          <w:tcPr/>
          <w:p>
            <w:pPr>
              <w:pStyle w:val="Compact"/>
              <w:jc w:val="left"/>
            </w:pPr>
            <w:r>
              <w:t xml:space="preserve">Par + default-rate interest + fees; mandatory assumption of unfunded revolver</w:t>
            </w:r>
          </w:p>
        </w:tc>
        <w:tc>
          <w:tcPr/>
          <w:p>
            <w:pPr>
              <w:pStyle w:val="Compact"/>
              <w:jc w:val="left"/>
            </w:pPr>
            <w:r>
              <w:t xml:space="preserve">Lesser of par (non-default rate) or FMV; no revolver assumption</w:t>
            </w:r>
          </w:p>
        </w:tc>
        <w:tc>
          <w:tcPr/>
          <w:p>
            <w:pPr>
              <w:pStyle w:val="Compact"/>
              <w:jc w:val="left"/>
            </w:pPr>
            <w:r>
              <w:t xml:space="preserve">Par in 71%; non-default contract rate in 69%/90%; optional revolver in 62% (77% in 2024)</w:t>
            </w:r>
          </w:p>
        </w:tc>
        <w:tc>
          <w:tcPr/>
          <w:p>
            <w:pPr>
              <w:pStyle w:val="Compact"/>
              <w:jc w:val="left"/>
            </w:pPr>
            <w:r>
              <w:rPr>
                <w:b/>
                <w:bCs/>
              </w:rPr>
              <w:t xml:space="preserve">Par</w:t>
            </w:r>
            <w:r>
              <w:t xml:space="preserve"> </w:t>
            </w:r>
            <w:r>
              <w:t xml:space="preserve">for funded debt; accrued interest at the</w:t>
            </w:r>
            <w:r>
              <w:t xml:space="preserve"> </w:t>
            </w:r>
            <w:r>
              <w:rPr>
                <w:b/>
                <w:bCs/>
              </w:rPr>
              <w:t xml:space="preserve">non-default contract rate</w:t>
            </w:r>
            <w:r>
              <w:t xml:space="preserve">;</w:t>
            </w:r>
            <w:r>
              <w:t xml:space="preserve"> </w:t>
            </w:r>
            <w:r>
              <w:rPr>
                <w:b/>
                <w:bCs/>
              </w:rPr>
              <w:t xml:space="preserve">optional</w:t>
            </w:r>
            <w:r>
              <w:t xml:space="preserve"> </w:t>
            </w:r>
            <w:r>
              <w:t xml:space="preserve">(at purchaser’s election) assumption of unfunded revolver; LC Exposure cash-collateralized at 103% or replaced</w:t>
            </w:r>
          </w:p>
        </w:tc>
      </w:tr>
      <w:tr>
        <w:tc>
          <w:tcPr/>
          <w:p>
            <w:pPr>
              <w:pStyle w:val="Compact"/>
              <w:jc w:val="left"/>
            </w:pPr>
            <w:r>
              <w:rPr>
                <w:b/>
                <w:bCs/>
              </w:rPr>
              <w:t xml:space="preserve">2.03(c) Permitted 2L Refinancing</w:t>
            </w:r>
          </w:p>
        </w:tc>
        <w:tc>
          <w:tcPr/>
          <w:p>
            <w:pPr>
              <w:pStyle w:val="Compact"/>
              <w:jc w:val="left"/>
            </w:pPr>
            <w:r>
              <w:t xml:space="preserve">0% principal increase; maturity ≥ 91 days post-1L; blanket</w:t>
            </w:r>
            <w:r>
              <w:t xml:space="preserve"> </w:t>
            </w:r>
            <w:r>
              <w:t xml:space="preserve">“</w:t>
            </w:r>
            <w:r>
              <w:t xml:space="preserve">no more restrictive</w:t>
            </w:r>
            <w:r>
              <w:t xml:space="preserve">”</w:t>
            </w:r>
            <w:r>
              <w:t xml:space="preserve"> </w:t>
            </w:r>
            <w:r>
              <w:t xml:space="preserve">test</w:t>
            </w:r>
          </w:p>
        </w:tc>
        <w:tc>
          <w:tcPr/>
          <w:p>
            <w:pPr>
              <w:pStyle w:val="Compact"/>
              <w:jc w:val="left"/>
            </w:pPr>
            <w:r>
              <w:t xml:space="preserve">20% increase ($30M); maturity ≥ original 2L maturity; no restrictiveness test</w:t>
            </w:r>
          </w:p>
        </w:tc>
        <w:tc>
          <w:tcPr/>
          <w:p>
            <w:pPr>
              <w:pStyle w:val="Compact"/>
              <w:jc w:val="left"/>
            </w:pPr>
            <w:r>
              <w:t xml:space="preserve">Median 10% cap (79% limited to fees/costs); 93% use 91-day test, 81% also original-2L floor; narrowed test in 52%, 100% paired with MFN (82% MFN limited to financial covenants)</w:t>
            </w:r>
          </w:p>
        </w:tc>
        <w:tc>
          <w:tcPr/>
          <w:p>
            <w:pPr>
              <w:pStyle w:val="Compact"/>
              <w:jc w:val="left"/>
            </w:pPr>
            <w:r>
              <w:rPr>
                <w:b/>
                <w:bCs/>
              </w:rPr>
              <w:t xml:space="preserve">10% cap ($15M) limited to refinancing fees/costs</w:t>
            </w:r>
            <w:r>
              <w:t xml:space="preserve">; maturity =</w:t>
            </w:r>
            <w:r>
              <w:t xml:space="preserve"> </w:t>
            </w:r>
            <w:r>
              <w:rPr>
                <w:b/>
                <w:bCs/>
              </w:rPr>
              <w:t xml:space="preserve">later of</w:t>
            </w:r>
            <w:r>
              <w:t xml:space="preserve"> </w:t>
            </w:r>
            <w:r>
              <w:t xml:space="preserve">91 days post-1L</w:t>
            </w:r>
            <w:r>
              <w:t xml:space="preserve"> </w:t>
            </w:r>
            <w:r>
              <w:rPr>
                <w:b/>
                <w:bCs/>
              </w:rPr>
              <w:t xml:space="preserve">and</w:t>
            </w:r>
            <w:r>
              <w:t xml:space="preserve"> </w:t>
            </w:r>
            <w:r>
              <w:t xml:space="preserve">original 2L maturity;</w:t>
            </w:r>
            <w:r>
              <w:t xml:space="preserve"> </w:t>
            </w:r>
            <w:r>
              <w:rPr>
                <w:b/>
                <w:bCs/>
              </w:rPr>
              <w:t xml:space="preserve">narrowed restrictiveness test</w:t>
            </w:r>
            <w:r>
              <w:t xml:space="preserve"> </w:t>
            </w:r>
            <w:r>
              <w:t xml:space="preserve">(financial covenants, EODs/cure periods, cross-default)</w:t>
            </w:r>
            <w:r>
              <w:t xml:space="preserve"> </w:t>
            </w:r>
            <w:r>
              <w:rPr>
                <w:b/>
                <w:bCs/>
              </w:rPr>
              <w:t xml:space="preserve">paired with MFN</w:t>
            </w:r>
            <w:r>
              <w:t xml:space="preserve"> </w:t>
            </w:r>
            <w:r>
              <w:t xml:space="preserve">limited to financial maintenance covenants</w:t>
            </w:r>
          </w:p>
        </w:tc>
      </w:tr>
      <w:tr>
        <w:tc>
          <w:tcPr/>
          <w:p>
            <w:pPr>
              <w:pStyle w:val="Compact"/>
              <w:jc w:val="left"/>
            </w:pPr>
            <w:r>
              <w:rPr>
                <w:b/>
                <w:bCs/>
              </w:rPr>
              <w:t xml:space="preserve">4.02 Asset Disposition / Casualty Proceeds</w:t>
            </w:r>
          </w:p>
        </w:tc>
        <w:tc>
          <w:tcPr/>
          <w:p>
            <w:pPr>
              <w:pStyle w:val="Compact"/>
              <w:jc w:val="left"/>
            </w:pPr>
            <w:r>
              <w:t xml:space="preserve">100% sweep to 1L, overriding reinvestment; no 2L access</w:t>
            </w:r>
          </w:p>
        </w:tc>
        <w:tc>
          <w:tcPr/>
          <w:p>
            <w:pPr>
              <w:pStyle w:val="Compact"/>
              <w:jc w:val="left"/>
            </w:pPr>
            <w:r>
              <w:t xml:space="preserve">Follow 1L Credit Agreement reinvestment mechanics; residual to 2L</w:t>
            </w:r>
          </w:p>
        </w:tc>
        <w:tc>
          <w:tcPr/>
          <w:p>
            <w:pPr>
              <w:pStyle w:val="Compact"/>
              <w:jc w:val="left"/>
            </w:pPr>
            <w:r>
              <w:t xml:space="preserve">100% sweep universal; 81% preserve reinvestment; 90% hard sweep for large/extraordinary sales; 79% 2L residual access; median ordinary-course threshold $20M with anti-evasion (97%)</w:t>
            </w:r>
          </w:p>
        </w:tc>
        <w:tc>
          <w:tcPr/>
          <w:p>
            <w:pPr>
              <w:pStyle w:val="Compact"/>
              <w:jc w:val="left"/>
            </w:pPr>
            <w:r>
              <w:rPr>
                <w:b/>
                <w:bCs/>
              </w:rPr>
              <w:t xml:space="preserve">Bifurcated</w:t>
            </w:r>
            <w:r>
              <w:t xml:space="preserve">: ordinary-course sales ≤</w:t>
            </w:r>
            <w:r>
              <w:t xml:space="preserve"> </w:t>
            </w:r>
            <w:r>
              <w:rPr>
                <w:b/>
                <w:bCs/>
              </w:rPr>
              <w:t xml:space="preserve">$20M</w:t>
            </w:r>
            <w:r>
              <w:t xml:space="preserve"> </w:t>
            </w:r>
            <w:r>
              <w:t xml:space="preserve">follow 1L Credit Agreement reinvestment mechanics; sales</w:t>
            </w:r>
            <w:r>
              <w:t xml:space="preserve"> </w:t>
            </w:r>
            <w:r>
              <w:rPr>
                <w:b/>
                <w:bCs/>
              </w:rPr>
              <w:t xml:space="preserve">&gt; $20M</w:t>
            </w:r>
            <w:r>
              <w:t xml:space="preserve"> </w:t>
            </w:r>
            <w:r>
              <w:t xml:space="preserve">and all casualty events get</w:t>
            </w:r>
            <w:r>
              <w:t xml:space="preserve"> </w:t>
            </w:r>
            <w:r>
              <w:rPr>
                <w:b/>
                <w:bCs/>
              </w:rPr>
              <w:t xml:space="preserve">hard 100% sweep to 1L</w:t>
            </w:r>
            <w:r>
              <w:t xml:space="preserve">;</w:t>
            </w:r>
            <w:r>
              <w:t xml:space="preserve"> </w:t>
            </w:r>
            <w:r>
              <w:rPr>
                <w:b/>
                <w:bCs/>
              </w:rPr>
              <w:t xml:space="preserve">anti-evasion</w:t>
            </w:r>
            <w:r>
              <w:t xml:space="preserve"> </w:t>
            </w:r>
            <w:r>
              <w:t xml:space="preserve">at $20M;</w:t>
            </w:r>
            <w:r>
              <w:t xml:space="preserve"> </w:t>
            </w:r>
            <w:r>
              <w:rPr>
                <w:b/>
                <w:bCs/>
              </w:rPr>
              <w:t xml:space="preserve">residual to 2L</w:t>
            </w:r>
            <w:r>
              <w:t xml:space="preserve"> </w:t>
            </w:r>
            <w:r>
              <w:t xml:space="preserve">after Discharge of 1L; quarterly + event-driven + annual reporting</w:t>
            </w:r>
          </w:p>
        </w:tc>
      </w:tr>
    </w:tbl>
    <w:bookmarkEnd w:id="22"/>
    <w:bookmarkStart w:id="23" w:name="Xe4d4562da008ed50bcf9e86b3364ca5fcc04ddc"/>
    <w:p>
      <w:pPr>
        <w:pStyle w:val="Heading2"/>
      </w:pPr>
      <w:r>
        <w:t xml:space="preserve">III. Capital Structure and Market Context Common to All Provisions</w:t>
      </w:r>
    </w:p>
    <w:p>
      <w:pPr>
        <w:pStyle w:val="FirstParagraph"/>
      </w:pPr>
      <w:r>
        <w:t xml:space="preserve">Both agents have independently acknowledged, and the lender appraisal confirms, the following capital structure metrics. These figures are not in dispute and frame every compromise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First Lien Facility (Revolver $125M + Term Loan A $350M)</w:t>
            </w:r>
          </w:p>
        </w:tc>
        <w:tc>
          <w:tcPr/>
          <w:p>
            <w:pPr>
              <w:pStyle w:val="Compact"/>
              <w:jc w:val="left"/>
            </w:pPr>
            <w:r>
              <w:t xml:space="preserve">$475,000,000</w:t>
            </w:r>
          </w:p>
        </w:tc>
        <w:tc>
          <w:tcPr/>
          <w:p>
            <w:pPr>
              <w:pStyle w:val="Compact"/>
              <w:jc w:val="left"/>
            </w:pPr>
            <w:r>
              <w:t xml:space="preserve">Capital structure summary; 1L Credit Agreement</w:t>
            </w:r>
          </w:p>
        </w:tc>
      </w:tr>
      <w:tr>
        <w:tc>
          <w:tcPr/>
          <w:p>
            <w:pPr>
              <w:pStyle w:val="Compact"/>
              <w:jc w:val="left"/>
            </w:pPr>
            <w:r>
              <w:t xml:space="preserve">Second Lien Term Loan B</w:t>
            </w:r>
          </w:p>
        </w:tc>
        <w:tc>
          <w:tcPr/>
          <w:p>
            <w:pPr>
              <w:pStyle w:val="Compact"/>
              <w:jc w:val="left"/>
            </w:pPr>
            <w:r>
              <w:t xml:space="preserve">$150,000,000</w:t>
            </w:r>
          </w:p>
        </w:tc>
        <w:tc>
          <w:tcPr/>
          <w:p>
            <w:pPr>
              <w:pStyle w:val="Compact"/>
              <w:jc w:val="left"/>
            </w:pPr>
            <w:r>
              <w:t xml:space="preserve">Capital structure summary; 2L Credit Agreement</w:t>
            </w:r>
          </w:p>
        </w:tc>
      </w:tr>
      <w:tr>
        <w:tc>
          <w:tcPr/>
          <w:p>
            <w:pPr>
              <w:pStyle w:val="Compact"/>
              <w:jc w:val="left"/>
            </w:pPr>
            <w:r>
              <w:t xml:space="preserve">Total Secured Debt</w:t>
            </w:r>
          </w:p>
        </w:tc>
        <w:tc>
          <w:tcPr/>
          <w:p>
            <w:pPr>
              <w:pStyle w:val="Compact"/>
              <w:jc w:val="left"/>
            </w:pPr>
            <w:r>
              <w:t xml:space="preserve">$625,000,000</w:t>
            </w:r>
          </w:p>
        </w:tc>
        <w:tc>
          <w:tcPr/>
          <w:p>
            <w:pPr>
              <w:pStyle w:val="Compact"/>
              <w:jc w:val="left"/>
            </w:pPr>
            <w:r>
              <w:t xml:space="preserve">Capital structure summary</w:t>
            </w:r>
          </w:p>
        </w:tc>
      </w:tr>
      <w:tr>
        <w:tc>
          <w:tcPr/>
          <w:p>
            <w:pPr>
              <w:pStyle w:val="Compact"/>
              <w:jc w:val="left"/>
            </w:pPr>
            <w:r>
              <w:t xml:space="preserve">Total Enterprise Value (TEV)</w:t>
            </w:r>
          </w:p>
        </w:tc>
        <w:tc>
          <w:tcPr/>
          <w:p>
            <w:pPr>
              <w:pStyle w:val="Compact"/>
              <w:jc w:val="left"/>
            </w:pPr>
            <w:r>
              <w:t xml:space="preserve">~$640,000,000 (range $620M–$660M)</w:t>
            </w:r>
          </w:p>
        </w:tc>
        <w:tc>
          <w:tcPr/>
          <w:p>
            <w:pPr>
              <w:pStyle w:val="Compact"/>
              <w:jc w:val="left"/>
            </w:pPr>
            <w:r>
              <w:t xml:space="preserve">Lender appraisal (May 15, 2025)</w:t>
            </w:r>
          </w:p>
        </w:tc>
      </w:tr>
      <w:tr>
        <w:tc>
          <w:tcPr/>
          <w:p>
            <w:pPr>
              <w:pStyle w:val="Compact"/>
              <w:jc w:val="left"/>
            </w:pPr>
            <w:r>
              <w:t xml:space="preserve">First Lien LTV</w:t>
            </w:r>
          </w:p>
        </w:tc>
        <w:tc>
          <w:tcPr/>
          <w:p>
            <w:pPr>
              <w:pStyle w:val="Compact"/>
              <w:jc w:val="left"/>
            </w:pPr>
            <w:r>
              <w:t xml:space="preserve">74.22%</w:t>
            </w:r>
          </w:p>
        </w:tc>
        <w:tc>
          <w:tcPr/>
          <w:p>
            <w:pPr>
              <w:pStyle w:val="Compact"/>
              <w:jc w:val="left"/>
            </w:pPr>
            <w:r>
              <w:t xml:space="preserve">$475M ÷ $640M</w:t>
            </w:r>
          </w:p>
        </w:tc>
      </w:tr>
      <w:tr>
        <w:tc>
          <w:tcPr/>
          <w:p>
            <w:pPr>
              <w:pStyle w:val="Compact"/>
              <w:jc w:val="left"/>
            </w:pPr>
            <w:r>
              <w:t xml:space="preserve">Total LTV</w:t>
            </w:r>
          </w:p>
        </w:tc>
        <w:tc>
          <w:tcPr/>
          <w:p>
            <w:pPr>
              <w:pStyle w:val="Compact"/>
              <w:jc w:val="left"/>
            </w:pPr>
            <w:r>
              <w:t xml:space="preserve">97.66%</w:t>
            </w:r>
          </w:p>
        </w:tc>
        <w:tc>
          <w:tcPr/>
          <w:p>
            <w:pPr>
              <w:pStyle w:val="Compact"/>
              <w:jc w:val="left"/>
            </w:pPr>
            <w:r>
              <w:t xml:space="preserve">$625M ÷ $640M</w:t>
            </w:r>
          </w:p>
        </w:tc>
      </w:tr>
      <w:tr>
        <w:tc>
          <w:tcPr/>
          <w:p>
            <w:pPr>
              <w:pStyle w:val="Compact"/>
              <w:jc w:val="left"/>
            </w:pPr>
            <w:r>
              <w:t xml:space="preserve">Second Lien Equity Cushion</w:t>
            </w:r>
          </w:p>
        </w:tc>
        <w:tc>
          <w:tcPr/>
          <w:p>
            <w:pPr>
              <w:pStyle w:val="Compact"/>
              <w:jc w:val="left"/>
            </w:pPr>
            <w:r>
              <w:t xml:space="preserve">25.78% (~$165M absolute)</w:t>
            </w:r>
          </w:p>
        </w:tc>
        <w:tc>
          <w:tcPr/>
          <w:p>
            <w:pPr>
              <w:pStyle w:val="Compact"/>
              <w:jc w:val="left"/>
            </w:pPr>
            <w:r>
              <w:t xml:space="preserve">($640M − $475M) ÷ $640M</w:t>
            </w:r>
          </w:p>
        </w:tc>
      </w:tr>
      <w:tr>
        <w:tc>
          <w:tcPr/>
          <w:p>
            <w:pPr>
              <w:pStyle w:val="Compact"/>
              <w:jc w:val="left"/>
            </w:pPr>
            <w:r>
              <w:t xml:space="preserve">LTM EBITDA</w:t>
            </w:r>
          </w:p>
        </w:tc>
        <w:tc>
          <w:tcPr/>
          <w:p>
            <w:pPr>
              <w:pStyle w:val="Compact"/>
              <w:jc w:val="left"/>
            </w:pPr>
            <w:r>
              <w:t xml:space="preserve">$89.4M</w:t>
            </w:r>
          </w:p>
        </w:tc>
        <w:tc>
          <w:tcPr/>
          <w:p>
            <w:pPr>
              <w:pStyle w:val="Compact"/>
              <w:jc w:val="left"/>
            </w:pPr>
            <w:r>
              <w:t xml:space="preserve">Borrower-reported; appraisal</w:t>
            </w:r>
          </w:p>
        </w:tc>
      </w:tr>
      <w:tr>
        <w:tc>
          <w:tcPr/>
          <w:p>
            <w:pPr>
              <w:pStyle w:val="Compact"/>
              <w:jc w:val="left"/>
            </w:pPr>
            <w:r>
              <w:t xml:space="preserve">First Lien Leverage</w:t>
            </w:r>
          </w:p>
        </w:tc>
        <w:tc>
          <w:tcPr/>
          <w:p>
            <w:pPr>
              <w:pStyle w:val="Compact"/>
              <w:jc w:val="left"/>
            </w:pPr>
            <w:r>
              <w:t xml:space="preserve">5.31x</w:t>
            </w:r>
          </w:p>
        </w:tc>
        <w:tc>
          <w:tcPr/>
          <w:p>
            <w:pPr>
              <w:pStyle w:val="Compact"/>
              <w:jc w:val="left"/>
            </w:pPr>
            <w:r>
              <w:t xml:space="preserve">$475M ÷ $89.4M</w:t>
            </w:r>
          </w:p>
        </w:tc>
      </w:tr>
      <w:tr>
        <w:tc>
          <w:tcPr/>
          <w:p>
            <w:pPr>
              <w:pStyle w:val="Compact"/>
              <w:jc w:val="left"/>
            </w:pPr>
            <w:r>
              <w:t xml:space="preserve">Total Leverage</w:t>
            </w:r>
          </w:p>
        </w:tc>
        <w:tc>
          <w:tcPr/>
          <w:p>
            <w:pPr>
              <w:pStyle w:val="Compact"/>
              <w:jc w:val="left"/>
            </w:pPr>
            <w:r>
              <w:t xml:space="preserve">6.99x</w:t>
            </w:r>
          </w:p>
        </w:tc>
        <w:tc>
          <w:tcPr/>
          <w:p>
            <w:pPr>
              <w:pStyle w:val="Compact"/>
              <w:jc w:val="left"/>
            </w:pPr>
            <w:r>
              <w:t xml:space="preserve">$625M ÷ $89.4M</w:t>
            </w:r>
          </w:p>
        </w:tc>
      </w:tr>
      <w:tr>
        <w:tc>
          <w:tcPr/>
          <w:p>
            <w:pPr>
              <w:pStyle w:val="Compact"/>
              <w:jc w:val="left"/>
            </w:pPr>
            <w:r>
              <w:t xml:space="preserve">1L pricing (non-default)</w:t>
            </w:r>
          </w:p>
        </w:tc>
        <w:tc>
          <w:tcPr/>
          <w:p>
            <w:pPr>
              <w:pStyle w:val="Compact"/>
              <w:jc w:val="left"/>
            </w:pPr>
            <w:r>
              <w:t xml:space="preserve">SOFR + 250 bps (all-in ~7.83% at SOFR 5.33%)</w:t>
            </w:r>
          </w:p>
        </w:tc>
        <w:tc>
          <w:tcPr/>
          <w:p>
            <w:pPr>
              <w:pStyle w:val="Compact"/>
              <w:jc w:val="left"/>
            </w:pPr>
            <w:r>
              <w:t xml:space="preserve">1L Credit Agreement § 2.08(a)</w:t>
            </w:r>
          </w:p>
        </w:tc>
      </w:tr>
      <w:tr>
        <w:tc>
          <w:tcPr/>
          <w:p>
            <w:pPr>
              <w:pStyle w:val="Compact"/>
              <w:jc w:val="left"/>
            </w:pPr>
            <w:r>
              <w:t xml:space="preserve">1L default rate</w:t>
            </w:r>
          </w:p>
        </w:tc>
        <w:tc>
          <w:tcPr/>
          <w:p>
            <w:pPr>
              <w:pStyle w:val="Compact"/>
              <w:jc w:val="left"/>
            </w:pPr>
            <w:r>
              <w:t xml:space="preserve">SOFR + 450 bps (+200 bps; all-in ~9.83%)</w:t>
            </w:r>
          </w:p>
        </w:tc>
        <w:tc>
          <w:tcPr/>
          <w:p>
            <w:pPr>
              <w:pStyle w:val="Compact"/>
              <w:jc w:val="left"/>
            </w:pPr>
            <w:r>
              <w:t xml:space="preserve">1L Credit Agreement § 2.08(b)</w:t>
            </w:r>
          </w:p>
        </w:tc>
      </w:tr>
      <w:tr>
        <w:tc>
          <w:tcPr/>
          <w:p>
            <w:pPr>
              <w:pStyle w:val="Compact"/>
              <w:jc w:val="left"/>
            </w:pPr>
            <w:r>
              <w:t xml:space="preserve">2L pricing (non-default)</w:t>
            </w:r>
          </w:p>
        </w:tc>
        <w:tc>
          <w:tcPr/>
          <w:p>
            <w:pPr>
              <w:pStyle w:val="Compact"/>
              <w:jc w:val="left"/>
            </w:pPr>
            <w:r>
              <w:t xml:space="preserve">SOFR + 625 bps (all-in ~11.58%)</w:t>
            </w:r>
          </w:p>
        </w:tc>
        <w:tc>
          <w:tcPr/>
          <w:p>
            <w:pPr>
              <w:pStyle w:val="Compact"/>
              <w:jc w:val="left"/>
            </w:pPr>
            <w:r>
              <w:t xml:space="preserve">2L Credit Agreement</w:t>
            </w:r>
          </w:p>
        </w:tc>
      </w:tr>
      <w:tr>
        <w:tc>
          <w:tcPr/>
          <w:p>
            <w:pPr>
              <w:pStyle w:val="Compact"/>
              <w:jc w:val="left"/>
            </w:pPr>
            <w:r>
              <w:t xml:space="preserve">1L Maturity</w:t>
            </w:r>
          </w:p>
        </w:tc>
        <w:tc>
          <w:tcPr/>
          <w:p>
            <w:pPr>
              <w:pStyle w:val="Compact"/>
              <w:jc w:val="left"/>
            </w:pPr>
            <w:r>
              <w:t xml:space="preserve">June 15, 2030</w:t>
            </w:r>
          </w:p>
        </w:tc>
        <w:tc>
          <w:tcPr/>
          <w:p>
            <w:pPr>
              <w:pStyle w:val="Compact"/>
              <w:jc w:val="left"/>
            </w:pPr>
            <w:r>
              <w:t xml:space="preserve">1L Credit Agreement</w:t>
            </w:r>
          </w:p>
        </w:tc>
      </w:tr>
      <w:tr>
        <w:tc>
          <w:tcPr/>
          <w:p>
            <w:pPr>
              <w:pStyle w:val="Compact"/>
              <w:jc w:val="left"/>
            </w:pPr>
            <w:r>
              <w:t xml:space="preserve">2L Maturity</w:t>
            </w:r>
          </w:p>
        </w:tc>
        <w:tc>
          <w:tcPr/>
          <w:p>
            <w:pPr>
              <w:pStyle w:val="Compact"/>
              <w:jc w:val="left"/>
            </w:pPr>
            <w:r>
              <w:t xml:space="preserve">June 15, 2031</w:t>
            </w:r>
          </w:p>
        </w:tc>
        <w:tc>
          <w:tcPr/>
          <w:p>
            <w:pPr>
              <w:pStyle w:val="Compact"/>
              <w:jc w:val="left"/>
            </w:pPr>
            <w:r>
              <w:t xml:space="preserve">2L Credit Agreement</w:t>
            </w:r>
          </w:p>
        </w:tc>
      </w:tr>
      <w:tr>
        <w:tc>
          <w:tcPr/>
          <w:p>
            <w:pPr>
              <w:pStyle w:val="Compact"/>
              <w:jc w:val="left"/>
            </w:pPr>
            <w:r>
              <w:t xml:space="preserve">1L financial maintenance covenant</w:t>
            </w:r>
          </w:p>
        </w:tc>
        <w:tc>
          <w:tcPr/>
          <w:p>
            <w:pPr>
              <w:pStyle w:val="Compact"/>
              <w:jc w:val="left"/>
            </w:pPr>
            <w:r>
              <w:t xml:space="preserve">Total First Lien Net Leverage ≤ 5.50x; Interest Coverage ≥ 2.00x</w:t>
            </w:r>
          </w:p>
        </w:tc>
        <w:tc>
          <w:tcPr/>
          <w:p>
            <w:pPr>
              <w:pStyle w:val="Compact"/>
              <w:jc w:val="left"/>
            </w:pPr>
            <w:r>
              <w:t xml:space="preserve">1L Credit Agreement § 6.10</w:t>
            </w:r>
          </w:p>
        </w:tc>
      </w:tr>
      <w:tr>
        <w:tc>
          <w:tcPr/>
          <w:p>
            <w:pPr>
              <w:pStyle w:val="Compact"/>
              <w:jc w:val="left"/>
            </w:pPr>
            <w:r>
              <w:t xml:space="preserve">2L financial maintenance covenant</w:t>
            </w:r>
          </w:p>
        </w:tc>
        <w:tc>
          <w:tcPr/>
          <w:p>
            <w:pPr>
              <w:pStyle w:val="Compact"/>
              <w:jc w:val="left"/>
            </w:pPr>
            <w:r>
              <w:t xml:space="preserve">Total Leverage ≤ 6.5x</w:t>
            </w:r>
          </w:p>
        </w:tc>
        <w:tc>
          <w:tcPr/>
          <w:p>
            <w:pPr>
              <w:pStyle w:val="Compact"/>
              <w:jc w:val="left"/>
            </w:pPr>
            <w:r>
              <w:t xml:space="preserve">2L Credit Agreement</w:t>
            </w:r>
          </w:p>
        </w:tc>
      </w:tr>
      <w:tr>
        <w:tc>
          <w:tcPr/>
          <w:p>
            <w:pPr>
              <w:pStyle w:val="Compact"/>
              <w:jc w:val="left"/>
            </w:pPr>
            <w:r>
              <w:t xml:space="preserve">2L call premium</w:t>
            </w:r>
          </w:p>
        </w:tc>
        <w:tc>
          <w:tcPr/>
          <w:p>
            <w:pPr>
              <w:pStyle w:val="Compact"/>
              <w:jc w:val="left"/>
            </w:pPr>
            <w:r>
              <w:t xml:space="preserve">102% year 1, 101% year 2, par thereafter</w:t>
            </w:r>
          </w:p>
        </w:tc>
        <w:tc>
          <w:tcPr/>
          <w:p>
            <w:pPr>
              <w:pStyle w:val="Compact"/>
              <w:jc w:val="left"/>
            </w:pPr>
            <w:r>
              <w:t xml:space="preserve">2L Credit Agreement</w:t>
            </w:r>
          </w:p>
        </w:tc>
      </w:tr>
      <w:tr>
        <w:tc>
          <w:tcPr/>
          <w:p>
            <w:pPr>
              <w:pStyle w:val="Compact"/>
              <w:jc w:val="left"/>
            </w:pPr>
            <w:r>
              <w:t xml:space="preserve">LC Sub-Facility</w:t>
            </w:r>
          </w:p>
        </w:tc>
        <w:tc>
          <w:tcPr/>
          <w:p>
            <w:pPr>
              <w:pStyle w:val="Compact"/>
              <w:jc w:val="left"/>
            </w:pPr>
            <w:r>
              <w:t xml:space="preserve">$25,000,000 (cash collateralization at 103%)</w:t>
            </w:r>
          </w:p>
        </w:tc>
        <w:tc>
          <w:tcPr/>
          <w:p>
            <w:pPr>
              <w:pStyle w:val="Compact"/>
              <w:jc w:val="left"/>
            </w:pPr>
            <w:r>
              <w:t xml:space="preserve">1L Credit Agreement §§ 2.04, 2.04(f)</w:t>
            </w:r>
          </w:p>
        </w:tc>
      </w:tr>
      <w:tr>
        <w:tc>
          <w:tcPr/>
          <w:p>
            <w:pPr>
              <w:pStyle w:val="Compact"/>
              <w:jc w:val="left"/>
            </w:pPr>
            <w:r>
              <w:t xml:space="preserve">1L asset-sale prepayment mechanics</w:t>
            </w:r>
          </w:p>
        </w:tc>
        <w:tc>
          <w:tcPr/>
          <w:p>
            <w:pPr>
              <w:pStyle w:val="Compact"/>
              <w:jc w:val="left"/>
            </w:pPr>
            <w:r>
              <w:t xml:space="preserve">$5M individual / $15M annual aggregate triggers; 365-day reinvestment period; 100% sweep of non-reinvested proceeds; anti-evasion (§ 2.05(b)(iii)); $3M reporting threshold (§ 2.05(b)(v))</w:t>
            </w:r>
          </w:p>
        </w:tc>
        <w:tc>
          <w:tcPr/>
          <w:p>
            <w:pPr>
              <w:pStyle w:val="Compact"/>
              <w:jc w:val="left"/>
            </w:pPr>
            <w:r>
              <w:t xml:space="preserve">1L Credit Agreement § 2.05(b)</w:t>
            </w:r>
          </w:p>
        </w:tc>
      </w:tr>
    </w:tbl>
    <w:p>
      <w:pPr>
        <w:pStyle w:val="BodyText"/>
      </w:pPr>
      <w:r>
        <w:t xml:space="preserve">Two features of this capital structure drive the negotiation on every provision.</w:t>
      </w:r>
      <w:r>
        <w:t xml:space="preserve"> </w:t>
      </w:r>
      <w:r>
        <w:rPr>
          <w:b/>
          <w:bCs/>
        </w:rPr>
        <w:t xml:space="preserve">First</w:t>
      </w:r>
      <w:r>
        <w:t xml:space="preserve">, the Total LTV of 97.66% means aggregate secured debt nearly equals enterprise value; the second lien equity cushion of 25.78% (~$165M) is thin, and a TEV decline of only ~2.34% would push Total LTV above 100%. This is the foundation of Cartwright’s insistence on structural protections (longer standstill, par purchase price, hard proceeds sweep, refinancing restrictions).</w:t>
      </w:r>
      <w:r>
        <w:t xml:space="preserve"> </w:t>
      </w:r>
      <w:r>
        <w:rPr>
          <w:b/>
          <w:bCs/>
        </w:rPr>
        <w:t xml:space="preserve">Second</w:t>
      </w:r>
      <w:r>
        <w:t xml:space="preserve">, the same thin cushion means Ridgeline’s recovery is acutely sensitive to collateral value erosion during any enforcement standstill and to any leakage of proceeds away from the first lien waterfall — the foundation of Ridgeline’s insistence on a shorter standstill, a viable purchase right, and residual proceeds access. The compromise package below balances these directly opposed incentives.</w:t>
      </w:r>
    </w:p>
    <w:p>
      <w:pPr>
        <w:pStyle w:val="BodyText"/>
      </w:pPr>
      <w:r>
        <w:t xml:space="preserve">The Market Survey covers 42 broadly syndicated 1L/2L ICAs closed January 2022–December 2024, all New York-governed (95%), with median total 1L facility of $475M, median total 2L facility of $150M, and median total secured debt of $625M — closely matching Meridian’s structure. Deal-007 in the survey (a $475M 1L / $150M 2L / $625M total secured, non-sponsor industrial credit) is the closest structural analogue to Meridian and is cited below where directly on point.</w:t>
      </w:r>
    </w:p>
    <w:bookmarkEnd w:id="23"/>
    <w:bookmarkStart w:id="24" w:name="X5402a127c8d2e6908d02db8c3e8b3c2c3a59620"/>
    <w:p>
      <w:pPr>
        <w:pStyle w:val="Heading2"/>
      </w:pPr>
      <w:r>
        <w:t xml:space="preserve">IV. The Compromise Package — Why It Must Be Treated as Indivisible</w:t>
      </w:r>
    </w:p>
    <w:p>
      <w:pPr>
        <w:pStyle w:val="FirstParagraph"/>
      </w:pPr>
      <w:r>
        <w:t xml:space="preserve">Before turning to the individual provisions, it is essential to understand why the four proposals are presented as a single package. Each side’s willingness to accept a concession on one provision is conditioned on receiving a corresponding concession on another. The principal linkages are:</w:t>
      </w:r>
    </w:p>
    <w:p>
      <w:pPr>
        <w:numPr>
          <w:ilvl w:val="0"/>
          <w:numId w:val="1001"/>
        </w:numPr>
      </w:pPr>
      <w:r>
        <w:rPr>
          <w:b/>
          <w:bCs/>
        </w:rPr>
        <w:t xml:space="preserve">Standstill duration ↔ early termination triggers.</w:t>
      </w:r>
      <w:r>
        <w:t xml:space="preserve"> </w:t>
      </w:r>
      <w:r>
        <w:t xml:space="preserve">Cartwright’s credit committee has stated it could accept a standstill</w:t>
      </w:r>
      <w:r>
        <w:t xml:space="preserve"> </w:t>
      </w:r>
      <w:r>
        <w:t xml:space="preserve">“</w:t>
      </w:r>
      <w:r>
        <w:t xml:space="preserve">closer to 180 days</w:t>
      </w:r>
      <w:r>
        <w:t xml:space="preserve">”</w:t>
      </w:r>
      <w:r>
        <w:t xml:space="preserve"> </w:t>
      </w:r>
      <w:r>
        <w:rPr>
          <w:b/>
          <w:bCs/>
        </w:rPr>
        <w:t xml:space="preserve">only if</w:t>
      </w:r>
      <w:r>
        <w:t xml:space="preserve"> </w:t>
      </w:r>
      <w:r>
        <w:t xml:space="preserve">paired with</w:t>
      </w:r>
      <w:r>
        <w:t xml:space="preserve"> </w:t>
      </w:r>
      <w:r>
        <w:t xml:space="preserve">“</w:t>
      </w:r>
      <w:r>
        <w:t xml:space="preserve">carefully defined early termination triggers</w:t>
      </w:r>
      <w:r>
        <w:t xml:space="preserve">”</w:t>
      </w:r>
      <w:r>
        <w:t xml:space="preserve"> </w:t>
      </w:r>
      <w:r>
        <w:t xml:space="preserve">that are</w:t>
      </w:r>
      <w:r>
        <w:t xml:space="preserve"> </w:t>
      </w:r>
      <w:r>
        <w:t xml:space="preserve">“</w:t>
      </w:r>
      <w:r>
        <w:t xml:space="preserve">narrow and objectively verifiable.</w:t>
      </w:r>
      <w:r>
        <w:t xml:space="preserve">”</w:t>
      </w:r>
      <w:r>
        <w:t xml:space="preserve"> </w:t>
      </w:r>
      <w:r>
        <w:t xml:space="preserve">Ridgeline has stated it can accept</w:t>
      </w:r>
      <w:r>
        <w:t xml:space="preserve"> </w:t>
      </w:r>
      <w:r>
        <w:t xml:space="preserve">“</w:t>
      </w:r>
      <w:r>
        <w:t xml:space="preserve">up to a 180-day standstill</w:t>
      </w:r>
      <w:r>
        <w:t xml:space="preserve">”</w:t>
      </w:r>
      <w:r>
        <w:t xml:space="preserve"> </w:t>
      </w:r>
      <w:r>
        <w:rPr>
          <w:b/>
          <w:bCs/>
        </w:rPr>
        <w:t xml:space="preserve">only if</w:t>
      </w:r>
      <w:r>
        <w:t xml:space="preserve"> </w:t>
      </w:r>
      <w:r>
        <w:t xml:space="preserve">the ICA includes</w:t>
      </w:r>
      <w:r>
        <w:t xml:space="preserve"> </w:t>
      </w:r>
      <w:r>
        <w:t xml:space="preserve">“</w:t>
      </w:r>
      <w:r>
        <w:t xml:space="preserve">meaningful early termination triggers,</w:t>
      </w:r>
      <w:r>
        <w:t xml:space="preserve">”</w:t>
      </w:r>
      <w:r>
        <w:t xml:space="preserve"> </w:t>
      </w:r>
      <w:r>
        <w:t xml:space="preserve">calling this a</w:t>
      </w:r>
      <w:r>
        <w:t xml:space="preserve"> </w:t>
      </w:r>
      <w:r>
        <w:t xml:space="preserve">“</w:t>
      </w:r>
      <w:r>
        <w:t xml:space="preserve">firm condition</w:t>
      </w:r>
      <w:r>
        <w:t xml:space="preserve">”</w:t>
      </w:r>
      <w:r>
        <w:t xml:space="preserve"> </w:t>
      </w:r>
      <w:r>
        <w:t xml:space="preserve">that</w:t>
      </w:r>
      <w:r>
        <w:t xml:space="preserve"> </w:t>
      </w:r>
      <w:r>
        <w:t xml:space="preserve">“</w:t>
      </w:r>
      <w:r>
        <w:t xml:space="preserve">we cannot decouple from the duration.</w:t>
      </w:r>
      <w:r>
        <w:t xml:space="preserve">”</w:t>
      </w:r>
      <w:r>
        <w:t xml:space="preserve"> </w:t>
      </w:r>
      <w:r>
        <w:t xml:space="preserve">The 180-day duration and the trigger set are therefore a single bargain — neither side accepts one without the other.</w:t>
      </w:r>
    </w:p>
    <w:p>
      <w:pPr>
        <w:numPr>
          <w:ilvl w:val="0"/>
          <w:numId w:val="1001"/>
        </w:numPr>
      </w:pPr>
      <w:r>
        <w:rPr>
          <w:b/>
          <w:bCs/>
        </w:rPr>
        <w:t xml:space="preserve">Par purchase price ↔ optional revolver assumption and non-default interest.</w:t>
      </w:r>
      <w:r>
        <w:t xml:space="preserve"> </w:t>
      </w:r>
      <w:r>
        <w:t xml:space="preserve">Cartwright has stated that</w:t>
      </w:r>
      <w:r>
        <w:t xml:space="preserve"> </w:t>
      </w:r>
      <w:r>
        <w:t xml:space="preserve">“</w:t>
      </w:r>
      <w:r>
        <w:t xml:space="preserve">par purchase price for funded debt is non-negotiable.</w:t>
      </w:r>
      <w:r>
        <w:t xml:space="preserve">”</w:t>
      </w:r>
      <w:r>
        <w:t xml:space="preserve"> </w:t>
      </w:r>
      <w:r>
        <w:t xml:space="preserve">Ridgeline has stated it</w:t>
      </w:r>
      <w:r>
        <w:t xml:space="preserve"> </w:t>
      </w:r>
      <w:r>
        <w:t xml:space="preserve">“</w:t>
      </w:r>
      <w:r>
        <w:t xml:space="preserve">acknowledges that par for funded debt may be acceptable</w:t>
      </w:r>
      <w:r>
        <w:t xml:space="preserve">”</w:t>
      </w:r>
      <w:r>
        <w:t xml:space="preserve"> </w:t>
      </w:r>
      <w:r>
        <w:rPr>
          <w:b/>
          <w:bCs/>
        </w:rPr>
        <w:t xml:space="preserve">but only if</w:t>
      </w:r>
      <w:r>
        <w:t xml:space="preserve"> </w:t>
      </w:r>
      <w:r>
        <w:t xml:space="preserve">“</w:t>
      </w:r>
      <w:r>
        <w:t xml:space="preserve">assumption of the unfunded revolver commitments is optional, not mandatory</w:t>
      </w:r>
      <w:r>
        <w:t xml:space="preserve">”</w:t>
      </w:r>
      <w:r>
        <w:t xml:space="preserve"> </w:t>
      </w:r>
      <w:r>
        <w:t xml:space="preserve">— a constraint rooted in Ridgeline’s fund limited partnership agreement, which prevents the fund from taking on open-ended revolving credit commitments. Cartwright has separately signaled flexibility on (a) calculating accrued interest at the non-default contract rate rather than the default rate and (b) making revolver assumption optional. The par price, the non-default interest rate, and the optional revolver are thus a linked three-part bargain.</w:t>
      </w:r>
    </w:p>
    <w:p>
      <w:pPr>
        <w:numPr>
          <w:ilvl w:val="0"/>
          <w:numId w:val="1001"/>
        </w:numPr>
      </w:pPr>
      <w:r>
        <w:rPr>
          <w:b/>
          <w:bCs/>
        </w:rPr>
        <w:t xml:space="preserve">Refinancing principal cap ↔ narrowed restrictiveness test + MFN.</w:t>
      </w:r>
      <w:r>
        <w:t xml:space="preserve"> </w:t>
      </w:r>
      <w:r>
        <w:t xml:space="preserve">Cartwright’s opening position was a 0% principal cap and a blanket restrictiveness test; Ridgeline’s was a 20% cap and no restrictiveness test. Cartwright has signaled openness to a</w:t>
      </w:r>
      <w:r>
        <w:t xml:space="preserve"> </w:t>
      </w:r>
      <w:r>
        <w:rPr>
          <w:b/>
          <w:bCs/>
        </w:rPr>
        <w:t xml:space="preserve">narrowed</w:t>
      </w:r>
      <w:r>
        <w:t xml:space="preserve"> </w:t>
      </w:r>
      <w:r>
        <w:t xml:space="preserve">restrictiveness test</w:t>
      </w:r>
      <w:r>
        <w:t xml:space="preserve"> </w:t>
      </w:r>
      <w:r>
        <w:rPr>
          <w:b/>
          <w:bCs/>
        </w:rPr>
        <w:t xml:space="preserve">paired with an MFN right</w:t>
      </w:r>
      <w:r>
        <w:t xml:space="preserve">, and Ridgeline has signaled openness to that pairing. Ridgeline has signaled it can accept a</w:t>
      </w:r>
      <w:r>
        <w:t xml:space="preserve"> </w:t>
      </w:r>
      <w:r>
        <w:rPr>
          <w:b/>
          <w:bCs/>
        </w:rPr>
        <w:t xml:space="preserve">10% cap limited to refinancing fees and costs</w:t>
      </w:r>
      <w:r>
        <w:t xml:space="preserve">. The 10% cap (a concession by Cartwright) is acceptable to Cartwright only because it is limited to fees/costs and paired with the narrowed test + MFN (protections for Cartwright); the narrowed test + MFN (a concession by Ridgeline from</w:t>
      </w:r>
      <w:r>
        <w:t xml:space="preserve"> </w:t>
      </w:r>
      <w:r>
        <w:t xml:space="preserve">“</w:t>
      </w:r>
      <w:r>
        <w:t xml:space="preserve">no test</w:t>
      </w:r>
      <w:r>
        <w:t xml:space="preserve">”</w:t>
      </w:r>
      <w:r>
        <w:t xml:space="preserve">) is acceptable to Ridgeline only because the cap is 10% and limited to fees/costs (rather than 0%).</w:t>
      </w:r>
    </w:p>
    <w:p>
      <w:pPr>
        <w:numPr>
          <w:ilvl w:val="0"/>
          <w:numId w:val="1001"/>
        </w:numPr>
      </w:pPr>
      <w:r>
        <w:rPr>
          <w:b/>
          <w:bCs/>
        </w:rPr>
        <w:t xml:space="preserve">Hard sweep for extraordinary sales ↔ 2L residual access and ordinary-course reinvestment.</w:t>
      </w:r>
      <w:r>
        <w:t xml:space="preserve"> </w:t>
      </w:r>
      <w:r>
        <w:t xml:space="preserve">Cartwright has stated that a</w:t>
      </w:r>
      <w:r>
        <w:t xml:space="preserve"> </w:t>
      </w:r>
      <w:r>
        <w:t xml:space="preserve">“</w:t>
      </w:r>
      <w:r>
        <w:t xml:space="preserve">hard sweep of proceeds from large and/or extraordinary asset sales is essential … and is not subject to significant compromise,</w:t>
      </w:r>
      <w:r>
        <w:t xml:space="preserve">”</w:t>
      </w:r>
      <w:r>
        <w:t xml:space="preserve"> </w:t>
      </w:r>
      <w:r>
        <w:t xml:space="preserve">but that</w:t>
      </w:r>
      <w:r>
        <w:t xml:space="preserve"> </w:t>
      </w:r>
      <w:r>
        <w:t xml:space="preserve">“</w:t>
      </w:r>
      <w:r>
        <w:t xml:space="preserve">reinvestment rights for smaller, ordinary-course asset sales may be acceptable</w:t>
      </w:r>
      <w:r>
        <w:t xml:space="preserve">”</w:t>
      </w:r>
      <w:r>
        <w:t xml:space="preserve"> </w:t>
      </w:r>
      <w:r>
        <w:t xml:space="preserve">and that 2L residual access is</w:t>
      </w:r>
      <w:r>
        <w:t xml:space="preserve"> </w:t>
      </w:r>
      <w:r>
        <w:t xml:space="preserve">“</w:t>
      </w:r>
      <w:r>
        <w:t xml:space="preserve">less of a concern if the hard sweep for significant sales is preserved.</w:t>
      </w:r>
      <w:r>
        <w:t xml:space="preserve">”</w:t>
      </w:r>
      <w:r>
        <w:t xml:space="preserve"> </w:t>
      </w:r>
      <w:r>
        <w:t xml:space="preserve">Ridgeline has stated that</w:t>
      </w:r>
      <w:r>
        <w:t xml:space="preserve"> </w:t>
      </w:r>
      <w:r>
        <w:t xml:space="preserve">“</w:t>
      </w:r>
      <w:r>
        <w:t xml:space="preserve">some form of 2L access to residual asset sale proceeds</w:t>
      </w:r>
      <w:r>
        <w:t xml:space="preserve">”</w:t>
      </w:r>
      <w:r>
        <w:t xml:space="preserve"> </w:t>
      </w:r>
      <w:r>
        <w:t xml:space="preserve">must be preserved (calling it</w:t>
      </w:r>
      <w:r>
        <w:t xml:space="preserve"> </w:t>
      </w:r>
      <w:r>
        <w:t xml:space="preserve">“</w:t>
      </w:r>
      <w:r>
        <w:t xml:space="preserve">symbolically important even if economically limited</w:t>
      </w:r>
      <w:r>
        <w:t xml:space="preserve">”</w:t>
      </w:r>
      <w:r>
        <w:t xml:space="preserve">) and that it</w:t>
      </w:r>
      <w:r>
        <w:t xml:space="preserve"> </w:t>
      </w:r>
      <w:r>
        <w:t xml:space="preserve">“</w:t>
      </w:r>
      <w:r>
        <w:t xml:space="preserve">could live with the 1L reinvestment mechanics applying for ordinary-course sales … provided that the residual after 1L application flows to the 2L rather than back to the Borrower.</w:t>
      </w:r>
      <w:r>
        <w:t xml:space="preserve">”</w:t>
      </w:r>
      <w:r>
        <w:t xml:space="preserve"> </w:t>
      </w:r>
      <w:r>
        <w:t xml:space="preserve">The hard sweep for &gt;$20M sales (a concession by Ridgeline) is acceptable to Ridgeline only because ordinary-course reinvestment is preserved and residual flows to 2L (concessions by Cartwright); the 2L residual and ordinary-course reinvestment (concessions by Cartwright) are acceptable to Cartwright only because the hard sweep for extraordinary sales is preserved.</w:t>
      </w:r>
    </w:p>
    <w:p>
      <w:pPr>
        <w:pStyle w:val="FirstParagraph"/>
      </w:pPr>
      <w:r>
        <w:t xml:space="preserve">Because each concession is the consideration for a counter-concession,</w:t>
      </w:r>
      <w:r>
        <w:t xml:space="preserve"> </w:t>
      </w:r>
      <w:r>
        <w:rPr>
          <w:b/>
          <w:bCs/>
        </w:rPr>
        <w:t xml:space="preserve">unbundling the package would unravel the balance</w:t>
      </w:r>
      <w:r>
        <w:t xml:space="preserve">. If, for example, Cartwright were to accept the 180-day standstill with triggers but then insist on mandatory revolver assumption, Ridgeline’s acceptance of par would fall away. If Ridgeline were to accept par and the optional revolver but then insist on a 20% refinancing cap with no restrictiveness test, Cartwright’s acceptance of the 10% cap would fall away. The memorandum therefore presents the four provisions for acceptance or rejection</w:t>
      </w:r>
      <w:r>
        <w:t xml:space="preserve"> </w:t>
      </w:r>
      <w:r>
        <w:rPr>
          <w:b/>
          <w:bCs/>
        </w:rPr>
        <w:t xml:space="preserve">as a whole</w:t>
      </w:r>
      <w:r>
        <w:t xml:space="preserve">, and Meridian’s endorsement of the package to both agents should be framed accordingly.</w:t>
      </w:r>
    </w:p>
    <w:bookmarkEnd w:id="24"/>
    <w:bookmarkStart w:id="29" w:name="Xcd1e1a9a66dd0ff85b498bbcb86c195d7da671a"/>
    <w:p>
      <w:pPr>
        <w:pStyle w:val="Heading2"/>
      </w:pPr>
      <w:r>
        <w:t xml:space="preserve">V. Provision 1 — Standstill Period (Section 3.01(b))</w:t>
      </w:r>
    </w:p>
    <w:bookmarkStart w:id="25" w:name="a.-the-impasse"/>
    <w:p>
      <w:pPr>
        <w:pStyle w:val="Heading3"/>
      </w:pPr>
      <w:r>
        <w:t xml:space="preserve">A. The Impasse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Cartwright (1L)</w:t>
            </w:r>
          </w:p>
        </w:tc>
        <w:tc>
          <w:tcPr/>
          <w:p>
            <w:pPr>
              <w:pStyle w:val="Compact"/>
              <w:jc w:val="left"/>
            </w:pPr>
            <w:r>
              <w:t xml:space="preserve">Ridgeline (2L)</w:t>
            </w:r>
          </w:p>
        </w:tc>
      </w:tr>
      <w:tr>
        <w:tc>
          <w:tcPr/>
          <w:p>
            <w:pPr>
              <w:pStyle w:val="Compact"/>
              <w:jc w:val="left"/>
            </w:pPr>
            <w:r>
              <w:t xml:space="preserve">Duration</w:t>
            </w:r>
          </w:p>
        </w:tc>
        <w:tc>
          <w:tcPr/>
          <w:p>
            <w:pPr>
              <w:pStyle w:val="Compact"/>
              <w:jc w:val="left"/>
            </w:pPr>
            <w:r>
              <w:t xml:space="preserve">270 days</w:t>
            </w:r>
          </w:p>
        </w:tc>
        <w:tc>
          <w:tcPr/>
          <w:p>
            <w:pPr>
              <w:pStyle w:val="Compact"/>
              <w:jc w:val="left"/>
            </w:pPr>
            <w:r>
              <w:t xml:space="preserve">90 days (from receipt of Blockage Notice)</w:t>
            </w:r>
          </w:p>
        </w:tc>
      </w:tr>
      <w:tr>
        <w:tc>
          <w:tcPr/>
          <w:p>
            <w:pPr>
              <w:pStyle w:val="Compact"/>
              <w:jc w:val="left"/>
            </w:pPr>
            <w:r>
              <w:t xml:space="preserve">Early termination</w:t>
            </w:r>
          </w:p>
        </w:tc>
        <w:tc>
          <w:tcPr/>
          <w:p>
            <w:pPr>
              <w:pStyle w:val="Compact"/>
              <w:jc w:val="left"/>
            </w:pPr>
            <w:r>
              <w:t xml:space="preserve">None —</w:t>
            </w:r>
            <w:r>
              <w:t xml:space="preserve"> </w:t>
            </w:r>
            <w:r>
              <w:t xml:space="preserve">“</w:t>
            </w:r>
            <w:r>
              <w:t xml:space="preserve">absolute and unconditional</w:t>
            </w:r>
            <w:r>
              <w:t xml:space="preserve">”</w:t>
            </w:r>
          </w:p>
        </w:tc>
        <w:tc>
          <w:tcPr/>
          <w:p>
            <w:pPr>
              <w:pStyle w:val="Compact"/>
              <w:jc w:val="left"/>
            </w:pPr>
            <w:r>
              <w:t xml:space="preserve">Two triggers (1L enforcement commenced; Insolvency Proceeding filed)</w:t>
            </w:r>
          </w:p>
        </w:tc>
      </w:tr>
      <w:tr>
        <w:tc>
          <w:tcPr/>
          <w:p>
            <w:pPr>
              <w:pStyle w:val="Compact"/>
              <w:jc w:val="left"/>
            </w:pPr>
            <w:r>
              <w:t xml:space="preserve">Blockage Notice cap</w:t>
            </w:r>
          </w:p>
        </w:tc>
        <w:tc>
          <w:tcPr/>
          <w:p>
            <w:pPr>
              <w:pStyle w:val="Compact"/>
              <w:jc w:val="left"/>
            </w:pPr>
            <w:r>
              <w:t xml:space="preserve">None proposed</w:t>
            </w:r>
          </w:p>
        </w:tc>
        <w:tc>
          <w:tcPr/>
          <w:p>
            <w:pPr>
              <w:pStyle w:val="Compact"/>
              <w:jc w:val="left"/>
            </w:pPr>
            <w:r>
              <w:t xml:space="preserve">None proposed (but drafting note flags this as open)</w:t>
            </w:r>
          </w:p>
        </w:tc>
      </w:tr>
    </w:tbl>
    <w:p>
      <w:pPr>
        <w:pStyle w:val="BodyText"/>
      </w:pPr>
      <w:r>
        <w:t xml:space="preserve">Cartwright’s credit committee has established a</w:t>
      </w:r>
      <w:r>
        <w:t xml:space="preserve"> </w:t>
      </w:r>
      <w:r>
        <w:rPr>
          <w:b/>
          <w:bCs/>
        </w:rPr>
        <w:t xml:space="preserve">minimum acceptable standstill of 150 days</w:t>
      </w:r>
      <w:r>
        <w:t xml:space="preserve"> </w:t>
      </w:r>
      <w:r>
        <w:t xml:space="preserve">(the</w:t>
      </w:r>
      <w:r>
        <w:t xml:space="preserve"> </w:t>
      </w:r>
      <w:r>
        <w:t xml:space="preserve">“</w:t>
      </w:r>
      <w:r>
        <w:t xml:space="preserve">hard floor</w:t>
      </w:r>
      <w:r>
        <w:t xml:space="preserve">”</w:t>
      </w:r>
      <w:r>
        <w:t xml:space="preserve"> </w:t>
      </w:r>
      <w:r>
        <w:t xml:space="preserve">below which Cartwright cannot agree without re-syndication), and has stated the syndicate</w:t>
      </w:r>
      <w:r>
        <w:t xml:space="preserve"> </w:t>
      </w:r>
      <w:r>
        <w:t xml:space="preserve">“</w:t>
      </w:r>
      <w:r>
        <w:t xml:space="preserve">could live with something in the 150- to 180-day range,</w:t>
      </w:r>
      <w:r>
        <w:t xml:space="preserve">”</w:t>
      </w:r>
      <w:r>
        <w:t xml:space="preserve"> </w:t>
      </w:r>
      <w:r>
        <w:t xml:space="preserve">with 150 being the floor. Cartwright has further stated that</w:t>
      </w:r>
      <w:r>
        <w:t xml:space="preserve"> </w:t>
      </w:r>
      <w:r>
        <w:t xml:space="preserve">“</w:t>
      </w:r>
      <w:r>
        <w:t xml:space="preserve">if a longer standstill — closer to 180 days — were paired with carefully defined early termination triggers, that is something the committee would be willing to consider,</w:t>
      </w:r>
      <w:r>
        <w:t xml:space="preserve">”</w:t>
      </w:r>
      <w:r>
        <w:t xml:space="preserve"> </w:t>
      </w:r>
      <w:r>
        <w:t xml:space="preserve">acknowledging it is</w:t>
      </w:r>
      <w:r>
        <w:t xml:space="preserve"> </w:t>
      </w:r>
      <w:r>
        <w:t xml:space="preserve">“</w:t>
      </w:r>
      <w:r>
        <w:t xml:space="preserve">a harder sell internally</w:t>
      </w:r>
      <w:r>
        <w:t xml:space="preserve">”</w:t>
      </w:r>
      <w:r>
        <w:t xml:space="preserve"> </w:t>
      </w:r>
      <w:r>
        <w:t xml:space="preserve">but that</w:t>
      </w:r>
      <w:r>
        <w:t xml:space="preserve"> </w:t>
      </w:r>
      <w:r>
        <w:t xml:space="preserve">“</w:t>
      </w:r>
      <w:r>
        <w:t xml:space="preserve">the door is not closed</w:t>
      </w:r>
      <w:r>
        <w:t xml:space="preserve">”</w:t>
      </w:r>
      <w:r>
        <w:t xml:space="preserve"> </w:t>
      </w:r>
      <w:r>
        <w:t xml:space="preserve">provided the triggers are</w:t>
      </w:r>
      <w:r>
        <w:t xml:space="preserve"> </w:t>
      </w:r>
      <w:r>
        <w:t xml:space="preserve">“</w:t>
      </w:r>
      <w:r>
        <w:t xml:space="preserve">narrow and objectively verifiable.</w:t>
      </w:r>
      <w:r>
        <w:t xml:space="preserve">”</w:t>
      </w:r>
    </w:p>
    <w:p>
      <w:pPr>
        <w:pStyle w:val="BodyText"/>
      </w:pPr>
      <w:r>
        <w:t xml:space="preserve">Ridgeline has stated it</w:t>
      </w:r>
      <w:r>
        <w:t xml:space="preserve"> </w:t>
      </w:r>
      <w:r>
        <w:t xml:space="preserve">“</w:t>
      </w:r>
      <w:r>
        <w:t xml:space="preserve">can accept up to a 180-day standstill, but only if the ICA includes meaningful early termination triggers,</w:t>
      </w:r>
      <w:r>
        <w:t xml:space="preserve">”</w:t>
      </w:r>
      <w:r>
        <w:t xml:space="preserve"> </w:t>
      </w:r>
      <w:r>
        <w:t xml:space="preserve">calling this</w:t>
      </w:r>
      <w:r>
        <w:t xml:space="preserve"> </w:t>
      </w:r>
      <w:r>
        <w:t xml:space="preserve">“</w:t>
      </w:r>
      <w:r>
        <w:t xml:space="preserve">a firm condition and not something we can decouple from the duration.</w:t>
      </w:r>
      <w:r>
        <w:t xml:space="preserve">”</w:t>
      </w:r>
      <w:r>
        <w:t xml:space="preserve"> </w:t>
      </w:r>
      <w:r>
        <w:t xml:space="preserve">Ridgeline has identified three trigger types it wishes to discuss: (i) cessation of active enforcement activity by the 1L for a specified period; (ii) disposition of substantially all of the Collateral; and (iii) filing of a plan of reorganization that impairs 2L claims without 2L consent.</w:t>
      </w:r>
    </w:p>
    <w:bookmarkEnd w:id="25"/>
    <w:bookmarkStart w:id="26" w:name="b.-market-data"/>
    <w:p>
      <w:pPr>
        <w:pStyle w:val="Heading3"/>
      </w:pPr>
      <w:r>
        <w:t xml:space="preserve">B. Market Data</w:t>
      </w:r>
    </w:p>
    <w:p>
      <w:pPr>
        <w:pStyle w:val="FirstParagraph"/>
      </w:pPr>
      <w:r>
        <w:t xml:space="preserve">The Market Survey (42 deals) shows:</w:t>
      </w:r>
    </w:p>
    <w:p>
      <w:pPr>
        <w:pStyle w:val="Compact"/>
        <w:numPr>
          <w:ilvl w:val="0"/>
          <w:numId w:val="1002"/>
        </w:numPr>
      </w:pPr>
      <w:r>
        <w:rPr>
          <w:b/>
          <w:bCs/>
        </w:rPr>
        <w:t xml:space="preserve">Median standstill: 180 days</w:t>
      </w:r>
      <w:r>
        <w:t xml:space="preserve"> </w:t>
      </w:r>
      <w:r>
        <w:t xml:space="preserve">(mean 172.9; range 90–270; 25th percentile 150; 75th percentile 202.5). Sponsor-backed median 180; non-sponsor median 150.</w:t>
      </w:r>
    </w:p>
    <w:p>
      <w:pPr>
        <w:pStyle w:val="Compact"/>
        <w:numPr>
          <w:ilvl w:val="0"/>
          <w:numId w:val="1002"/>
        </w:numPr>
      </w:pPr>
      <w:r>
        <w:rPr>
          <w:b/>
          <w:bCs/>
        </w:rPr>
        <w:t xml:space="preserve">Early termination triggers are included in 32 of 42 deals (76%)</w:t>
      </w:r>
      <w:r>
        <w:t xml:space="preserve"> </w:t>
      </w:r>
      <w:r>
        <w:t xml:space="preserve">— a clear majority. Only 10 deals (24%) have no triggers.</w:t>
      </w:r>
    </w:p>
    <w:p>
      <w:pPr>
        <w:pStyle w:val="Compact"/>
        <w:numPr>
          <w:ilvl w:val="0"/>
          <w:numId w:val="1002"/>
        </w:numPr>
      </w:pPr>
      <w:r>
        <w:rPr>
          <w:b/>
          <w:bCs/>
        </w:rPr>
        <w:t xml:space="preserve">25 of 42 deals pair a standstill of ≥180 days with early termination triggers</w:t>
      </w:r>
      <w:r>
        <w:t xml:space="preserve"> </w:t>
      </w:r>
      <w:r>
        <w:t xml:space="preserve">— the Market Survey expressly characterizes this as the</w:t>
      </w:r>
      <w:r>
        <w:t xml:space="preserve"> </w:t>
      </w:r>
      <w:r>
        <w:t xml:space="preserve">“</w:t>
      </w:r>
      <w:r>
        <w:t xml:space="preserve">market standard pairing.</w:t>
      </w:r>
      <w:r>
        <w:t xml:space="preserve">”</w:t>
      </w:r>
    </w:p>
    <w:p>
      <w:pPr>
        <w:pStyle w:val="Compact"/>
        <w:numPr>
          <w:ilvl w:val="0"/>
          <w:numId w:val="1002"/>
        </w:numPr>
      </w:pPr>
      <w:r>
        <w:t xml:space="preserve">Most common triggers: liquidation commenced (29 deals); credit bid by 1L (22); filing of involuntary petition (13); DIP financing approved over 2L objection (13); sale motion filed without 2L consent (9).</w:t>
      </w:r>
    </w:p>
    <w:p>
      <w:pPr>
        <w:pStyle w:val="FirstParagraph"/>
      </w:pPr>
      <w:r>
        <w:t xml:space="preserve">A 180-day standstill with early termination triggers is therefore not a compromise invented for this transaction — it is the single most common formulation in the market, and it is the formulation both sides have independently identified as their outer limit of flexibility.</w:t>
      </w:r>
    </w:p>
    <w:bookmarkEnd w:id="26"/>
    <w:bookmarkStart w:id="27" w:name="c.-proposed-compromise-language"/>
    <w:p>
      <w:pPr>
        <w:pStyle w:val="Heading3"/>
      </w:pPr>
      <w:r>
        <w:t xml:space="preserve">C. Proposed Compromise Language</w:t>
      </w:r>
    </w:p>
    <w:p>
      <w:pPr>
        <w:pStyle w:val="FirstParagraph"/>
      </w:pPr>
      <w:r>
        <w:t xml:space="preserve">The following language is proposed to replace the bracketed text of Section 3.01(b) of the ICA in its entirety:</w:t>
      </w:r>
    </w:p>
    <w:p>
      <w:pPr>
        <w:pStyle w:val="BlockText"/>
      </w:pPr>
      <w:r>
        <w:rPr>
          <w:b/>
          <w:bCs/>
        </w:rPr>
        <w:t xml:space="preserve">Section 3.01(b) — Standstill Period.</w:t>
      </w:r>
      <w:r>
        <w:t xml:space="preserve"> </w:t>
      </w:r>
      <w:r>
        <w:t xml:space="preserve">Following the occurrence and during the continuance of a Second Lien Default, the Second Lien Agent shall not exercise any rights or remedies with respect to the Collateral for a period of one hundred eighty (180) days following the date of actual receipt by the First Lien Agent of a written notice (a</w:t>
      </w:r>
      <w:r>
        <w:t xml:space="preserve"> </w:t>
      </w:r>
      <w:r>
        <w:t xml:space="preserve">“</w:t>
      </w:r>
      <w:r>
        <w:t xml:space="preserve">Blockage Notice</w:t>
      </w:r>
      <w:r>
        <w:t xml:space="preserve">”</w:t>
      </w:r>
      <w:r>
        <w:t xml:space="preserve">) specifying in reasonable detail the Second Lien Default giving rise thereto (the</w:t>
      </w:r>
      <w:r>
        <w:t xml:space="preserve"> </w:t>
      </w:r>
      <w:r>
        <w:t xml:space="preserve">“</w:t>
      </w:r>
      <w:r>
        <w:t xml:space="preserve">Standstill Period</w:t>
      </w:r>
      <w:r>
        <w:t xml:space="preserve">”</w:t>
      </w:r>
      <w:r>
        <w:t xml:space="preserve">). The Standstill Period shall be measured from the date of actual receipt of the Blockage Notice by the First Lien Agent. During the Standstill Period, the Second Lien Agent and the Second Lien Lenders shall not exercise any rights or remedies with respect to the Collateral, commence or join in any enforcement, collection, or other remedial proceeding with respect to the Collateral, or take any other action with respect to the Collateral or the Second Lien Obligations, in each case except as expressly permitted by Section 3.02.</w:t>
      </w:r>
    </w:p>
    <w:p>
      <w:pPr>
        <w:pStyle w:val="BlockText"/>
      </w:pPr>
      <w:r>
        <w:rPr>
          <w:b/>
          <w:bCs/>
        </w:rPr>
        <w:t xml:space="preserve">Early Termination Events.</w:t>
      </w:r>
      <w:r>
        <w:t xml:space="preserve"> </w:t>
      </w:r>
      <w:r>
        <w:t xml:space="preserve">Notwithstanding the foregoing, the Standstill Period shall terminate prior to the expiration of the one hundred eighty (180)-day period upon the occurrence of any of the following early termination events (each, an</w:t>
      </w:r>
      <w:r>
        <w:t xml:space="preserve"> </w:t>
      </w:r>
      <w:r>
        <w:t xml:space="preserve">“</w:t>
      </w:r>
      <w:r>
        <w:t xml:space="preserve">Early Termination Event</w:t>
      </w:r>
      <w:r>
        <w:t xml:space="preserve">”</w:t>
      </w:r>
      <w:r>
        <w:t xml:space="preserve">), each of which is intended to be narrow and objectively verifiable:</w:t>
      </w:r>
    </w:p>
    <w:p>
      <w:pPr>
        <w:pStyle w:val="BlockText"/>
        <w:numPr>
          <w:ilvl w:val="0"/>
          <w:numId w:val="1003"/>
        </w:numPr>
      </w:pPr>
      <w:r>
        <w:t xml:space="preserve">the First Lien Agent or any First Lien Lender shall have commenced a foreclosure, sale, or other realization upon all or substantially all of the Collateral, or shall have credit bid all or substantially all of the First Lien Obligations in connection with any sale or disposition of Collateral;</w:t>
      </w:r>
    </w:p>
    <w:p>
      <w:pPr>
        <w:pStyle w:val="BlockText"/>
        <w:numPr>
          <w:ilvl w:val="0"/>
          <w:numId w:val="1003"/>
        </w:numPr>
      </w:pPr>
      <w:r>
        <w:t xml:space="preserve">the filing of an Insolvency Proceeding (voluntary or involuntary) by or against the Borrower or any material loan party, which Insolvency Proceeding shall have remained undismissed or unstayed for a period of sixty (60) consecutive days, or the entry of an order for relief in any such Insolvency Proceeding;</w:t>
      </w:r>
    </w:p>
    <w:p>
      <w:pPr>
        <w:pStyle w:val="BlockText"/>
        <w:numPr>
          <w:ilvl w:val="0"/>
          <w:numId w:val="1003"/>
        </w:numPr>
      </w:pPr>
      <w:r>
        <w:t xml:space="preserve">the filing or prosecution of a motion to sell all or substantially all of the Collateral under Section 363 of the Bankruptcy Code (or any comparable provision of any other applicable law), or the filing of a plan of reorganization that impairs the Second Lien Obligations, in each case without the consent of the Second Lien Agent (such consent not to be unreasonably withheld, conditioned, or delayed); or</w:t>
      </w:r>
    </w:p>
    <w:p>
      <w:pPr>
        <w:pStyle w:val="BlockText"/>
        <w:numPr>
          <w:ilvl w:val="0"/>
          <w:numId w:val="1003"/>
        </w:numPr>
      </w:pPr>
      <w:r>
        <w:t xml:space="preserve">the First Lien Agent shall have failed to commence, or having commenced shall have ceased to actively prosecute, any enforcement, collection, or other remedial proceeding with respect to the Collateral for a period of one hundred twenty (120) consecutive days following the date of actual receipt of the Blockage Notice by the First Lien Agent.</w:t>
      </w:r>
    </w:p>
    <w:p>
      <w:pPr>
        <w:pStyle w:val="BlockText"/>
      </w:pPr>
      <w:r>
        <w:t xml:space="preserve">Upon the occurrence of any Early Termination Event, the Standstill Period shall immediately terminate, and the Second Lien Agent may exercise any and all rights and remedies available to it under the Second Lien Loan Documents and applicable law with respect to the Collateral, subject to Section 3.03 and the priority and subordination provisions of this Agreement.</w:t>
      </w:r>
    </w:p>
    <w:p>
      <w:pPr>
        <w:pStyle w:val="BlockText"/>
      </w:pPr>
      <w:r>
        <w:rPr>
          <w:b/>
          <w:bCs/>
        </w:rPr>
        <w:t xml:space="preserve">Blockage Notice Cap.</w:t>
      </w:r>
      <w:r>
        <w:t xml:space="preserve"> </w:t>
      </w:r>
      <w:r>
        <w:t xml:space="preserve">Notwithstanding anything to the contrary herein, (i) the First Lien Agent shall not deliver more than two (2) Blockage Notices (and there shall not be more than two (2) Standstill Periods) during any rolling three hundred sixty (360)-day period, and (ii) the aggregate number of days during which a Standstill Period is in effect shall not exceed three hundred sixty (360) days in any rolling three hundred sixty (360)-day period. If the Second Lien Default giving rise to a Standstill Period is cured or waived in accordance with the Second Lien Loan Documents during such Standstill Period, such Standstill Period shall immediately terminate, and a new Standstill Period may be commenced only by delivery of a new Blockage Notice in connection with a subsequently occurring Second Lien Default, subject to the foregoing cap.</w:t>
      </w:r>
    </w:p>
    <w:bookmarkEnd w:id="27"/>
    <w:bookmarkStart w:id="28" w:name="d.-negotiation-rationale"/>
    <w:p>
      <w:pPr>
        <w:pStyle w:val="Heading3"/>
      </w:pPr>
      <w:r>
        <w:t xml:space="preserve">D. Negotiation Rationale</w:t>
      </w:r>
    </w:p>
    <w:p>
      <w:pPr>
        <w:pStyle w:val="FirstParagraph"/>
      </w:pPr>
      <w:r>
        <w:rPr>
          <w:b/>
          <w:bCs/>
        </w:rPr>
        <w:t xml:space="preserve">Why the compromise falls within Cartwright’s flexibility.</w:t>
      </w:r>
      <w:r>
        <w:t xml:space="preserve"> </w:t>
      </w:r>
      <w:r>
        <w:t xml:space="preserve">A 180-day standstill is (i) above Cartwright’s stated 150-day credit-committee floor, (ii) within the</w:t>
      </w:r>
      <w:r>
        <w:t xml:space="preserve"> </w:t>
      </w:r>
      <w:r>
        <w:t xml:space="preserve">“</w:t>
      </w:r>
      <w:r>
        <w:t xml:space="preserve">150- to 180-day range</w:t>
      </w:r>
      <w:r>
        <w:t xml:space="preserve">”</w:t>
      </w:r>
      <w:r>
        <w:t xml:space="preserve"> </w:t>
      </w:r>
      <w:r>
        <w:t xml:space="preserve">the syndicate</w:t>
      </w:r>
      <w:r>
        <w:t xml:space="preserve"> </w:t>
      </w:r>
      <w:r>
        <w:t xml:space="preserve">“</w:t>
      </w:r>
      <w:r>
        <w:t xml:space="preserve">could live with,</w:t>
      </w:r>
      <w:r>
        <w:t xml:space="preserve">”</w:t>
      </w:r>
      <w:r>
        <w:t xml:space="preserve"> </w:t>
      </w:r>
      <w:r>
        <w:t xml:space="preserve">and (iii) precisely the</w:t>
      </w:r>
      <w:r>
        <w:t xml:space="preserve"> </w:t>
      </w:r>
      <w:r>
        <w:t xml:space="preserve">“</w:t>
      </w:r>
      <w:r>
        <w:t xml:space="preserve">longer standstill — closer to 180 days</w:t>
      </w:r>
      <w:r>
        <w:t xml:space="preserve">”</w:t>
      </w:r>
      <w:r>
        <w:t xml:space="preserve"> </w:t>
      </w:r>
      <w:r>
        <w:t xml:space="preserve">that Cartwright’s counsel stated the committee</w:t>
      </w:r>
      <w:r>
        <w:t xml:space="preserve"> </w:t>
      </w:r>
      <w:r>
        <w:t xml:space="preserve">“</w:t>
      </w:r>
      <w:r>
        <w:t xml:space="preserve">would be willing to consider</w:t>
      </w:r>
      <w:r>
        <w:t xml:space="preserve">”</w:t>
      </w:r>
      <w:r>
        <w:t xml:space="preserve"> </w:t>
      </w:r>
      <w:r>
        <w:rPr>
          <w:b/>
          <w:bCs/>
        </w:rPr>
        <w:t xml:space="preserve">if</w:t>
      </w:r>
      <w:r>
        <w:t xml:space="preserve"> </w:t>
      </w:r>
      <w:r>
        <w:t xml:space="preserve">paired with</w:t>
      </w:r>
      <w:r>
        <w:t xml:space="preserve"> </w:t>
      </w:r>
      <w:r>
        <w:t xml:space="preserve">“</w:t>
      </w:r>
      <w:r>
        <w:t xml:space="preserve">carefully defined early termination triggers</w:t>
      </w:r>
      <w:r>
        <w:t xml:space="preserve">”</w:t>
      </w:r>
      <w:r>
        <w:t xml:space="preserve"> </w:t>
      </w:r>
      <w:r>
        <w:t xml:space="preserve">that are</w:t>
      </w:r>
      <w:r>
        <w:t xml:space="preserve"> </w:t>
      </w:r>
      <w:r>
        <w:t xml:space="preserve">“</w:t>
      </w:r>
      <w:r>
        <w:t xml:space="preserve">narrow and objectively verifiable.</w:t>
      </w:r>
      <w:r>
        <w:t xml:space="preserve">”</w:t>
      </w:r>
      <w:r>
        <w:t xml:space="preserve"> </w:t>
      </w:r>
      <w:r>
        <w:t xml:space="preserve">The four triggers above satisfy that condition: each is tied to an objectively ascertainable event (a foreclosure/credit bid of substantially all Collateral; an Insolvency Proceeding undismissed for 60 days; a § 363 sale motion or impairing plan without 2L consent; or 120 consecutive days of 1L enforcement inactivity). None of the triggers permits the 2L to terminate the standstill merely because collateral value has declined, because a third-party creditor has acted, or because the 1L has not acted within an arbitrary period — the specific carve-outs Cartwright’s position letter insisted must not be permitted. The Blockage Notice cap (two per rolling 360-day period, aggregate 360 days) preserves up to a full year of cumulative standstill protection for the 1L — far more than the single 270-day period Cartwright originally sought — while addressing Ridgeline’s concern that an uncapped standstill could be deployed tactically to convert lien subordination into indefinite payment subordination.</w:t>
      </w:r>
    </w:p>
    <w:p>
      <w:pPr>
        <w:pStyle w:val="BodyText"/>
      </w:pPr>
      <w:r>
        <w:rPr>
          <w:b/>
          <w:bCs/>
        </w:rPr>
        <w:t xml:space="preserve">Why the compromise falls within Ridgeline’s flexibility.</w:t>
      </w:r>
      <w:r>
        <w:t xml:space="preserve"> </w:t>
      </w:r>
      <w:r>
        <w:t xml:space="preserve">A 180-day standstill is exactly the</w:t>
      </w:r>
      <w:r>
        <w:t xml:space="preserve"> </w:t>
      </w:r>
      <w:r>
        <w:t xml:space="preserve">“</w:t>
      </w:r>
      <w:r>
        <w:t xml:space="preserve">up to 180-day standstill</w:t>
      </w:r>
      <w:r>
        <w:t xml:space="preserve">”</w:t>
      </w:r>
      <w:r>
        <w:t xml:space="preserve"> </w:t>
      </w:r>
      <w:r>
        <w:t xml:space="preserve">Ridgeline stated it can accept, and the four triggers satisfy Ridgeline’s</w:t>
      </w:r>
      <w:r>
        <w:t xml:space="preserve"> </w:t>
      </w:r>
      <w:r>
        <w:t xml:space="preserve">“</w:t>
      </w:r>
      <w:r>
        <w:t xml:space="preserve">firm condition</w:t>
      </w:r>
      <w:r>
        <w:t xml:space="preserve">”</w:t>
      </w:r>
      <w:r>
        <w:t xml:space="preserve"> </w:t>
      </w:r>
      <w:r>
        <w:t xml:space="preserve">that the standstill include</w:t>
      </w:r>
      <w:r>
        <w:t xml:space="preserve"> </w:t>
      </w:r>
      <w:r>
        <w:t xml:space="preserve">“</w:t>
      </w:r>
      <w:r>
        <w:t xml:space="preserve">meaningful early termination triggers.</w:t>
      </w:r>
      <w:r>
        <w:t xml:space="preserve">”</w:t>
      </w:r>
      <w:r>
        <w:t xml:space="preserve"> </w:t>
      </w:r>
      <w:r>
        <w:t xml:space="preserve">Trigger (A) captures Ridgeline’s requested</w:t>
      </w:r>
      <w:r>
        <w:t xml:space="preserve"> </w:t>
      </w:r>
      <w:r>
        <w:t xml:space="preserve">“</w:t>
      </w:r>
      <w:r>
        <w:t xml:space="preserve">disposition of substantially all of the Collateral</w:t>
      </w:r>
      <w:r>
        <w:t xml:space="preserve">”</w:t>
      </w:r>
      <w:r>
        <w:t xml:space="preserve"> </w:t>
      </w:r>
      <w:r>
        <w:t xml:space="preserve">(and aligns with the two most common market triggers — liquidation commenced and credit bid by 1L). Trigger (D) captures Ridgeline’s requested</w:t>
      </w:r>
      <w:r>
        <w:t xml:space="preserve"> </w:t>
      </w:r>
      <w:r>
        <w:t xml:space="preserve">“</w:t>
      </w:r>
      <w:r>
        <w:t xml:space="preserve">cessation of active enforcement activity by the 1L Secured Parties for a specified period,</w:t>
      </w:r>
      <w:r>
        <w:t xml:space="preserve">”</w:t>
      </w:r>
      <w:r>
        <w:t xml:space="preserve"> </w:t>
      </w:r>
      <w:r>
        <w:t xml:space="preserve">set at 120 consecutive days — a full calendar quarter plus a month, giving the 1L ample time to act before the 2L may terminate. Trigger (C) captures Ridgeline’s requested</w:t>
      </w:r>
      <w:r>
        <w:t xml:space="preserve"> </w:t>
      </w:r>
      <w:r>
        <w:t xml:space="preserve">“</w:t>
      </w:r>
      <w:r>
        <w:t xml:space="preserve">filing of a plan of reorganization that impairs 2L claims without 2L consent</w:t>
      </w:r>
      <w:r>
        <w:t xml:space="preserve">”</w:t>
      </w:r>
      <w:r>
        <w:t xml:space="preserve"> </w:t>
      </w:r>
      <w:r>
        <w:t xml:space="preserve">(and aligns with the market’s</w:t>
      </w:r>
      <w:r>
        <w:t xml:space="preserve"> </w:t>
      </w:r>
      <w:r>
        <w:t xml:space="preserve">“</w:t>
      </w:r>
      <w:r>
        <w:t xml:space="preserve">sale motion filed without 2L consent</w:t>
      </w:r>
      <w:r>
        <w:t xml:space="preserve">”</w:t>
      </w:r>
      <w:r>
        <w:t xml:space="preserve"> </w:t>
      </w:r>
      <w:r>
        <w:t xml:space="preserve">trigger). Trigger (B) (Insolvency Proceeding) addresses Ridgeline’s concern about a bankruptcy limbo that freezes 2L remedies indefinitely, and aligns with the market’s</w:t>
      </w:r>
      <w:r>
        <w:t xml:space="preserve"> </w:t>
      </w:r>
      <w:r>
        <w:t xml:space="preserve">“</w:t>
      </w:r>
      <w:r>
        <w:t xml:space="preserve">filing of involuntary petition</w:t>
      </w:r>
      <w:r>
        <w:t xml:space="preserve">”</w:t>
      </w:r>
      <w:r>
        <w:t xml:space="preserve"> </w:t>
      </w:r>
      <w:r>
        <w:t xml:space="preserve">trigger (present in 13 surveyed deals). The Blockage Notice cap directly addresses Ridgeline’s stated concern that an extended standstill</w:t>
      </w:r>
      <w:r>
        <w:t xml:space="preserve"> </w:t>
      </w:r>
      <w:r>
        <w:t xml:space="preserve">“</w:t>
      </w:r>
      <w:r>
        <w:t xml:space="preserve">would permit the First Lien Lenders to run out the clock on Second Lien remedies while collateral value declines.</w:t>
      </w:r>
      <w:r>
        <w:t xml:space="preserve">”</w:t>
      </w:r>
    </w:p>
    <w:p>
      <w:pPr>
        <w:pStyle w:val="BodyText"/>
      </w:pPr>
      <w:r>
        <w:rPr>
          <w:b/>
          <w:bCs/>
        </w:rPr>
        <w:t xml:space="preserve">Market support.</w:t>
      </w:r>
      <w:r>
        <w:t xml:space="preserve"> </w:t>
      </w:r>
      <w:r>
        <w:t xml:space="preserve">A 180-day standstill is the market median, and the pairing of a ≥180-day standstill with early termination triggers is the</w:t>
      </w:r>
      <w:r>
        <w:t xml:space="preserve"> </w:t>
      </w:r>
      <w:r>
        <w:t xml:space="preserve">“</w:t>
      </w:r>
      <w:r>
        <w:t xml:space="preserve">market standard pairing</w:t>
      </w:r>
      <w:r>
        <w:t xml:space="preserve">”</w:t>
      </w:r>
      <w:r>
        <w:t xml:space="preserve"> </w:t>
      </w:r>
      <w:r>
        <w:t xml:space="preserve">(25 of 42 deals). Early termination triggers are present in 76% of surveyed deals. Each of the four proposed triggers maps to a trigger that appears in the surveyed population (liquidation commenced, credit bid by 1L, involuntary petition, and sale motion without 2L consent are all among the most common). No surveyed deal at any leverage level employed a 270-day standstill as the modal term, and the two 270-day outliers (Deal-015 and the 300-day Kingsbridge/Atlas precedent cited by Cartwright) were negotiated by strong sponsors in transactions with materially different dynamics; the median and the cluster of comparable deals support 180 days.</w:t>
      </w:r>
    </w:p>
    <w:p>
      <w:pPr>
        <w:pStyle w:val="BodyText"/>
      </w:pPr>
      <w:r>
        <w:rPr>
          <w:b/>
          <w:bCs/>
        </w:rPr>
        <w:t xml:space="preserve">Quantified economic impact.</w:t>
      </w:r>
      <w:r>
        <w:t xml:space="preserve"> </w:t>
      </w:r>
      <w:r>
        <w:t xml:space="preserve">The standstill operates only in distress, when collateral value is at risk of erosion — the concern Ridgeline has emphasized. During any standstill, interest continues to accrue on the Second Lien Obligations at the applicable rate (SOFR + 625 bps = 11.58% non-default; higher at the 2L default rate), so the 2L is compensated for the passage of time. On $150,000,000 of Second Lien debt, 180 days of accrued interest at the non-default rate equals approximately</w:t>
      </w:r>
      <w:r>
        <w:t xml:space="preserve"> </w:t>
      </w:r>
      <w:r>
        <w:rPr>
          <w:b/>
          <w:bCs/>
        </w:rPr>
        <w:t xml:space="preserve">$8.69 million</w:t>
      </w:r>
      <w:r>
        <w:t xml:space="preserve"> </w:t>
      </w:r>
      <w:r>
        <w:t xml:space="preserve">($150M × 11.58% × 180/360); at the 2L default rate (SOFR + 825 bps ≈ 13.58%) it equals approximately</w:t>
      </w:r>
      <w:r>
        <w:t xml:space="preserve"> </w:t>
      </w:r>
      <w:r>
        <w:rPr>
          <w:b/>
          <w:bCs/>
        </w:rPr>
        <w:t xml:space="preserve">$10.19 million</w:t>
      </w:r>
      <w:r>
        <w:t xml:space="preserve">. The compromise (180 days rather than Cartwright’s 270) shortens the collateral-erosion window by 90 days — a one-third reduction in the period during which Ridgeline’s 25.78% equity cushion is exposed to value decline. Ridgeline’s own letter quantified the stakes: a 15% TEV decline (to ~$544M) would reduce 2L theoretical recovery to ~$69M (≈46 cents on the dollar) before liquidation costs; a 25.78% decline would eliminate 2L recovery entirely. Truncating the standstill to 180 days meaningfully reduces the probability and magnitude of that erosion. For Cartwright, 180 days remains well above the 150-day floor and provides a full six-month protected period — consistent with Cartwright’s rationale that</w:t>
      </w:r>
      <w:r>
        <w:t xml:space="preserve"> </w:t>
      </w:r>
      <w:r>
        <w:t xml:space="preserve">“</w:t>
      </w:r>
      <w:r>
        <w:t xml:space="preserve">six to nine months</w:t>
      </w:r>
      <w:r>
        <w:t xml:space="preserve">”</w:t>
      </w:r>
      <w:r>
        <w:t xml:space="preserve"> </w:t>
      </w:r>
      <w:r>
        <w:t xml:space="preserve">is the realistic window for a restructuring or orderly asset sale, with 180 days (six months) at the lower end of that range and the Blockage Notice cap allowing up to 360 cumulative days if a default cures and recurs.</w:t>
      </w:r>
    </w:p>
    <w:bookmarkEnd w:id="28"/>
    <w:bookmarkEnd w:id="29"/>
    <w:bookmarkStart w:id="34" w:name="X6019be0f6e829a2d2a273cdd7076ad640c521f7"/>
    <w:p>
      <w:pPr>
        <w:pStyle w:val="Heading2"/>
      </w:pPr>
      <w:r>
        <w:t xml:space="preserve">VI. Provision 2 — Second Lien Purchase Right (Section 5.01)</w:t>
      </w:r>
    </w:p>
    <w:bookmarkStart w:id="30" w:name="a.-the-impasse-1"/>
    <w:p>
      <w:pPr>
        <w:pStyle w:val="Heading3"/>
      </w:pPr>
      <w:r>
        <w:t xml:space="preserve">A. The Impasse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Sub-issue</w:t>
            </w:r>
          </w:p>
        </w:tc>
        <w:tc>
          <w:tcPr/>
          <w:p>
            <w:pPr>
              <w:pStyle w:val="Compact"/>
              <w:jc w:val="left"/>
            </w:pPr>
            <w:r>
              <w:t xml:space="preserve">Cartwright (1L)</w:t>
            </w:r>
          </w:p>
        </w:tc>
        <w:tc>
          <w:tcPr/>
          <w:p>
            <w:pPr>
              <w:pStyle w:val="Compact"/>
              <w:jc w:val="left"/>
            </w:pPr>
            <w:r>
              <w:t xml:space="preserve">Ridgeline (2L)</w:t>
            </w:r>
          </w:p>
        </w:tc>
      </w:tr>
      <w:tr>
        <w:tc>
          <w:tcPr/>
          <w:p>
            <w:pPr>
              <w:pStyle w:val="Compact"/>
              <w:jc w:val="left"/>
            </w:pPr>
            <w:r>
              <w:t xml:space="preserve">Purchase Price</w:t>
            </w:r>
          </w:p>
        </w:tc>
        <w:tc>
          <w:tcPr/>
          <w:p>
            <w:pPr>
              <w:pStyle w:val="Compact"/>
              <w:jc w:val="left"/>
            </w:pPr>
            <w:r>
              <w:t xml:space="preserve">Par (100% principal + default-rate interest + fees)</w:t>
            </w:r>
          </w:p>
        </w:tc>
        <w:tc>
          <w:tcPr/>
          <w:p>
            <w:pPr>
              <w:pStyle w:val="Compact"/>
              <w:jc w:val="left"/>
            </w:pPr>
            <w:r>
              <w:t xml:space="preserve">Lesser of par (non-default rate) or FMV via dealer poll</w:t>
            </w:r>
          </w:p>
        </w:tc>
      </w:tr>
      <w:tr>
        <w:tc>
          <w:tcPr/>
          <w:p>
            <w:pPr>
              <w:pStyle w:val="Compact"/>
              <w:jc w:val="left"/>
            </w:pPr>
            <w:r>
              <w:t xml:space="preserve">Interest rate for accrual</w:t>
            </w:r>
          </w:p>
        </w:tc>
        <w:tc>
          <w:tcPr/>
          <w:p>
            <w:pPr>
              <w:pStyle w:val="Compact"/>
              <w:jc w:val="left"/>
            </w:pPr>
            <w:r>
              <w:t xml:space="preserve">Default rate (SOFR + 450 bps)</w:t>
            </w:r>
          </w:p>
        </w:tc>
        <w:tc>
          <w:tcPr/>
          <w:p>
            <w:pPr>
              <w:pStyle w:val="Compact"/>
              <w:jc w:val="left"/>
            </w:pPr>
            <w:r>
              <w:t xml:space="preserve">Non-default contract rate (SOFR + 250 bps)</w:t>
            </w:r>
          </w:p>
        </w:tc>
      </w:tr>
      <w:tr>
        <w:tc>
          <w:tcPr/>
          <w:p>
            <w:pPr>
              <w:pStyle w:val="Compact"/>
              <w:jc w:val="left"/>
            </w:pPr>
            <w:r>
              <w:t xml:space="preserve">Unfunded revolver</w:t>
            </w:r>
          </w:p>
        </w:tc>
        <w:tc>
          <w:tcPr/>
          <w:p>
            <w:pPr>
              <w:pStyle w:val="Compact"/>
              <w:jc w:val="left"/>
            </w:pPr>
            <w:r>
              <w:t xml:space="preserve">Mandatory assumption of $125M commitments</w:t>
            </w:r>
          </w:p>
        </w:tc>
        <w:tc>
          <w:tcPr/>
          <w:p>
            <w:pPr>
              <w:pStyle w:val="Compact"/>
              <w:jc w:val="left"/>
            </w:pPr>
            <w:r>
              <w:t xml:space="preserve">No obligation; commitments terminate on purchase</w:t>
            </w:r>
          </w:p>
        </w:tc>
      </w:tr>
      <w:tr>
        <w:tc>
          <w:tcPr/>
          <w:p>
            <w:pPr>
              <w:pStyle w:val="Compact"/>
              <w:jc w:val="left"/>
            </w:pPr>
            <w:r>
              <w:t xml:space="preserve">Exercise trigger</w:t>
            </w:r>
          </w:p>
        </w:tc>
        <w:tc>
          <w:tcPr/>
          <w:p>
            <w:pPr>
              <w:pStyle w:val="Compact"/>
              <w:jc w:val="left"/>
            </w:pPr>
            <w:r>
              <w:t xml:space="preserve">1L Event of Default only</w:t>
            </w:r>
          </w:p>
        </w:tc>
        <w:tc>
          <w:tcPr/>
          <w:p>
            <w:pPr>
              <w:pStyle w:val="Compact"/>
              <w:jc w:val="left"/>
            </w:pPr>
            <w:r>
              <w:t xml:space="preserve">1L EOD, 2L EOD, or 1L acceleration notice</w:t>
            </w:r>
          </w:p>
        </w:tc>
      </w:tr>
    </w:tbl>
    <w:p>
      <w:pPr>
        <w:pStyle w:val="BodyText"/>
      </w:pPr>
      <w:r>
        <w:t xml:space="preserve">Cartwright has stated that</w:t>
      </w:r>
      <w:r>
        <w:t xml:space="preserve"> </w:t>
      </w:r>
      <w:r>
        <w:t xml:space="preserve">“</w:t>
      </w:r>
      <w:r>
        <w:rPr>
          <w:b/>
          <w:bCs/>
        </w:rPr>
        <w:t xml:space="preserve">par purchase price for funded debt is non-negotiable</w:t>
      </w:r>
      <w:r>
        <w:t xml:space="preserve">”</w:t>
      </w:r>
      <w:r>
        <w:t xml:space="preserve"> </w:t>
      </w:r>
      <w:r>
        <w:t xml:space="preserve">— a</w:t>
      </w:r>
      <w:r>
        <w:t xml:space="preserve"> </w:t>
      </w:r>
      <w:r>
        <w:t xml:space="preserve">“</w:t>
      </w:r>
      <w:r>
        <w:t xml:space="preserve">firm line from the credit committee.</w:t>
      </w:r>
      <w:r>
        <w:t xml:space="preserve">”</w:t>
      </w:r>
      <w:r>
        <w:t xml:space="preserve"> </w:t>
      </w:r>
      <w:r>
        <w:t xml:space="preserve">However, Cartwright has signaled flexibility on two subsidiary points: (a) accrued interest</w:t>
      </w:r>
      <w:r>
        <w:t xml:space="preserve"> </w:t>
      </w:r>
      <w:r>
        <w:t xml:space="preserve">“</w:t>
      </w:r>
      <w:r>
        <w:t xml:space="preserve">calculated at the non-default contract rate — SOFR plus 250 basis points … the committee could potentially accept this formulation</w:t>
      </w:r>
      <w:r>
        <w:t xml:space="preserve">”</w:t>
      </w:r>
      <w:r>
        <w:t xml:space="preserve">; and (b) unfunded revolver assumption, where</w:t>
      </w:r>
      <w:r>
        <w:t xml:space="preserve"> </w:t>
      </w:r>
      <w:r>
        <w:t xml:space="preserve">“</w:t>
      </w:r>
      <w:r>
        <w:t xml:space="preserve">there may be room to soften this requirement, potentially making assumption of unfunded Revolver commitments optional rather than mandatory.</w:t>
      </w:r>
      <w:r>
        <w:t xml:space="preserve">”</w:t>
      </w:r>
    </w:p>
    <w:p>
      <w:pPr>
        <w:pStyle w:val="BodyText"/>
      </w:pPr>
      <w:r>
        <w:t xml:space="preserve">Ridgeline has stated it</w:t>
      </w:r>
      <w:r>
        <w:t xml:space="preserve"> </w:t>
      </w:r>
      <w:r>
        <w:t xml:space="preserve">“</w:t>
      </w:r>
      <w:r>
        <w:rPr>
          <w:b/>
          <w:bCs/>
        </w:rPr>
        <w:t xml:space="preserve">acknowledges that par for funded debt may be acceptable</w:t>
      </w:r>
      <w:r>
        <w:t xml:space="preserve">”</w:t>
      </w:r>
      <w:r>
        <w:t xml:space="preserve"> </w:t>
      </w:r>
      <w:r>
        <w:t xml:space="preserve">— described as</w:t>
      </w:r>
      <w:r>
        <w:t xml:space="preserve"> </w:t>
      </w:r>
      <w:r>
        <w:t xml:space="preserve">“</w:t>
      </w:r>
      <w:r>
        <w:t xml:space="preserve">a significant concession</w:t>
      </w:r>
      <w:r>
        <w:t xml:space="preserve">”</w:t>
      </w:r>
      <w:r>
        <w:t xml:space="preserve"> </w:t>
      </w:r>
      <w:r>
        <w:t xml:space="preserve">— but</w:t>
      </w:r>
      <w:r>
        <w:t xml:space="preserve"> </w:t>
      </w:r>
      <w:r>
        <w:rPr>
          <w:b/>
          <w:bCs/>
        </w:rPr>
        <w:t xml:space="preserve">conditioned on</w:t>
      </w:r>
      <w:r>
        <w:t xml:space="preserve"> </w:t>
      </w:r>
      <w:r>
        <w:t xml:space="preserve">the unfunded revolver assumption being</w:t>
      </w:r>
      <w:r>
        <w:t xml:space="preserve"> </w:t>
      </w:r>
      <w:r>
        <w:t xml:space="preserve">“</w:t>
      </w:r>
      <w:r>
        <w:t xml:space="preserve">optional, not mandatory.</w:t>
      </w:r>
      <w:r>
        <w:t xml:space="preserve">”</w:t>
      </w:r>
      <w:r>
        <w:t xml:space="preserve"> </w:t>
      </w:r>
      <w:r>
        <w:t xml:space="preserve">Ridgeline has explained, and Meridian’s CEO has found credible, that this is a</w:t>
      </w:r>
      <w:r>
        <w:t xml:space="preserve"> </w:t>
      </w:r>
      <w:r>
        <w:rPr>
          <w:b/>
          <w:bCs/>
        </w:rPr>
        <w:t xml:space="preserve">structural constraint of Ridgeline’s fund limited partnership agreement</w:t>
      </w:r>
      <w:r>
        <w:t xml:space="preserve">, which</w:t>
      </w:r>
      <w:r>
        <w:t xml:space="preserve"> </w:t>
      </w:r>
      <w:r>
        <w:t xml:space="preserve">“</w:t>
      </w:r>
      <w:r>
        <w:t xml:space="preserve">prevent[s] the fund from taking on open-ended revolving credit commitment obligations</w:t>
      </w:r>
      <w:r>
        <w:t xml:space="preserve">”</w:t>
      </w:r>
      <w:r>
        <w:t xml:space="preserve"> </w:t>
      </w:r>
      <w:r>
        <w:t xml:space="preserve">—</w:t>
      </w:r>
      <w:r>
        <w:t xml:space="preserve"> </w:t>
      </w:r>
      <w:r>
        <w:t xml:space="preserve">“</w:t>
      </w:r>
      <w:r>
        <w:t xml:space="preserve">a limitation of the fund vehicle itself … not a negotiating posture.</w:t>
      </w:r>
      <w:r>
        <w:t xml:space="preserve">”</w:t>
      </w:r>
      <w:r>
        <w:t xml:space="preserve"> </w:t>
      </w:r>
      <w:r>
        <w:t xml:space="preserve">Ridgeline has also expressed willingness to</w:t>
      </w:r>
      <w:r>
        <w:t xml:space="preserve"> </w:t>
      </w:r>
      <w:r>
        <w:t xml:space="preserve">“</w:t>
      </w:r>
      <w:r>
        <w:t xml:space="preserve">discuss whether accrued interest at the non-default contract rate … could be part of the overall package.</w:t>
      </w:r>
      <w:r>
        <w:t xml:space="preserve">”</w:t>
      </w:r>
    </w:p>
    <w:bookmarkEnd w:id="30"/>
    <w:bookmarkStart w:id="31" w:name="b.-market-data-1"/>
    <w:p>
      <w:pPr>
        <w:pStyle w:val="Heading3"/>
      </w:pPr>
      <w:r>
        <w:t xml:space="preserve">B. Market Data</w:t>
      </w:r>
    </w:p>
    <w:p>
      <w:pPr>
        <w:pStyle w:val="Compact"/>
        <w:numPr>
          <w:ilvl w:val="0"/>
          <w:numId w:val="1004"/>
        </w:numPr>
      </w:pPr>
      <w:r>
        <w:rPr>
          <w:b/>
          <w:bCs/>
        </w:rPr>
        <w:t xml:space="preserve">Purchase price mechanic:</w:t>
      </w:r>
      <w:r>
        <w:t xml:space="preserve"> </w:t>
      </w:r>
      <w:r>
        <w:t xml:space="preserve">Par in 30 deals (71%); Hybrid (lesser of par/FMV) in 8 (19%); pure FMV in 4 (10%). Par is the clear majority practice.</w:t>
      </w:r>
    </w:p>
    <w:p>
      <w:pPr>
        <w:pStyle w:val="Compact"/>
        <w:numPr>
          <w:ilvl w:val="0"/>
          <w:numId w:val="1004"/>
        </w:numPr>
      </w:pPr>
      <w:r>
        <w:rPr>
          <w:b/>
          <w:bCs/>
        </w:rPr>
        <w:t xml:space="preserve">Default-rate interest in par:</w:t>
      </w:r>
      <w:r>
        <w:t xml:space="preserve"> </w:t>
      </w:r>
      <w:r>
        <w:t xml:space="preserve">Excluded in 29 deals (69%); included in only 13 (31%). The majority of par deals use the</w:t>
      </w:r>
      <w:r>
        <w:t xml:space="preserve"> </w:t>
      </w:r>
      <w:r>
        <w:rPr>
          <w:b/>
          <w:bCs/>
        </w:rPr>
        <w:t xml:space="preserve">non-default contract rate</w:t>
      </w:r>
      <w:r>
        <w:t xml:space="preserve"> </w:t>
      </w:r>
      <w:r>
        <w:t xml:space="preserve">for the accrued interest component. Non-default contract rate interest is included in 38 deals (90%) — near-universal.</w:t>
      </w:r>
    </w:p>
    <w:p>
      <w:pPr>
        <w:pStyle w:val="Compact"/>
        <w:numPr>
          <w:ilvl w:val="0"/>
          <w:numId w:val="1004"/>
        </w:numPr>
      </w:pPr>
      <w:r>
        <w:rPr>
          <w:b/>
          <w:bCs/>
        </w:rPr>
        <w:t xml:space="preserve">Unfunded revolver assumption:</w:t>
      </w:r>
      <w:r>
        <w:t xml:space="preserve"> </w:t>
      </w:r>
      <w:r>
        <w:t xml:space="preserve">Optional in 26 deals (62%); mandatory in 10 (24%); silent in 6 (14%). The trend is strongly toward optional:</w:t>
      </w:r>
      <w:r>
        <w:t xml:space="preserve"> </w:t>
      </w:r>
      <w:r>
        <w:rPr>
          <w:b/>
          <w:bCs/>
        </w:rPr>
        <w:t xml:space="preserve">77% of 2024 deals</w:t>
      </w:r>
      <w:r>
        <w:t xml:space="preserve"> </w:t>
      </w:r>
      <w:r>
        <w:t xml:space="preserve">make assumption optional, versus 50% of 2022 deals.</w:t>
      </w:r>
    </w:p>
    <w:p>
      <w:pPr>
        <w:pStyle w:val="Compact"/>
        <w:numPr>
          <w:ilvl w:val="0"/>
          <w:numId w:val="1004"/>
        </w:numPr>
      </w:pPr>
      <w:r>
        <w:rPr>
          <w:b/>
          <w:bCs/>
        </w:rPr>
        <w:t xml:space="preserve">Exercise triggers:</w:t>
      </w:r>
      <w:r>
        <w:t xml:space="preserve"> </w:t>
      </w:r>
      <w:r>
        <w:t xml:space="preserve">Acceleration of 1L is universal (42/42); commencement of enforcement action in 74%; payment default continuing beyond cure in 45%; bankruptcy filing in 38%. No surveyed deal permits exercise on a 2L-only event of default.</w:t>
      </w:r>
    </w:p>
    <w:p>
      <w:pPr>
        <w:pStyle w:val="Compact"/>
        <w:numPr>
          <w:ilvl w:val="0"/>
          <w:numId w:val="1004"/>
        </w:numPr>
      </w:pPr>
      <w:r>
        <w:rPr>
          <w:b/>
          <w:bCs/>
        </w:rPr>
        <w:t xml:space="preserve">Deal-007</w:t>
      </w:r>
      <w:r>
        <w:t xml:space="preserve"> </w:t>
      </w:r>
      <w:r>
        <w:t xml:space="preserve">(the closest structural analogue: $475M 1L / $150M 2L, non-sponsor industrial) provides for</w:t>
      </w:r>
      <w:r>
        <w:t xml:space="preserve"> </w:t>
      </w:r>
      <w:r>
        <w:rPr>
          <w:b/>
          <w:bCs/>
        </w:rPr>
        <w:t xml:space="preserve">par for funded debt at the non-default contract rate, with optional revolver assumption</w:t>
      </w:r>
      <w:r>
        <w:t xml:space="preserve">, and an illustrative par purchase price of</w:t>
      </w:r>
      <w:r>
        <w:t xml:space="preserve"> </w:t>
      </w:r>
      <w:r>
        <w:rPr>
          <w:b/>
          <w:bCs/>
        </w:rPr>
        <w:t xml:space="preserve">$484.3M</w:t>
      </w:r>
      <w:r>
        <w:t xml:space="preserve"> </w:t>
      </w:r>
      <w:r>
        <w:t xml:space="preserve">— essentially the formulation proposed below.</w:t>
      </w:r>
    </w:p>
    <w:bookmarkEnd w:id="31"/>
    <w:bookmarkStart w:id="32" w:name="c.-proposed-compromise-language-1"/>
    <w:p>
      <w:pPr>
        <w:pStyle w:val="Heading3"/>
      </w:pPr>
      <w:r>
        <w:t xml:space="preserve">C. Proposed Compromise Language</w:t>
      </w:r>
    </w:p>
    <w:p>
      <w:pPr>
        <w:pStyle w:val="FirstParagraph"/>
      </w:pPr>
      <w:r>
        <w:t xml:space="preserve">The following language is proposed to replace the bracketed text of Section 5.01 of the ICA in its entirety:</w:t>
      </w:r>
    </w:p>
    <w:p>
      <w:pPr>
        <w:pStyle w:val="BlockText"/>
      </w:pPr>
      <w:r>
        <w:rPr>
          <w:b/>
          <w:bCs/>
        </w:rPr>
        <w:t xml:space="preserve">Section 5.01 — Second Lien Purchase Right.</w:t>
      </w:r>
      <w:r>
        <w:t xml:space="preserve"> </w:t>
      </w:r>
      <w:r>
        <w:t xml:space="preserve">At any time following the occurrence and during the continuance of an Event of Default under the First Lien Credit Agreement (whether or not the First Lien Obligations have been accelerated or any enforcement action with respect to the Collateral has been commenced by the First Lien Agent), the Second Lien Agent (on behalf of the Second Lien Lenders, or one or more Second Lien Lenders, or any designee of the foregoing) shall have the right, but not the obligation (the</w:t>
      </w:r>
      <w:r>
        <w:t xml:space="preserve"> </w:t>
      </w:r>
      <w:r>
        <w:t xml:space="preserve">“</w:t>
      </w:r>
      <w:r>
        <w:t xml:space="preserve">Second Lien Purchase Right</w:t>
      </w:r>
      <w:r>
        <w:t xml:space="preserve">”</w:t>
      </w:r>
      <w:r>
        <w:t xml:space="preserve">), to purchase all (but not less than all) of the First Lien Obligations by paying to the First Lien Agent in immediately available funds a purchase price (the</w:t>
      </w:r>
      <w:r>
        <w:t xml:space="preserve"> </w:t>
      </w:r>
      <w:r>
        <w:t xml:space="preserve">“</w:t>
      </w:r>
      <w:r>
        <w:t xml:space="preserve">Purchase Price</w:t>
      </w:r>
      <w:r>
        <w:t xml:space="preserve">”</w:t>
      </w:r>
      <w:r>
        <w:t xml:space="preserve">) equal to the sum of the following components, each calculated as of the date of purchase (the</w:t>
      </w:r>
      <w:r>
        <w:t xml:space="preserve"> </w:t>
      </w:r>
      <w:r>
        <w:t xml:space="preserve">“</w:t>
      </w:r>
      <w:r>
        <w:t xml:space="preserve">Purchase Date</w:t>
      </w:r>
      <w:r>
        <w:t xml:space="preserve">”</w:t>
      </w:r>
      <w:r>
        <w:t xml:space="preserve">):</w:t>
      </w:r>
    </w:p>
    <w:p>
      <w:pPr>
        <w:pStyle w:val="BlockText"/>
        <w:numPr>
          <w:ilvl w:val="0"/>
          <w:numId w:val="1005"/>
        </w:numPr>
      </w:pPr>
      <w:r>
        <w:t xml:space="preserve">one hundred percent (100%) of the aggregate outstanding principal amount of all funded First Lien Obligations (including all amounts outstanding under the First Lien Term Loan A and all drawn amounts under the First Lien Revolver);</w:t>
      </w:r>
    </w:p>
    <w:p>
      <w:pPr>
        <w:pStyle w:val="BlockText"/>
        <w:numPr>
          <w:ilvl w:val="0"/>
          <w:numId w:val="1005"/>
        </w:numPr>
      </w:pPr>
      <w:r>
        <w:t xml:space="preserve">all accrued and unpaid interest on the First Lien Obligations, calculated at the</w:t>
      </w:r>
      <w:r>
        <w:t xml:space="preserve"> </w:t>
      </w:r>
      <w:r>
        <w:rPr>
          <w:b/>
          <w:bCs/>
        </w:rPr>
        <w:t xml:space="preserve">non-default contract rate</w:t>
      </w:r>
      <w:r>
        <w:t xml:space="preserve"> </w:t>
      </w:r>
      <w:r>
        <w:t xml:space="preserve">applicable under the First Lien Credit Agreement (i.e., Adjusted Term SOFR plus the Applicable Rate, without giving effect to any default-rate increment of 200 basis points or otherwise), through and including the Purchase Date, calculated on the basis of a 360-day year for the actual number of days elapsed;</w:t>
      </w:r>
    </w:p>
    <w:p>
      <w:pPr>
        <w:pStyle w:val="BlockText"/>
        <w:numPr>
          <w:ilvl w:val="0"/>
          <w:numId w:val="1005"/>
        </w:numPr>
      </w:pPr>
      <w:r>
        <w:t xml:space="preserve">all fees (including commitment fees, letter of credit fees, and agency fees), costs, expenses (including reasonable and documented fees and disbursements of counsel), indemnification obligations (to the extent then due and payable or asserted in writing), breakage costs (including any swap breakage or early termination costs under any hedging arrangements), yield protection amounts (including increased costs, capital adequacy charges, and tax gross-up amounts), and all other amounts then due and payable to the First Lien Agent or any First Lien Lender under or in connection with the First Lien Loan Documents, whether or not invoiced;</w:t>
      </w:r>
    </w:p>
    <w:p>
      <w:pPr>
        <w:pStyle w:val="BlockText"/>
        <w:numPr>
          <w:ilvl w:val="0"/>
          <w:numId w:val="1005"/>
        </w:numPr>
      </w:pPr>
      <w:r>
        <w:t xml:space="preserve">the aggregate LC Exposure (as defined in the First Lien Credit Agreement), which the purchaser shall satisfy, simultaneously with the consummation of the purchase, by either (x) depositing cash collateral in an amount equal to one hundred three percent (103%) of the aggregate face amount of all outstanding Letters of Credit in an account with the First Lien Agent for the benefit of the issuing bank, or (y) causing one or more back-to-back replacement letters of credit, in form and substance satisfactory to the issuing bank, to be issued in replacement of each outstanding Letter of Credit; and</w:t>
      </w:r>
    </w:p>
    <w:p>
      <w:pPr>
        <w:pStyle w:val="BlockText"/>
        <w:numPr>
          <w:ilvl w:val="0"/>
          <w:numId w:val="1005"/>
        </w:numPr>
      </w:pPr>
      <w:r>
        <w:t xml:space="preserve">all other amounts constituting First Lien Obligations then due and payable under the First Lien Loan Documents.</w:t>
      </w:r>
    </w:p>
    <w:p>
      <w:pPr>
        <w:pStyle w:val="BlockText"/>
      </w:pPr>
      <w:r>
        <w:rPr>
          <w:b/>
          <w:bCs/>
        </w:rPr>
        <w:t xml:space="preserve">Unfunded Revolver Commitments.</w:t>
      </w:r>
      <w:r>
        <w:t xml:space="preserve"> </w:t>
      </w:r>
      <w:r>
        <w:t xml:space="preserve">The assumption of unfunded commitments under the First Lien Revolver shall be at the sole and exclusive election of the purchasing Second Lien Agent (or its designee). If the purchasing Second Lien Agent (or its designee) elects to assume all unfunded commitments under the First Lien Revolver, it shall execute and deliver to the First Lien Agent an assumption agreement, in form and substance reasonably satisfactory to the First Lien Agent, pursuant to which it assumes all such unfunded commitments on terms no less favorable to the Borrower than those set forth in the First Lien Credit Agreement (including the same interest rate, commitment fee, borrowing base provisions, maturity, and conditions to borrowing). If the purchasing Second Lien Agent (or its designee) elects not to assume the unfunded commitments under the First Lien Revolver, then, upon consummation of the purchase, all unfunded commitments under the First Lien Revolver shall terminate, and the purchasing Second Lien Agent (or its designee) shall have no obligation to fund any future drawings thereunder; provided that the Purchase Price shall include payment in full of all drawn amounts under the First Lien Revolver as of the Purchase Date pursuant to clause (i) above.</w:t>
      </w:r>
    </w:p>
    <w:p>
      <w:pPr>
        <w:pStyle w:val="BlockText"/>
      </w:pPr>
      <w:r>
        <w:t xml:space="preserve">The purchase shall be on a par, non-recourse, as-is, where-is basis, without representation or warranty of any kind by the First Lien Agent or any First Lien Lender (other than customary representations as to the authority of the assigning lender to assign and the enforceability of the transfer). The mechanics of purchase shall be as set forth in Section 5.02, and the effect of purchase shall be as set forth in Section 5.03.</w:t>
      </w:r>
    </w:p>
    <w:bookmarkEnd w:id="32"/>
    <w:bookmarkStart w:id="33" w:name="d.-negotiation-rationale-1"/>
    <w:p>
      <w:pPr>
        <w:pStyle w:val="Heading3"/>
      </w:pPr>
      <w:r>
        <w:t xml:space="preserve">D. Negotiation Rationale</w:t>
      </w:r>
    </w:p>
    <w:p>
      <w:pPr>
        <w:pStyle w:val="FirstParagraph"/>
      </w:pPr>
      <w:r>
        <w:rPr>
          <w:b/>
          <w:bCs/>
        </w:rPr>
        <w:t xml:space="preserve">Why the compromise falls within Cartwright’s flexibility.</w:t>
      </w:r>
      <w:r>
        <w:t xml:space="preserve"> </w:t>
      </w:r>
      <w:r>
        <w:t xml:space="preserve">The Purchase Price is</w:t>
      </w:r>
      <w:r>
        <w:t xml:space="preserve"> </w:t>
      </w:r>
      <w:r>
        <w:rPr>
          <w:b/>
          <w:bCs/>
        </w:rPr>
        <w:t xml:space="preserve">par</w:t>
      </w:r>
      <w:r>
        <w:t xml:space="preserve"> </w:t>
      </w:r>
      <w:r>
        <w:t xml:space="preserve">— 100% of outstanding principal of funded First Lien Obligations plus accrued interest plus fees plus all other amounts due — which is the</w:t>
      </w:r>
      <w:r>
        <w:t xml:space="preserve"> </w:t>
      </w:r>
      <w:r>
        <w:t xml:space="preserve">“</w:t>
      </w:r>
      <w:r>
        <w:t xml:space="preserve">non-negotiable</w:t>
      </w:r>
      <w:r>
        <w:t xml:space="preserve">”</w:t>
      </w:r>
      <w:r>
        <w:t xml:space="preserve"> </w:t>
      </w:r>
      <w:r>
        <w:t xml:space="preserve">term Cartwright has insisted upon. The 1L lenders are made whole on their funded exposure. The two subsidiary points on which Cartwright signaled flexibility are both reflected: accrued interest is calculated at the</w:t>
      </w:r>
      <w:r>
        <w:t xml:space="preserve"> </w:t>
      </w:r>
      <w:r>
        <w:rPr>
          <w:b/>
          <w:bCs/>
        </w:rPr>
        <w:t xml:space="preserve">non-default contract rate</w:t>
      </w:r>
      <w:r>
        <w:t xml:space="preserve"> </w:t>
      </w:r>
      <w:r>
        <w:t xml:space="preserve">(which Cartwright’s counsel stated</w:t>
      </w:r>
      <w:r>
        <w:t xml:space="preserve"> </w:t>
      </w:r>
      <w:r>
        <w:t xml:space="preserve">“</w:t>
      </w:r>
      <w:r>
        <w:t xml:space="preserve">the committee could potentially accept</w:t>
      </w:r>
      <w:r>
        <w:t xml:space="preserve">”</w:t>
      </w:r>
      <w:r>
        <w:t xml:space="preserve">), and unfunded revolver assumption is</w:t>
      </w:r>
      <w:r>
        <w:t xml:space="preserve"> </w:t>
      </w:r>
      <w:r>
        <w:rPr>
          <w:b/>
          <w:bCs/>
        </w:rPr>
        <w:t xml:space="preserve">optional</w:t>
      </w:r>
      <w:r>
        <w:t xml:space="preserve"> </w:t>
      </w:r>
      <w:r>
        <w:t xml:space="preserve">(which Cartwright’s counsel stated</w:t>
      </w:r>
      <w:r>
        <w:t xml:space="preserve"> </w:t>
      </w:r>
      <w:r>
        <w:t xml:space="preserve">“</w:t>
      </w:r>
      <w:r>
        <w:t xml:space="preserve">the committee is willing to discuss</w:t>
      </w:r>
      <w:r>
        <w:t xml:space="preserve">”</w:t>
      </w:r>
      <w:r>
        <w:t xml:space="preserve">). The LC Exposure treatment (cash collateralization at 103% or replacement LCs) is not a concession at all — it is mandated by Section 2.04(f) of the First Lien Credit Agreement itself and is therefore non-negotiable as a matter of the existing 1L documentation; including it expressly in the ICA simply harmonizes the two documents. The exercise trigger (1L Event of Default, whether or not accelerated) matches Cartwright’s position and is the universal market trigger.</w:t>
      </w:r>
    </w:p>
    <w:p>
      <w:pPr>
        <w:pStyle w:val="BodyText"/>
      </w:pPr>
      <w:r>
        <w:rPr>
          <w:b/>
          <w:bCs/>
        </w:rPr>
        <w:t xml:space="preserve">Why the compromise falls within Ridgeline’s flexibility.</w:t>
      </w:r>
      <w:r>
        <w:t xml:space="preserve"> </w:t>
      </w:r>
      <w:r>
        <w:t xml:space="preserve">Ridgeline has</w:t>
      </w:r>
      <w:r>
        <w:t xml:space="preserve"> </w:t>
      </w:r>
      <w:r>
        <w:t xml:space="preserve">“</w:t>
      </w:r>
      <w:r>
        <w:t xml:space="preserve">acknowledge[d] that par for funded debt may be acceptable</w:t>
      </w:r>
      <w:r>
        <w:t xml:space="preserve">”</w:t>
      </w:r>
      <w:r>
        <w:t xml:space="preserve"> </w:t>
      </w:r>
      <w:r>
        <w:t xml:space="preserve">— the central concession — and the proposed language delivers par for funded debt. Critically, the proposal meets Ridgeline’s</w:t>
      </w:r>
      <w:r>
        <w:t xml:space="preserve"> </w:t>
      </w:r>
      <w:r>
        <w:rPr>
          <w:b/>
          <w:bCs/>
        </w:rPr>
        <w:t xml:space="preserve">firm condition</w:t>
      </w:r>
      <w:r>
        <w:t xml:space="preserve">: unfunded revolver assumption is</w:t>
      </w:r>
      <w:r>
        <w:t xml:space="preserve"> </w:t>
      </w:r>
      <w:r>
        <w:rPr>
          <w:b/>
          <w:bCs/>
        </w:rPr>
        <w:t xml:space="preserve">optional</w:t>
      </w:r>
      <w:r>
        <w:t xml:space="preserve">, not mandatory, directly accommodating the structural constraint of Ridgeline’s fund LPA. If Ridgeline elects not to assume, the unfunded commitments terminate on consummation of the purchase and Ridgeline has no future funding obligation — precisely the outcome Ridgeline’s letter requested. The accrued interest is calculated at the</w:t>
      </w:r>
      <w:r>
        <w:t xml:space="preserve"> </w:t>
      </w:r>
      <w:r>
        <w:rPr>
          <w:b/>
          <w:bCs/>
        </w:rPr>
        <w:t xml:space="preserve">non-default contract rate</w:t>
      </w:r>
      <w:r>
        <w:t xml:space="preserve"> </w:t>
      </w:r>
      <w:r>
        <w:t xml:space="preserve">rather than the default rate, which Ridgeline urged (arguing default interest is a</w:t>
      </w:r>
      <w:r>
        <w:t xml:space="preserve"> </w:t>
      </w:r>
      <w:r>
        <w:t xml:space="preserve">“</w:t>
      </w:r>
      <w:r>
        <w:t xml:space="preserve">punitive</w:t>
      </w:r>
      <w:r>
        <w:t xml:space="preserve">”</w:t>
      </w:r>
      <w:r>
        <w:t xml:space="preserve"> </w:t>
      </w:r>
      <w:r>
        <w:t xml:space="preserve">amount that should not be included) and which Cartwright signaled it could accept. The FMV/dealer-poll alternative is dropped — a concession by Ridgeline — but it is a concession Ridgeline has already signaled it is willing to make by acknowledging par is acceptable, and it is supported by the market (only 10% of deals use pure FMV; 71% use par).</w:t>
      </w:r>
    </w:p>
    <w:p>
      <w:pPr>
        <w:pStyle w:val="BodyText"/>
      </w:pPr>
      <w:r>
        <w:rPr>
          <w:b/>
          <w:bCs/>
        </w:rPr>
        <w:t xml:space="preserve">Market support.</w:t>
      </w:r>
      <w:r>
        <w:t xml:space="preserve"> </w:t>
      </w:r>
      <w:r>
        <w:t xml:space="preserve">Par is the majority purchase-price mechanic (71% of deals). The non-default contract rate is used for the accrued interest component in 69% of par deals (and the default rate is included in only 31%). Optional revolver assumption is the majority practice (62%) and the clear trend (77% of 2024 deals). Deal-007 — the closest structural analogue — combines par at the non-default rate with optional revolver assumption, exactly as proposed. No surveyed deal permits exercise of the purchase right on a 2L-only event of default, which confirms that dropping Ridgeline’s requested 2L-EOD trigger is consistent with market practice and not an overreach by Cartwright.</w:t>
      </w:r>
    </w:p>
    <w:p>
      <w:pPr>
        <w:pStyle w:val="BodyText"/>
      </w:pPr>
      <w:r>
        <w:rPr>
          <w:b/>
          <w:bCs/>
        </w:rPr>
        <w:t xml:space="preserve">Quantified economic impact.</w:t>
      </w:r>
      <w:r>
        <w:t xml:space="preserve"> </w:t>
      </w:r>
      <w:r>
        <w:t xml:space="preserve">On the illustrative basis used by both sides (full draw, 90-day accrual, SOFR at 5.33%):</w:t>
      </w:r>
    </w:p>
    <w:p>
      <w:pPr>
        <w:pStyle w:val="Compact"/>
        <w:numPr>
          <w:ilvl w:val="0"/>
          <w:numId w:val="1006"/>
        </w:numPr>
      </w:pPr>
      <w:r>
        <w:rPr>
          <w:b/>
          <w:bCs/>
        </w:rPr>
        <w:t xml:space="preserve">Principal (funded):</w:t>
      </w:r>
      <w:r>
        <w:t xml:space="preserve"> </w:t>
      </w:r>
      <w:r>
        <w:t xml:space="preserve">$475,000,000</w:t>
      </w:r>
    </w:p>
    <w:p>
      <w:pPr>
        <w:pStyle w:val="Compact"/>
        <w:numPr>
          <w:ilvl w:val="0"/>
          <w:numId w:val="1006"/>
        </w:numPr>
      </w:pPr>
      <w:r>
        <w:rPr>
          <w:b/>
          <w:bCs/>
        </w:rPr>
        <w:t xml:space="preserve">Accrued interest at non-default rate (7.83%, 90/360):</w:t>
      </w:r>
      <w:r>
        <w:t xml:space="preserve"> </w:t>
      </w:r>
      <w:r>
        <w:t xml:space="preserve">$475M × 7.83% × 90/360 =</w:t>
      </w:r>
      <w:r>
        <w:t xml:space="preserve"> </w:t>
      </w:r>
      <w:r>
        <w:rPr>
          <w:b/>
          <w:bCs/>
        </w:rPr>
        <w:t xml:space="preserve">~$9.30 million</w:t>
      </w:r>
    </w:p>
    <w:p>
      <w:pPr>
        <w:pStyle w:val="Compact"/>
        <w:numPr>
          <w:ilvl w:val="0"/>
          <w:numId w:val="1006"/>
        </w:numPr>
      </w:pPr>
      <w:r>
        <w:rPr>
          <w:b/>
          <w:bCs/>
        </w:rPr>
        <w:t xml:space="preserve">Illustrative par Purchase Price (principal + interest):</w:t>
      </w:r>
      <w:r>
        <w:t xml:space="preserve"> </w:t>
      </w:r>
      <w:r>
        <w:rPr>
          <w:b/>
          <w:bCs/>
        </w:rPr>
        <w:t xml:space="preserve">~$484.3 million</w:t>
      </w:r>
      <w:r>
        <w:t xml:space="preserve"> </w:t>
      </w:r>
      <w:r>
        <w:t xml:space="preserve">(consistent with the Market Survey’s Deal-007 figure and both position letters)</w:t>
      </w:r>
    </w:p>
    <w:p>
      <w:pPr>
        <w:pStyle w:val="Compact"/>
        <w:numPr>
          <w:ilvl w:val="0"/>
          <w:numId w:val="1006"/>
        </w:numPr>
      </w:pPr>
      <w:r>
        <w:rPr>
          <w:b/>
          <w:bCs/>
        </w:rPr>
        <w:t xml:space="preserve">Fees, expenses, breakage, yield protection:</w:t>
      </w:r>
      <w:r>
        <w:t xml:space="preserve"> </w:t>
      </w:r>
      <w:r>
        <w:t xml:space="preserve">additional, estimated at ~$1.5 million in the base case (per the capital structure summary), bringing the all-in par price to ~$485.8 million before LC treatment</w:t>
      </w:r>
    </w:p>
    <w:p>
      <w:pPr>
        <w:pStyle w:val="Compact"/>
        <w:numPr>
          <w:ilvl w:val="0"/>
          <w:numId w:val="1006"/>
        </w:numPr>
      </w:pPr>
      <w:r>
        <w:rPr>
          <w:b/>
          <w:bCs/>
        </w:rPr>
        <w:t xml:space="preserve">LC Exposure:</w:t>
      </w:r>
      <w:r>
        <w:t xml:space="preserve"> </w:t>
      </w:r>
      <w:r>
        <w:t xml:space="preserve">up to $25M sub-facility, cash-collateralized at 103% = up to ~$25.75 million (or replaced by back-to-back LCs at no incremental cash cost)</w:t>
      </w:r>
    </w:p>
    <w:p>
      <w:pPr>
        <w:pStyle w:val="FirstParagraph"/>
      </w:pPr>
      <w:r>
        <w:t xml:space="preserve">The economic significance of the two subsidiary compromises is quantifiable.</w:t>
      </w:r>
      <w:r>
        <w:t xml:space="preserve"> </w:t>
      </w:r>
      <w:r>
        <w:rPr>
          <w:b/>
          <w:bCs/>
        </w:rPr>
        <w:t xml:space="preserve">Using the non-default rate rather than the default rate saves the purchaser approximately $2.375 million on a 90-day accrual</w:t>
      </w:r>
      <w:r>
        <w:t xml:space="preserve"> </w:t>
      </w:r>
      <w:r>
        <w:t xml:space="preserve">(200 bps × $475M × 90/360), scaling to ~$4.75 million over 180 days and ~$7.13 million over 270 days — the precise</w:t>
      </w:r>
      <w:r>
        <w:t xml:space="preserve"> </w:t>
      </w:r>
      <w:r>
        <w:t xml:space="preserve">“</w:t>
      </w:r>
      <w:r>
        <w:t xml:space="preserve">windfall</w:t>
      </w:r>
      <w:r>
        <w:t xml:space="preserve">”</w:t>
      </w:r>
      <w:r>
        <w:t xml:space="preserve"> </w:t>
      </w:r>
      <w:r>
        <w:t xml:space="preserve">Cartwright’s letter argued the 1L would forgo, and the precise saving Ridgeline’s letter sought.</w:t>
      </w:r>
      <w:r>
        <w:t xml:space="preserve"> </w:t>
      </w:r>
      <w:r>
        <w:rPr>
          <w:b/>
          <w:bCs/>
        </w:rPr>
        <w:t xml:space="preserve">Making the revolver optional removes a contingent obligation of up to $125 million</w:t>
      </w:r>
      <w:r>
        <w:t xml:space="preserve"> </w:t>
      </w:r>
      <w:r>
        <w:t xml:space="preserve">— the open-ended commitment Ridgeline’s LPA prohibits — which is the difference between a viable purchase right and one that is, as Ridgeline put it,</w:t>
      </w:r>
      <w:r>
        <w:t xml:space="preserve"> </w:t>
      </w:r>
      <w:r>
        <w:t xml:space="preserve">“</w:t>
      </w:r>
      <w:r>
        <w:t xml:space="preserve">economically impracticable in precisely the distressed scenarios in which the right is most needed.</w:t>
      </w:r>
      <w:r>
        <w:t xml:space="preserve">”</w:t>
      </w:r>
      <w:r>
        <w:t xml:space="preserve"> </w:t>
      </w:r>
      <w:r>
        <w:t xml:space="preserve">The package thus preserves the purchase right as a meaningful protective mechanism for the 2L (Ridgeline’s objective) while ensuring the 1L is paid in full at par on its funded exposure (Cartwright’s objective).</w:t>
      </w:r>
    </w:p>
    <w:bookmarkEnd w:id="33"/>
    <w:bookmarkEnd w:id="34"/>
    <w:bookmarkStart w:id="39" w:name="X4e23d803577da25970fa1773121157a977cfe30"/>
    <w:p>
      <w:pPr>
        <w:pStyle w:val="Heading2"/>
      </w:pPr>
      <w:r>
        <w:t xml:space="preserve">VII. Provision 3 — Permitted Second Lien Refinancing Indebtedness (Section 2.03(c))</w:t>
      </w:r>
    </w:p>
    <w:bookmarkStart w:id="35" w:name="a.-the-impasse-2"/>
    <w:p>
      <w:pPr>
        <w:pStyle w:val="Heading3"/>
      </w:pPr>
      <w:r>
        <w:t xml:space="preserve">A. The Impasse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Sub-issue</w:t>
            </w:r>
          </w:p>
        </w:tc>
        <w:tc>
          <w:tcPr/>
          <w:p>
            <w:pPr>
              <w:pStyle w:val="Compact"/>
              <w:jc w:val="left"/>
            </w:pPr>
            <w:r>
              <w:t xml:space="preserve">Cartwright (1L)</w:t>
            </w:r>
          </w:p>
        </w:tc>
        <w:tc>
          <w:tcPr/>
          <w:p>
            <w:pPr>
              <w:pStyle w:val="Compact"/>
              <w:jc w:val="left"/>
            </w:pPr>
            <w:r>
              <w:t xml:space="preserve">Ridgeline (2L)</w:t>
            </w:r>
          </w:p>
        </w:tc>
      </w:tr>
      <w:tr>
        <w:tc>
          <w:tcPr/>
          <w:p>
            <w:pPr>
              <w:pStyle w:val="Compact"/>
              <w:jc w:val="left"/>
            </w:pPr>
            <w:r>
              <w:t xml:space="preserve">Principal increase cap</w:t>
            </w:r>
          </w:p>
        </w:tc>
        <w:tc>
          <w:tcPr/>
          <w:p>
            <w:pPr>
              <w:pStyle w:val="Compact"/>
              <w:jc w:val="left"/>
            </w:pPr>
            <w:r>
              <w:t xml:space="preserve">0% (equal or lesser principal)</w:t>
            </w:r>
          </w:p>
        </w:tc>
        <w:tc>
          <w:tcPr/>
          <w:p>
            <w:pPr>
              <w:pStyle w:val="Compact"/>
              <w:jc w:val="left"/>
            </w:pPr>
            <w:r>
              <w:t xml:space="preserve">20% ($30M)</w:t>
            </w:r>
          </w:p>
        </w:tc>
      </w:tr>
      <w:tr>
        <w:tc>
          <w:tcPr/>
          <w:p>
            <w:pPr>
              <w:pStyle w:val="Compact"/>
              <w:jc w:val="left"/>
            </w:pPr>
            <w:r>
              <w:t xml:space="preserve">Maturity floor</w:t>
            </w:r>
          </w:p>
        </w:tc>
        <w:tc>
          <w:tcPr/>
          <w:p>
            <w:pPr>
              <w:pStyle w:val="Compact"/>
              <w:jc w:val="left"/>
            </w:pPr>
            <w:r>
              <w:t xml:space="preserve">91 days after 1L maturity (Sept 14, 2030)</w:t>
            </w:r>
          </w:p>
        </w:tc>
        <w:tc>
          <w:tcPr/>
          <w:p>
            <w:pPr>
              <w:pStyle w:val="Compact"/>
              <w:jc w:val="left"/>
            </w:pPr>
            <w:r>
              <w:t xml:space="preserve">Original 2L maturity (June 15, 2031)</w:t>
            </w:r>
          </w:p>
        </w:tc>
      </w:tr>
      <w:tr>
        <w:tc>
          <w:tcPr/>
          <w:p>
            <w:pPr>
              <w:pStyle w:val="Compact"/>
              <w:jc w:val="left"/>
            </w:pPr>
            <w:r>
              <w:t xml:space="preserve">Restrictiveness test</w:t>
            </w:r>
          </w:p>
        </w:tc>
        <w:tc>
          <w:tcPr/>
          <w:p>
            <w:pPr>
              <w:pStyle w:val="Compact"/>
              <w:jc w:val="left"/>
            </w:pPr>
            <w:r>
              <w:t xml:space="preserve">Blanket</w:t>
            </w:r>
            <w:r>
              <w:t xml:space="preserve"> </w:t>
            </w:r>
            <w:r>
              <w:t xml:space="preserve">“</w:t>
            </w:r>
            <w:r>
              <w:t xml:space="preserve">no more restrictive in any material respect</w:t>
            </w:r>
            <w:r>
              <w:t xml:space="preserve">”</w:t>
            </w:r>
          </w:p>
        </w:tc>
        <w:tc>
          <w:tcPr/>
          <w:p>
            <w:pPr>
              <w:pStyle w:val="Compact"/>
              <w:jc w:val="left"/>
            </w:pPr>
            <w:r>
              <w:t xml:space="preserve">No test</w:t>
            </w:r>
          </w:p>
        </w:tc>
      </w:tr>
    </w:tbl>
    <w:p>
      <w:pPr>
        <w:pStyle w:val="BodyText"/>
      </w:pPr>
      <w:r>
        <w:t xml:space="preserve">Cartwright has stated it is</w:t>
      </w:r>
      <w:r>
        <w:t xml:space="preserve"> </w:t>
      </w:r>
      <w:r>
        <w:t xml:space="preserve">“</w:t>
      </w:r>
      <w:r>
        <w:t xml:space="preserve">open to a</w:t>
      </w:r>
      <w:r>
        <w:t xml:space="preserve"> </w:t>
      </w:r>
      <w:r>
        <w:rPr>
          <w:b/>
          <w:bCs/>
        </w:rPr>
        <w:t xml:space="preserve">narrowed restrictiveness test</w:t>
      </w:r>
      <w:r>
        <w:t xml:space="preserve"> </w:t>
      </w:r>
      <w:r>
        <w:t xml:space="preserve">— one that would not require a blanket comparison but would instead focus on specifically enumerated provisions —</w:t>
      </w:r>
      <w:r>
        <w:t xml:space="preserve"> </w:t>
      </w:r>
      <w:r>
        <w:rPr>
          <w:b/>
          <w:bCs/>
        </w:rPr>
        <w:t xml:space="preserve">provided it is combined with a most-favored-nation right</w:t>
      </w:r>
      <w:r>
        <w:t xml:space="preserve"> </w:t>
      </w:r>
      <w:r>
        <w:t xml:space="preserve">for the benefit of the 1L lenders,</w:t>
      </w:r>
      <w:r>
        <w:t xml:space="preserve">”</w:t>
      </w:r>
      <w:r>
        <w:t xml:space="preserve"> </w:t>
      </w:r>
      <w:r>
        <w:t xml:space="preserve">ensuring that</w:t>
      </w:r>
      <w:r>
        <w:t xml:space="preserve"> </w:t>
      </w:r>
      <w:r>
        <w:t xml:space="preserve">“</w:t>
      </w:r>
      <w:r>
        <w:t xml:space="preserve">if any 2L refinancing debt contains financial maintenance covenants more favorable than those in the 1L Credit Agreement, the 1L lenders receive the benefit of those covenants automatically.</w:t>
      </w:r>
      <w:r>
        <w:t xml:space="preserve">”</w:t>
      </w:r>
      <w:r>
        <w:t xml:space="preserve"> </w:t>
      </w:r>
      <w:r>
        <w:t xml:space="preserve">On the principal cap, Cartwright has stated it is</w:t>
      </w:r>
      <w:r>
        <w:t xml:space="preserve"> </w:t>
      </w:r>
      <w:r>
        <w:t xml:space="preserve">“</w:t>
      </w:r>
      <w:r>
        <w:t xml:space="preserve">not in a position to signal specific flexibility … today, but … note[s] our willingness to discuss it further in the context of the overall package.</w:t>
      </w:r>
      <w:r>
        <w:t xml:space="preserve">”</w:t>
      </w:r>
    </w:p>
    <w:p>
      <w:pPr>
        <w:pStyle w:val="BodyText"/>
      </w:pPr>
      <w:r>
        <w:t xml:space="preserve">Ridgeline has stated it</w:t>
      </w:r>
      <w:r>
        <w:t xml:space="preserve"> </w:t>
      </w:r>
      <w:r>
        <w:t xml:space="preserve">“</w:t>
      </w:r>
      <w:r>
        <w:t xml:space="preserve">can accept a</w:t>
      </w:r>
      <w:r>
        <w:t xml:space="preserve"> </w:t>
      </w:r>
      <w:r>
        <w:rPr>
          <w:b/>
          <w:bCs/>
        </w:rPr>
        <w:t xml:space="preserve">10% principal increase cap</w:t>
      </w:r>
      <w:r>
        <w:t xml:space="preserve"> </w:t>
      </w:r>
      <w:r>
        <w:t xml:space="preserve">— that is, $15M … provided the increase is limited to refinancing-related fees and costs (e.g., OID, arrangement fees, and transaction expenses),</w:t>
      </w:r>
      <w:r>
        <w:t xml:space="preserve">”</w:t>
      </w:r>
      <w:r>
        <w:t xml:space="preserve"> </w:t>
      </w:r>
      <w:r>
        <w:t xml:space="preserve">calling this</w:t>
      </w:r>
      <w:r>
        <w:t xml:space="preserve"> </w:t>
      </w:r>
      <w:r>
        <w:t xml:space="preserve">“</w:t>
      </w:r>
      <w:r>
        <w:t xml:space="preserve">a meaningful move from our opening position.</w:t>
      </w:r>
      <w:r>
        <w:t xml:space="preserve">”</w:t>
      </w:r>
      <w:r>
        <w:t xml:space="preserve"> </w:t>
      </w:r>
      <w:r>
        <w:t xml:space="preserve">Ridgeline has also stated it is</w:t>
      </w:r>
      <w:r>
        <w:t xml:space="preserve"> </w:t>
      </w:r>
      <w:r>
        <w:t xml:space="preserve">“</w:t>
      </w:r>
      <w:r>
        <w:t xml:space="preserve">open to discussing whether a narrowed restrictiveness test paired with an MFN right could work.</w:t>
      </w:r>
      <w:r>
        <w:t xml:space="preserve">”</w:t>
      </w:r>
      <w:r>
        <w:t xml:space="preserve"> </w:t>
      </w:r>
      <w:r>
        <w:t xml:space="preserve">On maturity, Ridgeline notes the original 2L maturity (June 15, 2031) already exceeds the 91-day post-1L floor (September 14, 2030) by ~9 months.</w:t>
      </w:r>
    </w:p>
    <w:bookmarkEnd w:id="35"/>
    <w:bookmarkStart w:id="36" w:name="b.-market-data-2"/>
    <w:p>
      <w:pPr>
        <w:pStyle w:val="Heading3"/>
      </w:pPr>
      <w:r>
        <w:t xml:space="preserve">B. Market Data</w:t>
      </w:r>
    </w:p>
    <w:p>
      <w:pPr>
        <w:pStyle w:val="Compact"/>
        <w:numPr>
          <w:ilvl w:val="0"/>
          <w:numId w:val="1007"/>
        </w:numPr>
      </w:pPr>
      <w:r>
        <w:rPr>
          <w:b/>
          <w:bCs/>
        </w:rPr>
        <w:t xml:space="preserve">Principal increase cap:</w:t>
      </w:r>
      <w:r>
        <w:t xml:space="preserve"> </w:t>
      </w:r>
      <w:r>
        <w:t xml:space="preserve">Median</w:t>
      </w:r>
      <w:r>
        <w:t xml:space="preserve"> </w:t>
      </w:r>
      <w:r>
        <w:rPr>
          <w:b/>
          <w:bCs/>
        </w:rPr>
        <w:t xml:space="preserve">10%</w:t>
      </w:r>
      <w:r>
        <w:t xml:space="preserve"> </w:t>
      </w:r>
      <w:r>
        <w:t xml:space="preserve">(mean 8.9%); 52% of deals fall in the 1–10% range; 21% allow 0%; 14% allow 11–15%; 12% allow 16–20%. Of deals that permit any increase,</w:t>
      </w:r>
      <w:r>
        <w:t xml:space="preserve"> </w:t>
      </w:r>
      <w:r>
        <w:rPr>
          <w:b/>
          <w:bCs/>
        </w:rPr>
        <w:t xml:space="preserve">79% limit the increase to fees, costs, and premiums only</w:t>
      </w:r>
      <w:r>
        <w:t xml:space="preserve"> </w:t>
      </w:r>
      <w:r>
        <w:t xml:space="preserve">(not incremental borrowing). The 10%-cap-limited-to-fees/costs formulation is becoming modal (the Market Survey notes</w:t>
      </w:r>
      <w:r>
        <w:t xml:space="preserve"> </w:t>
      </w:r>
      <w:r>
        <w:t xml:space="preserve">“</w:t>
      </w:r>
      <w:r>
        <w:t xml:space="preserve">10% cap becoming modal</w:t>
      </w:r>
      <w:r>
        <w:t xml:space="preserve">”</w:t>
      </w:r>
      <w:r>
        <w:t xml:space="preserve"> </w:t>
      </w:r>
      <w:r>
        <w:t xml:space="preserve">and the narrowed-test-plus-MFN combination rising from 38% in 2022 to 65% in 2024).</w:t>
      </w:r>
    </w:p>
    <w:p>
      <w:pPr>
        <w:pStyle w:val="Compact"/>
        <w:numPr>
          <w:ilvl w:val="0"/>
          <w:numId w:val="1007"/>
        </w:numPr>
      </w:pPr>
      <w:r>
        <w:rPr>
          <w:b/>
          <w:bCs/>
        </w:rPr>
        <w:t xml:space="preserve">Maturity test:</w:t>
      </w:r>
      <w:r>
        <w:t xml:space="preserve"> </w:t>
      </w:r>
      <w:r>
        <w:t xml:space="preserve">93% of deals use the</w:t>
      </w:r>
      <w:r>
        <w:t xml:space="preserve"> </w:t>
      </w:r>
      <w:r>
        <w:t xml:space="preserve">“</w:t>
      </w:r>
      <w:r>
        <w:t xml:space="preserve">91 days after 1L maturity</w:t>
      </w:r>
      <w:r>
        <w:t xml:space="preserve">”</w:t>
      </w:r>
      <w:r>
        <w:t xml:space="preserve"> </w:t>
      </w:r>
      <w:r>
        <w:t xml:space="preserve">test; 81%</w:t>
      </w:r>
      <w:r>
        <w:t xml:space="preserve"> </w:t>
      </w:r>
      <w:r>
        <w:rPr>
          <w:b/>
          <w:bCs/>
        </w:rPr>
        <w:t xml:space="preserve">also</w:t>
      </w:r>
      <w:r>
        <w:t xml:space="preserve"> </w:t>
      </w:r>
      <w:r>
        <w:t xml:space="preserve">include the original 2L maturity as a floor. The Market Survey expressly notes that in Meridian’s case,</w:t>
      </w:r>
      <w:r>
        <w:t xml:space="preserve"> </w:t>
      </w:r>
      <w:r>
        <w:t xml:space="preserve">“</w:t>
      </w:r>
      <w:r>
        <w:t xml:space="preserve">June 15, 2031 &gt; September 14, 2030, so both [tests are] satisfied.</w:t>
      </w:r>
      <w:r>
        <w:t xml:space="preserve">”</w:t>
      </w:r>
    </w:p>
    <w:p>
      <w:pPr>
        <w:pStyle w:val="Compact"/>
        <w:numPr>
          <w:ilvl w:val="0"/>
          <w:numId w:val="1007"/>
        </w:numPr>
      </w:pPr>
      <w:r>
        <w:rPr>
          <w:b/>
          <w:bCs/>
        </w:rPr>
        <w:t xml:space="preserve">Restrictiveness test:</w:t>
      </w:r>
      <w:r>
        <w:t xml:space="preserve"> </w:t>
      </w:r>
      <w:r>
        <w:t xml:space="preserve">Narrowed in 22 deals (52%); blanket in 14 (33%); none in 6 (14%).</w:t>
      </w:r>
    </w:p>
    <w:p>
      <w:pPr>
        <w:pStyle w:val="Compact"/>
        <w:numPr>
          <w:ilvl w:val="0"/>
          <w:numId w:val="1007"/>
        </w:numPr>
      </w:pPr>
      <w:r>
        <w:rPr>
          <w:b/>
          <w:bCs/>
        </w:rPr>
        <w:t xml:space="preserve">MFN:</w:t>
      </w:r>
      <w:r>
        <w:t xml:space="preserve"> </w:t>
      </w:r>
      <w:r>
        <w:t xml:space="preserve">Present in 22 deals (52%);</w:t>
      </w:r>
      <w:r>
        <w:t xml:space="preserve"> </w:t>
      </w:r>
      <w:r>
        <w:rPr>
          <w:b/>
          <w:bCs/>
        </w:rPr>
        <w:t xml:space="preserve">100% of narrowed-restrictiveness deals pair with an MFN provision</w:t>
      </w:r>
      <w:r>
        <w:t xml:space="preserve">;</w:t>
      </w:r>
      <w:r>
        <w:t xml:space="preserve"> </w:t>
      </w:r>
      <w:r>
        <w:rPr>
          <w:b/>
          <w:bCs/>
        </w:rPr>
        <w:t xml:space="preserve">82% of MFN provisions are limited to financial covenants only.</w:t>
      </w:r>
    </w:p>
    <w:p>
      <w:pPr>
        <w:pStyle w:val="Compact"/>
        <w:numPr>
          <w:ilvl w:val="0"/>
          <w:numId w:val="1007"/>
        </w:numPr>
      </w:pPr>
      <w:r>
        <w:rPr>
          <w:b/>
          <w:bCs/>
        </w:rPr>
        <w:t xml:space="preserve">Deal-007</w:t>
      </w:r>
      <w:r>
        <w:t xml:space="preserve"> </w:t>
      </w:r>
      <w:r>
        <w:t xml:space="preserve">(closest analogue) provides for a</w:t>
      </w:r>
      <w:r>
        <w:t xml:space="preserve"> </w:t>
      </w:r>
      <w:r>
        <w:rPr>
          <w:b/>
          <w:bCs/>
        </w:rPr>
        <w:t xml:space="preserve">10% cap ($15M) limited to fees/costs, with an MFN right on financial covenants</w:t>
      </w:r>
      <w:r>
        <w:t xml:space="preserve"> </w:t>
      </w:r>
      <w:r>
        <w:t xml:space="preserve">— the precise formulation proposed below.</w:t>
      </w:r>
    </w:p>
    <w:bookmarkEnd w:id="36"/>
    <w:bookmarkStart w:id="37" w:name="c.-proposed-compromise-language-2"/>
    <w:p>
      <w:pPr>
        <w:pStyle w:val="Heading3"/>
      </w:pPr>
      <w:r>
        <w:t xml:space="preserve">C. Proposed Compromise Language</w:t>
      </w:r>
    </w:p>
    <w:p>
      <w:pPr>
        <w:pStyle w:val="FirstParagraph"/>
      </w:pPr>
      <w:r>
        <w:t xml:space="preserve">The following definition is proposed to replace the bracketed text of Section 2.03(c) of the ICA in its entirety:</w:t>
      </w:r>
    </w:p>
    <w:p>
      <w:pPr>
        <w:pStyle w:val="BlockText"/>
      </w:pPr>
      <w:r>
        <w:rPr>
          <w:b/>
          <w:bCs/>
        </w:rPr>
        <w:t xml:space="preserve">“</w:t>
      </w:r>
      <w:r>
        <w:rPr>
          <w:b/>
          <w:bCs/>
        </w:rPr>
        <w:t xml:space="preserve">Permitted Second Lien Refinancing Indebtedness</w:t>
      </w:r>
      <w:r>
        <w:rPr>
          <w:b/>
          <w:bCs/>
        </w:rPr>
        <w:t xml:space="preserve">”</w:t>
      </w:r>
      <w:r>
        <w:t xml:space="preserve"> </w:t>
      </w:r>
      <w:r>
        <w:t xml:space="preserve">means indebtedness incurred by the Borrower to refinance, replace, refund, renew, or extend all or any portion of the Second Lien Obligations (the</w:t>
      </w:r>
      <w:r>
        <w:t xml:space="preserve"> </w:t>
      </w:r>
      <w:r>
        <w:t xml:space="preserve">“</w:t>
      </w:r>
      <w:r>
        <w:t xml:space="preserve">Refinanced Second Lien Obligations</w:t>
      </w:r>
      <w:r>
        <w:t xml:space="preserve">”</w:t>
      </w:r>
      <w:r>
        <w:t xml:space="preserve">), provided that all of the following conditions are satisfied:</w:t>
      </w:r>
    </w:p>
    <w:p>
      <w:pPr>
        <w:pStyle w:val="BlockText"/>
        <w:numPr>
          <w:ilvl w:val="0"/>
          <w:numId w:val="1008"/>
        </w:numPr>
      </w:pPr>
      <w:r>
        <w:rPr>
          <w:b/>
          <w:bCs/>
        </w:rPr>
        <w:t xml:space="preserve">Principal Amount.</w:t>
      </w:r>
      <w:r>
        <w:t xml:space="preserve"> </w:t>
      </w:r>
      <w:r>
        <w:t xml:space="preserve">The aggregate principal amount of such Permitted Second Lien Refinancing Indebtedness shall not exceed the sum of (A) the aggregate principal amount of the Refinanced Second Lien Obligations being refinanced, plus (B) an amount equal to ten percent (10%) of the aggregate principal amount of the Refinanced Second Lien Obligations being refinanced (which, based on the current $150,000,000 Second Lien Term Loan B, equates to a maximum permitted increase of $15,000,000, for a maximum aggregate principal amount of $165,000,000). The incremental amount permitted pursuant to clause (B) shall be applied solely to pay or capitalize (a) call premiums, make-whole amounts, or prepayment premiums payable in connection with the prepayment of the Refinanced Second Lien Obligations, (b) arrangement, underwriting, or placement fees and discounts payable to the arranging banks or placement agents for the Permitted Second Lien Refinancing Indebtedness, (c) original issue discount on the Permitted Second Lien Refinancing Indebtedness, (d) reasonable and documented legal, advisory, rating agency, and other transaction costs and expenses incurred in connection with such refinancing, and (e) capitalized interest in connection with such refinancing, in each case and not for any other purpose;</w:t>
      </w:r>
    </w:p>
    <w:p>
      <w:pPr>
        <w:pStyle w:val="BlockText"/>
        <w:numPr>
          <w:ilvl w:val="0"/>
          <w:numId w:val="1008"/>
        </w:numPr>
      </w:pPr>
      <w:r>
        <w:rPr>
          <w:b/>
          <w:bCs/>
        </w:rPr>
        <w:t xml:space="preserve">Maturity.</w:t>
      </w:r>
      <w:r>
        <w:t xml:space="preserve"> </w:t>
      </w:r>
      <w:r>
        <w:t xml:space="preserve">The stated final maturity date of such Permitted Second Lien Refinancing Indebtedness shall be no earlier than the later of (A) the date that is ninety-one (91) days after the First Lien Maturity Date then in effect (which, based on the current First Lien Maturity Date of June 15, 2030, equates to September 14, 2030) and (B) the Second Lien Maturity Date (i.e., June 15, 2031);</w:t>
      </w:r>
    </w:p>
    <w:p>
      <w:pPr>
        <w:pStyle w:val="BlockText"/>
        <w:numPr>
          <w:ilvl w:val="0"/>
          <w:numId w:val="1008"/>
        </w:numPr>
      </w:pPr>
      <w:r>
        <w:rPr>
          <w:b/>
          <w:bCs/>
        </w:rPr>
        <w:t xml:space="preserve">Narrowed Restrictiveness Test.</w:t>
      </w:r>
      <w:r>
        <w:t xml:space="preserve"> </w:t>
      </w:r>
      <w:r>
        <w:t xml:space="preserve">The terms and conditions of such Permitted Second Lien Refinancing Indebtedness shall not be more restrictive to the Borrower, in any material respect, than the terms and conditions of the Second Lien Credit Agreement as in effect on the Closing Date, in each case solely with respect to the following specifically enumerated provisions: (A) financial maintenance covenants (it being understood that the financial maintenance covenants in the Permitted Second Lien Refinancing Indebtedness shall be no more restrictive to the Borrower than the financial maintenance covenants in the Second Lien Credit Agreement as in effect on the Closing Date, including the Total Leverage ratio not to exceed 6.5x), (B) events of default and the cure or grace periods applicable thereto (it being understood that no cure or grace period applicable to any event of default under the Permitted Second Lien Refinancing Indebtedness shall be shorter than the corresponding cure or grace period under the Second Lien Credit Agreement as in effect on the Closing Date), and (C) cross-default and cross-acceleration provisions;</w:t>
      </w:r>
    </w:p>
    <w:p>
      <w:pPr>
        <w:pStyle w:val="BlockText"/>
        <w:numPr>
          <w:ilvl w:val="0"/>
          <w:numId w:val="1008"/>
        </w:numPr>
      </w:pPr>
      <w:r>
        <w:rPr>
          <w:b/>
          <w:bCs/>
        </w:rPr>
        <w:t xml:space="preserve">Most-Favored-Nation Right.</w:t>
      </w:r>
      <w:r>
        <w:t xml:space="preserve"> </w:t>
      </w:r>
      <w:r>
        <w:t xml:space="preserve">If the Permitted Second Lien Refinancing Indebtedness includes any financial maintenance covenant that is more favorable to the lenders thereof than the corresponding financial maintenance covenant in the First Lien Credit Agreement as in effect on the date of such refinancing (measured on a like-for-like basis, comparing covenants of the same type), then the First Lien Lenders shall automatically receive the benefit of such more favorable financial maintenance covenant, which shall be deemed incorporated into the First Lien Credit Agreement for the benefit of the First Lien Lenders, without the need for any further amendment, consent, or action by the Borrower or any First Lien Lender; and</w:t>
      </w:r>
    </w:p>
    <w:p>
      <w:pPr>
        <w:pStyle w:val="BlockText"/>
        <w:numPr>
          <w:ilvl w:val="0"/>
          <w:numId w:val="1008"/>
        </w:numPr>
      </w:pPr>
      <w:r>
        <w:rPr>
          <w:b/>
          <w:bCs/>
        </w:rPr>
        <w:t xml:space="preserve">Joinder.</w:t>
      </w:r>
      <w:r>
        <w:t xml:space="preserve"> </w:t>
      </w:r>
      <w:r>
        <w:t xml:space="preserve">The holders of such Permitted Second Lien Refinancing Indebtedness shall have become party to this Agreement (or a replacement intercreditor agreement on substantially similar terms) by executing and delivering a joinder agreement in form and substance reasonably satisfactory to the First Lien Agent and the Second Lien Agent.</w:t>
      </w:r>
    </w:p>
    <w:bookmarkEnd w:id="37"/>
    <w:bookmarkStart w:id="38" w:name="d.-negotiation-rationale-2"/>
    <w:p>
      <w:pPr>
        <w:pStyle w:val="Heading3"/>
      </w:pPr>
      <w:r>
        <w:t xml:space="preserve">D. Negotiation Rationale</w:t>
      </w:r>
    </w:p>
    <w:p>
      <w:pPr>
        <w:pStyle w:val="FirstParagraph"/>
      </w:pPr>
      <w:r>
        <w:rPr>
          <w:b/>
          <w:bCs/>
        </w:rPr>
        <w:t xml:space="preserve">Principal cap (10%, limited to fees/costs).</w:t>
      </w:r>
      <w:r>
        <w:t xml:space="preserve"> </w:t>
      </w:r>
      <w:r>
        <w:rPr>
          <w:i/>
          <w:iCs/>
        </w:rPr>
        <w:t xml:space="preserve">Within Ridgeline’s flexibility:</w:t>
      </w:r>
      <w:r>
        <w:t xml:space="preserve"> </w:t>
      </w:r>
      <w:r>
        <w:t xml:space="preserve">Ridgeline has expressly stated it</w:t>
      </w:r>
      <w:r>
        <w:t xml:space="preserve"> </w:t>
      </w:r>
      <w:r>
        <w:t xml:space="preserve">“</w:t>
      </w:r>
      <w:r>
        <w:t xml:space="preserve">can accept a 10% principal increase cap … provided the increase is limited to refinancing-related fees and costs.</w:t>
      </w:r>
      <w:r>
        <w:t xml:space="preserve">”</w:t>
      </w:r>
      <w:r>
        <w:t xml:space="preserve"> </w:t>
      </w:r>
      <w:r>
        <w:t xml:space="preserve">The proposal adopts that formulation verbatim.</w:t>
      </w:r>
      <w:r>
        <w:t xml:space="preserve"> </w:t>
      </w:r>
      <w:r>
        <w:rPr>
          <w:i/>
          <w:iCs/>
        </w:rPr>
        <w:t xml:space="preserve">Within Cartwright’s flexibility:</w:t>
      </w:r>
      <w:r>
        <w:t xml:space="preserve"> </w:t>
      </w:r>
      <w:r>
        <w:t xml:space="preserve">Cartwright did not signal a specific number but stated it is willing to</w:t>
      </w:r>
      <w:r>
        <w:t xml:space="preserve"> </w:t>
      </w:r>
      <w:r>
        <w:t xml:space="preserve">“</w:t>
      </w:r>
      <w:r>
        <w:t xml:space="preserve">discuss [the cap] further in the context of the overall package.</w:t>
      </w:r>
      <w:r>
        <w:t xml:space="preserve">”</w:t>
      </w:r>
      <w:r>
        <w:t xml:space="preserve"> </w:t>
      </w:r>
      <w:r>
        <w:t xml:space="preserve">The 10%-limited-to-fees/costs formulation is defensible to Cartwright on three grounds. First, it is the</w:t>
      </w:r>
      <w:r>
        <w:t xml:space="preserve"> </w:t>
      </w:r>
      <w:r>
        <w:rPr>
          <w:b/>
          <w:bCs/>
        </w:rPr>
        <w:t xml:space="preserve">market median</w:t>
      </w:r>
      <w:r>
        <w:t xml:space="preserve"> </w:t>
      </w:r>
      <w:r>
        <w:t xml:space="preserve">(10%) and the modal practice for capped deals. Second, the</w:t>
      </w:r>
      <w:r>
        <w:t xml:space="preserve"> </w:t>
      </w:r>
      <w:r>
        <w:rPr>
          <w:b/>
          <w:bCs/>
        </w:rPr>
        <w:t xml:space="preserve">fees/costs limitation</w:t>
      </w:r>
      <w:r>
        <w:t xml:space="preserve"> </w:t>
      </w:r>
      <w:r>
        <w:t xml:space="preserve">means the $15M of headroom cannot be used for incremental borrowing by the Borrower — it can only defray the documented costs of refinancing (call premium, OID, arranger fees, legal/advisory costs, capitalized interest). The Borrower’s</w:t>
      </w:r>
      <w:r>
        <w:t xml:space="preserve"> </w:t>
      </w:r>
      <w:r>
        <w:rPr>
          <w:b/>
          <w:bCs/>
        </w:rPr>
        <w:t xml:space="preserve">net</w:t>
      </w:r>
      <w:r>
        <w:t xml:space="preserve"> </w:t>
      </w:r>
      <w:r>
        <w:t xml:space="preserve">indebtedness does not increase; only the</w:t>
      </w:r>
      <w:r>
        <w:t xml:space="preserve"> </w:t>
      </w:r>
      <w:r>
        <w:rPr>
          <w:b/>
          <w:bCs/>
        </w:rPr>
        <w:t xml:space="preserve">gross</w:t>
      </w:r>
      <w:r>
        <w:t xml:space="preserve"> </w:t>
      </w:r>
      <w:r>
        <w:t xml:space="preserve">principal is grossed-up to accommodate transaction frictions, and the gross-up is consumed by the costs it covers. Third, the quantified economics confirm the calibration: a year-1 refinancing of the $150M 2L would incur a call premium of 102% (≈$3.0M), arranger fees of 200–350 bps (≈$3.0M–$5.25M), OID of 1–3% (≈$1.5M–$4.5M), and legal/advisory costs (≈$1M–$2M) — a total of roughly</w:t>
      </w:r>
      <w:r>
        <w:t xml:space="preserve"> </w:t>
      </w:r>
      <w:r>
        <w:rPr>
          <w:b/>
          <w:bCs/>
        </w:rPr>
        <w:t xml:space="preserve">$8.5M–$14.75M</w:t>
      </w:r>
      <w:r>
        <w:t xml:space="preserve">, which fits within the $15M (10%) cap. The cap is therefore sized to actual refinancing economics, not to permit leverage expansion. Cartwright’s core concern — that an upsize would</w:t>
      </w:r>
      <w:r>
        <w:t xml:space="preserve"> </w:t>
      </w:r>
      <w:r>
        <w:t xml:space="preserve">“</w:t>
      </w:r>
      <w:r>
        <w:t xml:space="preserve">compress the already-thin second lien equity cushion of 25.78%</w:t>
      </w:r>
      <w:r>
        <w:t xml:space="preserve">”</w:t>
      </w:r>
      <w:r>
        <w:t xml:space="preserve"> </w:t>
      </w:r>
      <w:r>
        <w:t xml:space="preserve">— is addressed because the fees/costs limitation prevents the headroom from being deployed as incremental debt against the collateral. (On a gross basis, a full $15M draw would raise total secured debt from $625M to $640M and Total LTV from 97.66% to 100%; but because the $15M is paid out to cover costs rather than retained as net debt, the net leverage impact is approximately zero. The First Lien Credit Agreement’s own § 6.01(b) and § 6.09 already permit the 2L to be refinanced with capitalized interest, premiums, fees, and customary refinancing costs, confirming that a fees/costs-limited gross-up is consistent with the 1L’s existing covenant framework.)</w:t>
      </w:r>
    </w:p>
    <w:p>
      <w:pPr>
        <w:pStyle w:val="BodyText"/>
      </w:pPr>
      <w:r>
        <w:rPr>
          <w:b/>
          <w:bCs/>
        </w:rPr>
        <w:t xml:space="preserve">Maturity floor (later of 91 days post-1L and original 2L maturity).</w:t>
      </w:r>
      <w:r>
        <w:t xml:space="preserve"> </w:t>
      </w:r>
      <w:r>
        <w:t xml:space="preserve">This formulation</w:t>
      </w:r>
      <w:r>
        <w:t xml:space="preserve"> </w:t>
      </w:r>
      <w:r>
        <w:rPr>
          <w:b/>
          <w:bCs/>
        </w:rPr>
        <w:t xml:space="preserve">satisfies both sides’ tests simultaneously</w:t>
      </w:r>
      <w:r>
        <w:t xml:space="preserve"> </w:t>
      </w:r>
      <w:r>
        <w:t xml:space="preserve">and is, in an important respect,</w:t>
      </w:r>
      <w:r>
        <w:t xml:space="preserve"> </w:t>
      </w:r>
      <w:r>
        <w:rPr>
          <w:b/>
          <w:bCs/>
        </w:rPr>
        <w:t xml:space="preserve">more protective of Cartwright than Ridgeline’s standalone proposal</w:t>
      </w:r>
      <w:r>
        <w:t xml:space="preserve">. In the base case (1L maturity June 15, 2030), the 91-day post-1L date is September 14, 2030, and the original 2L maturity is June 15, 2031; because June 15, 2031 is later, the binding floor is June 15, 2031 — which is exactly what Ridgeline requested. Cartwright receives the 91-day test it insisted upon (present in 93% of surveyed deals), and the original-2L-maturity floor (present in 81% of surveyed deals). The critical nuance — which directly answers the question you posed — is the</w:t>
      </w:r>
      <w:r>
        <w:t xml:space="preserve"> </w:t>
      </w:r>
      <w:r>
        <w:rPr>
          <w:b/>
          <w:bCs/>
        </w:rPr>
        <w:t xml:space="preserve">extension scenario</w:t>
      </w:r>
      <w:r>
        <w:t xml:space="preserve">: the First Lien Credit Agreement permits extension of the 1L maturity by up to 12 months pursuant to Section 2.14, and the</w:t>
      </w:r>
      <w:r>
        <w:t xml:space="preserve"> </w:t>
      </w:r>
      <w:r>
        <w:t xml:space="preserve">“</w:t>
      </w:r>
      <w:r>
        <w:t xml:space="preserve">Latest First Lien Maturity Date</w:t>
      </w:r>
      <w:r>
        <w:t xml:space="preserve">”</w:t>
      </w:r>
      <w:r>
        <w:t xml:space="preserve"> </w:t>
      </w:r>
      <w:r>
        <w:t xml:space="preserve">moves with any such extension. Under Ridgeline’s standalone proposal (a fixed June 15, 2031 floor), a 1L maturity extension beyond approximately March 16, 2031 would cause the refinanced 2L to mature</w:t>
      </w:r>
      <w:r>
        <w:t xml:space="preserve"> </w:t>
      </w:r>
      <w:r>
        <w:rPr>
          <w:b/>
          <w:bCs/>
        </w:rPr>
        <w:t xml:space="preserve">before</w:t>
      </w:r>
      <w:r>
        <w:t xml:space="preserve"> </w:t>
      </w:r>
      <w:r>
        <w:t xml:space="preserve">the 91-day post-1L buffer — recreating the very</w:t>
      </w:r>
      <w:r>
        <w:t xml:space="preserve"> </w:t>
      </w:r>
      <w:r>
        <w:t xml:space="preserve">“</w:t>
      </w:r>
      <w:r>
        <w:t xml:space="preserve">maturity wall</w:t>
      </w:r>
      <w:r>
        <w:t xml:space="preserve">”</w:t>
      </w:r>
      <w:r>
        <w:t xml:space="preserve"> </w:t>
      </w:r>
      <w:r>
        <w:t xml:space="preserve">Cartwright’s provision is designed to prevent. The</w:t>
      </w:r>
      <w:r>
        <w:t xml:space="preserve"> </w:t>
      </w:r>
      <w:r>
        <w:t xml:space="preserve">“</w:t>
      </w:r>
      <w:r>
        <w:t xml:space="preserve">later of</w:t>
      </w:r>
      <w:r>
        <w:t xml:space="preserve">”</w:t>
      </w:r>
      <w:r>
        <w:t xml:space="preserve"> </w:t>
      </w:r>
      <w:r>
        <w:t xml:space="preserve">formulation eliminates that risk: if the 1L maturity is extended, the 91-day floor moves later with it, and the refinanced 2L cannot mature before the extended buffer. Ridgeline’s position therefore does</w:t>
      </w:r>
      <w:r>
        <w:t xml:space="preserve"> </w:t>
      </w:r>
      <w:r>
        <w:rPr>
          <w:b/>
          <w:bCs/>
        </w:rPr>
        <w:t xml:space="preserve">not</w:t>
      </w:r>
      <w:r>
        <w:t xml:space="preserve"> </w:t>
      </w:r>
      <w:r>
        <w:t xml:space="preserve">disadvantage Cartwright in any scenario, and the</w:t>
      </w:r>
      <w:r>
        <w:t xml:space="preserve"> </w:t>
      </w:r>
      <w:r>
        <w:t xml:space="preserve">“</w:t>
      </w:r>
      <w:r>
        <w:t xml:space="preserve">later of</w:t>
      </w:r>
      <w:r>
        <w:t xml:space="preserve">”</w:t>
      </w:r>
      <w:r>
        <w:t xml:space="preserve"> </w:t>
      </w:r>
      <w:r>
        <w:t xml:space="preserve">framing gives Cartwright protection in the extension scenario that Ridgeline’s standalone proposal would not — while delivering Ridgeline the June 15, 2031 floor in the base case. This is a clean convergence of both sides’ interests and is the market’s own preferred formulation (81% of deals include both tests).</w:t>
      </w:r>
    </w:p>
    <w:p>
      <w:pPr>
        <w:pStyle w:val="BodyText"/>
      </w:pPr>
      <w:r>
        <w:rPr>
          <w:b/>
          <w:bCs/>
        </w:rPr>
        <w:t xml:space="preserve">Narrowed restrictiveness test + MFN.</w:t>
      </w:r>
      <w:r>
        <w:t xml:space="preserve"> </w:t>
      </w:r>
      <w:r>
        <w:rPr>
          <w:i/>
          <w:iCs/>
        </w:rPr>
        <w:t xml:space="preserve">Within Cartwright’s flexibility:</w:t>
      </w:r>
      <w:r>
        <w:t xml:space="preserve"> </w:t>
      </w:r>
      <w:r>
        <w:t xml:space="preserve">Cartwright has expressly stated it is</w:t>
      </w:r>
      <w:r>
        <w:t xml:space="preserve"> </w:t>
      </w:r>
      <w:r>
        <w:t xml:space="preserve">“</w:t>
      </w:r>
      <w:r>
        <w:t xml:space="preserve">open to a narrowed restrictiveness test … provided it is combined with a most-favored-nation right.</w:t>
      </w:r>
      <w:r>
        <w:t xml:space="preserve">”</w:t>
      </w:r>
      <w:r>
        <w:t xml:space="preserve"> </w:t>
      </w:r>
      <w:r>
        <w:t xml:space="preserve">The proposal delivers exactly that: a test limited to three specifically enumerated categories — (A) financial maintenance covenants, (B) events of default and cure/grace periods, and (C) cross-default/cross-acceleration provisions. These are precisely the categories Cartwright’s position letter identified as the risks a blanket test is designed to prevent: a tightening of the Total Leverage covenant (e.g., from 6.5x to 6.0x) that could trigger a 2L default and cross-default to the 1L; shorter cure periods that would accelerate 2L enforcement inconsistently with the standstill; and expanded cross-default provisions. The MFN right — limited to financial maintenance covenants, as in 82% of MFN deals — ensures that if the refinanced 2L contains a financial maintenance covenant more favorable to its lenders than the 1L’s corresponding covenant, the 1L lenders automatically receive the benefit of that covenant. This directly neutralizes Cartwright’s stated concern that a tighter 2L covenant could trigger a 2L default while the 1L remains compliant: under the MFN, the 1L would receive the same tighter covenant, eliminating the asymmetry.</w:t>
      </w:r>
      <w:r>
        <w:t xml:space="preserve"> </w:t>
      </w:r>
      <w:r>
        <w:rPr>
          <w:i/>
          <w:iCs/>
        </w:rPr>
        <w:t xml:space="preserve">Within Ridgeline’s flexibility:</w:t>
      </w:r>
      <w:r>
        <w:t xml:space="preserve"> </w:t>
      </w:r>
      <w:r>
        <w:t xml:space="preserve">Ridgeline has stated it is</w:t>
      </w:r>
      <w:r>
        <w:t xml:space="preserve"> </w:t>
      </w:r>
      <w:r>
        <w:t xml:space="preserve">“</w:t>
      </w:r>
      <w:r>
        <w:t xml:space="preserve">open to discussing whether a narrowed restrictiveness test paired with an MFN right could work.</w:t>
      </w:r>
      <w:r>
        <w:t xml:space="preserve">”</w:t>
      </w:r>
      <w:r>
        <w:t xml:space="preserve"> </w:t>
      </w:r>
      <w:r>
        <w:t xml:space="preserve">The proposal concedes Ridgeline’s principal objection to the blanket test — that it would give the 1L</w:t>
      </w:r>
      <w:r>
        <w:t xml:space="preserve"> </w:t>
      </w:r>
      <w:r>
        <w:t xml:space="preserve">“</w:t>
      </w:r>
      <w:r>
        <w:t xml:space="preserve">an effective veto over the commercial terms of the Second Lien facility</w:t>
      </w:r>
      <w:r>
        <w:t xml:space="preserve">”</w:t>
      </w:r>
      <w:r>
        <w:t xml:space="preserve"> </w:t>
      </w:r>
      <w:r>
        <w:t xml:space="preserve">— by limiting the test to three enumerated categories and excluding all other terms (affirmative covenants, negative covenants other than cross-default, representations, pricing, mandatory prepayment provisions, conditions to borrowing, etc.) from the comparison. The 2L retains freedom to negotiate the vast majority of commercial terms in a refinancing.</w:t>
      </w:r>
      <w:r>
        <w:t xml:space="preserve"> </w:t>
      </w:r>
      <w:r>
        <w:rPr>
          <w:i/>
          <w:iCs/>
        </w:rPr>
        <w:t xml:space="preserve">Market support:</w:t>
      </w:r>
      <w:r>
        <w:t xml:space="preserve"> </w:t>
      </w:r>
      <w:r>
        <w:t xml:space="preserve">Narrowed tests are the plurality practice (52%), and</w:t>
      </w:r>
      <w:r>
        <w:t xml:space="preserve"> </w:t>
      </w:r>
      <w:r>
        <w:rPr>
          <w:b/>
          <w:bCs/>
        </w:rPr>
        <w:t xml:space="preserve">100% of narrowed-test deals pair with an MFN</w:t>
      </w:r>
      <w:r>
        <w:t xml:space="preserve">; 82% of MFN provisions are limited to financial covenants. Deal-007 combines a 10% fees/costs cap with a narrowed test and an MFN on financial covenants — the exact package proposed.</w:t>
      </w:r>
    </w:p>
    <w:bookmarkEnd w:id="38"/>
    <w:bookmarkEnd w:id="39"/>
    <w:bookmarkStart w:id="44" w:name="X5b9fea88a231cbad9259808ef0fb357dba90090"/>
    <w:p>
      <w:pPr>
        <w:pStyle w:val="Heading2"/>
      </w:pPr>
      <w:r>
        <w:t xml:space="preserve">VIII. Provision 4 — Application of Asset Disposition and Casualty Proceeds (Section 4.02)</w:t>
      </w:r>
    </w:p>
    <w:bookmarkStart w:id="40" w:name="a.-the-impasse-3"/>
    <w:p>
      <w:pPr>
        <w:pStyle w:val="Heading3"/>
      </w:pPr>
      <w:r>
        <w:t xml:space="preserve">A. The Impasse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Sub-issue</w:t>
            </w:r>
          </w:p>
        </w:tc>
        <w:tc>
          <w:tcPr/>
          <w:p>
            <w:pPr>
              <w:pStyle w:val="Compact"/>
              <w:jc w:val="left"/>
            </w:pPr>
            <w:r>
              <w:t xml:space="preserve">Cartwright (1L)</w:t>
            </w:r>
          </w:p>
        </w:tc>
        <w:tc>
          <w:tcPr/>
          <w:p>
            <w:pPr>
              <w:pStyle w:val="Compact"/>
              <w:jc w:val="left"/>
            </w:pPr>
            <w:r>
              <w:t xml:space="preserve">Ridgeline (2L)</w:t>
            </w:r>
          </w:p>
        </w:tc>
      </w:tr>
      <w:tr>
        <w:tc>
          <w:tcPr/>
          <w:p>
            <w:pPr>
              <w:pStyle w:val="Compact"/>
              <w:jc w:val="left"/>
            </w:pPr>
            <w:r>
              <w:t xml:space="preserve">Reinvestment rights</w:t>
            </w:r>
          </w:p>
        </w:tc>
        <w:tc>
          <w:tcPr/>
          <w:p>
            <w:pPr>
              <w:pStyle w:val="Compact"/>
              <w:jc w:val="left"/>
            </w:pPr>
            <w:r>
              <w:t xml:space="preserve">Override all reinvestment; 100% sweep</w:t>
            </w:r>
          </w:p>
        </w:tc>
        <w:tc>
          <w:tcPr/>
          <w:p>
            <w:pPr>
              <w:pStyle w:val="Compact"/>
              <w:jc w:val="left"/>
            </w:pPr>
            <w:r>
              <w:t xml:space="preserve">Preserve 1L Credit Agreement reinvestment mechanics (365-day period; $5M/$15M triggers)</w:t>
            </w:r>
          </w:p>
        </w:tc>
      </w:tr>
      <w:tr>
        <w:tc>
          <w:tcPr/>
          <w:p>
            <w:pPr>
              <w:pStyle w:val="Compact"/>
              <w:jc w:val="left"/>
            </w:pPr>
            <w:r>
              <w:t xml:space="preserve">2L access to residual</w:t>
            </w:r>
          </w:p>
        </w:tc>
        <w:tc>
          <w:tcPr/>
          <w:p>
            <w:pPr>
              <w:pStyle w:val="Compact"/>
              <w:jc w:val="left"/>
            </w:pPr>
            <w:r>
              <w:t xml:space="preserve">None until 1L paid in full</w:t>
            </w:r>
          </w:p>
        </w:tc>
        <w:tc>
          <w:tcPr/>
          <w:p>
            <w:pPr>
              <w:pStyle w:val="Compact"/>
              <w:jc w:val="left"/>
            </w:pPr>
            <w:r>
              <w:t xml:space="preserve">Residual flows to 2L after 1L application</w:t>
            </w:r>
          </w:p>
        </w:tc>
      </w:tr>
      <w:tr>
        <w:tc>
          <w:tcPr/>
          <w:p>
            <w:pPr>
              <w:pStyle w:val="Compact"/>
              <w:jc w:val="left"/>
            </w:pPr>
            <w:r>
              <w:t xml:space="preserve">Anti-evasion</w:t>
            </w:r>
          </w:p>
        </w:tc>
        <w:tc>
          <w:tcPr/>
          <w:p>
            <w:pPr>
              <w:pStyle w:val="Compact"/>
              <w:jc w:val="left"/>
            </w:pPr>
            <w:r>
              <w:t xml:space="preserve">Not addressed in bracketed proposal</w:t>
            </w:r>
          </w:p>
        </w:tc>
        <w:tc>
          <w:tcPr/>
          <w:p>
            <w:pPr>
              <w:pStyle w:val="Compact"/>
              <w:jc w:val="left"/>
            </w:pPr>
            <w:r>
              <w:t xml:space="preserve">Requested (against sub-threshold structuring)</w:t>
            </w:r>
          </w:p>
        </w:tc>
      </w:tr>
      <w:tr>
        <w:tc>
          <w:tcPr/>
          <w:p>
            <w:pPr>
              <w:pStyle w:val="Compact"/>
              <w:jc w:val="left"/>
            </w:pPr>
            <w:r>
              <w:t xml:space="preserve">Reporting</w:t>
            </w:r>
          </w:p>
        </w:tc>
        <w:tc>
          <w:tcPr/>
          <w:p>
            <w:pPr>
              <w:pStyle w:val="Compact"/>
              <w:jc w:val="left"/>
            </w:pPr>
            <w:r>
              <w:t xml:space="preserve">Not addressed</w:t>
            </w:r>
          </w:p>
        </w:tc>
        <w:tc>
          <w:tcPr/>
          <w:p>
            <w:pPr>
              <w:pStyle w:val="Compact"/>
              <w:jc w:val="left"/>
            </w:pPr>
            <w:r>
              <w:t xml:space="preserve">Not addressed</w:t>
            </w:r>
          </w:p>
        </w:tc>
      </w:tr>
    </w:tbl>
    <w:p>
      <w:pPr>
        <w:pStyle w:val="BodyText"/>
      </w:pPr>
      <w:r>
        <w:t xml:space="preserve">Cartwright has stated that a</w:t>
      </w:r>
      <w:r>
        <w:t xml:space="preserve"> </w:t>
      </w:r>
      <w:r>
        <w:t xml:space="preserve">“</w:t>
      </w:r>
      <w:r>
        <w:rPr>
          <w:b/>
          <w:bCs/>
        </w:rPr>
        <w:t xml:space="preserve">hard sweep of proceeds from large and/or extraordinary asset sales is essential</w:t>
      </w:r>
      <w:r>
        <w:t xml:space="preserve"> </w:t>
      </w:r>
      <w:r>
        <w:t xml:space="preserve">to the syndicate and is not subject to significant compromise,</w:t>
      </w:r>
      <w:r>
        <w:t xml:space="preserve">”</w:t>
      </w:r>
      <w:r>
        <w:t xml:space="preserve"> </w:t>
      </w:r>
      <w:r>
        <w:t xml:space="preserve">but has acknowledged that</w:t>
      </w:r>
      <w:r>
        <w:t xml:space="preserve"> </w:t>
      </w:r>
      <w:r>
        <w:t xml:space="preserve">“</w:t>
      </w:r>
      <w:r>
        <w:t xml:space="preserve">reinvestment rights for smaller, ordinary-course asset sales may be acceptable</w:t>
      </w:r>
      <w:r>
        <w:t xml:space="preserve">”</w:t>
      </w:r>
      <w:r>
        <w:t xml:space="preserve"> </w:t>
      </w:r>
      <w:r>
        <w:t xml:space="preserve">and proposed</w:t>
      </w:r>
      <w:r>
        <w:t xml:space="preserve"> </w:t>
      </w:r>
      <w:r>
        <w:t xml:space="preserve">“</w:t>
      </w:r>
      <w:r>
        <w:t xml:space="preserve">a workable approach … for the ICA to defer to the 1L Credit Agreement’s existing reinvestment mechanics for ordinary-course sales below a defined threshold, while imposing a hard 100% sweep to 1L obligations for larger or extraordinary dispositions,</w:t>
      </w:r>
      <w:r>
        <w:t xml:space="preserve">”</w:t>
      </w:r>
      <w:r>
        <w:t xml:space="preserve"> </w:t>
      </w:r>
      <w:r>
        <w:t xml:space="preserve">with</w:t>
      </w:r>
      <w:r>
        <w:t xml:space="preserve"> </w:t>
      </w:r>
      <w:r>
        <w:t xml:space="preserve">“</w:t>
      </w:r>
      <w:r>
        <w:t xml:space="preserve">anti-evasion language … essential.</w:t>
      </w:r>
      <w:r>
        <w:t xml:space="preserve">”</w:t>
      </w:r>
      <w:r>
        <w:t xml:space="preserve"> </w:t>
      </w:r>
      <w:r>
        <w:t xml:space="preserve">Cartwright has further stated that 2L residual access</w:t>
      </w:r>
      <w:r>
        <w:t xml:space="preserve"> </w:t>
      </w:r>
      <w:r>
        <w:t xml:space="preserve">“</w:t>
      </w:r>
      <w:r>
        <w:t xml:space="preserve">is something the syndicate would need to evaluate in context, but candidly it is less of a concern if the hard sweep for significant sales is preserved.</w:t>
      </w:r>
      <w:r>
        <w:t xml:space="preserve">”</w:t>
      </w:r>
    </w:p>
    <w:p>
      <w:pPr>
        <w:pStyle w:val="BodyText"/>
      </w:pPr>
      <w:r>
        <w:t xml:space="preserve">Ridgeline has stated that</w:t>
      </w:r>
      <w:r>
        <w:t xml:space="preserve"> </w:t>
      </w:r>
      <w:r>
        <w:t xml:space="preserve">“</w:t>
      </w:r>
      <w:r>
        <w:t xml:space="preserve">some form of 2L access to residual asset sale proceeds be preserved in the ICA,</w:t>
      </w:r>
      <w:r>
        <w:t xml:space="preserve">”</w:t>
      </w:r>
      <w:r>
        <w:t xml:space="preserve"> </w:t>
      </w:r>
      <w:r>
        <w:t xml:space="preserve">characterizing this as</w:t>
      </w:r>
      <w:r>
        <w:t xml:space="preserve"> </w:t>
      </w:r>
      <w:r>
        <w:t xml:space="preserve">“</w:t>
      </w:r>
      <w:r>
        <w:t xml:space="preserve">symbolically important even if economically limited,</w:t>
      </w:r>
      <w:r>
        <w:t xml:space="preserve">”</w:t>
      </w:r>
      <w:r>
        <w:t xml:space="preserve"> </w:t>
      </w:r>
      <w:r>
        <w:t xml:space="preserve">and that it</w:t>
      </w:r>
      <w:r>
        <w:t xml:space="preserve"> </w:t>
      </w:r>
      <w:r>
        <w:t xml:space="preserve">“</w:t>
      </w:r>
      <w:r>
        <w:t xml:space="preserve">could live with the 1L reinvestment mechanics applying for ordinary-course sales … provided that the residual after 1L application flows to the 2L rather than back to the Borrower.</w:t>
      </w:r>
      <w:r>
        <w:t xml:space="preserve">”</w:t>
      </w:r>
      <w:r>
        <w:t xml:space="preserve"> </w:t>
      </w:r>
      <w:r>
        <w:t xml:space="preserve">Ridgeline has flagged the need for</w:t>
      </w:r>
      <w:r>
        <w:t xml:space="preserve"> </w:t>
      </w:r>
      <w:r>
        <w:t xml:space="preserve">“</w:t>
      </w:r>
      <w:r>
        <w:t xml:space="preserve">anti-evasion language to protect against asset-stripping through a series of sub-threshold sales.</w:t>
      </w:r>
      <w:r>
        <w:t xml:space="preserve">”</w:t>
      </w:r>
      <w:r>
        <w:t xml:space="preserve"> </w:t>
      </w:r>
      <w:r>
        <w:t xml:space="preserve">An ordinary-course threshold of</w:t>
      </w:r>
      <w:r>
        <w:t xml:space="preserve"> </w:t>
      </w:r>
      <w:r>
        <w:rPr>
          <w:b/>
          <w:bCs/>
        </w:rPr>
        <w:t xml:space="preserve">$20 million</w:t>
      </w:r>
      <w:r>
        <w:t xml:space="preserve"> </w:t>
      </w:r>
      <w:r>
        <w:t xml:space="preserve">has been discussed informally and is reflected in the capital structure summary (noting that $20M represents ~22.4% of LTM EBITDA).</w:t>
      </w:r>
    </w:p>
    <w:bookmarkEnd w:id="40"/>
    <w:bookmarkStart w:id="41" w:name="b.-market-data-3"/>
    <w:p>
      <w:pPr>
        <w:pStyle w:val="Heading3"/>
      </w:pPr>
      <w:r>
        <w:t xml:space="preserve">B. Market Data</w:t>
      </w:r>
    </w:p>
    <w:p>
      <w:pPr>
        <w:pStyle w:val="Compact"/>
        <w:numPr>
          <w:ilvl w:val="0"/>
          <w:numId w:val="1009"/>
        </w:numPr>
      </w:pPr>
      <w:r>
        <w:rPr>
          <w:b/>
          <w:bCs/>
        </w:rPr>
        <w:t xml:space="preserve">1L sweep of Net Cash Proceeds:</w:t>
      </w:r>
      <w:r>
        <w:t xml:space="preserve"> </w:t>
      </w:r>
      <w:r>
        <w:t xml:space="preserve">100% in</w:t>
      </w:r>
      <w:r>
        <w:t xml:space="preserve"> </w:t>
      </w:r>
      <w:r>
        <w:rPr>
          <w:b/>
          <w:bCs/>
        </w:rPr>
        <w:t xml:space="preserve">all 42 deals</w:t>
      </w:r>
      <w:r>
        <w:t xml:space="preserve"> </w:t>
      </w:r>
      <w:r>
        <w:t xml:space="preserve">(universal market standard).</w:t>
      </w:r>
    </w:p>
    <w:p>
      <w:pPr>
        <w:pStyle w:val="Compact"/>
        <w:numPr>
          <w:ilvl w:val="0"/>
          <w:numId w:val="1009"/>
        </w:numPr>
      </w:pPr>
      <w:r>
        <w:rPr>
          <w:b/>
          <w:bCs/>
        </w:rPr>
        <w:t xml:space="preserve">Reinvestment right preserved:</w:t>
      </w:r>
      <w:r>
        <w:t xml:space="preserve"> </w:t>
      </w:r>
      <w:r>
        <w:t xml:space="preserve">Yes in 34 deals (81%); 91% of those use the</w:t>
      </w:r>
      <w:r>
        <w:t xml:space="preserve"> </w:t>
      </w:r>
      <w:r>
        <w:rPr>
          <w:b/>
          <w:bCs/>
        </w:rPr>
        <w:t xml:space="preserve">365-day</w:t>
      </w:r>
      <w:r>
        <w:t xml:space="preserve"> </w:t>
      </w:r>
      <w:r>
        <w:t xml:space="preserve">reinvestment period (matching the 1L Credit Agreement).</w:t>
      </w:r>
    </w:p>
    <w:p>
      <w:pPr>
        <w:pStyle w:val="Compact"/>
        <w:numPr>
          <w:ilvl w:val="0"/>
          <w:numId w:val="1009"/>
        </w:numPr>
      </w:pPr>
      <w:r>
        <w:rPr>
          <w:b/>
          <w:bCs/>
        </w:rPr>
        <w:t xml:space="preserve">Hard sweep for large/extraordinary sales:</w:t>
      </w:r>
      <w:r>
        <w:t xml:space="preserve"> </w:t>
      </w:r>
      <w:r>
        <w:t xml:space="preserve">Present in 38 deals (90%).</w:t>
      </w:r>
    </w:p>
    <w:p>
      <w:pPr>
        <w:pStyle w:val="Compact"/>
        <w:numPr>
          <w:ilvl w:val="0"/>
          <w:numId w:val="1009"/>
        </w:numPr>
      </w:pPr>
      <w:r>
        <w:rPr>
          <w:b/>
          <w:bCs/>
        </w:rPr>
        <w:t xml:space="preserve">2L access to residual proceeds:</w:t>
      </w:r>
      <w:r>
        <w:t xml:space="preserve"> </w:t>
      </w:r>
      <w:r>
        <w:t xml:space="preserve">Yes in 33 deals (79%); 2L receives residual after 1L paydown in 79%.</w:t>
      </w:r>
    </w:p>
    <w:p>
      <w:pPr>
        <w:pStyle w:val="Compact"/>
        <w:numPr>
          <w:ilvl w:val="0"/>
          <w:numId w:val="1009"/>
        </w:numPr>
      </w:pPr>
      <w:r>
        <w:rPr>
          <w:b/>
          <w:bCs/>
        </w:rPr>
        <w:t xml:space="preserve">Ordinary-course sales excluded:</w:t>
      </w:r>
      <w:r>
        <w:t xml:space="preserve"> </w:t>
      </w:r>
      <w:r>
        <w:t xml:space="preserve">Yes in 34 deals (81%);</w:t>
      </w:r>
      <w:r>
        <w:t xml:space="preserve"> </w:t>
      </w:r>
      <w:r>
        <w:rPr>
          <w:b/>
          <w:bCs/>
        </w:rPr>
        <w:t xml:space="preserve">median ordinary-course threshold $20M</w:t>
      </w:r>
      <w:r>
        <w:t xml:space="preserve"> </w:t>
      </w:r>
      <w:r>
        <w:t xml:space="preserve">(mean $19.7M; range $10M–$30M).</w:t>
      </w:r>
    </w:p>
    <w:p>
      <w:pPr>
        <w:pStyle w:val="Compact"/>
        <w:numPr>
          <w:ilvl w:val="0"/>
          <w:numId w:val="1009"/>
        </w:numPr>
      </w:pPr>
      <w:r>
        <w:rPr>
          <w:b/>
          <w:bCs/>
        </w:rPr>
        <w:t xml:space="preserve">Anti-evasion clause:</w:t>
      </w:r>
      <w:r>
        <w:t xml:space="preserve"> </w:t>
      </w:r>
      <w:r>
        <w:t xml:space="preserve">Present in</w:t>
      </w:r>
      <w:r>
        <w:t xml:space="preserve"> </w:t>
      </w:r>
      <w:r>
        <w:rPr>
          <w:b/>
          <w:bCs/>
        </w:rPr>
        <w:t xml:space="preserve">33 of 34</w:t>
      </w:r>
      <w:r>
        <w:t xml:space="preserve"> </w:t>
      </w:r>
      <w:r>
        <w:t xml:space="preserve">ordinary-course deals (97%), typically set at the same threshold as the ordinary-course exclusion ($20M in the majority).</w:t>
      </w:r>
    </w:p>
    <w:p>
      <w:pPr>
        <w:pStyle w:val="Compact"/>
        <w:numPr>
          <w:ilvl w:val="0"/>
          <w:numId w:val="1009"/>
        </w:numPr>
      </w:pPr>
      <w:r>
        <w:rPr>
          <w:b/>
          <w:bCs/>
        </w:rPr>
        <w:t xml:space="preserve">Reporting:</w:t>
      </w:r>
      <w:r>
        <w:t xml:space="preserve"> </w:t>
      </w:r>
      <w:r>
        <w:t xml:space="preserve">Quarterly certificate of compliance in 90%; prompt notice above the individual trigger in 79%; annual aggregate disposition report in 38%.</w:t>
      </w:r>
    </w:p>
    <w:p>
      <w:pPr>
        <w:pStyle w:val="Compact"/>
        <w:numPr>
          <w:ilvl w:val="0"/>
          <w:numId w:val="1009"/>
        </w:numPr>
      </w:pPr>
      <w:r>
        <w:rPr>
          <w:b/>
          <w:bCs/>
        </w:rPr>
        <w:t xml:space="preserve">Deal-007</w:t>
      </w:r>
      <w:r>
        <w:t xml:space="preserve"> </w:t>
      </w:r>
      <w:r>
        <w:t xml:space="preserve">(closest analogue) provides for an</w:t>
      </w:r>
      <w:r>
        <w:t xml:space="preserve"> </w:t>
      </w:r>
      <w:r>
        <w:rPr>
          <w:b/>
          <w:bCs/>
        </w:rPr>
        <w:t xml:space="preserve">ordinary-course threshold of $20M with an anti-evasion clause at the same level, a 365-day reinvestment period per the 1L Credit Agreement, a hard sweep for extraordinary sales, and 2L residual access after full 1L paydown</w:t>
      </w:r>
      <w:r>
        <w:t xml:space="preserve"> </w:t>
      </w:r>
      <w:r>
        <w:t xml:space="preserve">— the precise framework proposed below.</w:t>
      </w:r>
    </w:p>
    <w:bookmarkEnd w:id="41"/>
    <w:bookmarkStart w:id="42" w:name="c.-proposed-compromise-language-3"/>
    <w:p>
      <w:pPr>
        <w:pStyle w:val="Heading3"/>
      </w:pPr>
      <w:r>
        <w:t xml:space="preserve">C. Proposed Compromise Language</w:t>
      </w:r>
    </w:p>
    <w:p>
      <w:pPr>
        <w:pStyle w:val="FirstParagraph"/>
      </w:pPr>
      <w:r>
        <w:t xml:space="preserve">The following language is proposed to replace the bracketed text of Section 4.02 of the ICA in its entirety:</w:t>
      </w:r>
    </w:p>
    <w:p>
      <w:pPr>
        <w:pStyle w:val="BlockText"/>
      </w:pPr>
      <w:r>
        <w:rPr>
          <w:b/>
          <w:bCs/>
        </w:rPr>
        <w:t xml:space="preserve">Section 4.02 — Application of Asset Disposition and Casualty Proceeds.</w:t>
      </w:r>
      <w:r>
        <w:t xml:space="preserve"> </w:t>
      </w:r>
      <w:r>
        <w:t xml:space="preserve">All Net Cash Proceeds received by the Borrower or any other loan party in respect of any Asset Disposition or Casualty Event shall be applied as follows:</w:t>
      </w:r>
    </w:p>
    <w:p>
      <w:pPr>
        <w:pStyle w:val="BlockText"/>
        <w:numPr>
          <w:ilvl w:val="0"/>
          <w:numId w:val="1010"/>
        </w:numPr>
      </w:pPr>
      <w:r>
        <w:rPr>
          <w:b/>
          <w:bCs/>
        </w:rPr>
        <w:t xml:space="preserve">Ordinary-Course Asset Dispositions and Casualty Events.</w:t>
      </w:r>
      <w:r>
        <w:t xml:space="preserve"> </w:t>
      </w:r>
      <w:r>
        <w:t xml:space="preserve">With respect to any Asset Disposition or Casualty Event yielding Net Cash Proceeds of $20,000,000 or less (individually), the Net Cash Proceeds shall be applied in accordance with the reinvestment and mandatory prepayment mechanics set forth in Section 2.05(b) of the First Lien Credit Agreement, including (i) the individual $5,000,000 and annual aggregate $15,000,000 mandatory prepayment triggers, (ii) the 365-day reinvestment period during which the Borrower may reinvest Net Cash Proceeds in Permitted Reinvestment Assets, and (iii) the 100% sweep of non-reinvested Net Cash Proceeds upon expiration of the reinvestment period. The Borrower shall retain reinvestment rights with respect to such Net Cash Proceeds as set forth in the First Lien Credit Agreement.</w:t>
      </w:r>
    </w:p>
    <w:p>
      <w:pPr>
        <w:pStyle w:val="BlockText"/>
        <w:numPr>
          <w:ilvl w:val="0"/>
          <w:numId w:val="1010"/>
        </w:numPr>
      </w:pPr>
      <w:r>
        <w:rPr>
          <w:b/>
          <w:bCs/>
        </w:rPr>
        <w:t xml:space="preserve">Extraordinary Asset Dispositions and Casualty Events.</w:t>
      </w:r>
      <w:r>
        <w:t xml:space="preserve"> </w:t>
      </w:r>
      <w:r>
        <w:t xml:space="preserve">With respect to any Asset Disposition or Casualty Event yielding Net Cash Proceeds in excess of $20,000,000 (individually), one hundred percent (100%) of such Net Cash Proceeds shall be applied to prepay the First Lien Obligations in accordance with the waterfall set forth in Section 4.01, until the Discharge of First Lien Obligations has occurred. The reinvestment rights granted to the Borrower under Section 2.05(b)(iv) of the First Lien Credit Agreement shall be superseded by this Section 4.02(b) with respect to such Net Cash Proceeds, and no reinvestment in replacement assets shall be permitted with respect to such Net Cash Proceeds. No portion of such Net Cash Proceeds shall be available for application to the Second Lien Obligations, or for distribution to the Borrower or any other person, until the Discharge of First Lien Obligations shall have occurred.</w:t>
      </w:r>
    </w:p>
    <w:p>
      <w:pPr>
        <w:pStyle w:val="BlockText"/>
        <w:numPr>
          <w:ilvl w:val="0"/>
          <w:numId w:val="1010"/>
        </w:numPr>
      </w:pPr>
      <w:r>
        <w:rPr>
          <w:b/>
          <w:bCs/>
        </w:rPr>
        <w:t xml:space="preserve">Anti-Evasion.</w:t>
      </w:r>
      <w:r>
        <w:t xml:space="preserve"> </w:t>
      </w:r>
      <w:r>
        <w:t xml:space="preserve">No Asset Disposition (and no series of related Asset Dispositions or Casualty Events) shall be structured, timed, or otherwise arranged in a manner designed to avoid the $20,000,000 threshold set forth in this Section 4.02. The First Lien Agent may, in its reasonable discretion, aggregate any Asset Dispositions and Casualty Events occurring within a ninety (90)-day period if the First Lien Agent reasonably determines that such Asset Dispositions and Casualty Events constitute a single plan or related series of transactions, and, in such event, the Net Cash Proceeds from all such aggregated Asset Dispositions and Casualty Events shall be treated as Net Cash Proceeds from a single Asset Disposition or Casualty Event for purposes of determining whether the $20,000,000 threshold has been exceeded. In making such determination, the First Lien Agent shall consider, among other factors, the identity of the acquirer or acquirers, the nature and location of the assets disposed of, and the timing and sequencing of the dispositions. This Section 4.02(c) is in addition to, and not in limitation of, the anti-evasion provisions set forth in Section 2.05(b)(iii) of the First Lien Credit Agreement.</w:t>
      </w:r>
    </w:p>
    <w:p>
      <w:pPr>
        <w:pStyle w:val="BlockText"/>
        <w:numPr>
          <w:ilvl w:val="0"/>
          <w:numId w:val="1010"/>
        </w:numPr>
      </w:pPr>
      <w:r>
        <w:rPr>
          <w:b/>
          <w:bCs/>
        </w:rPr>
        <w:t xml:space="preserve">Residual Proceeds.</w:t>
      </w:r>
      <w:r>
        <w:t xml:space="preserve"> </w:t>
      </w:r>
      <w:r>
        <w:t xml:space="preserve">After the Discharge of First Lien Obligations has occurred, any remaining Net Cash Proceeds (together with any other proceeds then held by the First Lien Agent) shall be released to the Second Lien Agent for application to the Second Lien Obligations in accordance with the terms of the Second Lien Credit Agreement and Section 4.01, until the Second Lien Obligations have been indefeasibly paid in full in cash; and thereafter, any remaining proceeds shall be distributed to the Borrower or to whomsoever may be lawfully entitled thereto. No portion of any Net Cash Proceeds shall be distributed to the Borrower, its equity holders, or any other person prior to the indefeasible payment in full in cash of all First Lien Obligations and all Second Lien Obligations, except as expressly permitted by the First Lien Credit Agreement, the Second Lien Credit Agreement, or this Agreement.</w:t>
      </w:r>
    </w:p>
    <w:p>
      <w:pPr>
        <w:pStyle w:val="BlockText"/>
        <w:numPr>
          <w:ilvl w:val="0"/>
          <w:numId w:val="1010"/>
        </w:numPr>
      </w:pPr>
      <w:r>
        <w:rPr>
          <w:b/>
          <w:bCs/>
        </w:rPr>
        <w:t xml:space="preserve">Reporting.</w:t>
      </w:r>
      <w:r>
        <w:t xml:space="preserve"> </w:t>
      </w:r>
      <w:r>
        <w:t xml:space="preserve">The Borrower shall deliver to the First Lien Agent and the Second Lien Agent (i) a quarterly certificate of compliance reporting all Asset Dispositions and Casualty Events during the relevant fiscal quarter and the application of Net Cash Proceeds therefrom, (ii) prompt written notice (and in any event within five (5) Business Days) of any Asset Disposition or Casualty Event yielding Net Cash Proceeds in excess of the Reporting Threshold of $3,000,000 set forth in Section 2.05(b)(v) of the First Lien Credit Agreement, and (iii) an annual aggregate disposition report itemizing all Asset Dispositions and Casualty Events during the relevant fiscal year and the application of Net Cash Proceeds therefrom.</w:t>
      </w:r>
    </w:p>
    <w:bookmarkEnd w:id="42"/>
    <w:bookmarkStart w:id="43" w:name="d.-negotiation-rationale-3"/>
    <w:p>
      <w:pPr>
        <w:pStyle w:val="Heading3"/>
      </w:pPr>
      <w:r>
        <w:t xml:space="preserve">D. Negotiation Rationale</w:t>
      </w:r>
    </w:p>
    <w:p>
      <w:pPr>
        <w:pStyle w:val="FirstParagraph"/>
      </w:pPr>
      <w:r>
        <w:rPr>
          <w:b/>
          <w:bCs/>
        </w:rPr>
        <w:t xml:space="preserve">Why the compromise falls within Cartwright’s flexibility.</w:t>
      </w:r>
      <w:r>
        <w:t xml:space="preserve"> </w:t>
      </w:r>
      <w:r>
        <w:t xml:space="preserve">The proposal preserves Cartwright’s</w:t>
      </w:r>
      <w:r>
        <w:t xml:space="preserve"> </w:t>
      </w:r>
      <w:r>
        <w:t xml:space="preserve">“</w:t>
      </w:r>
      <w:r>
        <w:t xml:space="preserve">essential,</w:t>
      </w:r>
      <w:r>
        <w:t xml:space="preserve">”</w:t>
      </w:r>
      <w:r>
        <w:t xml:space="preserve"> </w:t>
      </w:r>
      <w:r>
        <w:t xml:space="preserve">“</w:t>
      </w:r>
      <w:r>
        <w:t xml:space="preserve">not subject to significant compromise</w:t>
      </w:r>
      <w:r>
        <w:t xml:space="preserve">”</w:t>
      </w:r>
      <w:r>
        <w:t xml:space="preserve"> </w:t>
      </w:r>
      <w:r>
        <w:t xml:space="preserve">requirement: a</w:t>
      </w:r>
      <w:r>
        <w:t xml:space="preserve"> </w:t>
      </w:r>
      <w:r>
        <w:rPr>
          <w:b/>
          <w:bCs/>
        </w:rPr>
        <w:t xml:space="preserve">hard 100% sweep to the First Lien Obligations for all Asset Dispositions and Casualty Events yielding Net Cash Proceeds above $20M</w:t>
      </w:r>
      <w:r>
        <w:t xml:space="preserve">, overriding reinvestment rights, until the Discharge of First Lien Obligations. This is the protection Cartwright’s position letter demanded, and it is the market majority practice (90% of deals include a hard sweep for large/extraordinary sales; 100% sweep is universal). The ordinary-course reinvestment carve-out (≤$20M) is the concession Cartwright’s counsel expressly flagged as</w:t>
      </w:r>
      <w:r>
        <w:t xml:space="preserve"> </w:t>
      </w:r>
      <w:r>
        <w:t xml:space="preserve">“</w:t>
      </w:r>
      <w:r>
        <w:t xml:space="preserve">acceptable,</w:t>
      </w:r>
      <w:r>
        <w:t xml:space="preserve">”</w:t>
      </w:r>
      <w:r>
        <w:t xml:space="preserve"> </w:t>
      </w:r>
      <w:r>
        <w:t xml:space="preserve">and it defers to the</w:t>
      </w:r>
      <w:r>
        <w:t xml:space="preserve"> </w:t>
      </w:r>
      <w:r>
        <w:rPr>
          <w:b/>
          <w:bCs/>
        </w:rPr>
        <w:t xml:space="preserve">existing</w:t>
      </w:r>
      <w:r>
        <w:t xml:space="preserve"> </w:t>
      </w:r>
      <w:r>
        <w:t xml:space="preserve">1L Credit Agreement mechanics (the $5M/$15M triggers and 365-day reinvestment period that the 1L lenders themselves negotiated) rather than creating new ICA-specific economics — meaning the 1L lenders receive</w:t>
      </w:r>
      <w:r>
        <w:t xml:space="preserve"> </w:t>
      </w:r>
      <w:r>
        <w:t xml:space="preserve">“</w:t>
      </w:r>
      <w:r>
        <w:t xml:space="preserve">the full benefit of their bargain under the First Lien Credit Agreement</w:t>
      </w:r>
      <w:r>
        <w:t xml:space="preserve">”</w:t>
      </w:r>
      <w:r>
        <w:t xml:space="preserve"> </w:t>
      </w:r>
      <w:r>
        <w:t xml:space="preserve">for ordinary-course sales, as Ridgeline’s letter acknowledged. The robust anti-evasion provision (90-day aggregation, multi-factor test, set at the $20M threshold) directly addresses Cartwright’s stated concern that</w:t>
      </w:r>
      <w:r>
        <w:t xml:space="preserve"> </w:t>
      </w:r>
      <w:r>
        <w:t xml:space="preserve">“</w:t>
      </w:r>
      <w:r>
        <w:t xml:space="preserve">any threshold distinguishing ordinary-course from extraordinary sales must be carefully drafted to prevent evasion — specifically, to guard against a large disposition being structured as a series of smaller transactions.</w:t>
      </w:r>
      <w:r>
        <w:t xml:space="preserve">”</w:t>
      </w:r>
      <w:r>
        <w:t xml:space="preserve"> </w:t>
      </w:r>
      <w:r>
        <w:t xml:space="preserve">The residual-to-2L is acceptable to Cartwright because, as Cartwright’s counsel stated, it is</w:t>
      </w:r>
      <w:r>
        <w:t xml:space="preserve"> </w:t>
      </w:r>
      <w:r>
        <w:t xml:space="preserve">“</w:t>
      </w:r>
      <w:r>
        <w:t xml:space="preserve">less of a concern if the hard sweep for significant sales is preserved</w:t>
      </w:r>
      <w:r>
        <w:t xml:space="preserve">”</w:t>
      </w:r>
      <w:r>
        <w:t xml:space="preserve"> </w:t>
      </w:r>
      <w:r>
        <w:t xml:space="preserve">— and, as quantified below, it has negligible economic cost to the 1L in the distress scenarios Cartwright cares about.</w:t>
      </w:r>
    </w:p>
    <w:p>
      <w:pPr>
        <w:pStyle w:val="BodyText"/>
      </w:pPr>
      <w:r>
        <w:rPr>
          <w:b/>
          <w:bCs/>
        </w:rPr>
        <w:t xml:space="preserve">Why the compromise falls within Ridgeline’s flexibility.</w:t>
      </w:r>
      <w:r>
        <w:t xml:space="preserve"> </w:t>
      </w:r>
      <w:r>
        <w:t xml:space="preserve">The proposal preserves the</w:t>
      </w:r>
      <w:r>
        <w:t xml:space="preserve"> </w:t>
      </w:r>
      <w:r>
        <w:rPr>
          <w:b/>
          <w:bCs/>
        </w:rPr>
        <w:t xml:space="preserve">ordinary-course reinvestment rights</w:t>
      </w:r>
      <w:r>
        <w:t xml:space="preserve"> </w:t>
      </w:r>
      <w:r>
        <w:t xml:space="preserve">Ridgeline sought (the 365-day reinvestment period and the $5M/$15M triggers remain operative for sales ≤$20M), so the Borrower retains the operational flexibility to replace aging manufacturing equipment and manage its asset base in the ordinary course — the interest Meridian’s management has expressed and that Ridgeline’s letter endorsed. The proposal preserves</w:t>
      </w:r>
      <w:r>
        <w:t xml:space="preserve"> </w:t>
      </w:r>
      <w:r>
        <w:rPr>
          <w:b/>
          <w:bCs/>
        </w:rPr>
        <w:t xml:space="preserve">2L access to residual proceeds</w:t>
      </w:r>
      <w:r>
        <w:t xml:space="preserve"> </w:t>
      </w:r>
      <w:r>
        <w:t xml:space="preserve">after the Discharge of First Lien Obligations — Ridgeline’s stated minimum, which Ridgeline characterized as</w:t>
      </w:r>
      <w:r>
        <w:t xml:space="preserve"> </w:t>
      </w:r>
      <w:r>
        <w:t xml:space="preserve">“</w:t>
      </w:r>
      <w:r>
        <w:t xml:space="preserve">symbolically important even if economically limited</w:t>
      </w:r>
      <w:r>
        <w:t xml:space="preserve">”</w:t>
      </w:r>
      <w:r>
        <w:t xml:space="preserve"> </w:t>
      </w:r>
      <w:r>
        <w:t xml:space="preserve">and which it needs</w:t>
      </w:r>
      <w:r>
        <w:t xml:space="preserve"> </w:t>
      </w:r>
      <w:r>
        <w:t xml:space="preserve">“</w:t>
      </w:r>
      <w:r>
        <w:t xml:space="preserve">to demonstrate to [its] own investors and LPs that the intercreditor structure preserves at least a theoretical waterfall right after full 1L satisfaction.</w:t>
      </w:r>
      <w:r>
        <w:t xml:space="preserve">”</w:t>
      </w:r>
      <w:r>
        <w:t xml:space="preserve"> </w:t>
      </w:r>
      <w:r>
        <w:t xml:space="preserve">Critically, the residual flows</w:t>
      </w:r>
      <w:r>
        <w:t xml:space="preserve"> </w:t>
      </w:r>
      <w:r>
        <w:rPr>
          <w:b/>
          <w:bCs/>
        </w:rPr>
        <w:t xml:space="preserve">to the 2L, not back to the Borrower</w:t>
      </w:r>
      <w:r>
        <w:t xml:space="preserve"> </w:t>
      </w:r>
      <w:r>
        <w:t xml:space="preserve">— addressing Ridgeline’s concern that residual value not be</w:t>
      </w:r>
      <w:r>
        <w:t xml:space="preserve"> </w:t>
      </w:r>
      <w:r>
        <w:t xml:space="preserve">“</w:t>
      </w:r>
      <w:r>
        <w:t xml:space="preserve">trapped at the Borrower level.</w:t>
      </w:r>
      <w:r>
        <w:t xml:space="preserve">”</w:t>
      </w:r>
      <w:r>
        <w:t xml:space="preserve"> </w:t>
      </w:r>
      <w:r>
        <w:t xml:space="preserve">The anti-evasion language is included at Ridgeline’s request. The $20M ordinary-course threshold is the figure discussed informally and reflected in the capital structure summary, and it is the</w:t>
      </w:r>
      <w:r>
        <w:t xml:space="preserve"> </w:t>
      </w:r>
      <w:r>
        <w:rPr>
          <w:b/>
          <w:bCs/>
        </w:rPr>
        <w:t xml:space="preserve">market median</w:t>
      </w:r>
      <w:r>
        <w:t xml:space="preserve">.</w:t>
      </w:r>
    </w:p>
    <w:p>
      <w:pPr>
        <w:pStyle w:val="BodyText"/>
      </w:pPr>
      <w:r>
        <w:rPr>
          <w:b/>
          <w:bCs/>
        </w:rPr>
        <w:t xml:space="preserve">Market support.</w:t>
      </w:r>
      <w:r>
        <w:t xml:space="preserve"> </w:t>
      </w:r>
      <w:r>
        <w:t xml:space="preserve">The bifurcated framework — ordinary-course reinvestment carve-out at a $20M threshold with anti-evasion, hard 100% sweep for larger/extraordinary sales, and 2L residual access after full 1L paydown — is the modal compromise structure in the Market Survey: 81% preserve reinvestment rights; 90% include a hard sweep for large/extraordinary sales; 79% provide 2L residual access; the median ordinary-course threshold is $20M; and 97% of ordinary-course deals include an anti-evasion clause at the same threshold. Deal-007 — the closest analogue — combines all of these elements in the exact configuration proposed. The reporting framework (quarterly certificate + event-driven notice at the $3M Reporting Threshold + annual aggregate report) tracks both the 1L Credit Agreement’s existing Section 2.05(b)(v) reporting regime and the market (90% / 79% / 38%).</w:t>
      </w:r>
    </w:p>
    <w:p>
      <w:pPr>
        <w:pStyle w:val="BodyText"/>
      </w:pPr>
      <w:r>
        <w:rPr>
          <w:b/>
          <w:bCs/>
        </w:rPr>
        <w:t xml:space="preserve">Quantified economic impact.</w:t>
      </w:r>
      <w:r>
        <w:t xml:space="preserve"> </w:t>
      </w:r>
      <w:r>
        <w:t xml:space="preserve">The $20M ordinary-course threshold represents approximately</w:t>
      </w:r>
      <w:r>
        <w:t xml:space="preserve"> </w:t>
      </w:r>
      <w:r>
        <w:rPr>
          <w:b/>
          <w:bCs/>
        </w:rPr>
        <w:t xml:space="preserve">22.4% of LTM EBITDA</w:t>
      </w:r>
      <w:r>
        <w:t xml:space="preserve"> </w:t>
      </w:r>
      <w:r>
        <w:t xml:space="preserve">($89.4M) — a meaningful but bounded carve-out that accommodates routine asset turnover (the Borrower’s business requires routine replacement of CNC machining centers, presses, and assembly lines) without exposing the 1L to material proceeds leakage. For the 1L, the hard sweep for &gt;$20M sales is the economically significant protection: with a $165M equity cushion ($640M TEV − $475M 1L), any single extraordinary sale above $20M swept directly to the 1L reduces first lien exposure dollar-for-dollar, and the anti-evasion provision prevents erosion of that protection through structuring. For the 2L, the residual right has real economic value</w:t>
      </w:r>
      <w:r>
        <w:t xml:space="preserve"> </w:t>
      </w:r>
      <w:r>
        <w:rPr>
          <w:b/>
          <w:bCs/>
        </w:rPr>
        <w:t xml:space="preserve">only in a performing or windfall scenario</w:t>
      </w:r>
      <w:r>
        <w:t xml:space="preserve"> </w:t>
      </w:r>
      <w:r>
        <w:t xml:space="preserve">— because the 2L receives nothing until the 1L is paid in full ($475M principal + accrued interest + fees + LC treatment). Given the Total LTV of 97.66%, the 2L would see residual from asset-sale proceeds alone only if cumulative Net Cash Proceeds applied to the 1L (together with all other 1L repayments) exceed approximately $475M plus accrued interest and fees — i.e., only in a scenario where the enterprise is generating or realizing value well in excess of the first lien claim. In the distress scenarios that animate Cartwright’s position, the 1L is not paid in full from asset-sale proceeds alone (a forced liquidation at or below TEV would leave the 1L partially or fully impaired and the 2L with nothing), so the residual-to-2L costs the 1L</w:t>
      </w:r>
      <w:r>
        <w:t xml:space="preserve"> </w:t>
      </w:r>
      <w:r>
        <w:rPr>
          <w:b/>
          <w:bCs/>
        </w:rPr>
        <w:t xml:space="preserve">approximately nothing</w:t>
      </w:r>
      <w:r>
        <w:t xml:space="preserve"> </w:t>
      </w:r>
      <w:r>
        <w:t xml:space="preserve">in precisely the scenarios Cartwright cares about, while preserving for the 2L a waterfall right that has genuine value in the scenarios where the 2L’s investment is preserved. This is the economic logic behind both sides’ acknowledged flexibility: the residual is</w:t>
      </w:r>
      <w:r>
        <w:t xml:space="preserve"> </w:t>
      </w:r>
      <w:r>
        <w:t xml:space="preserve">“</w:t>
      </w:r>
      <w:r>
        <w:t xml:space="preserve">symbolically important</w:t>
      </w:r>
      <w:r>
        <w:t xml:space="preserve">”</w:t>
      </w:r>
      <w:r>
        <w:t xml:space="preserve"> </w:t>
      </w:r>
      <w:r>
        <w:t xml:space="preserve">to the 2L and</w:t>
      </w:r>
      <w:r>
        <w:t xml:space="preserve"> </w:t>
      </w:r>
      <w:r>
        <w:t xml:space="preserve">“</w:t>
      </w:r>
      <w:r>
        <w:t xml:space="preserve">less of a concern</w:t>
      </w:r>
      <w:r>
        <w:t xml:space="preserve">”</w:t>
      </w:r>
      <w:r>
        <w:t xml:space="preserve"> </w:t>
      </w:r>
      <w:r>
        <w:t xml:space="preserve">to the 1L, because it bites only when the 1L is already whole.</w:t>
      </w:r>
    </w:p>
    <w:bookmarkEnd w:id="43"/>
    <w:bookmarkEnd w:id="44"/>
    <w:bookmarkStart w:id="45" w:name="ix.-package-balance-and-interdependence"/>
    <w:p>
      <w:pPr>
        <w:pStyle w:val="Heading2"/>
      </w:pPr>
      <w:r>
        <w:t xml:space="preserve">IX. Package Balance and Interdependence</w:t>
      </w:r>
    </w:p>
    <w:p>
      <w:pPr>
        <w:pStyle w:val="FirstParagraph"/>
      </w:pPr>
      <w:r>
        <w:t xml:space="preserve">The four compromises are deliberately balanced so that each side concedes on the provisions it can flex and receives on the provisions it cannot. The following table summarizes what each side gains and gives up under the package: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What Cartwright (1L) gains</w:t>
            </w:r>
          </w:p>
        </w:tc>
        <w:tc>
          <w:tcPr/>
          <w:p>
            <w:pPr>
              <w:pStyle w:val="Compact"/>
              <w:jc w:val="left"/>
            </w:pPr>
            <w:r>
              <w:t xml:space="preserve">What Cartwright (1L) concedes</w:t>
            </w:r>
          </w:p>
        </w:tc>
        <w:tc>
          <w:tcPr/>
          <w:p>
            <w:pPr>
              <w:pStyle w:val="Compact"/>
              <w:jc w:val="left"/>
            </w:pPr>
            <w:r>
              <w:t xml:space="preserve">What Ridgeline (2L) gains</w:t>
            </w:r>
          </w:p>
        </w:tc>
        <w:tc>
          <w:tcPr/>
          <w:p>
            <w:pPr>
              <w:pStyle w:val="Compact"/>
              <w:jc w:val="left"/>
            </w:pPr>
            <w:r>
              <w:t xml:space="preserve">What Ridgeline (2L) concedes</w:t>
            </w:r>
          </w:p>
        </w:tc>
      </w:tr>
      <w:tr>
        <w:tc>
          <w:tcPr/>
          <w:p>
            <w:pPr>
              <w:pStyle w:val="Compact"/>
              <w:jc w:val="left"/>
            </w:pPr>
            <w:r>
              <w:rPr>
                <w:b/>
                <w:bCs/>
              </w:rPr>
              <w:t xml:space="preserve">3.01(b) Standstill</w:t>
            </w:r>
          </w:p>
        </w:tc>
        <w:tc>
          <w:tcPr/>
          <w:p>
            <w:pPr>
              <w:pStyle w:val="Compact"/>
              <w:jc w:val="left"/>
            </w:pPr>
            <w:r>
              <w:t xml:space="preserve">180 days (above 150-day floor; up to 360 cumulative via cap); narrow, objective triggers; Blockage Notice cap preserves up to a full year of protection</w:t>
            </w:r>
          </w:p>
        </w:tc>
        <w:tc>
          <w:tcPr/>
          <w:p>
            <w:pPr>
              <w:pStyle w:val="Compact"/>
              <w:jc w:val="left"/>
            </w:pPr>
            <w:r>
              <w:t xml:space="preserve">Drops from 270 days; accepts four early termination triggers (vs. none)</w:t>
            </w:r>
          </w:p>
        </w:tc>
        <w:tc>
          <w:tcPr/>
          <w:p>
            <w:pPr>
              <w:pStyle w:val="Compact"/>
              <w:jc w:val="left"/>
            </w:pPr>
            <w:r>
              <w:t xml:space="preserve">180 days (vs. 270); four meaningful early termination triggers (firm condition met); Blockage Notice cap prevents indefinite blockage</w:t>
            </w:r>
          </w:p>
        </w:tc>
        <w:tc>
          <w:tcPr/>
          <w:p>
            <w:pPr>
              <w:pStyle w:val="Compact"/>
              <w:jc w:val="left"/>
            </w:pPr>
            <w:r>
              <w:t xml:space="preserve">Accepts 180 days (vs. 90); accepts narrow (not broad) triggers</w:t>
            </w:r>
          </w:p>
        </w:tc>
      </w:tr>
      <w:tr>
        <w:tc>
          <w:tcPr/>
          <w:p>
            <w:pPr>
              <w:pStyle w:val="Compact"/>
              <w:jc w:val="left"/>
            </w:pPr>
            <w:r>
              <w:rPr>
                <w:b/>
                <w:bCs/>
              </w:rPr>
              <w:t xml:space="preserve">5.01 Purchase Right</w:t>
            </w:r>
          </w:p>
        </w:tc>
        <w:tc>
          <w:tcPr/>
          <w:p>
            <w:pPr>
              <w:pStyle w:val="Compact"/>
              <w:jc w:val="left"/>
            </w:pPr>
            <w:r>
              <w:t xml:space="preserve">Par for funded debt (non-negotiable met); 1L EOD trigger (universal market); LC treatment per 1L Credit Agreement</w:t>
            </w:r>
          </w:p>
        </w:tc>
        <w:tc>
          <w:tcPr/>
          <w:p>
            <w:pPr>
              <w:pStyle w:val="Compact"/>
              <w:jc w:val="left"/>
            </w:pPr>
            <w:r>
              <w:t xml:space="preserve">Non-default (not default) rate on accrual (~$2.4M–$7.1M saving to purchaser); optional (not mandatory) revolver assumption</w:t>
            </w:r>
          </w:p>
        </w:tc>
        <w:tc>
          <w:tcPr/>
          <w:p>
            <w:pPr>
              <w:pStyle w:val="Compact"/>
              <w:jc w:val="left"/>
            </w:pPr>
            <w:r>
              <w:t xml:space="preserve">Par accepted (concession acknowledged); optional revolver (LPA constraint met); non-default interest rate; viable purchase right</w:t>
            </w:r>
          </w:p>
        </w:tc>
        <w:tc>
          <w:tcPr/>
          <w:p>
            <w:pPr>
              <w:pStyle w:val="Compact"/>
              <w:jc w:val="left"/>
            </w:pPr>
            <w:r>
              <w:t xml:space="preserve">Drops FMV/dealer-poll alternative; drops 2L-EOD exercise trigger</w:t>
            </w:r>
          </w:p>
        </w:tc>
      </w:tr>
      <w:tr>
        <w:tc>
          <w:tcPr/>
          <w:p>
            <w:pPr>
              <w:pStyle w:val="Compact"/>
              <w:jc w:val="left"/>
            </w:pPr>
            <w:r>
              <w:rPr>
                <w:b/>
                <w:bCs/>
              </w:rPr>
              <w:t xml:space="preserve">2.03(c) Refinancing</w:t>
            </w:r>
          </w:p>
        </w:tc>
        <w:tc>
          <w:tcPr/>
          <w:p>
            <w:pPr>
              <w:pStyle w:val="Compact"/>
              <w:jc w:val="left"/>
            </w:pPr>
            <w:r>
              <w:t xml:space="preserve">91-day post-1L maturity test (with extension protection via</w:t>
            </w:r>
            <w:r>
              <w:t xml:space="preserve"> </w:t>
            </w:r>
            <w:r>
              <w:t xml:space="preserve">“</w:t>
            </w:r>
            <w:r>
              <w:t xml:space="preserve">later of</w:t>
            </w:r>
            <w:r>
              <w:t xml:space="preserve">”</w:t>
            </w:r>
            <w:r>
              <w:t xml:space="preserve">); narrowed test on 3 enumerated categories; MFN on financial covenants</w:t>
            </w:r>
          </w:p>
        </w:tc>
        <w:tc>
          <w:tcPr/>
          <w:p>
            <w:pPr>
              <w:pStyle w:val="Compact"/>
              <w:jc w:val="left"/>
            </w:pPr>
            <w:r>
              <w:t xml:space="preserve">10% cap ($15M) limited to fees/costs (vs. 0%); original-2L-maturity floor (vs. 91-day only)</w:t>
            </w:r>
          </w:p>
        </w:tc>
        <w:tc>
          <w:tcPr/>
          <w:p>
            <w:pPr>
              <w:pStyle w:val="Compact"/>
              <w:jc w:val="left"/>
            </w:pPr>
            <w:r>
              <w:t xml:space="preserve">10% cap limited to fees/costs (vs. 0%); June 15, 2031 floor in base case; narrowed (not blanket) test; commercial-term freedom outside 3 categories</w:t>
            </w:r>
          </w:p>
        </w:tc>
        <w:tc>
          <w:tcPr/>
          <w:p>
            <w:pPr>
              <w:pStyle w:val="Compact"/>
              <w:jc w:val="left"/>
            </w:pPr>
            <w:r>
              <w:t xml:space="preserve">Drops 20% cap; accepts narrowed test + MFN (vs. no test)</w:t>
            </w:r>
          </w:p>
        </w:tc>
      </w:tr>
      <w:tr>
        <w:tc>
          <w:tcPr/>
          <w:p>
            <w:pPr>
              <w:pStyle w:val="Compact"/>
              <w:jc w:val="left"/>
            </w:pPr>
            <w:r>
              <w:rPr>
                <w:b/>
                <w:bCs/>
              </w:rPr>
              <w:t xml:space="preserve">4.02 Proceeds</w:t>
            </w:r>
          </w:p>
        </w:tc>
        <w:tc>
          <w:tcPr/>
          <w:p>
            <w:pPr>
              <w:pStyle w:val="Compact"/>
              <w:jc w:val="left"/>
            </w:pPr>
            <w:r>
              <w:t xml:space="preserve">Hard 100% sweep for &gt;$20M sales and all casualty events (essential requirement met); robust anti-evasion; 1L paid in full before any 2L residual</w:t>
            </w:r>
          </w:p>
        </w:tc>
        <w:tc>
          <w:tcPr/>
          <w:p>
            <w:pPr>
              <w:pStyle w:val="Compact"/>
              <w:jc w:val="left"/>
            </w:pPr>
            <w:r>
              <w:t xml:space="preserve">Ordinary-course reinvestment carve-out ≤$20M; 2L residual access after 1L discharge</w:t>
            </w:r>
          </w:p>
        </w:tc>
        <w:tc>
          <w:tcPr/>
          <w:p>
            <w:pPr>
              <w:pStyle w:val="Compact"/>
              <w:jc w:val="left"/>
            </w:pPr>
            <w:r>
              <w:t xml:space="preserve">Ordinary-course reinvestment preserved; 2L residual access (symbolically important); residual flows to 2L not Borrower; anti-evasion</w:t>
            </w:r>
          </w:p>
        </w:tc>
        <w:tc>
          <w:tcPr/>
          <w:p>
            <w:pPr>
              <w:pStyle w:val="Compact"/>
              <w:jc w:val="left"/>
            </w:pPr>
            <w:r>
              <w:t xml:space="preserve">Accepts hard sweep for &gt;$20M sales (vs. full reinvestment); accepts $20M threshold</w:t>
            </w:r>
          </w:p>
        </w:tc>
      </w:tr>
    </w:tbl>
    <w:p>
      <w:pPr>
        <w:pStyle w:val="BodyText"/>
      </w:pPr>
      <w:r>
        <w:t xml:space="preserve">The package is balanced in aggregate: Cartwright receives its non-negotiable terms (par purchase price; hard sweep for extraordinary sales; 91-day maturity test with extension protection; a standstill above its floor with narrow triggers and a cap preserving up to a year of protection), while conceding on terms it signaled it could flex (standstill duration and triggers; non-default interest; optional revolver; a fees/costs-limited 10% cap; ordinary-course reinvestment and 2L residual). Ridgeline receives its firm-condition terms (meaningful early termination triggers; optional revolver assumption; a viable purchase right; ordinary-course reinvestment; 2L residual access; a 10% fees/costs cap; a narrowed rather than blanket restrictiveness test), while conceding on terms it signaled it could flex (180-day duration; par without FMV; a 2L-EOD trigger; a 10% rather than 20% cap; a narrowed test plus MFN rather than no test; a hard sweep for extraordinary sales).</w:t>
      </w:r>
    </w:p>
    <w:p>
      <w:pPr>
        <w:pStyle w:val="BodyText"/>
      </w:pPr>
      <w:r>
        <w:t xml:space="preserve">Because each side’s concessions are the consideration for the other’s,</w:t>
      </w:r>
      <w:r>
        <w:t xml:space="preserve"> </w:t>
      </w:r>
      <w:r>
        <w:rPr>
          <w:b/>
          <w:bCs/>
        </w:rPr>
        <w:t xml:space="preserve">the package should be presented to both agents as a single take-it-or-leave-it proposal</w:t>
      </w:r>
      <w:r>
        <w:t xml:space="preserve">, with Meridian’s express endorsement. Meridian’s active support — which you have indicated you are willing to provide to both Cartwright and Ridgeline — is likely to be decisive in moving both agents from their opening positions to this landing zone, particularly given the compressed timeline and the absence of any realistic alternative to closing on schedule.</w:t>
      </w:r>
    </w:p>
    <w:bookmarkEnd w:id="45"/>
    <w:bookmarkStart w:id="46" w:name="x.-recommended-next-steps"/>
    <w:p>
      <w:pPr>
        <w:pStyle w:val="Heading2"/>
      </w:pPr>
      <w:r>
        <w:t xml:space="preserve">X. Recommended Next Steps</w:t>
      </w:r>
    </w:p>
    <w:p>
      <w:pPr>
        <w:numPr>
          <w:ilvl w:val="0"/>
          <w:numId w:val="1011"/>
        </w:numPr>
      </w:pPr>
      <w:r>
        <w:rPr>
          <w:b/>
          <w:bCs/>
        </w:rPr>
        <w:t xml:space="preserve">Meridian review and endorsement.</w:t>
      </w:r>
      <w:r>
        <w:t xml:space="preserve"> </w:t>
      </w:r>
      <w:r>
        <w:t xml:space="preserve">We recommend that you and Rachel Fong review this memorandum and, if you concur, authorize KTM to circulate the package to Aldgate &amp; Pryor LLP and Sternfeld Yates &amp; Carroll LLP as a single, integrated proposal accompanied by Meridian’s endorsement.</w:t>
      </w:r>
    </w:p>
    <w:p>
      <w:pPr>
        <w:numPr>
          <w:ilvl w:val="0"/>
          <w:numId w:val="1011"/>
        </w:numPr>
      </w:pPr>
      <w:r>
        <w:rPr>
          <w:b/>
          <w:bCs/>
        </w:rPr>
        <w:t xml:space="preserve">Joint working session.</w:t>
      </w:r>
      <w:r>
        <w:t xml:space="preserve"> </w:t>
      </w:r>
      <w:r>
        <w:t xml:space="preserve">Given the 34-day window to the drop-dead date and the 15-day margin to the existing facility maturity, we recommend proposing a joint working session with both agents’ counsel within the next five (5) Business Days to walk through the package provision-by-provision. The package is designed to be closeable without re-syndication or re-pricing, but early confirmation of the standstill and purchase-right terms with Cartwright’s credit committee and of the revolver-assumption and residual-access terms with Ridgeline’s investment committee will be necessary to lock down internal approvals.</w:t>
      </w:r>
    </w:p>
    <w:p>
      <w:pPr>
        <w:numPr>
          <w:ilvl w:val="0"/>
          <w:numId w:val="1011"/>
        </w:numPr>
      </w:pPr>
      <w:r>
        <w:rPr>
          <w:b/>
          <w:bCs/>
        </w:rPr>
        <w:t xml:space="preserve">Drafting integration.</w:t>
      </w:r>
      <w:r>
        <w:t xml:space="preserve"> </w:t>
      </w:r>
      <w:r>
        <w:t xml:space="preserve">Upon conceptual agreement on the package, KTM will integrate the compromise language into the working draft ICA (replacing the bracketed text of Sections 3.01(b), 5.01, 2.03(c), and 4.02), circulate a clean marked draft to all parties, and coordinate the definitional conformations necessary (including adding defined terms for</w:t>
      </w:r>
      <w:r>
        <w:t xml:space="preserve"> </w:t>
      </w:r>
      <w:r>
        <w:t xml:space="preserve">“</w:t>
      </w:r>
      <w:r>
        <w:t xml:space="preserve">Early Termination Event,</w:t>
      </w:r>
      <w:r>
        <w:t xml:space="preserve">”</w:t>
      </w:r>
      <w:r>
        <w:t xml:space="preserve"> </w:t>
      </w:r>
      <w:r>
        <w:t xml:space="preserve">“</w:t>
      </w:r>
      <w:r>
        <w:t xml:space="preserve">Enforcement Action</w:t>
      </w:r>
      <w:r>
        <w:t xml:space="preserve">”</w:t>
      </w:r>
      <w:r>
        <w:t xml:space="preserve"> </w:t>
      </w:r>
      <w:r>
        <w:t xml:space="preserve">(consistent with KTM’s standard form ICA),</w:t>
      </w:r>
      <w:r>
        <w:t xml:space="preserve"> </w:t>
      </w:r>
      <w:r>
        <w:t xml:space="preserve">“</w:t>
      </w:r>
      <w:r>
        <w:t xml:space="preserve">Permitted Reinvestment Assets,</w:t>
      </w:r>
      <w:r>
        <w:t xml:space="preserve">”</w:t>
      </w:r>
      <w:r>
        <w:t xml:space="preserve"> </w:t>
      </w:r>
      <w:r>
        <w:t xml:space="preserve">“</w:t>
      </w:r>
      <w:r>
        <w:t xml:space="preserve">Reporting Threshold,</w:t>
      </w:r>
      <w:r>
        <w:t xml:space="preserve">”</w:t>
      </w:r>
      <w:r>
        <w:t xml:space="preserve"> </w:t>
      </w:r>
      <w:r>
        <w:t xml:space="preserve">and</w:t>
      </w:r>
      <w:r>
        <w:t xml:space="preserve"> </w:t>
      </w:r>
      <w:r>
        <w:t xml:space="preserve">“</w:t>
      </w:r>
      <w:r>
        <w:t xml:space="preserve">LC Exposure</w:t>
      </w:r>
      <w:r>
        <w:t xml:space="preserve">”</w:t>
      </w:r>
      <w:r>
        <w:t xml:space="preserve"> </w:t>
      </w:r>
      <w:r>
        <w:t xml:space="preserve">as used herein, to the extent not already defined in the ICA).</w:t>
      </w:r>
    </w:p>
    <w:p>
      <w:pPr>
        <w:numPr>
          <w:ilvl w:val="0"/>
          <w:numId w:val="1011"/>
        </w:numPr>
      </w:pPr>
      <w:r>
        <w:rPr>
          <w:b/>
          <w:bCs/>
        </w:rPr>
        <w:t xml:space="preserve">Internal approvals and execution.</w:t>
      </w:r>
      <w:r>
        <w:t xml:space="preserve"> </w:t>
      </w:r>
      <w:r>
        <w:t xml:space="preserve">Target execution of the ICA (and the related First Lien Credit Agreement and Second Lien Credit Agreement) on or before July 31, 2025, with the internal July 15, 2025 target for resolution of all open ICA issues to allow time for documentation, credit-committee approvals, and closing conditions.</w:t>
      </w:r>
    </w:p>
    <w:bookmarkEnd w:id="46"/>
    <w:bookmarkStart w:id="47" w:name="xi.-reservation-of-rights"/>
    <w:p>
      <w:pPr>
        <w:pStyle w:val="Heading2"/>
      </w:pPr>
      <w:r>
        <w:t xml:space="preserve">XI. Reservation of Rights</w:t>
      </w:r>
    </w:p>
    <w:p>
      <w:pPr>
        <w:pStyle w:val="FirstParagraph"/>
      </w:pPr>
      <w:r>
        <w:t xml:space="preserve">This memorandum reflects KTM’s professional judgment as to compromise terms that fall within the stated flexibility of both Cartwright and Ridgeline and that are supported by the Market Survey and the transaction documents. Nothing herein constitutes a binding offer, concession, or commitment by Meridian, Cartwright, or Ridgeline, and all positions are subject to the negotiation and execution of a mutually acceptable ICA in definitive form, to the satisfaction of all conditions precedent to closing, and to the requisite internal approvals of each party. The proposed language is draft compromise text for discussion purposes; final agreed language will be subject to conforming amendments, definitional integration, and the review of all parties and their respective counsel. All rights, remedies, claims, and defenses of Meridian are expressly reserved.</w:t>
      </w:r>
    </w:p>
    <w:p>
      <w:pPr>
        <w:pStyle w:val="BodyText"/>
      </w:pPr>
      <w:r>
        <w:t xml:space="preserve">This memorandum is privileged and confidential, is submitted for settlement discussion purposes pursuant to Federal Rule of Evidence 408 and applicable state-law equivalents, and may not be offered or admitted into evidence in any judicial, arbitral, or administrative proceeding for any purpose other than to enforce any agreement reached as a result of the discussions contemplated herein.</w:t>
      </w:r>
    </w:p>
    <w:p>
      <w:r>
        <w:pict>
          <v:rect style="width:0;height:1.5pt" o:hralign="center" o:hrstd="t" o:hr="t"/>
        </w:pict>
      </w:r>
    </w:p>
    <w:p>
      <w:pPr>
        <w:pStyle w:val="FirstParagraph"/>
      </w:pPr>
      <w:r>
        <w:rPr>
          <w:i/>
          <w:iCs/>
        </w:rPr>
        <w:t xml:space="preserve">Prepared by Kesswick, Tanaka &amp; Moreau LLP, 51 West 52nd Street, 34th Floor, New York, NY 10019. All transaction documents governed by the laws of the State of New York.</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2026-06-28T10:03:34Z</dcterms:created>
  <dcterms:modified xsi:type="dcterms:W3CDTF">2026-06-28T10:03:34Z</dcterms:modified>
</cp:coreProperties>
</file>

<file path=docProps/custom.xml><?xml version="1.0" encoding="utf-8"?>
<Properties xmlns="http://schemas.openxmlformats.org/officeDocument/2006/custom-properties" xmlns:vt="http://schemas.openxmlformats.org/officeDocument/2006/docPropsVTypes"/>
</file>