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45" w:name="X7c0202a41901ce3c69fe3beca040a746c628610"/>
    <w:p>
      <w:pPr>
        <w:pStyle w:val="Heading1"/>
      </w:pPr>
      <w:r>
        <w:t xml:space="preserve">WITHOUT PREJUDICE — FOR SETTLEMENT DISCUSSION PURPOSES ONLY (FRE 408)</w:t>
      </w:r>
    </w:p>
    <w:p>
      <w:r>
        <w:pict>
          <v:rect style="width:0;height:1.5pt" o:hralign="center" o:hrstd="t" o:hr="t"/>
        </w:pict>
      </w:r>
    </w:p>
    <w:p>
      <w:pPr>
        <w:pStyle w:val="FirstParagraph"/>
      </w:pPr>
      <w:r>
        <w:rPr>
          <w:b/>
          <w:bCs/>
        </w:rPr>
        <w:t xml:space="preserve">KESSWICK, TANAKA &amp; MOREAU LLP</w:t>
      </w:r>
      <w:r>
        <w:t xml:space="preserve"> </w:t>
      </w:r>
      <w:r>
        <w:t xml:space="preserve">51 West 52nd Street, 34th Floor, New York, New York 10019</w:t>
      </w:r>
      <w:r>
        <w:t xml:space="preserve"> </w:t>
      </w:r>
      <w:r>
        <w:t xml:space="preserve">Telephone: (212) 555-0140 · Facsimile: (212) 555-0141</w:t>
      </w:r>
    </w:p>
    <w:p>
      <w:r>
        <w:pict>
          <v:rect style="width:0;height:1.5pt" o:hralign="center" o:hrstd="t" o:hr="t"/>
        </w:pict>
      </w:r>
    </w:p>
    <w:bookmarkStart w:id="22" w:name="memorandum"/>
    <w:p>
      <w:pPr>
        <w:pStyle w:val="Heading2"/>
      </w:pPr>
      <w:r>
        <w:t xml:space="preserve">MEMORANDUM</w:t>
      </w:r>
    </w:p>
    <w:p>
      <w:pPr>
        <w:pStyle w:val="FirstParagraph"/>
      </w:pPr>
      <w:r>
        <w:rPr>
          <w:b/>
          <w:bCs/>
        </w:rPr>
        <w:t xml:space="preserve">TO:</w:t>
      </w:r>
      <w:r>
        <w:t xml:space="preserve"> </w:t>
      </w:r>
      <w:r>
        <w:t xml:space="preserve">Sandra Koh-Wexler, Chief Executive Officer, Meridian Industrial Holdings, Inc.</w:t>
      </w:r>
      <w:r>
        <w:t xml:space="preserve"> </w:t>
      </w:r>
      <w:r>
        <w:t xml:space="preserve">Rachel Fong, General Counsel, Meridian Industrial Holdings, Inc.</w:t>
      </w:r>
    </w:p>
    <w:p>
      <w:pPr>
        <w:pStyle w:val="BodyText"/>
      </w:pPr>
      <w:r>
        <w:rPr>
          <w:b/>
          <w:bCs/>
        </w:rPr>
        <w:t xml:space="preserve">FROM:</w:t>
      </w:r>
      <w:r>
        <w:t xml:space="preserve"> </w:t>
      </w:r>
      <w:r>
        <w:t xml:space="preserve">David Tanaka, Partner, Kesswick, Tanaka &amp; Moreau LLP</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Proposed Compromise Clause Language for the Four Contested Provisions of the Intercreditor Agreement — Meridian Industrial Holdings, Inc. — Presented as a Single Indivisible Package</w:t>
      </w:r>
    </w:p>
    <w:p>
      <w:r>
        <w:pict>
          <v:rect style="width:0;height:1.5pt" o:hralign="center" o:hrstd="t" o:hr="t"/>
        </w:pict>
      </w:r>
    </w:p>
    <w:bookmarkStart w:id="21" w:name="privileged-confidential"/>
    <w:p>
      <w:pPr>
        <w:pStyle w:val="Heading3"/>
      </w:pPr>
      <w:r>
        <w:t xml:space="preserve">PRIVILEGED &amp; CONFIDENTIAL</w:t>
      </w:r>
    </w:p>
    <w:p>
      <w:pPr>
        <w:pStyle w:val="FirstParagraph"/>
      </w:pPr>
      <w:r>
        <w:t xml:space="preserve">This memorandum is provided to you in your capacity as officers of Meridian Industrial Holdings, Inc. (the</w:t>
      </w:r>
      <w:r>
        <w:t xml:space="preserve"> </w:t>
      </w:r>
      <w:r>
        <w:t xml:space="preserve">“</w:t>
      </w:r>
      <w:r>
        <w:t xml:space="preserve">Borrower</w:t>
      </w:r>
      <w:r>
        <w:t xml:space="preserve">”</w:t>
      </w:r>
      <w:r>
        <w:t xml:space="preserve"> </w:t>
      </w:r>
      <w:r>
        <w:t xml:space="preserve">or</w:t>
      </w:r>
      <w:r>
        <w:t xml:space="preserve"> </w:t>
      </w:r>
      <w:r>
        <w:t xml:space="preserve">“</w:t>
      </w:r>
      <w:r>
        <w:t xml:space="preserve">Meridian</w:t>
      </w:r>
      <w:r>
        <w:t xml:space="preserve">”</w:t>
      </w:r>
      <w:r>
        <w:t xml:space="preserve">) and is protected by the attorney-client privilege and the attorney work product doctrine. It is submitted without prejudice and for settlement discussion purposes only pursuant to Federal Rule of Evidence 408 and applicable state-law equivalents. Nothing herein constitutes an admission of fact or law, a binding commitment, or a concession by any party, and this memorandum may not be offered or admitted into evidence in any judicial, arbitral, or administrative proceeding except to enforce any agreement reached as a result of the discussions contemplated herein. Do not forward, distribute, or disclose this memorandum to any person other than the intended recipients and their counsel without express authorization.</w:t>
      </w:r>
    </w:p>
    <w:p>
      <w:r>
        <w:pict>
          <v:rect style="width:0;height:1.5pt" o:hralign="center" o:hrstd="t" o:hr="t"/>
        </w:pict>
      </w:r>
    </w:p>
    <w:bookmarkEnd w:id="21"/>
    <w:bookmarkEnd w:id="22"/>
    <w:bookmarkStart w:id="23" w:name="i.-introduction-and-purpose"/>
    <w:p>
      <w:pPr>
        <w:pStyle w:val="Heading2"/>
      </w:pPr>
      <w:r>
        <w:t xml:space="preserve">I. Introduction and Purpose</w:t>
      </w:r>
    </w:p>
    <w:p>
      <w:pPr>
        <w:pStyle w:val="FirstParagraph"/>
      </w:pPr>
      <w:r>
        <w:t xml:space="preserve">You have asked us to prepare proposed compromise language for the four contested provisions of the Intercreditor Agreement (the</w:t>
      </w:r>
      <w:r>
        <w:t xml:space="preserve"> </w:t>
      </w:r>
      <w:r>
        <w:t xml:space="preserve">“</w:t>
      </w:r>
      <w:r>
        <w:t xml:space="preserve">ICA</w:t>
      </w:r>
      <w:r>
        <w:t xml:space="preserve">”</w:t>
      </w:r>
      <w:r>
        <w:t xml:space="preserve">) to be entered into among Cartwright National Bank, N.A. (as First Lien Agent, the</w:t>
      </w:r>
      <w:r>
        <w:t xml:space="preserve"> </w:t>
      </w:r>
      <w:r>
        <w:t xml:space="preserve">“</w:t>
      </w:r>
      <w:r>
        <w:t xml:space="preserve">1L Agent</w:t>
      </w:r>
      <w:r>
        <w:t xml:space="preserve">”</w:t>
      </w:r>
      <w:r>
        <w:t xml:space="preserve">), Ridgeline Capital Partners, LP (as Second Lien Agent, the</w:t>
      </w:r>
      <w:r>
        <w:t xml:space="preserve"> </w:t>
      </w:r>
      <w:r>
        <w:t xml:space="preserve">“</w:t>
      </w:r>
      <w:r>
        <w:t xml:space="preserve">2L Agent</w:t>
      </w:r>
      <w:r>
        <w:t xml:space="preserve">”</w:t>
      </w:r>
      <w:r>
        <w:t xml:space="preserve">), and Meridian (as Borrower), dated as of July 31, 2025. Negotiations commenced on May 12, 2025 and have reached an impasse on four provisions: (i) the Standstill Period (Section 3.01(b)); (ii) the Second Lien Purchase Right (Section 5.01); (iii) Permitted Second Lien Refinancing Indebtedness (Section 2.03(c)); and (iv) the Application of Asset Disposition and Casualty Proceeds (Section 4.02).</w:t>
      </w:r>
    </w:p>
    <w:p>
      <w:pPr>
        <w:pStyle w:val="BodyText"/>
      </w:pPr>
      <w:r>
        <w:t xml:space="preserve">This memorandum sets forth, for each of the four provisions, (a) the full contractual drafting of the proposed compromise language, calibrated to the defined terms and structure of the current working draft of the ICA, and (b) a negotiation rationale explaining why the compromise falls within each side’s demonstrated flexibility, supported by the KTM market survey of 42 broadly syndicated first lien / second lien intercreditor agreements closed between January 2022 and December 2024 (the</w:t>
      </w:r>
      <w:r>
        <w:t xml:space="preserve"> </w:t>
      </w:r>
      <w:r>
        <w:t xml:space="preserve">“</w:t>
      </w:r>
      <w:r>
        <w:t xml:space="preserve">KTM Survey</w:t>
      </w:r>
      <w:r>
        <w:t xml:space="preserve">”</w:t>
      </w:r>
      <w:r>
        <w:t xml:space="preserve">), the lender appraisal of Meridian’s Total Enterprise Value, and the capital structure summary, with economic impacts quantified where possible.</w:t>
      </w:r>
    </w:p>
    <w:p>
      <w:pPr>
        <w:pStyle w:val="BodyText"/>
      </w:pPr>
      <w:r>
        <w:rPr>
          <w:b/>
          <w:bCs/>
        </w:rPr>
        <w:t xml:space="preserve">Critically, and as you instructed, the four compromises are presented as a single, indivisible package.</w:t>
      </w:r>
      <w:r>
        <w:t xml:space="preserve"> </w:t>
      </w:r>
      <w:r>
        <w:t xml:space="preserve">They are not offered piecemeal. Each concession by one side is linked to a concession by the other, and the overall balance of the package is what makes each individual term acceptable to both lender groups. Unbundling the package would unravel the trade-offs that make the whole closeable. We address the interdependencies in Part III below.</w:t>
      </w:r>
    </w:p>
    <w:p>
      <w:pPr>
        <w:pStyle w:val="BodyText"/>
      </w:pPr>
      <w:r>
        <w:t xml:space="preserve">The urgency you emphasized governs every recommendation herein. The drop-dead date for closing is</w:t>
      </w:r>
      <w:r>
        <w:t xml:space="preserve"> </w:t>
      </w:r>
      <w:r>
        <w:rPr>
          <w:b/>
          <w:bCs/>
        </w:rPr>
        <w:t xml:space="preserve">July 31, 2025</w:t>
      </w:r>
      <w:r>
        <w:t xml:space="preserve"> </w:t>
      </w:r>
      <w:r>
        <w:t xml:space="preserve">(34 days from the date of this memorandum), and the existing credit facility being refinanced matures on</w:t>
      </w:r>
      <w:r>
        <w:t xml:space="preserve"> </w:t>
      </w:r>
      <w:r>
        <w:rPr>
          <w:b/>
          <w:bCs/>
        </w:rPr>
        <w:t xml:space="preserve">August 15, 2025</w:t>
      </w:r>
      <w:r>
        <w:t xml:space="preserve"> </w:t>
      </w:r>
      <w:r>
        <w:t xml:space="preserve">— leaving only a 15-day margin. Every term below has been selected to be (a) within the zones of flexibility both agents have signaled, (b) anchored to objective market data so that neither side can credibly reject it as outside the market, and (c) closeable without re-syndication or re-pricing that would jeopardize the timeline.</w:t>
      </w:r>
    </w:p>
    <w:p>
      <w:r>
        <w:pict>
          <v:rect style="width:0;height:1.5pt" o:hralign="center" o:hrstd="t" o:hr="t"/>
        </w:pict>
      </w:r>
    </w:p>
    <w:bookmarkEnd w:id="23"/>
    <w:bookmarkStart w:id="24" w:name="Xf59c30b5c7df1bcdde8e73e75411fd7ff985c36"/>
    <w:p>
      <w:pPr>
        <w:pStyle w:val="Heading2"/>
      </w:pPr>
      <w:r>
        <w:t xml:space="preserve">II. Executive Summary — The Package at a Glance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ICA Section</w:t>
            </w:r>
          </w:p>
        </w:tc>
        <w:tc>
          <w:tcPr/>
          <w:p>
            <w:pPr>
              <w:pStyle w:val="Compact"/>
              <w:jc w:val="left"/>
            </w:pPr>
            <w:r>
              <w:t xml:space="preserve">Provision</w:t>
            </w:r>
          </w:p>
        </w:tc>
        <w:tc>
          <w:tcPr/>
          <w:p>
            <w:pPr>
              <w:pStyle w:val="Compact"/>
              <w:jc w:val="left"/>
            </w:pPr>
            <w:r>
              <w:t xml:space="preserve">1L Opening Position</w:t>
            </w:r>
          </w:p>
        </w:tc>
        <w:tc>
          <w:tcPr/>
          <w:p>
            <w:pPr>
              <w:pStyle w:val="Compact"/>
              <w:jc w:val="left"/>
            </w:pPr>
            <w:r>
              <w:t xml:space="preserve">2L Opening Position</w:t>
            </w:r>
          </w:p>
        </w:tc>
        <w:tc>
          <w:tcPr/>
          <w:p>
            <w:pPr>
              <w:pStyle w:val="Compact"/>
              <w:jc w:val="left"/>
            </w:pPr>
            <w:r>
              <w:t xml:space="preserve">Proposed Compromise</w:t>
            </w:r>
          </w:p>
        </w:tc>
        <w:tc>
          <w:tcPr/>
          <w:p>
            <w:pPr>
              <w:pStyle w:val="Compact"/>
              <w:jc w:val="left"/>
            </w:pPr>
            <w:r>
              <w:t xml:space="preserve">Market Anchor (KTM Survey, 42 deals)</w:t>
            </w:r>
          </w:p>
        </w:tc>
      </w:tr>
      <w:tr>
        <w:tc>
          <w:tcPr/>
          <w:p>
            <w:pPr>
              <w:pStyle w:val="Compact"/>
              <w:jc w:val="left"/>
            </w:pPr>
            <w:r>
              <w:rPr>
                <w:b/>
                <w:bCs/>
              </w:rPr>
              <w:t xml:space="preserve">3.01(b)</w:t>
            </w:r>
          </w:p>
        </w:tc>
        <w:tc>
          <w:tcPr/>
          <w:p>
            <w:pPr>
              <w:pStyle w:val="Compact"/>
              <w:jc w:val="left"/>
            </w:pPr>
            <w:r>
              <w:t xml:space="preserve">Standstill Period</w:t>
            </w:r>
          </w:p>
        </w:tc>
        <w:tc>
          <w:tcPr/>
          <w:p>
            <w:pPr>
              <w:pStyle w:val="Compact"/>
              <w:jc w:val="left"/>
            </w:pPr>
            <w:r>
              <w:t xml:space="preserve">270 days; absolute; no early termination</w:t>
            </w:r>
          </w:p>
        </w:tc>
        <w:tc>
          <w:tcPr/>
          <w:p>
            <w:pPr>
              <w:pStyle w:val="Compact"/>
              <w:jc w:val="left"/>
            </w:pPr>
            <w:r>
              <w:t xml:space="preserve">90 days from notice; with early termination</w:t>
            </w:r>
          </w:p>
        </w:tc>
        <w:tc>
          <w:tcPr/>
          <w:p>
            <w:pPr>
              <w:pStyle w:val="Compact"/>
              <w:jc w:val="left"/>
            </w:pPr>
            <w:r>
              <w:rPr>
                <w:b/>
                <w:bCs/>
              </w:rPr>
              <w:t xml:space="preserve">180 days</w:t>
            </w:r>
            <w:r>
              <w:t xml:space="preserve"> </w:t>
            </w:r>
            <w:r>
              <w:t xml:space="preserve">from receipt of Blockage Notice +</w:t>
            </w:r>
            <w:r>
              <w:t xml:space="preserve"> </w:t>
            </w:r>
            <w:r>
              <w:rPr>
                <w:b/>
                <w:bCs/>
              </w:rPr>
              <w:t xml:space="preserve">4 narrow, objectively verifiable early-termination triggers</w:t>
            </w:r>
            <w:r>
              <w:t xml:space="preserve"> </w:t>
            </w:r>
            <w:r>
              <w:t xml:space="preserve">+</w:t>
            </w:r>
            <w:r>
              <w:t xml:space="preserve"> </w:t>
            </w:r>
            <w:r>
              <w:rPr>
                <w:b/>
                <w:bCs/>
              </w:rPr>
              <w:t xml:space="preserve">2-notice / 365-day Blockage Notice cap</w:t>
            </w:r>
          </w:p>
        </w:tc>
        <w:tc>
          <w:tcPr/>
          <w:p>
            <w:pPr>
              <w:pStyle w:val="Compact"/>
              <w:jc w:val="left"/>
            </w:pPr>
            <w:r>
              <w:t xml:space="preserve">Median</w:t>
            </w:r>
            <w:r>
              <w:t xml:space="preserve"> </w:t>
            </w:r>
            <w:r>
              <w:rPr>
                <w:b/>
                <w:bCs/>
              </w:rPr>
              <w:t xml:space="preserve">180 days</w:t>
            </w:r>
            <w:r>
              <w:t xml:space="preserve">;</w:t>
            </w:r>
            <w:r>
              <w:t xml:space="preserve"> </w:t>
            </w:r>
            <w:r>
              <w:rPr>
                <w:b/>
                <w:bCs/>
              </w:rPr>
              <w:t xml:space="preserve">76%</w:t>
            </w:r>
            <w:r>
              <w:t xml:space="preserve"> </w:t>
            </w:r>
            <w:r>
              <w:t xml:space="preserve">include triggers; 180 days + triggers =</w:t>
            </w:r>
            <w:r>
              <w:t xml:space="preserve"> </w:t>
            </w:r>
            <w:r>
              <w:rPr>
                <w:b/>
                <w:bCs/>
              </w:rPr>
              <w:t xml:space="preserve">25 of 42</w:t>
            </w:r>
            <w:r>
              <w:t xml:space="preserve"> </w:t>
            </w:r>
            <w:r>
              <w:t xml:space="preserve">deals (market-standard pairing)</w:t>
            </w:r>
          </w:p>
        </w:tc>
      </w:tr>
      <w:tr>
        <w:tc>
          <w:tcPr/>
          <w:p>
            <w:pPr>
              <w:pStyle w:val="Compact"/>
              <w:jc w:val="left"/>
            </w:pPr>
            <w:r>
              <w:rPr>
                <w:b/>
                <w:bCs/>
              </w:rPr>
              <w:t xml:space="preserve">5.01</w:t>
            </w:r>
          </w:p>
        </w:tc>
        <w:tc>
          <w:tcPr/>
          <w:p>
            <w:pPr>
              <w:pStyle w:val="Compact"/>
              <w:jc w:val="left"/>
            </w:pPr>
            <w:r>
              <w:t xml:space="preserve">Second Lien Purchase Right</w:t>
            </w:r>
          </w:p>
        </w:tc>
        <w:tc>
          <w:tcPr/>
          <w:p>
            <w:pPr>
              <w:pStyle w:val="Compact"/>
              <w:jc w:val="left"/>
            </w:pPr>
            <w:r>
              <w:t xml:space="preserve">Par +</w:t>
            </w:r>
            <w:r>
              <w:t xml:space="preserve"> </w:t>
            </w:r>
            <w:r>
              <w:rPr>
                <w:b/>
                <w:bCs/>
              </w:rPr>
              <w:t xml:space="preserve">default-rate</w:t>
            </w:r>
            <w:r>
              <w:t xml:space="preserve"> </w:t>
            </w:r>
            <w:r>
              <w:t xml:space="preserve">interest +</w:t>
            </w:r>
            <w:r>
              <w:t xml:space="preserve"> </w:t>
            </w:r>
            <w:r>
              <w:rPr>
                <w:b/>
                <w:bCs/>
              </w:rPr>
              <w:t xml:space="preserve">mandatory</w:t>
            </w:r>
            <w:r>
              <w:t xml:space="preserve"> </w:t>
            </w:r>
            <w:r>
              <w:t xml:space="preserve">unfunded revolver assumption</w:t>
            </w:r>
          </w:p>
        </w:tc>
        <w:tc>
          <w:tcPr/>
          <w:p>
            <w:pPr>
              <w:pStyle w:val="Compact"/>
              <w:jc w:val="left"/>
            </w:pPr>
            <w:r>
              <w:t xml:space="preserve">Lesser of par (non-default rate) or</w:t>
            </w:r>
            <w:r>
              <w:t xml:space="preserve"> </w:t>
            </w:r>
            <w:r>
              <w:rPr>
                <w:b/>
                <w:bCs/>
              </w:rPr>
              <w:t xml:space="preserve">FMV</w:t>
            </w:r>
            <w:r>
              <w:t xml:space="preserve"> </w:t>
            </w:r>
            <w:r>
              <w:t xml:space="preserve">(dealer poll); no revolver</w:t>
            </w:r>
          </w:p>
        </w:tc>
        <w:tc>
          <w:tcPr/>
          <w:p>
            <w:pPr>
              <w:pStyle w:val="Compact"/>
              <w:jc w:val="left"/>
            </w:pPr>
            <w:r>
              <w:rPr>
                <w:b/>
                <w:bCs/>
              </w:rPr>
              <w:t xml:space="preserve">Par for funded debt</w:t>
            </w:r>
            <w:r>
              <w:t xml:space="preserve"> </w:t>
            </w:r>
            <w:r>
              <w:t xml:space="preserve">+</w:t>
            </w:r>
            <w:r>
              <w:t xml:space="preserve"> </w:t>
            </w:r>
            <w:r>
              <w:rPr>
                <w:b/>
                <w:bCs/>
              </w:rPr>
              <w:t xml:space="preserve">non-default contract rate</w:t>
            </w:r>
            <w:r>
              <w:t xml:space="preserve"> </w:t>
            </w:r>
            <w:r>
              <w:t xml:space="preserve">interest +</w:t>
            </w:r>
            <w:r>
              <w:t xml:space="preserve"> </w:t>
            </w:r>
            <w:r>
              <w:rPr>
                <w:b/>
                <w:bCs/>
              </w:rPr>
              <w:t xml:space="preserve">optional</w:t>
            </w:r>
            <w:r>
              <w:t xml:space="preserve"> </w:t>
            </w:r>
            <w:r>
              <w:t xml:space="preserve">(at purchaser’s election) unfunded revolver assumption;</w:t>
            </w:r>
            <w:r>
              <w:t xml:space="preserve"> </w:t>
            </w:r>
            <w:r>
              <w:rPr>
                <w:b/>
                <w:bCs/>
              </w:rPr>
              <w:t xml:space="preserve">30-day</w:t>
            </w:r>
            <w:r>
              <w:t xml:space="preserve"> </w:t>
            </w:r>
            <w:r>
              <w:t xml:space="preserve">exercise window; exercisable on 1L Event of Default or 1L acceleration</w:t>
            </w:r>
          </w:p>
        </w:tc>
        <w:tc>
          <w:tcPr/>
          <w:p>
            <w:pPr>
              <w:pStyle w:val="Compact"/>
              <w:jc w:val="left"/>
            </w:pPr>
            <w:r>
              <w:t xml:space="preserve">Par in</w:t>
            </w:r>
            <w:r>
              <w:t xml:space="preserve"> </w:t>
            </w:r>
            <w:r>
              <w:rPr>
                <w:b/>
                <w:bCs/>
              </w:rPr>
              <w:t xml:space="preserve">71%</w:t>
            </w:r>
            <w:r>
              <w:t xml:space="preserve">; non-default rate in</w:t>
            </w:r>
            <w:r>
              <w:t xml:space="preserve"> </w:t>
            </w:r>
            <w:r>
              <w:rPr>
                <w:b/>
                <w:bCs/>
              </w:rPr>
              <w:t xml:space="preserve">69%</w:t>
            </w:r>
            <w:r>
              <w:t xml:space="preserve"> </w:t>
            </w:r>
            <w:r>
              <w:t xml:space="preserve">(default rate only 31%); optional revolver in</w:t>
            </w:r>
            <w:r>
              <w:t xml:space="preserve"> </w:t>
            </w:r>
            <w:r>
              <w:rPr>
                <w:b/>
                <w:bCs/>
              </w:rPr>
              <w:t xml:space="preserve">62%</w:t>
            </w:r>
            <w:r>
              <w:t xml:space="preserve"> </w:t>
            </w:r>
            <w:r>
              <w:t xml:space="preserve">(</w:t>
            </w:r>
            <w:r>
              <w:rPr>
                <w:b/>
                <w:bCs/>
              </w:rPr>
              <w:t xml:space="preserve">77%</w:t>
            </w:r>
            <w:r>
              <w:t xml:space="preserve"> </w:t>
            </w:r>
            <w:r>
              <w:t xml:space="preserve">of 2024 deals); 30-day median window</w:t>
            </w:r>
          </w:p>
        </w:tc>
      </w:tr>
      <w:tr>
        <w:tc>
          <w:tcPr/>
          <w:p>
            <w:pPr>
              <w:pStyle w:val="Compact"/>
              <w:jc w:val="left"/>
            </w:pPr>
            <w:r>
              <w:rPr>
                <w:b/>
                <w:bCs/>
              </w:rPr>
              <w:t xml:space="preserve">2.03(c)</w:t>
            </w:r>
          </w:p>
        </w:tc>
        <w:tc>
          <w:tcPr/>
          <w:p>
            <w:pPr>
              <w:pStyle w:val="Compact"/>
              <w:jc w:val="left"/>
            </w:pPr>
            <w:r>
              <w:t xml:space="preserve">Permitted 2L Refinancing</w:t>
            </w:r>
          </w:p>
        </w:tc>
        <w:tc>
          <w:tcPr/>
          <w:p>
            <w:pPr>
              <w:pStyle w:val="Compact"/>
              <w:jc w:val="left"/>
            </w:pPr>
            <w:r>
              <w:rPr>
                <w:b/>
                <w:bCs/>
              </w:rPr>
              <w:t xml:space="preserve">0%</w:t>
            </w:r>
            <w:r>
              <w:t xml:space="preserve"> </w:t>
            </w:r>
            <w:r>
              <w:t xml:space="preserve">principal increase; 91-day maturity floor;</w:t>
            </w:r>
            <w:r>
              <w:t xml:space="preserve"> </w:t>
            </w:r>
            <w:r>
              <w:rPr>
                <w:b/>
                <w:bCs/>
              </w:rPr>
              <w:t xml:space="preserve">blanket</w:t>
            </w:r>
            <w:r>
              <w:t xml:space="preserve"> </w:t>
            </w:r>
            <w:r>
              <w:t xml:space="preserve">restrictiveness test</w:t>
            </w:r>
          </w:p>
        </w:tc>
        <w:tc>
          <w:tcPr/>
          <w:p>
            <w:pPr>
              <w:pStyle w:val="Compact"/>
              <w:jc w:val="left"/>
            </w:pPr>
            <w:r>
              <w:rPr>
                <w:b/>
                <w:bCs/>
              </w:rPr>
              <w:t xml:space="preserve">120%</w:t>
            </w:r>
            <w:r>
              <w:t xml:space="preserve"> </w:t>
            </w:r>
            <w:r>
              <w:t xml:space="preserve">increase; original 2L maturity;</w:t>
            </w:r>
            <w:r>
              <w:t xml:space="preserve"> </w:t>
            </w:r>
            <w:r>
              <w:rPr>
                <w:b/>
                <w:bCs/>
              </w:rPr>
              <w:t xml:space="preserve">no</w:t>
            </w:r>
            <w:r>
              <w:t xml:space="preserve"> </w:t>
            </w:r>
            <w:r>
              <w:t xml:space="preserve">restrictiveness test</w:t>
            </w:r>
          </w:p>
        </w:tc>
        <w:tc>
          <w:tcPr/>
          <w:p>
            <w:pPr>
              <w:pStyle w:val="Compact"/>
              <w:jc w:val="left"/>
            </w:pPr>
            <w:r>
              <w:rPr>
                <w:b/>
                <w:bCs/>
              </w:rPr>
              <w:t xml:space="preserve">10%</w:t>
            </w:r>
            <w:r>
              <w:t xml:space="preserve"> </w:t>
            </w:r>
            <w:r>
              <w:t xml:space="preserve">principal increase (limited to refinancing fees/costs/premiums);</w:t>
            </w:r>
            <w:r>
              <w:t xml:space="preserve"> </w:t>
            </w:r>
            <w:r>
              <w:rPr>
                <w:b/>
                <w:bCs/>
              </w:rPr>
              <w:t xml:space="preserve">both</w:t>
            </w:r>
            <w:r>
              <w:t xml:space="preserve"> </w:t>
            </w:r>
            <w:r>
              <w:t xml:space="preserve">maturity tests (91-day post-1L</w:t>
            </w:r>
            <w:r>
              <w:t xml:space="preserve"> </w:t>
            </w:r>
            <w:r>
              <w:rPr>
                <w:b/>
                <w:bCs/>
              </w:rPr>
              <w:t xml:space="preserve">and</w:t>
            </w:r>
            <w:r>
              <w:t xml:space="preserve"> </w:t>
            </w:r>
            <w:r>
              <w:t xml:space="preserve">original 2L);</w:t>
            </w:r>
            <w:r>
              <w:t xml:space="preserve"> </w:t>
            </w:r>
            <w:r>
              <w:rPr>
                <w:b/>
                <w:bCs/>
              </w:rPr>
              <w:t xml:space="preserve">narrowed</w:t>
            </w:r>
            <w:r>
              <w:t xml:space="preserve"> </w:t>
            </w:r>
            <w:r>
              <w:t xml:space="preserve">restrictiveness test +</w:t>
            </w:r>
            <w:r>
              <w:t xml:space="preserve"> </w:t>
            </w:r>
            <w:r>
              <w:rPr>
                <w:b/>
                <w:bCs/>
              </w:rPr>
              <w:t xml:space="preserve">MFN</w:t>
            </w:r>
            <w:r>
              <w:t xml:space="preserve"> </w:t>
            </w:r>
            <w:r>
              <w:t xml:space="preserve">right (financial covenants only)</w:t>
            </w:r>
          </w:p>
        </w:tc>
        <w:tc>
          <w:tcPr/>
          <w:p>
            <w:pPr>
              <w:pStyle w:val="Compact"/>
              <w:jc w:val="left"/>
            </w:pPr>
            <w:r>
              <w:t xml:space="preserve">Median</w:t>
            </w:r>
            <w:r>
              <w:t xml:space="preserve"> </w:t>
            </w:r>
            <w:r>
              <w:rPr>
                <w:b/>
                <w:bCs/>
              </w:rPr>
              <w:t xml:space="preserve">10%</w:t>
            </w:r>
            <w:r>
              <w:t xml:space="preserve"> </w:t>
            </w:r>
            <w:r>
              <w:t xml:space="preserve">cap (</w:t>
            </w:r>
            <w:r>
              <w:rPr>
                <w:b/>
                <w:bCs/>
              </w:rPr>
              <w:t xml:space="preserve">79%</w:t>
            </w:r>
            <w:r>
              <w:t xml:space="preserve"> </w:t>
            </w:r>
            <w:r>
              <w:t xml:space="preserve">limited to fees/costs); 91-day test</w:t>
            </w:r>
            <w:r>
              <w:t xml:space="preserve"> </w:t>
            </w:r>
            <w:r>
              <w:rPr>
                <w:b/>
                <w:bCs/>
              </w:rPr>
              <w:t xml:space="preserve">93%</w:t>
            </w:r>
            <w:r>
              <w:t xml:space="preserve"> </w:t>
            </w:r>
            <w:r>
              <w:t xml:space="preserve">+ original-2L floor</w:t>
            </w:r>
            <w:r>
              <w:t xml:space="preserve"> </w:t>
            </w:r>
            <w:r>
              <w:rPr>
                <w:b/>
                <w:bCs/>
              </w:rPr>
              <w:t xml:space="preserve">81%</w:t>
            </w:r>
            <w:r>
              <w:t xml:space="preserve">; narrowed test</w:t>
            </w:r>
            <w:r>
              <w:t xml:space="preserve"> </w:t>
            </w:r>
            <w:r>
              <w:rPr>
                <w:b/>
                <w:bCs/>
              </w:rPr>
              <w:t xml:space="preserve">52%</w:t>
            </w:r>
            <w:r>
              <w:t xml:space="preserve">; MFN in</w:t>
            </w:r>
            <w:r>
              <w:t xml:space="preserve"> </w:t>
            </w:r>
            <w:r>
              <w:rPr>
                <w:b/>
                <w:bCs/>
              </w:rPr>
              <w:t xml:space="preserve">100%</w:t>
            </w:r>
            <w:r>
              <w:t xml:space="preserve"> </w:t>
            </w:r>
            <w:r>
              <w:t xml:space="preserve">of narrowed-test deals (</w:t>
            </w:r>
            <w:r>
              <w:rPr>
                <w:b/>
                <w:bCs/>
              </w:rPr>
              <w:t xml:space="preserve">82%</w:t>
            </w:r>
            <w:r>
              <w:t xml:space="preserve"> </w:t>
            </w:r>
            <w:r>
              <w:t xml:space="preserve">limited to financial covenants)</w:t>
            </w:r>
          </w:p>
        </w:tc>
      </w:tr>
      <w:tr>
        <w:tc>
          <w:tcPr/>
          <w:p>
            <w:pPr>
              <w:pStyle w:val="Compact"/>
              <w:jc w:val="left"/>
            </w:pPr>
            <w:r>
              <w:rPr>
                <w:b/>
                <w:bCs/>
              </w:rPr>
              <w:t xml:space="preserve">4.02</w:t>
            </w:r>
          </w:p>
        </w:tc>
        <w:tc>
          <w:tcPr/>
          <w:p>
            <w:pPr>
              <w:pStyle w:val="Compact"/>
              <w:jc w:val="left"/>
            </w:pPr>
            <w:r>
              <w:t xml:space="preserve">Proceeds Waterfall</w:t>
            </w:r>
          </w:p>
        </w:tc>
        <w:tc>
          <w:tcPr/>
          <w:p>
            <w:pPr>
              <w:pStyle w:val="Compact"/>
              <w:jc w:val="left"/>
            </w:pPr>
            <w:r>
              <w:rPr>
                <w:b/>
                <w:bCs/>
              </w:rPr>
              <w:t xml:space="preserve">100% sweep</w:t>
            </w:r>
            <w:r>
              <w:t xml:space="preserve"> </w:t>
            </w:r>
            <w:r>
              <w:t xml:space="preserve">of all proceeds;</w:t>
            </w:r>
            <w:r>
              <w:t xml:space="preserve"> </w:t>
            </w:r>
            <w:r>
              <w:rPr>
                <w:b/>
                <w:bCs/>
              </w:rPr>
              <w:t xml:space="preserve">override</w:t>
            </w:r>
            <w:r>
              <w:t xml:space="preserve"> </w:t>
            </w:r>
            <w:r>
              <w:t xml:space="preserve">reinvestment;</w:t>
            </w:r>
            <w:r>
              <w:t xml:space="preserve"> </w:t>
            </w:r>
            <w:r>
              <w:rPr>
                <w:b/>
                <w:bCs/>
              </w:rPr>
              <w:t xml:space="preserve">no</w:t>
            </w:r>
            <w:r>
              <w:t xml:space="preserve"> </w:t>
            </w:r>
            <w:r>
              <w:t xml:space="preserve">2L access</w:t>
            </w:r>
          </w:p>
        </w:tc>
        <w:tc>
          <w:tcPr/>
          <w:p>
            <w:pPr>
              <w:pStyle w:val="Compact"/>
              <w:jc w:val="left"/>
            </w:pPr>
            <w:r>
              <w:t xml:space="preserve">Follow 1L reinvestment mechanics; residual to 2L</w:t>
            </w:r>
          </w:p>
        </w:tc>
        <w:tc>
          <w:tcPr/>
          <w:p>
            <w:pPr>
              <w:pStyle w:val="Compact"/>
              <w:jc w:val="left"/>
            </w:pPr>
            <w:r>
              <w:rPr>
                <w:b/>
                <w:bCs/>
              </w:rPr>
              <w:t xml:space="preserve">Bifurcated</w:t>
            </w:r>
            <w:r>
              <w:t xml:space="preserve">: ordinary-course sales</w:t>
            </w:r>
            <w:r>
              <w:t xml:space="preserve"> </w:t>
            </w:r>
            <w:r>
              <w:rPr>
                <w:b/>
                <w:bCs/>
              </w:rPr>
              <w:t xml:space="preserve">≤ $20M</w:t>
            </w:r>
            <w:r>
              <w:t xml:space="preserve"> </w:t>
            </w:r>
            <w:r>
              <w:t xml:space="preserve">retain reinvestment (365-day);</w:t>
            </w:r>
            <w:r>
              <w:t xml:space="preserve"> </w:t>
            </w:r>
            <w:r>
              <w:rPr>
                <w:b/>
                <w:bCs/>
              </w:rPr>
              <w:t xml:space="preserve">&gt; $20M</w:t>
            </w:r>
            <w:r>
              <w:t xml:space="preserve">, non-ordinary-course, and</w:t>
            </w:r>
            <w:r>
              <w:t xml:space="preserve"> </w:t>
            </w:r>
            <w:r>
              <w:rPr>
                <w:b/>
                <w:bCs/>
              </w:rPr>
              <w:t xml:space="preserve">all casualty</w:t>
            </w:r>
            <w:r>
              <w:t xml:space="preserve"> </w:t>
            </w:r>
            <w:r>
              <w:t xml:space="preserve">= hard 100% sweep;</w:t>
            </w:r>
            <w:r>
              <w:t xml:space="preserve"> </w:t>
            </w:r>
            <w:r>
              <w:rPr>
                <w:b/>
                <w:bCs/>
              </w:rPr>
              <w:t xml:space="preserve">residual to 2L</w:t>
            </w:r>
            <w:r>
              <w:t xml:space="preserve"> </w:t>
            </w:r>
            <w:r>
              <w:t xml:space="preserve">after 1L discharge; robust</w:t>
            </w:r>
            <w:r>
              <w:t xml:space="preserve"> </w:t>
            </w:r>
            <w:r>
              <w:rPr>
                <w:b/>
                <w:bCs/>
              </w:rPr>
              <w:t xml:space="preserve">anti-evasion</w:t>
            </w:r>
            <w:r>
              <w:t xml:space="preserve">; quarterly + event-driven + annual reporting</w:t>
            </w:r>
          </w:p>
        </w:tc>
        <w:tc>
          <w:tcPr/>
          <w:p>
            <w:pPr>
              <w:pStyle w:val="Compact"/>
              <w:jc w:val="left"/>
            </w:pPr>
            <w:r>
              <w:t xml:space="preserve">100% sweep</w:t>
            </w:r>
            <w:r>
              <w:t xml:space="preserve"> </w:t>
            </w:r>
            <w:r>
              <w:rPr>
                <w:b/>
                <w:bCs/>
              </w:rPr>
              <w:t xml:space="preserve">universal</w:t>
            </w:r>
            <w:r>
              <w:t xml:space="preserve"> </w:t>
            </w:r>
            <w:r>
              <w:t xml:space="preserve">(42/42); reinvestment preserved</w:t>
            </w:r>
            <w:r>
              <w:t xml:space="preserve"> </w:t>
            </w:r>
            <w:r>
              <w:rPr>
                <w:b/>
                <w:bCs/>
              </w:rPr>
              <w:t xml:space="preserve">81%</w:t>
            </w:r>
            <w:r>
              <w:t xml:space="preserve">; ordinary-course threshold median</w:t>
            </w:r>
            <w:r>
              <w:t xml:space="preserve"> </w:t>
            </w:r>
            <w:r>
              <w:rPr>
                <w:b/>
                <w:bCs/>
              </w:rPr>
              <w:t xml:space="preserve">$20M</w:t>
            </w:r>
            <w:r>
              <w:t xml:space="preserve">; hard sweep for large/extraordinary</w:t>
            </w:r>
            <w:r>
              <w:t xml:space="preserve"> </w:t>
            </w:r>
            <w:r>
              <w:rPr>
                <w:b/>
                <w:bCs/>
              </w:rPr>
              <w:t xml:space="preserve">90%</w:t>
            </w:r>
            <w:r>
              <w:t xml:space="preserve">; 2L residual</w:t>
            </w:r>
            <w:r>
              <w:t xml:space="preserve"> </w:t>
            </w:r>
            <w:r>
              <w:rPr>
                <w:b/>
                <w:bCs/>
              </w:rPr>
              <w:t xml:space="preserve">79%</w:t>
            </w:r>
            <w:r>
              <w:t xml:space="preserve">; anti-evasion</w:t>
            </w:r>
            <w:r>
              <w:t xml:space="preserve"> </w:t>
            </w:r>
            <w:r>
              <w:rPr>
                <w:b/>
                <w:bCs/>
              </w:rPr>
              <w:t xml:space="preserve">97%</w:t>
            </w:r>
          </w:p>
        </w:tc>
      </w:tr>
    </w:tbl>
    <w:p>
      <w:r>
        <w:pict>
          <v:rect style="width:0;height:1.5pt" o:hralign="center" o:hrstd="t" o:hr="t"/>
        </w:pict>
      </w:r>
    </w:p>
    <w:bookmarkEnd w:id="24"/>
    <w:bookmarkStart w:id="25" w:name="Xc776b62a44ec6321230ae44aedab32ca23eb675"/>
    <w:p>
      <w:pPr>
        <w:pStyle w:val="Heading2"/>
      </w:pPr>
      <w:r>
        <w:t xml:space="preserve">III. The Indivisible Package — Why These Four Terms Must Move Together</w:t>
      </w:r>
    </w:p>
    <w:p>
      <w:pPr>
        <w:pStyle w:val="FirstParagraph"/>
      </w:pPr>
      <w:r>
        <w:t xml:space="preserve">You instructed that the compromises be presented as a single, integrated package, and both agents have independently expressed the same preference (the 2L Agent’s counsel stating that</w:t>
      </w:r>
      <w:r>
        <w:t xml:space="preserve"> </w:t>
      </w:r>
      <w:r>
        <w:t xml:space="preserve">“</w:t>
      </w:r>
      <w:r>
        <w:t xml:space="preserve">Ridgeline’s strong preference is that these points be addressed as a single, integrated package rather than piecemeal</w:t>
      </w:r>
      <w:r>
        <w:t xml:space="preserve">”</w:t>
      </w:r>
      <w:r>
        <w:t xml:space="preserve">). The reason is structural: the four provisions are economically linked through the thin equity cushion and high leverage of this capital structure, and the concessions on each side are calibrated to balance against each other.</w:t>
      </w:r>
    </w:p>
    <w:p>
      <w:pPr>
        <w:pStyle w:val="BodyText"/>
      </w:pPr>
      <w:r>
        <w:t xml:space="preserve">The linkages are as follows:</w:t>
      </w:r>
    </w:p>
    <w:p>
      <w:pPr>
        <w:numPr>
          <w:ilvl w:val="0"/>
          <w:numId w:val="1001"/>
        </w:numPr>
      </w:pPr>
      <w:r>
        <w:rPr>
          <w:b/>
          <w:bCs/>
        </w:rPr>
        <w:t xml:space="preserve">Standstill ↔ Purchase Right.</w:t>
      </w:r>
      <w:r>
        <w:t xml:space="preserve"> </w:t>
      </w:r>
      <w:r>
        <w:t xml:space="preserve">The 2L Agent’s willingness to accept a 180-day standstill (double its 90-day opening) is conditioned on the early-termination triggers</w:t>
      </w:r>
      <w:r>
        <w:t xml:space="preserve"> </w:t>
      </w:r>
      <w:r>
        <w:rPr>
          <w:i/>
          <w:iCs/>
        </w:rPr>
        <w:t xml:space="preserve">and</w:t>
      </w:r>
      <w:r>
        <w:t xml:space="preserve"> </w:t>
      </w:r>
      <w:r>
        <w:t xml:space="preserve">on the purchase right remaining a viable protective mechanism. A standstill that locks the 2L out for 180 days is acceptable to the 2L only if (a) the 2L can exit the standstill upon defined 1L inaction (the triggers) and (b) the 2L can acquire the 1L position at a workable price (the purchase right). Conversely, the 1L’s willingness to accept early-termination triggers is made palatable by the purchase right remaining at par for funded debt — ensuring that the 2L’s exit from the standstill does not come with a below-par acquisition right.</w:t>
      </w:r>
    </w:p>
    <w:p>
      <w:pPr>
        <w:numPr>
          <w:ilvl w:val="0"/>
          <w:numId w:val="1001"/>
        </w:numPr>
      </w:pPr>
      <w:r>
        <w:rPr>
          <w:b/>
          <w:bCs/>
        </w:rPr>
        <w:t xml:space="preserve">Purchase Right ↔ Refinancing.</w:t>
      </w:r>
      <w:r>
        <w:t xml:space="preserve"> </w:t>
      </w:r>
      <w:r>
        <w:t xml:space="preserve">The 2L’s concession on the purchase price (dropping the FMV alternative and accepting par) is balanced against the 1L’s concession on the refinancing principal cap (moving from 0% to 10%) and the restrictiveness test (moving from blanket to narrowed + MFN). The 2L gives up a below-par acquisition mechanic; in exchange it retains meaningful refinancing flexibility. The 1L keeps par on the purchase right (its non-negotiable) but accepts a refinancing cap and restrictiveness regime that the 2L can live with.</w:t>
      </w:r>
    </w:p>
    <w:p>
      <w:pPr>
        <w:numPr>
          <w:ilvl w:val="0"/>
          <w:numId w:val="1001"/>
        </w:numPr>
      </w:pPr>
      <w:r>
        <w:rPr>
          <w:b/>
          <w:bCs/>
        </w:rPr>
        <w:t xml:space="preserve">Refinancing ↔ Proceeds Waterfall.</w:t>
      </w:r>
      <w:r>
        <w:t xml:space="preserve"> </w:t>
      </w:r>
      <w:r>
        <w:t xml:space="preserve">The 1L’s acceptance of a 10% refinancing cap (rather than 0%) and a narrowed restrictiveness test (rather than blanket) is balanced against the 2L’s acceptance of a hard 100% sweep on large/extraordinary sales and casualty events in the proceeds waterfall. The 1L gets robust proceeds protection on the dispositions that matter most to its recovery; the 2L gets refinancing headroom and a narrowed (not blanket) restrictiveness test.</w:t>
      </w:r>
    </w:p>
    <w:p>
      <w:pPr>
        <w:numPr>
          <w:ilvl w:val="0"/>
          <w:numId w:val="1001"/>
        </w:numPr>
      </w:pPr>
      <w:r>
        <w:rPr>
          <w:b/>
          <w:bCs/>
        </w:rPr>
        <w:t xml:space="preserve">Standstill ↔ Proceeds Waterfall.</w:t>
      </w:r>
      <w:r>
        <w:t xml:space="preserve"> </w:t>
      </w:r>
      <w:r>
        <w:t xml:space="preserve">Both provisions protect the 1L against value leakage during distress — the standstill by controlling the</w:t>
      </w:r>
      <w:r>
        <w:t xml:space="preserve"> </w:t>
      </w:r>
      <w:r>
        <w:rPr>
          <w:i/>
          <w:iCs/>
        </w:rPr>
        <w:t xml:space="preserve">timing</w:t>
      </w:r>
      <w:r>
        <w:t xml:space="preserve"> </w:t>
      </w:r>
      <w:r>
        <w:t xml:space="preserve">of 2L enforcement, and the waterfall by controlling the</w:t>
      </w:r>
      <w:r>
        <w:t xml:space="preserve"> </w:t>
      </w:r>
      <w:r>
        <w:rPr>
          <w:i/>
          <w:iCs/>
        </w:rPr>
        <w:t xml:space="preserve">direction</w:t>
      </w:r>
      <w:r>
        <w:t xml:space="preserve"> </w:t>
      </w:r>
      <w:r>
        <w:t xml:space="preserve">of proceeds. The 1L’s concession on standstill duration (270 → 180) and triggers is offset by its gain on the waterfall (hard sweep on significant sales, which the 2L accepts). The 2L’s concession on the waterfall (accepting the hard sweep) is offset by its gain on the standstill (triggers + a shorter duration than 270).</w:t>
      </w:r>
    </w:p>
    <w:p>
      <w:pPr>
        <w:pStyle w:val="FirstParagraph"/>
      </w:pPr>
      <w:r>
        <w:t xml:space="preserve">The net effect is a package in which</w:t>
      </w:r>
      <w:r>
        <w:t xml:space="preserve"> </w:t>
      </w:r>
      <w:r>
        <w:rPr>
          <w:b/>
          <w:bCs/>
        </w:rPr>
        <w:t xml:space="preserve">each side concedes on two provisions and gains on two provisions</w:t>
      </w:r>
      <w:r>
        <w:t xml:space="preserve">, with every term sitting at or near the market median. This balance is what makes the package closeable. If any single term were extracted and negotiated in isolation, the side that</w:t>
      </w:r>
      <w:r>
        <w:t xml:space="preserve"> </w:t>
      </w:r>
      <w:r>
        <w:t xml:space="preserve">“</w:t>
      </w:r>
      <w:r>
        <w:t xml:space="preserve">loses</w:t>
      </w:r>
      <w:r>
        <w:t xml:space="preserve">”</w:t>
      </w:r>
      <w:r>
        <w:t xml:space="preserve"> </w:t>
      </w:r>
      <w:r>
        <w:t xml:space="preserve">on that term would have no offsetting gain and would have reason to hold out — reintroducing the impasse the package is designed to break. We therefore recommend that Meridian present the package to both agents as a complete, take-it-or-leave-it framework (subject only to non-substantive drafting refinements), and that Meridian signal its active support for the package as a whole, as you indicated you are prepared to do.</w:t>
      </w:r>
    </w:p>
    <w:p>
      <w:r>
        <w:pict>
          <v:rect style="width:0;height:1.5pt" o:hralign="center" o:hrstd="t" o:hr="t"/>
        </w:pict>
      </w:r>
    </w:p>
    <w:bookmarkEnd w:id="25"/>
    <w:bookmarkStart w:id="26" w:name="iv.-capital-structure-and-market-context"/>
    <w:p>
      <w:pPr>
        <w:pStyle w:val="Heading2"/>
      </w:pPr>
      <w:r>
        <w:t xml:space="preserve">IV. Capital Structure and Market Context</w:t>
      </w:r>
    </w:p>
    <w:p>
      <w:pPr>
        <w:pStyle w:val="FirstParagraph"/>
      </w:pPr>
      <w:r>
        <w:t xml:space="preserve">The compromise terms below are calibrated to the following economic realities, which both agents have acknowledged and which are confirmed by the lender appraisal prepared by Cartwright’s Valuation Advisory Group (valuation date May 15, 2025) and the capital structure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 Calculation</w:t>
            </w:r>
          </w:p>
        </w:tc>
      </w:tr>
      <w:tr>
        <w:tc>
          <w:tcPr/>
          <w:p>
            <w:pPr>
              <w:pStyle w:val="Compact"/>
              <w:jc w:val="left"/>
            </w:pPr>
            <w:r>
              <w:t xml:space="preserve">First Lien Facility</w:t>
            </w:r>
          </w:p>
        </w:tc>
        <w:tc>
          <w:tcPr/>
          <w:p>
            <w:pPr>
              <w:pStyle w:val="Compact"/>
              <w:jc w:val="left"/>
            </w:pPr>
            <w:r>
              <w:t xml:space="preserve">$475,000,000 ($125M Revolver + $350M Term Loan A)</w:t>
            </w:r>
          </w:p>
        </w:tc>
        <w:tc>
          <w:tcPr/>
          <w:p>
            <w:pPr>
              <w:pStyle w:val="Compact"/>
              <w:jc w:val="left"/>
            </w:pPr>
            <w:r>
              <w:t xml:space="preserve">1L Credit Agreement</w:t>
            </w:r>
          </w:p>
        </w:tc>
      </w:tr>
      <w:tr>
        <w:tc>
          <w:tcPr/>
          <w:p>
            <w:pPr>
              <w:pStyle w:val="Compact"/>
              <w:jc w:val="left"/>
            </w:pPr>
            <w:r>
              <w:t xml:space="preserve">Second Lien Term Loan B</w:t>
            </w:r>
          </w:p>
        </w:tc>
        <w:tc>
          <w:tcPr/>
          <w:p>
            <w:pPr>
              <w:pStyle w:val="Compact"/>
              <w:jc w:val="left"/>
            </w:pPr>
            <w:r>
              <w:t xml:space="preserve">$150,000,000</w:t>
            </w:r>
          </w:p>
        </w:tc>
        <w:tc>
          <w:tcPr/>
          <w:p>
            <w:pPr>
              <w:pStyle w:val="Compact"/>
              <w:jc w:val="left"/>
            </w:pPr>
            <w:r>
              <w:t xml:space="preserve">2L Credit Agreement</w:t>
            </w:r>
          </w:p>
        </w:tc>
      </w:tr>
      <w:tr>
        <w:tc>
          <w:tcPr/>
          <w:p>
            <w:pPr>
              <w:pStyle w:val="Compact"/>
              <w:jc w:val="left"/>
            </w:pPr>
            <w:r>
              <w:t xml:space="preserve">Total Secured Debt</w:t>
            </w:r>
          </w:p>
        </w:tc>
        <w:tc>
          <w:tcPr/>
          <w:p>
            <w:pPr>
              <w:pStyle w:val="Compact"/>
              <w:jc w:val="left"/>
            </w:pPr>
            <w:r>
              <w:t xml:space="preserve">$625,000,000</w:t>
            </w:r>
          </w:p>
        </w:tc>
        <w:tc>
          <w:tcPr/>
          <w:p>
            <w:pPr>
              <w:pStyle w:val="Compact"/>
              <w:jc w:val="left"/>
            </w:pPr>
            <w:r>
              <w:t xml:space="preserve">$475M + $150M</w:t>
            </w:r>
          </w:p>
        </w:tc>
      </w:tr>
      <w:tr>
        <w:tc>
          <w:tcPr/>
          <w:p>
            <w:pPr>
              <w:pStyle w:val="Compact"/>
              <w:jc w:val="left"/>
            </w:pPr>
            <w:r>
              <w:t xml:space="preserve">Total Enterprise Value (TEV)</w:t>
            </w:r>
          </w:p>
        </w:tc>
        <w:tc>
          <w:tcPr/>
          <w:p>
            <w:pPr>
              <w:pStyle w:val="Compact"/>
              <w:jc w:val="left"/>
            </w:pPr>
            <w:r>
              <w:t xml:space="preserve">~$640,000,000 (range $620M–$660M)</w:t>
            </w:r>
          </w:p>
        </w:tc>
        <w:tc>
          <w:tcPr/>
          <w:p>
            <w:pPr>
              <w:pStyle w:val="Compact"/>
              <w:jc w:val="left"/>
            </w:pPr>
            <w:r>
              <w:t xml:space="preserve">Lender appraisal (DCF 50% / comps 50%)</w:t>
            </w:r>
          </w:p>
        </w:tc>
      </w:tr>
      <w:tr>
        <w:tc>
          <w:tcPr/>
          <w:p>
            <w:pPr>
              <w:pStyle w:val="Compact"/>
              <w:jc w:val="left"/>
            </w:pPr>
            <w:r>
              <w:t xml:space="preserve">First Lien LTV</w:t>
            </w:r>
          </w:p>
        </w:tc>
        <w:tc>
          <w:tcPr/>
          <w:p>
            <w:pPr>
              <w:pStyle w:val="Compact"/>
              <w:jc w:val="left"/>
            </w:pPr>
            <w:r>
              <w:t xml:space="preserve">74.22%</w:t>
            </w:r>
          </w:p>
        </w:tc>
        <w:tc>
          <w:tcPr/>
          <w:p>
            <w:pPr>
              <w:pStyle w:val="Compact"/>
              <w:jc w:val="left"/>
            </w:pPr>
            <w:r>
              <w:t xml:space="preserve">$475M ÷ $640M</w:t>
            </w:r>
          </w:p>
        </w:tc>
      </w:tr>
      <w:tr>
        <w:tc>
          <w:tcPr/>
          <w:p>
            <w:pPr>
              <w:pStyle w:val="Compact"/>
              <w:jc w:val="left"/>
            </w:pPr>
            <w:r>
              <w:rPr>
                <w:b/>
                <w:bCs/>
              </w:rPr>
              <w:t xml:space="preserve">Total LTV</w:t>
            </w:r>
          </w:p>
        </w:tc>
        <w:tc>
          <w:tcPr/>
          <w:p>
            <w:pPr>
              <w:pStyle w:val="Compact"/>
              <w:jc w:val="left"/>
            </w:pPr>
            <w:r>
              <w:rPr>
                <w:b/>
                <w:bCs/>
              </w:rPr>
              <w:t xml:space="preserve">97.66%</w:t>
            </w:r>
          </w:p>
        </w:tc>
        <w:tc>
          <w:tcPr/>
          <w:p>
            <w:pPr>
              <w:pStyle w:val="Compact"/>
              <w:jc w:val="left"/>
            </w:pPr>
            <w:r>
              <w:t xml:space="preserve">$625M ÷ $640M</w:t>
            </w:r>
          </w:p>
        </w:tc>
      </w:tr>
      <w:tr>
        <w:tc>
          <w:tcPr/>
          <w:p>
            <w:pPr>
              <w:pStyle w:val="Compact"/>
              <w:jc w:val="left"/>
            </w:pPr>
            <w:r>
              <w:rPr>
                <w:b/>
                <w:bCs/>
              </w:rPr>
              <w:t xml:space="preserve">2L Equity Cushion</w:t>
            </w:r>
          </w:p>
        </w:tc>
        <w:tc>
          <w:tcPr/>
          <w:p>
            <w:pPr>
              <w:pStyle w:val="Compact"/>
              <w:jc w:val="left"/>
            </w:pPr>
            <w:r>
              <w:rPr>
                <w:b/>
                <w:bCs/>
              </w:rPr>
              <w:t xml:space="preserve">25.78% (~$165M)</w:t>
            </w:r>
          </w:p>
        </w:tc>
        <w:tc>
          <w:tcPr/>
          <w:p>
            <w:pPr>
              <w:pStyle w:val="Compact"/>
              <w:jc w:val="left"/>
            </w:pPr>
            <w:r>
              <w:t xml:space="preserve">($640M − $475M) ÷ $640M</w:t>
            </w:r>
          </w:p>
        </w:tc>
      </w:tr>
      <w:tr>
        <w:tc>
          <w:tcPr/>
          <w:p>
            <w:pPr>
              <w:pStyle w:val="Compact"/>
              <w:jc w:val="left"/>
            </w:pPr>
            <w:r>
              <w:t xml:space="preserve">2L Value Coverage</w:t>
            </w:r>
          </w:p>
        </w:tc>
        <w:tc>
          <w:tcPr/>
          <w:p>
            <w:pPr>
              <w:pStyle w:val="Compact"/>
              <w:jc w:val="left"/>
            </w:pPr>
            <w:r>
              <w:t xml:space="preserve">1.10x</w:t>
            </w:r>
          </w:p>
        </w:tc>
        <w:tc>
          <w:tcPr/>
          <w:p>
            <w:pPr>
              <w:pStyle w:val="Compact"/>
              <w:jc w:val="left"/>
            </w:pPr>
            <w:r>
              <w:t xml:space="preserve">($640M − $475M) ÷ $150M</w:t>
            </w:r>
          </w:p>
        </w:tc>
      </w:tr>
      <w:tr>
        <w:tc>
          <w:tcPr/>
          <w:p>
            <w:pPr>
              <w:pStyle w:val="Compact"/>
              <w:jc w:val="left"/>
            </w:pPr>
            <w:r>
              <w:t xml:space="preserve">LTM EBITDA</w:t>
            </w:r>
          </w:p>
        </w:tc>
        <w:tc>
          <w:tcPr/>
          <w:p>
            <w:pPr>
              <w:pStyle w:val="Compact"/>
              <w:jc w:val="left"/>
            </w:pPr>
            <w:r>
              <w:t xml:space="preserve">$89.4M</w:t>
            </w:r>
          </w:p>
        </w:tc>
        <w:tc>
          <w:tcPr/>
          <w:p>
            <w:pPr>
              <w:pStyle w:val="Compact"/>
              <w:jc w:val="left"/>
            </w:pPr>
            <w:r>
              <w:t xml:space="preserve">Borrower-reported (LTM ended 3/31/2025)</w:t>
            </w:r>
          </w:p>
        </w:tc>
      </w:tr>
      <w:tr>
        <w:tc>
          <w:tcPr/>
          <w:p>
            <w:pPr>
              <w:pStyle w:val="Compact"/>
              <w:jc w:val="left"/>
            </w:pPr>
            <w:r>
              <w:t xml:space="preserve">First Lien Leverage</w:t>
            </w:r>
          </w:p>
        </w:tc>
        <w:tc>
          <w:tcPr/>
          <w:p>
            <w:pPr>
              <w:pStyle w:val="Compact"/>
              <w:jc w:val="left"/>
            </w:pPr>
            <w:r>
              <w:t xml:space="preserve">5.31x</w:t>
            </w:r>
          </w:p>
        </w:tc>
        <w:tc>
          <w:tcPr/>
          <w:p>
            <w:pPr>
              <w:pStyle w:val="Compact"/>
              <w:jc w:val="left"/>
            </w:pPr>
            <w:r>
              <w:t xml:space="preserve">$475M ÷ $89.4M</w:t>
            </w:r>
          </w:p>
        </w:tc>
      </w:tr>
      <w:tr>
        <w:tc>
          <w:tcPr/>
          <w:p>
            <w:pPr>
              <w:pStyle w:val="Compact"/>
              <w:jc w:val="left"/>
            </w:pPr>
            <w:r>
              <w:rPr>
                <w:b/>
                <w:bCs/>
              </w:rPr>
              <w:t xml:space="preserve">Total Leverage</w:t>
            </w:r>
          </w:p>
        </w:tc>
        <w:tc>
          <w:tcPr/>
          <w:p>
            <w:pPr>
              <w:pStyle w:val="Compact"/>
              <w:jc w:val="left"/>
            </w:pPr>
            <w:r>
              <w:rPr>
                <w:b/>
                <w:bCs/>
              </w:rPr>
              <w:t xml:space="preserve">6.99x</w:t>
            </w:r>
          </w:p>
        </w:tc>
        <w:tc>
          <w:tcPr/>
          <w:p>
            <w:pPr>
              <w:pStyle w:val="Compact"/>
              <w:jc w:val="left"/>
            </w:pPr>
            <w:r>
              <w:t xml:space="preserve">$625M ÷ $89.4M</w:t>
            </w:r>
          </w:p>
        </w:tc>
      </w:tr>
      <w:tr>
        <w:tc>
          <w:tcPr/>
          <w:p>
            <w:pPr>
              <w:pStyle w:val="Compact"/>
              <w:jc w:val="left"/>
            </w:pPr>
            <w:r>
              <w:t xml:space="preserve">1L Pricing (non-default)</w:t>
            </w:r>
          </w:p>
        </w:tc>
        <w:tc>
          <w:tcPr/>
          <w:p>
            <w:pPr>
              <w:pStyle w:val="Compact"/>
              <w:jc w:val="left"/>
            </w:pPr>
            <w:r>
              <w:t xml:space="preserve">SOFR + 250 bps (~7.83% all-in at SOFR 5.33%)</w:t>
            </w:r>
          </w:p>
        </w:tc>
        <w:tc>
          <w:tcPr/>
          <w:p>
            <w:pPr>
              <w:pStyle w:val="Compact"/>
              <w:jc w:val="left"/>
            </w:pPr>
            <w:r>
              <w:t xml:space="preserve">1L Credit Agreement §2.08(a)</w:t>
            </w:r>
          </w:p>
        </w:tc>
      </w:tr>
      <w:tr>
        <w:tc>
          <w:tcPr/>
          <w:p>
            <w:pPr>
              <w:pStyle w:val="Compact"/>
              <w:jc w:val="left"/>
            </w:pPr>
            <w:r>
              <w:t xml:space="preserve">1L Default Rate</w:t>
            </w:r>
          </w:p>
        </w:tc>
        <w:tc>
          <w:tcPr/>
          <w:p>
            <w:pPr>
              <w:pStyle w:val="Compact"/>
              <w:jc w:val="left"/>
            </w:pPr>
            <w:r>
              <w:t xml:space="preserve">SOFR + 450 bps (~9.83%; +200 bps)</w:t>
            </w:r>
          </w:p>
        </w:tc>
        <w:tc>
          <w:tcPr/>
          <w:p>
            <w:pPr>
              <w:pStyle w:val="Compact"/>
              <w:jc w:val="left"/>
            </w:pPr>
            <w:r>
              <w:t xml:space="preserve">1L Credit Agreement §2.08(b)</w:t>
            </w:r>
          </w:p>
        </w:tc>
      </w:tr>
      <w:tr>
        <w:tc>
          <w:tcPr/>
          <w:p>
            <w:pPr>
              <w:pStyle w:val="Compact"/>
              <w:jc w:val="left"/>
            </w:pPr>
            <w:r>
              <w:t xml:space="preserve">2L Pricing (non-default)</w:t>
            </w:r>
          </w:p>
        </w:tc>
        <w:tc>
          <w:tcPr/>
          <w:p>
            <w:pPr>
              <w:pStyle w:val="Compact"/>
              <w:jc w:val="left"/>
            </w:pPr>
            <w:r>
              <w:t xml:space="preserve">SOFR + 625 bps (~11.58% all-in)</w:t>
            </w:r>
          </w:p>
        </w:tc>
        <w:tc>
          <w:tcPr/>
          <w:p>
            <w:pPr>
              <w:pStyle w:val="Compact"/>
              <w:jc w:val="left"/>
            </w:pPr>
            <w:r>
              <w:t xml:space="preserve">2L Credit Agreement</w:t>
            </w:r>
          </w:p>
        </w:tc>
      </w:tr>
      <w:tr>
        <w:tc>
          <w:tcPr/>
          <w:p>
            <w:pPr>
              <w:pStyle w:val="Compact"/>
              <w:jc w:val="left"/>
            </w:pPr>
            <w:r>
              <w:t xml:space="preserve">1L Maturity</w:t>
            </w:r>
          </w:p>
        </w:tc>
        <w:tc>
          <w:tcPr/>
          <w:p>
            <w:pPr>
              <w:pStyle w:val="Compact"/>
              <w:jc w:val="left"/>
            </w:pPr>
            <w:r>
              <w:t xml:space="preserve">June 15, 2030</w:t>
            </w:r>
          </w:p>
        </w:tc>
        <w:tc>
          <w:tcPr/>
          <w:p>
            <w:pPr>
              <w:pStyle w:val="Compact"/>
              <w:jc w:val="left"/>
            </w:pPr>
            <w:r>
              <w:t xml:space="preserve">1L Credit Agreement</w:t>
            </w:r>
          </w:p>
        </w:tc>
      </w:tr>
      <w:tr>
        <w:tc>
          <w:tcPr/>
          <w:p>
            <w:pPr>
              <w:pStyle w:val="Compact"/>
              <w:jc w:val="left"/>
            </w:pPr>
            <w:r>
              <w:t xml:space="preserve">2L Maturity</w:t>
            </w:r>
          </w:p>
        </w:tc>
        <w:tc>
          <w:tcPr/>
          <w:p>
            <w:pPr>
              <w:pStyle w:val="Compact"/>
              <w:jc w:val="left"/>
            </w:pPr>
            <w:r>
              <w:t xml:space="preserve">June 15, 2031</w:t>
            </w:r>
          </w:p>
        </w:tc>
        <w:tc>
          <w:tcPr/>
          <w:p>
            <w:pPr>
              <w:pStyle w:val="Compact"/>
              <w:jc w:val="left"/>
            </w:pPr>
            <w:r>
              <w:t xml:space="preserve">2L Credit Agreement</w:t>
            </w:r>
          </w:p>
        </w:tc>
      </w:tr>
      <w:tr>
        <w:tc>
          <w:tcPr/>
          <w:p>
            <w:pPr>
              <w:pStyle w:val="Compact"/>
              <w:jc w:val="left"/>
            </w:pPr>
            <w:r>
              <w:t xml:space="preserve">1L Financial Covenants</w:t>
            </w:r>
          </w:p>
        </w:tc>
        <w:tc>
          <w:tcPr/>
          <w:p>
            <w:pPr>
              <w:pStyle w:val="Compact"/>
              <w:jc w:val="left"/>
            </w:pPr>
            <w:r>
              <w:t xml:space="preserve">Total First Lien Net Leverage ≤ 5.50x; Interest Coverage ≥ 2.00x</w:t>
            </w:r>
          </w:p>
        </w:tc>
        <w:tc>
          <w:tcPr/>
          <w:p>
            <w:pPr>
              <w:pStyle w:val="Compact"/>
              <w:jc w:val="left"/>
            </w:pPr>
            <w:r>
              <w:t xml:space="preserve">1L Credit Agreement §6.10</w:t>
            </w:r>
          </w:p>
        </w:tc>
      </w:tr>
      <w:tr>
        <w:tc>
          <w:tcPr/>
          <w:p>
            <w:pPr>
              <w:pStyle w:val="Compact"/>
              <w:jc w:val="left"/>
            </w:pPr>
            <w:r>
              <w:t xml:space="preserve">2L Financial Maintenance Covenant</w:t>
            </w:r>
          </w:p>
        </w:tc>
        <w:tc>
          <w:tcPr/>
          <w:p>
            <w:pPr>
              <w:pStyle w:val="Compact"/>
              <w:jc w:val="left"/>
            </w:pPr>
            <w:r>
              <w:t xml:space="preserve">Total Leverage ≤ 6.50x (</w:t>
            </w:r>
            <w:r>
              <w:t xml:space="preserve">“</w:t>
            </w:r>
            <w:r>
              <w:t xml:space="preserve">Maximum Total Leverage Ratio</w:t>
            </w:r>
            <w:r>
              <w:t xml:space="preserve">”</w:t>
            </w:r>
            <w:r>
              <w:t xml:space="preserve">)</w:t>
            </w:r>
          </w:p>
        </w:tc>
        <w:tc>
          <w:tcPr/>
          <w:p>
            <w:pPr>
              <w:pStyle w:val="Compact"/>
              <w:jc w:val="left"/>
            </w:pPr>
            <w:r>
              <w:t xml:space="preserve">2L Credit Agreement §7.08</w:t>
            </w:r>
          </w:p>
        </w:tc>
      </w:tr>
    </w:tbl>
    <w:p>
      <w:pPr>
        <w:pStyle w:val="BodyText"/>
      </w:pPr>
      <w:r>
        <w:rPr>
          <w:b/>
          <w:bCs/>
        </w:rPr>
        <w:t xml:space="preserve">The Total LTV of 97.66% and the 2L equity cushion of 25.78% are the governing facts.</w:t>
      </w:r>
      <w:r>
        <w:t xml:space="preserve"> </w:t>
      </w:r>
      <w:r>
        <w:t xml:space="preserve">Aggregate secured debt nearly equals enterprise value, leaving only ~$165M of value beneath the 1L debt to absorb any deterioration before 1L impairment. This is the premise on which the 1L Agent insists on structural protections (long standstill, par purchase, hard sweep, tight refinancing cap) and on which the 2L Agent insists on its own protections (triggers, workable purchase right, refinancing flexibility, residual access). Every compromise below is designed to give each side</w:t>
      </w:r>
      <w:r>
        <w:t xml:space="preserve"> </w:t>
      </w:r>
      <w:r>
        <w:rPr>
          <w:i/>
          <w:iCs/>
        </w:rPr>
        <w:t xml:space="preserve">enough</w:t>
      </w:r>
      <w:r>
        <w:t xml:space="preserve"> </w:t>
      </w:r>
      <w:r>
        <w:t xml:space="preserve">of its structural protection without depriving the other of its bargained-for economics — and to do so at the market median, so that neither side is asked to accept a term outside the range of comparable transactions.</w:t>
      </w:r>
    </w:p>
    <w:p>
      <w:pPr>
        <w:pStyle w:val="BodyText"/>
      </w:pPr>
      <w:r>
        <w:t xml:space="preserve">The KTM Survey covers 42 broadly syndicated 1L/2L intercreditor agreements closed January 2022 through December 2024, all governed by New York law (40 of 42), with median total 1L facility of $475M, median total 2L facility of $150M, and median total secured debt of $625M — i.e., the survey’s central tendency tracks Meridian’s capital structure closely. Notably,</w:t>
      </w:r>
      <w:r>
        <w:t xml:space="preserve"> </w:t>
      </w:r>
      <w:r>
        <w:rPr>
          <w:b/>
          <w:bCs/>
        </w:rPr>
        <w:t xml:space="preserve">Deal-007 in the survey is a near-exact structural comparable</w:t>
      </w:r>
      <w:r>
        <w:t xml:space="preserve">: $475M 1L ($125M revolver + $350M TLA), $150M 2L, $625M total secured, non-sponsor industrial — the same sizes, the same components, and the same industry as Meridian. We reference Deal-007 throughout where its terms illuminate the compromise.</w:t>
      </w:r>
    </w:p>
    <w:p>
      <w:r>
        <w:pict>
          <v:rect style="width:0;height:1.5pt" o:hralign="center" o:hrstd="t" o:hr="t"/>
        </w:pict>
      </w:r>
    </w:p>
    <w:bookmarkEnd w:id="26"/>
    <w:bookmarkStart w:id="30" w:name="X86b6408fc436b0139b2fa2f44a11d34a3cda5a9"/>
    <w:p>
      <w:pPr>
        <w:pStyle w:val="Heading2"/>
      </w:pPr>
      <w:r>
        <w:t xml:space="preserve">V. Compromise Clause 1 — Standstill Period (Section 3.01(b))</w:t>
      </w:r>
    </w:p>
    <w:bookmarkStart w:id="27" w:name="a.-the-contested-positions"/>
    <w:p>
      <w:pPr>
        <w:pStyle w:val="Heading3"/>
      </w:pPr>
      <w:r>
        <w:t xml:space="preserve">A. The Contested Positions</w:t>
      </w:r>
    </w:p>
    <w:p>
      <w:pPr>
        <w:pStyle w:val="Compact"/>
        <w:numPr>
          <w:ilvl w:val="0"/>
          <w:numId w:val="1002"/>
        </w:numPr>
      </w:pPr>
      <w:r>
        <w:rPr>
          <w:b/>
          <w:bCs/>
        </w:rPr>
        <w:t xml:space="preserve">1L Agent (opening):</w:t>
      </w:r>
      <w:r>
        <w:t xml:space="preserve"> </w:t>
      </w:r>
      <w:r>
        <w:t xml:space="preserve">270-day standstill, absolute, with</w:t>
      </w:r>
      <w:r>
        <w:t xml:space="preserve"> </w:t>
      </w:r>
      <w:r>
        <w:rPr>
          <w:b/>
          <w:bCs/>
        </w:rPr>
        <w:t xml:space="preserve">no early termination events</w:t>
      </w:r>
      <w:r>
        <w:t xml:space="preserve"> </w:t>
      </w:r>
      <w:r>
        <w:t xml:space="preserve">under any circumstance.</w:t>
      </w:r>
    </w:p>
    <w:p>
      <w:pPr>
        <w:pStyle w:val="Compact"/>
        <w:numPr>
          <w:ilvl w:val="0"/>
          <w:numId w:val="1002"/>
        </w:numPr>
      </w:pPr>
      <w:r>
        <w:rPr>
          <w:b/>
          <w:bCs/>
        </w:rPr>
        <w:t xml:space="preserve">2L Agent (opening):</w:t>
      </w:r>
      <w:r>
        <w:t xml:space="preserve"> </w:t>
      </w:r>
      <w:r>
        <w:t xml:space="preserve">90-day standstill measured from delivery of an enforcement notice, with early termination upon 1L commencement of enforcement or the filing of an insolvency proceeding.</w:t>
      </w:r>
    </w:p>
    <w:bookmarkEnd w:id="27"/>
    <w:bookmarkStart w:id="28" w:name="b.-proposed-compromise-language"/>
    <w:p>
      <w:pPr>
        <w:pStyle w:val="Heading3"/>
      </w:pPr>
      <w:r>
        <w:t xml:space="preserve">B. Proposed Compromise Language</w:t>
      </w:r>
    </w:p>
    <w:p>
      <w:pPr>
        <w:pStyle w:val="BlockText"/>
      </w:pPr>
      <w:r>
        <w:rPr>
          <w:b/>
          <w:bCs/>
        </w:rPr>
        <w:t xml:space="preserve">Section 3.01(b) — Standstill Period.</w:t>
      </w:r>
      <w:r>
        <w:t xml:space="preserve"> </w:t>
      </w:r>
      <w:r>
        <w:t xml:space="preserve">Following the occurrence and during the continuance of a Second Lien Default, the Second Lien Agent shall not exercise any rights or remedies with respect to the Collateral for a period of</w:t>
      </w:r>
      <w:r>
        <w:t xml:space="preserve"> </w:t>
      </w:r>
      <w:r>
        <w:rPr>
          <w:b/>
          <w:bCs/>
        </w:rPr>
        <w:t xml:space="preserve">one hundred eighty (180) days</w:t>
      </w:r>
      <w:r>
        <w:t xml:space="preserve"> </w:t>
      </w:r>
      <w:r>
        <w:t xml:space="preserve">following the date of receipt by the Second Lien Agent of a written notice (a</w:t>
      </w:r>
      <w:r>
        <w:t xml:space="preserve"> </w:t>
      </w:r>
      <w:r>
        <w:t xml:space="preserve">“</w:t>
      </w:r>
      <w:r>
        <w:t xml:space="preserve">Blockage Notice</w:t>
      </w:r>
      <w:r>
        <w:t xml:space="preserve">”</w:t>
      </w:r>
      <w:r>
        <w:t xml:space="preserve">) from the First Lien Agent specifying in reasonable detail the Second Lien Default giving rise thereto (the</w:t>
      </w:r>
      <w:r>
        <w:t xml:space="preserve"> </w:t>
      </w:r>
      <w:r>
        <w:t xml:space="preserve">“</w:t>
      </w:r>
      <w:r>
        <w:t xml:space="preserve">Standstill Period</w:t>
      </w:r>
      <w:r>
        <w:t xml:space="preserve">”</w:t>
      </w:r>
      <w:r>
        <w:t xml:space="preserve">). The Standstill Period shall terminate prior to the expiration of such one hundred eighty (180)-day period upon the occurrence of any of the following Early Termination Events, each of which shall be objectively verifiable:</w:t>
      </w:r>
    </w:p>
    <w:p>
      <w:pPr>
        <w:pStyle w:val="BlockText"/>
      </w:pPr>
      <w:r>
        <w:rPr>
          <w:b/>
          <w:bCs/>
        </w:rPr>
        <w:t xml:space="preserve">(A) Enforcement Action Commenced.</w:t>
      </w:r>
      <w:r>
        <w:t xml:space="preserve"> </w:t>
      </w:r>
      <w:r>
        <w:t xml:space="preserve">The First Lien Agent or any First Lien Lender commences an Enforcement Action against all or substantially all of the Collateral, including by foreclosure, levy, exercise of remedies under UCC Article 9, judicial sale, or credit bid;</w:t>
      </w:r>
    </w:p>
    <w:p>
      <w:pPr>
        <w:pStyle w:val="BlockText"/>
      </w:pPr>
      <w:r>
        <w:rPr>
          <w:b/>
          <w:bCs/>
        </w:rPr>
        <w:t xml:space="preserve">(B) Cessation of Enforcement.</w:t>
      </w:r>
      <w:r>
        <w:t xml:space="preserve"> </w:t>
      </w:r>
      <w:r>
        <w:t xml:space="preserve">The First Lien Agent has commenced an Enforcement Action and thereafter ceases to take any material steps to prosecute such Enforcement Action for a period of</w:t>
      </w:r>
      <w:r>
        <w:t xml:space="preserve"> </w:t>
      </w:r>
      <w:r>
        <w:rPr>
          <w:b/>
          <w:bCs/>
        </w:rPr>
        <w:t xml:space="preserve">sixty (60) consecutive days</w:t>
      </w:r>
      <w:r>
        <w:t xml:space="preserve">;</w:t>
      </w:r>
    </w:p>
    <w:p>
      <w:pPr>
        <w:pStyle w:val="BlockText"/>
      </w:pPr>
      <w:r>
        <w:rPr>
          <w:b/>
          <w:bCs/>
        </w:rPr>
        <w:t xml:space="preserve">(C) Disposition of Substantially All Collateral.</w:t>
      </w:r>
      <w:r>
        <w:t xml:space="preserve"> </w:t>
      </w:r>
      <w:r>
        <w:t xml:space="preserve">All or substantially all of the Collateral is sold, transferred, or otherwise disposed of, whether pursuant to an Enforcement Action, an Insolvency Proceeding, or otherwise; or</w:t>
      </w:r>
    </w:p>
    <w:p>
      <w:pPr>
        <w:pStyle w:val="BlockText"/>
      </w:pPr>
      <w:r>
        <w:rPr>
          <w:b/>
          <w:bCs/>
        </w:rPr>
        <w:t xml:space="preserve">(D) Impairing Sale or Plan Without Consent.</w:t>
      </w:r>
      <w:r>
        <w:t xml:space="preserve"> </w:t>
      </w:r>
      <w:r>
        <w:t xml:space="preserve">In any Insolvency Proceeding, (i) a sale of all or substantially all of the Collateral is approved under Section 363 of the Bankruptcy Code (or any comparable provision of any other applicable law) free and clear of the Liens securing the Second Lien Obligations without the consent of the Second Lien Agent and without the Liens securing the Second Lien Obligations attaching to the proceeds thereof, or (ii) a plan of reorganization is confirmed that impairs the Second Lien Obligations without the consent of the Second Lien Agent.</w:t>
      </w:r>
    </w:p>
    <w:p>
      <w:pPr>
        <w:pStyle w:val="BlockText"/>
      </w:pPr>
      <w:r>
        <w:t xml:space="preserve">For the avoidance of doubt, (x) no Early Termination Event shall be deemed to have occurred solely by reason of (1) any diminution in the value of the Collateral, (2) the filing of an involuntary petition in bankruptcy against the Borrower or any loan party (unless and until such involuntary petition results in an event described in clause (D) above), (3) the commencement of a foreclosure or enforcement action by any third-party creditor, or (4) any failure by the First Lien Agent to commence an Enforcement Action within any specified period prior to the expiration of the full 180-day Standstill Period, and (y) upon the occurrence of any Early Termination Event, the Second Lien Agent’s right to exercise remedies shall remain subject in all respects to the lien priority, subordination, turnover, and proceeds-application provisions of this Agreement, including Sections 2.01, 2.02, 3.03, 4.01, and Article VI.</w:t>
      </w:r>
    </w:p>
    <w:p>
      <w:pPr>
        <w:pStyle w:val="BlockText"/>
      </w:pPr>
      <w:r>
        <w:t xml:space="preserve">No more than</w:t>
      </w:r>
      <w:r>
        <w:t xml:space="preserve"> </w:t>
      </w:r>
      <w:r>
        <w:rPr>
          <w:b/>
          <w:bCs/>
        </w:rPr>
        <w:t xml:space="preserve">two (2) Blockage Notices</w:t>
      </w:r>
      <w:r>
        <w:t xml:space="preserve"> </w:t>
      </w:r>
      <w:r>
        <w:t xml:space="preserve">may be delivered by the First Lien Agent during any rolling three hundred sixty-five (365)-day period, and no Blockage Notice shall be delivered, and no new Standstill Period shall commence, during the pendency of an existing Standstill Period.</w:t>
      </w:r>
    </w:p>
    <w:p>
      <w:pPr>
        <w:pStyle w:val="FirstParagraph"/>
      </w:pPr>
      <w:r>
        <w:rPr>
          <w:b/>
          <w:bCs/>
        </w:rPr>
        <w:t xml:space="preserve">Conforming defined term to be added to Section 1.01:</w:t>
      </w:r>
    </w:p>
    <w:p>
      <w:pPr>
        <w:pStyle w:val="BlockText"/>
      </w:pPr>
      <w:r>
        <w:t xml:space="preserve">“</w:t>
      </w:r>
      <w:r>
        <w:t xml:space="preserve">Enforcement Action</w:t>
      </w:r>
      <w:r>
        <w:t xml:space="preserve">”</w:t>
      </w:r>
      <w:r>
        <w:t xml:space="preserve"> </w:t>
      </w:r>
      <w:r>
        <w:t xml:space="preserve">means any foreclosure, levy, exercise of remedies under UCC Article 9, judicial sale, credit bid, or other realization upon, or exercise of remedies against, the Collateral by the First Lien Agent or any First Lien Lender under the First Lien Loan Documents or applicable law.</w:t>
      </w:r>
    </w:p>
    <w:bookmarkEnd w:id="28"/>
    <w:bookmarkStart w:id="29" w:name="c.-negotiation-rationale"/>
    <w:p>
      <w:pPr>
        <w:pStyle w:val="Heading3"/>
      </w:pPr>
      <w:r>
        <w:t xml:space="preserve">C. Negotiation Rationale</w:t>
      </w:r>
    </w:p>
    <w:p>
      <w:pPr>
        <w:pStyle w:val="FirstParagraph"/>
      </w:pPr>
      <w:r>
        <w:rPr>
          <w:b/>
          <w:bCs/>
        </w:rPr>
        <w:t xml:space="preserve">Why 180 days is within each side’s flexibility.</w:t>
      </w:r>
    </w:p>
    <w:p>
      <w:pPr>
        <w:pStyle w:val="BodyText"/>
      </w:pPr>
      <w:r>
        <w:rPr>
          <w:i/>
          <w:iCs/>
        </w:rPr>
        <w:t xml:space="preserve">For the 1L Agent:</w:t>
      </w:r>
      <w:r>
        <w:t xml:space="preserve"> </w:t>
      </w:r>
      <w:r>
        <w:t xml:space="preserve">The 1L Agent’s outside counsel has confirmed, on a without-prejudice basis, that Cartwright’s credit committee has approved a</w:t>
      </w:r>
      <w:r>
        <w:t xml:space="preserve"> </w:t>
      </w:r>
      <w:r>
        <w:rPr>
          <w:b/>
          <w:bCs/>
        </w:rPr>
        <w:t xml:space="preserve">minimum standstill of 150 days</w:t>
      </w:r>
      <w:r>
        <w:t xml:space="preserve"> </w:t>
      </w:r>
      <w:r>
        <w:t xml:space="preserve">as the hard floor and that</w:t>
      </w:r>
      <w:r>
        <w:t xml:space="preserve"> </w:t>
      </w:r>
      <w:r>
        <w:t xml:space="preserve">“</w:t>
      </w:r>
      <w:r>
        <w:t xml:space="preserve">the syndicate could live with something in the</w:t>
      </w:r>
      <w:r>
        <w:t xml:space="preserve"> </w:t>
      </w:r>
      <w:r>
        <w:rPr>
          <w:b/>
          <w:bCs/>
        </w:rPr>
        <w:t xml:space="preserve">150- to 180-day range</w:t>
      </w:r>
      <w:r>
        <w:t xml:space="preserve">.</w:t>
      </w:r>
      <w:r>
        <w:t xml:space="preserve">”</w:t>
      </w:r>
      <w:r>
        <w:t xml:space="preserve"> </w:t>
      </w:r>
      <w:r>
        <w:t xml:space="preserve">180 days is at the top of that range and is</w:t>
      </w:r>
      <w:r>
        <w:t xml:space="preserve"> </w:t>
      </w:r>
      <w:r>
        <w:rPr>
          <w:b/>
          <w:bCs/>
        </w:rPr>
        <w:t xml:space="preserve">30 days above the 150-day floor</w:t>
      </w:r>
      <w:r>
        <w:t xml:space="preserve"> </w:t>
      </w:r>
      <w:r>
        <w:t xml:space="preserve">below which Cartwright would be required to initiate re-syndication. It provides the 1L syndicate with a</w:t>
      </w:r>
      <w:r>
        <w:t xml:space="preserve"> </w:t>
      </w:r>
      <w:r>
        <w:rPr>
          <w:b/>
          <w:bCs/>
        </w:rPr>
        <w:t xml:space="preserve">full six months</w:t>
      </w:r>
      <w:r>
        <w:t xml:space="preserve"> </w:t>
      </w:r>
      <w:r>
        <w:t xml:space="preserve">— squarely within the</w:t>
      </w:r>
      <w:r>
        <w:t xml:space="preserve"> </w:t>
      </w:r>
      <w:r>
        <w:t xml:space="preserve">“</w:t>
      </w:r>
      <w:r>
        <w:t xml:space="preserve">six to nine months</w:t>
      </w:r>
      <w:r>
        <w:t xml:space="preserve">”</w:t>
      </w:r>
      <w:r>
        <w:t xml:space="preserve"> </w:t>
      </w:r>
      <w:r>
        <w:t xml:space="preserve">window the 1L Agent’s position letter identified as the minimum period reasonably necessary to pursue a comprehensive restructuring, orderly asset sale, or refinancing. Critically, the 1L Agent’s counsel expressly signaled openness to triggers at this duration:</w:t>
      </w:r>
      <w:r>
        <w:t xml:space="preserve"> </w:t>
      </w:r>
      <w:r>
        <w:t xml:space="preserve">“</w:t>
      </w:r>
      <w:r>
        <w:t xml:space="preserve">if a longer standstill —</w:t>
      </w:r>
      <w:r>
        <w:t xml:space="preserve"> </w:t>
      </w:r>
      <w:r>
        <w:rPr>
          <w:b/>
          <w:bCs/>
        </w:rPr>
        <w:t xml:space="preserve">closer to 180 days</w:t>
      </w:r>
      <w:r>
        <w:t xml:space="preserve"> </w:t>
      </w:r>
      <w:r>
        <w:t xml:space="preserve">— were paired with</w:t>
      </w:r>
      <w:r>
        <w:t xml:space="preserve"> </w:t>
      </w:r>
      <w:r>
        <w:rPr>
          <w:b/>
          <w:bCs/>
        </w:rPr>
        <w:t xml:space="preserve">carefully defined early termination triggers</w:t>
      </w:r>
      <w:r>
        <w:t xml:space="preserve">, that is something the committee would be willing to consider… the triggers would need to be</w:t>
      </w:r>
      <w:r>
        <w:t xml:space="preserve"> </w:t>
      </w:r>
      <w:r>
        <w:rPr>
          <w:b/>
          <w:bCs/>
        </w:rPr>
        <w:t xml:space="preserve">narrow and objectively verifiable</w:t>
      </w:r>
      <w:r>
        <w:t xml:space="preserve">, but the door is not closed.</w:t>
      </w:r>
      <w:r>
        <w:t xml:space="preserve">”</w:t>
      </w:r>
      <w:r>
        <w:t xml:space="preserve"> </w:t>
      </w:r>
      <w:r>
        <w:t xml:space="preserve">The compromise delivers exactly that: 180 days paired with four narrow, objectively verifiable triggers.</w:t>
      </w:r>
    </w:p>
    <w:p>
      <w:pPr>
        <w:pStyle w:val="BodyText"/>
      </w:pPr>
      <w:r>
        <w:rPr>
          <w:i/>
          <w:iCs/>
        </w:rPr>
        <w:t xml:space="preserve">For the 2L Agent:</w:t>
      </w:r>
      <w:r>
        <w:t xml:space="preserve"> </w:t>
      </w:r>
      <w:r>
        <w:t xml:space="preserve">The 2L Agent’s counsel has confirmed that Ridgeline</w:t>
      </w:r>
      <w:r>
        <w:t xml:space="preserve"> </w:t>
      </w:r>
      <w:r>
        <w:t xml:space="preserve">“</w:t>
      </w:r>
      <w:r>
        <w:t xml:space="preserve">can accept</w:t>
      </w:r>
      <w:r>
        <w:t xml:space="preserve"> </w:t>
      </w:r>
      <w:r>
        <w:rPr>
          <w:b/>
          <w:bCs/>
        </w:rPr>
        <w:t xml:space="preserve">up to a 180-day standstill</w:t>
      </w:r>
      <w:r>
        <w:t xml:space="preserve">, but only if the ICA includes</w:t>
      </w:r>
      <w:r>
        <w:t xml:space="preserve"> </w:t>
      </w:r>
      <w:r>
        <w:rPr>
          <w:b/>
          <w:bCs/>
        </w:rPr>
        <w:t xml:space="preserve">meaningful early termination triggers</w:t>
      </w:r>
      <w:r>
        <w:t xml:space="preserve">. This is a firm condition and not something we can decouple from the duration.</w:t>
      </w:r>
      <w:r>
        <w:t xml:space="preserve">”</w:t>
      </w:r>
      <w:r>
        <w:t xml:space="preserve"> </w:t>
      </w:r>
      <w:r>
        <w:t xml:space="preserve">The compromise meets both elements of that firm condition: it lands at the 2L’s stated ceiling (180 days)</w:t>
      </w:r>
      <w:r>
        <w:t xml:space="preserve"> </w:t>
      </w:r>
      <w:r>
        <w:rPr>
          <w:i/>
          <w:iCs/>
        </w:rPr>
        <w:t xml:space="preserve">and</w:t>
      </w:r>
      <w:r>
        <w:t xml:space="preserve"> </w:t>
      </w:r>
      <w:r>
        <w:t xml:space="preserve">includes the triggers the 2L deemed indispensable. The 2L’s counsel was explicit that</w:t>
      </w:r>
      <w:r>
        <w:t xml:space="preserve"> </w:t>
      </w:r>
      <w:r>
        <w:t xml:space="preserve">“</w:t>
      </w:r>
      <w:r>
        <w:t xml:space="preserve">a bare 180-day standstill without triggers is not something my client can accept — the two components are linked.</w:t>
      </w:r>
      <w:r>
        <w:t xml:space="preserve">”</w:t>
      </w:r>
      <w:r>
        <w:t xml:space="preserve"> </w:t>
      </w:r>
      <w:r>
        <w:t xml:space="preserve">The compromise does not present a bare 180-day standstill; it presents the linked package the 2L requires.</w:t>
      </w:r>
    </w:p>
    <w:p>
      <w:pPr>
        <w:pStyle w:val="BodyText"/>
      </w:pPr>
      <w:r>
        <w:rPr>
          <w:b/>
          <w:bCs/>
        </w:rPr>
        <w:t xml:space="preserve">Why the trigger set is acceptable to both sides.</w:t>
      </w:r>
    </w:p>
    <w:p>
      <w:pPr>
        <w:pStyle w:val="BodyText"/>
      </w:pPr>
      <w:r>
        <w:t xml:space="preserve">The four triggers are deliberately confined to</w:t>
      </w:r>
      <w:r>
        <w:t xml:space="preserve"> </w:t>
      </w:r>
      <w:r>
        <w:rPr>
          <w:b/>
          <w:bCs/>
        </w:rPr>
        <w:t xml:space="preserve">1L action, 1L inaction, or bankruptcy-process events</w:t>
      </w:r>
      <w:r>
        <w:t xml:space="preserve"> </w:t>
      </w:r>
      <w:r>
        <w:t xml:space="preserve">— they are</w:t>
      </w:r>
      <w:r>
        <w:t xml:space="preserve"> </w:t>
      </w:r>
      <w:r>
        <w:rPr>
          <w:i/>
          <w:iCs/>
        </w:rPr>
        <w:t xml:space="preserve">not</w:t>
      </w:r>
      <w:r>
        <w:t xml:space="preserve"> </w:t>
      </w:r>
      <w:r>
        <w:t xml:space="preserve">based on collateral value, third-party creditor action, or the mere passage of time. This respects the 1L Agent’s position letter, which specifically rejected early termination upon (i) diminution in collateral value, (ii) third-party foreclosure, (iii) involuntary bankruptcy filing, or (iv) failure by the 1L to commence enforcement within a specified period. The carve-out clause (x) in the drafting above expressly excludes each of those. What remains is a set of triggers that fire only when the 1L has either</w:t>
      </w:r>
      <w:r>
        <w:t xml:space="preserve"> </w:t>
      </w:r>
      <w:r>
        <w:rPr>
          <w:i/>
          <w:iCs/>
        </w:rPr>
        <w:t xml:space="preserve">started</w:t>
      </w:r>
      <w:r>
        <w:t xml:space="preserve"> </w:t>
      </w:r>
      <w:r>
        <w:t xml:space="preserve">realizing on collateral (trigger A — at which point the 2L’s lien follows the proceeds under Sections 4.01 and 6.06 and the 2L should be able to act),</w:t>
      </w:r>
      <w:r>
        <w:t xml:space="preserve"> </w:t>
      </w:r>
      <w:r>
        <w:rPr>
          <w:i/>
          <w:iCs/>
        </w:rPr>
        <w:t xml:space="preserve">stopped</w:t>
      </w:r>
      <w:r>
        <w:t xml:space="preserve"> </w:t>
      </w:r>
      <w:r>
        <w:t xml:space="preserve">pursuing enforcement it commenced (trigger B — addressing the 2L’s core concern that the 1L could</w:t>
      </w:r>
      <w:r>
        <w:t xml:space="preserve"> </w:t>
      </w:r>
      <w:r>
        <w:t xml:space="preserve">“</w:t>
      </w:r>
      <w:r>
        <w:t xml:space="preserve">run out the clock</w:t>
      </w:r>
      <w:r>
        <w:t xml:space="preserve">”</w:t>
      </w:r>
      <w:r>
        <w:t xml:space="preserve"> </w:t>
      </w:r>
      <w:r>
        <w:t xml:space="preserve">while collateral erodes),</w:t>
      </w:r>
      <w:r>
        <w:t xml:space="preserve"> </w:t>
      </w:r>
      <w:r>
        <w:rPr>
          <w:i/>
          <w:iCs/>
        </w:rPr>
        <w:t xml:space="preserve">disposed of</w:t>
      </w:r>
      <w:r>
        <w:t xml:space="preserve"> </w:t>
      </w:r>
      <w:r>
        <w:t xml:space="preserve">substantially all collateral (trigger C), or a bankruptcy process</w:t>
      </w:r>
      <w:r>
        <w:t xml:space="preserve"> </w:t>
      </w:r>
      <w:r>
        <w:rPr>
          <w:i/>
          <w:iCs/>
        </w:rPr>
        <w:t xml:space="preserve">impairs the 2L without its consent</w:t>
      </w:r>
      <w:r>
        <w:t xml:space="preserve"> </w:t>
      </w:r>
      <w:r>
        <w:t xml:space="preserve">(trigger D). Each is objectively verifiable by reference to a filed action, a measurable 60-day period, a completed disposition, or a court order — satisfying the 1L’s</w:t>
      </w:r>
      <w:r>
        <w:t xml:space="preserve"> </w:t>
      </w:r>
      <w:r>
        <w:t xml:space="preserve">“</w:t>
      </w:r>
      <w:r>
        <w:t xml:space="preserve">narrow and objectively verifiable</w:t>
      </w:r>
      <w:r>
        <w:t xml:space="preserve">”</w:t>
      </w:r>
      <w:r>
        <w:t xml:space="preserve"> </w:t>
      </w:r>
      <w:r>
        <w:t xml:space="preserve">requirement.</w:t>
      </w:r>
    </w:p>
    <w:p>
      <w:pPr>
        <w:pStyle w:val="BodyText"/>
      </w:pPr>
      <w:r>
        <w:t xml:space="preserve">The triggers also track the most common triggers in the KTM Survey: liquidation commenced (29 of 42 deals), credit bid by 1L (22 of 42), and sale motion filed without 2L consent (9 of 42). Trigger D’s sale-motion component is drawn directly from that market practice.</w:t>
      </w:r>
    </w:p>
    <w:p>
      <w:pPr>
        <w:pStyle w:val="BodyText"/>
      </w:pPr>
      <w:r>
        <w:rPr>
          <w:b/>
          <w:bCs/>
        </w:rPr>
        <w:t xml:space="preserve">Why the Blockage Notice cap is balanced.</w:t>
      </w:r>
    </w:p>
    <w:p>
      <w:pPr>
        <w:pStyle w:val="BodyText"/>
      </w:pPr>
      <w:r>
        <w:t xml:space="preserve">Neither side’s opening position included a cap on Blockage Notices, but the working draft’s drafting note flagged this as an open issue the compromise should resolve. A cap of two notices per rolling 365-day period, with no</w:t>
      </w:r>
      <w:r>
        <w:t xml:space="preserve"> </w:t>
      </w:r>
      <w:r>
        <w:t xml:space="preserve">“</w:t>
      </w:r>
      <w:r>
        <w:t xml:space="preserve">stacking</w:t>
      </w:r>
      <w:r>
        <w:t xml:space="preserve">”</w:t>
      </w:r>
      <w:r>
        <w:t xml:space="preserve"> </w:t>
      </w:r>
      <w:r>
        <w:t xml:space="preserve">(no new standstill while one is pending), prevents the tactical abuse the 2L Agent identified — successive Blockage Notices used to</w:t>
      </w:r>
      <w:r>
        <w:t xml:space="preserve"> </w:t>
      </w:r>
      <w:r>
        <w:t xml:space="preserve">“</w:t>
      </w:r>
      <w:r>
        <w:t xml:space="preserve">run out the clock on Second Lien remedies while collateral value declines</w:t>
      </w:r>
      <w:r>
        <w:t xml:space="preserve">”</w:t>
      </w:r>
      <w:r>
        <w:t xml:space="preserve"> </w:t>
      </w:r>
      <w:r>
        <w:t xml:space="preserve">— while preserving the 1L’s ability to address successive, genuinely distinct defaults. This is a meaningful protection for the 2L and a modest, administrable constraint on the 1L.</w:t>
      </w:r>
    </w:p>
    <w:p>
      <w:pPr>
        <w:pStyle w:val="BodyText"/>
      </w:pPr>
      <w:r>
        <w:rPr>
          <w:b/>
          <w:bCs/>
        </w:rPr>
        <w:t xml:space="preserve">Market support.</w:t>
      </w:r>
    </w:p>
    <w:p>
      <w:pPr>
        <w:pStyle w:val="Compact"/>
        <w:numPr>
          <w:ilvl w:val="0"/>
          <w:numId w:val="1003"/>
        </w:numPr>
      </w:pPr>
      <w:r>
        <w:t xml:space="preserve">The</w:t>
      </w:r>
      <w:r>
        <w:t xml:space="preserve"> </w:t>
      </w:r>
      <w:r>
        <w:rPr>
          <w:b/>
          <w:bCs/>
        </w:rPr>
        <w:t xml:space="preserve">median standstill across all 42 surveyed deals is 180 days</w:t>
      </w:r>
      <w:r>
        <w:t xml:space="preserve"> </w:t>
      </w:r>
      <w:r>
        <w:t xml:space="preserve">(mean 172.9; 25th percentile 150; 75th percentile 202.5). The 1L Agent’s own counsel acknowledged</w:t>
      </w:r>
      <w:r>
        <w:t xml:space="preserve"> </w:t>
      </w:r>
      <w:r>
        <w:t xml:space="preserve">“</w:t>
      </w:r>
      <w:r>
        <w:t xml:space="preserve">the market data suggesting a median of approximately 180 days across comparable 2022–2024 transactions.</w:t>
      </w:r>
      <w:r>
        <w:t xml:space="preserve">”</w:t>
      </w:r>
    </w:p>
    <w:p>
      <w:pPr>
        <w:pStyle w:val="Compact"/>
        <w:numPr>
          <w:ilvl w:val="0"/>
          <w:numId w:val="1003"/>
        </w:numPr>
      </w:pPr>
      <w:r>
        <w:rPr>
          <w:b/>
          <w:bCs/>
        </w:rPr>
        <w:t xml:space="preserve">76% of deals (32 of 42) include early-termination triggers</w:t>
      </w:r>
      <w:r>
        <w:t xml:space="preserve">; only 24% (10 of 42) have an absolute standstill. The 1L’s 270-day absolute standstill is an outlier — only one surveyed deal (Deal-015, a strong-sponsor transaction) used 270 days, and it was flagged as an outlier.</w:t>
      </w:r>
    </w:p>
    <w:p>
      <w:pPr>
        <w:pStyle w:val="Compact"/>
        <w:numPr>
          <w:ilvl w:val="0"/>
          <w:numId w:val="1003"/>
        </w:numPr>
      </w:pPr>
      <w:r>
        <w:t xml:space="preserve">The</w:t>
      </w:r>
      <w:r>
        <w:t xml:space="preserve"> </w:t>
      </w:r>
      <w:r>
        <w:rPr>
          <w:b/>
          <w:bCs/>
        </w:rPr>
        <w:t xml:space="preserve">180-days-plus-triggers pairing appears in 25 of 42 deals</w:t>
      </w:r>
      <w:r>
        <w:t xml:space="preserve"> </w:t>
      </w:r>
      <w:r>
        <w:t xml:space="preserve">— it is the market-standard combination, not a novel construct.</w:t>
      </w:r>
    </w:p>
    <w:p>
      <w:pPr>
        <w:pStyle w:val="Compact"/>
        <w:numPr>
          <w:ilvl w:val="0"/>
          <w:numId w:val="1003"/>
        </w:numPr>
      </w:pPr>
      <w:r>
        <w:t xml:space="preserve">The closest structural comparable,</w:t>
      </w:r>
      <w:r>
        <w:t xml:space="preserve"> </w:t>
      </w:r>
      <w:r>
        <w:rPr>
          <w:b/>
          <w:bCs/>
        </w:rPr>
        <w:t xml:space="preserve">Deal-007</w:t>
      </w:r>
      <w:r>
        <w:t xml:space="preserve"> </w:t>
      </w:r>
      <w:r>
        <w:t xml:space="preserve">($475M 1L / $150M 2L / $625M total, non-sponsor industrial), used 150 days with no triggers. Our 180-day-with-triggers compromise is, if anything, modestly more 1L-favorable on duration than the closest comparable, while giving the 2L the triggers that Deal-007 lacked.</w:t>
      </w:r>
    </w:p>
    <w:p>
      <w:pPr>
        <w:pStyle w:val="FirstParagraph"/>
      </w:pPr>
      <w:r>
        <w:rPr>
          <w:b/>
          <w:bCs/>
        </w:rPr>
        <w:t xml:space="preserve">Quantified economic impact.</w:t>
      </w:r>
    </w:p>
    <w:p>
      <w:pPr>
        <w:pStyle w:val="BodyText"/>
      </w:pPr>
      <w:r>
        <w:t xml:space="preserve">The 2L Agent’s position letter quantified the collateral-erosion risk that drives its standstill position: with a 25.78% equity cushion (~$165M), a TEV decline of 15% (to ~$544M) over a 270-day standstill would reduce the 2L’s theoretical recovery to ~$69M (≈46 cents on the dollar), and a 25.78% decline would zero out the 2L entirely. Reducing the standstill from 270 to 180 days</w:t>
      </w:r>
      <w:r>
        <w:t xml:space="preserve"> </w:t>
      </w:r>
      <w:r>
        <w:rPr>
          <w:b/>
          <w:bCs/>
        </w:rPr>
        <w:t xml:space="preserve">shortens the maximum erosion window by 90 days (one-third)</w:t>
      </w:r>
      <w:r>
        <w:t xml:space="preserve">, materially reducing the probability that the 2L is wiped out while locked out. At the same time, the 1L retains a full 180-day protected period — and the floating-rate structure (2L at SOFR + 625 bps, ~11.58%) means interest continues to accrue on the 2L Obligations during the standstill, partially compensating the 2L for the passage of time, as the 1L Agent’s own letter acknowledged. The 1L’s recovery is not impaired by the shorter standstill because the 1L retains first-priority lien and proceeds priority throughout (the triggers expressly preserve the subordination and waterfall), and because the 1L controls the timing of its own enforcement — the triggers fire only on the 1L’s own action or inaction.</w:t>
      </w:r>
    </w:p>
    <w:p>
      <w:r>
        <w:pict>
          <v:rect style="width:0;height:1.5pt" o:hralign="center" o:hrstd="t" o:hr="t"/>
        </w:pict>
      </w:r>
    </w:p>
    <w:bookmarkEnd w:id="29"/>
    <w:bookmarkEnd w:id="30"/>
    <w:bookmarkStart w:id="34" w:name="X309426db57fe8ba0ebf13536ca30d76221d14d8"/>
    <w:p>
      <w:pPr>
        <w:pStyle w:val="Heading2"/>
      </w:pPr>
      <w:r>
        <w:t xml:space="preserve">VI. Compromise Clause 2 — Second Lien Purchase Right (Section 5.01)</w:t>
      </w:r>
    </w:p>
    <w:bookmarkStart w:id="31" w:name="a.-the-contested-positions-1"/>
    <w:p>
      <w:pPr>
        <w:pStyle w:val="Heading3"/>
      </w:pPr>
      <w:r>
        <w:t xml:space="preserve">A. The Contested Positions</w:t>
      </w:r>
    </w:p>
    <w:p>
      <w:pPr>
        <w:pStyle w:val="FirstParagraph"/>
      </w:pPr>
      <w:r>
        <w:t xml:space="preserve">Four sub-issues are open: (A) the Purchase Price mechanic; (B) the interest rate for accrued interest; (C) mandatory vs. optional assumption of unfunded revolver commitments; and (D) the scope of exercise triggers.</w:t>
      </w:r>
    </w:p>
    <w:p>
      <w:pPr>
        <w:pStyle w:val="Compact"/>
        <w:numPr>
          <w:ilvl w:val="0"/>
          <w:numId w:val="1004"/>
        </w:numPr>
      </w:pPr>
      <w:r>
        <w:rPr>
          <w:b/>
          <w:bCs/>
        </w:rPr>
        <w:t xml:space="preserve">1L Agent (opening):</w:t>
      </w:r>
      <w:r>
        <w:t xml:space="preserve"> </w:t>
      </w:r>
      <w:r>
        <w:t xml:space="preserve">Par (100% principal +</w:t>
      </w:r>
      <w:r>
        <w:t xml:space="preserve"> </w:t>
      </w:r>
      <w:r>
        <w:rPr>
          <w:b/>
          <w:bCs/>
        </w:rPr>
        <w:t xml:space="preserve">default-rate</w:t>
      </w:r>
      <w:r>
        <w:t xml:space="preserve"> </w:t>
      </w:r>
      <w:r>
        <w:t xml:space="preserve">interest + fees) +</w:t>
      </w:r>
      <w:r>
        <w:t xml:space="preserve"> </w:t>
      </w:r>
      <w:r>
        <w:rPr>
          <w:b/>
          <w:bCs/>
        </w:rPr>
        <w:t xml:space="preserve">mandatory</w:t>
      </w:r>
      <w:r>
        <w:t xml:space="preserve"> </w:t>
      </w:r>
      <w:r>
        <w:t xml:space="preserve">assumption of unfunded revolver commitments ($125M); exercisable only on a 1L Event of Default.</w:t>
      </w:r>
    </w:p>
    <w:p>
      <w:pPr>
        <w:pStyle w:val="Compact"/>
        <w:numPr>
          <w:ilvl w:val="0"/>
          <w:numId w:val="1004"/>
        </w:numPr>
      </w:pPr>
      <w:r>
        <w:rPr>
          <w:b/>
          <w:bCs/>
        </w:rPr>
        <w:t xml:space="preserve">2L Agent (opening):</w:t>
      </w:r>
      <w:r>
        <w:t xml:space="preserve"> </w:t>
      </w:r>
      <w:r>
        <w:rPr>
          <w:b/>
          <w:bCs/>
        </w:rPr>
        <w:t xml:space="preserve">Lesser of par</w:t>
      </w:r>
      <w:r>
        <w:t xml:space="preserve"> </w:t>
      </w:r>
      <w:r>
        <w:t xml:space="preserve">(non-default rate)</w:t>
      </w:r>
      <w:r>
        <w:t xml:space="preserve"> </w:t>
      </w:r>
      <w:r>
        <w:rPr>
          <w:b/>
          <w:bCs/>
        </w:rPr>
        <w:t xml:space="preserve">or FMV</w:t>
      </w:r>
      <w:r>
        <w:t xml:space="preserve"> </w:t>
      </w:r>
      <w:r>
        <w:t xml:space="preserve">(independent dealer poll);</w:t>
      </w:r>
      <w:r>
        <w:t xml:space="preserve"> </w:t>
      </w:r>
      <w:r>
        <w:rPr>
          <w:b/>
          <w:bCs/>
        </w:rPr>
        <w:t xml:space="preserve">no</w:t>
      </w:r>
      <w:r>
        <w:t xml:space="preserve"> </w:t>
      </w:r>
      <w:r>
        <w:t xml:space="preserve">unfunded revolver assumption; exercisable on a 1L or 2L Event of Default or 1L acceleration.</w:t>
      </w:r>
    </w:p>
    <w:bookmarkEnd w:id="31"/>
    <w:bookmarkStart w:id="32" w:name="b.-proposed-compromise-language-1"/>
    <w:p>
      <w:pPr>
        <w:pStyle w:val="Heading3"/>
      </w:pPr>
      <w:r>
        <w:t xml:space="preserve">B. Proposed Compromise Language</w:t>
      </w:r>
    </w:p>
    <w:p>
      <w:pPr>
        <w:pStyle w:val="BlockText"/>
      </w:pPr>
      <w:r>
        <w:rPr>
          <w:b/>
          <w:bCs/>
        </w:rPr>
        <w:t xml:space="preserve">Section 5.01 — Second Lien Purchase Right.</w:t>
      </w:r>
      <w:r>
        <w:t xml:space="preserve"> </w:t>
      </w:r>
      <w:r>
        <w:t xml:space="preserve">At any time during the period of</w:t>
      </w:r>
      <w:r>
        <w:t xml:space="preserve"> </w:t>
      </w:r>
      <w:r>
        <w:rPr>
          <w:b/>
          <w:bCs/>
        </w:rPr>
        <w:t xml:space="preserve">thirty (30) days</w:t>
      </w:r>
      <w:r>
        <w:t xml:space="preserve"> </w:t>
      </w:r>
      <w:r>
        <w:t xml:space="preserve">following (i) the occurrence and during the continuance of an Event of Default under the First Lien Credit Agreement, or (ii) the delivery by the First Lien Agent of a notice of acceleration of the First Lien Obligations, in each case, the Second Lien Agent (on behalf of the Second Lien Lenders) shall have the right (but not the obligation) to purchase all (but not less than all) of the First Lien Obligations (the</w:t>
      </w:r>
      <w:r>
        <w:t xml:space="preserve"> </w:t>
      </w:r>
      <w:r>
        <w:t xml:space="preserve">“</w:t>
      </w:r>
      <w:r>
        <w:t xml:space="preserve">Second Lien Purchase Right</w:t>
      </w:r>
      <w:r>
        <w:t xml:space="preserve">”</w:t>
      </w:r>
      <w:r>
        <w:t xml:space="preserve">) by paying to the First Lien Agent in immediately available funds a purchase price (the</w:t>
      </w:r>
      <w:r>
        <w:t xml:space="preserve"> </w:t>
      </w:r>
      <w:r>
        <w:t xml:space="preserve">“</w:t>
      </w:r>
      <w:r>
        <w:t xml:space="preserve">Purchase Price</w:t>
      </w:r>
      <w:r>
        <w:t xml:space="preserve">”</w:t>
      </w:r>
      <w:r>
        <w:t xml:space="preserve">) equal to the sum of:</w:t>
      </w:r>
    </w:p>
    <w:p>
      <w:pPr>
        <w:pStyle w:val="BlockText"/>
      </w:pPr>
      <w:r>
        <w:rPr>
          <w:b/>
          <w:bCs/>
        </w:rPr>
        <w:t xml:space="preserve">(i) Outstanding Principal.</w:t>
      </w:r>
      <w:r>
        <w:t xml:space="preserve"> </w:t>
      </w:r>
      <w:r>
        <w:t xml:space="preserve">one hundred percent (100%) of the aggregate outstanding principal amount of all funded First Lien Obligations (including all amounts outstanding under the First Lien Term Loan A and all drawn amounts under the First Lien Revolver);</w:t>
      </w:r>
    </w:p>
    <w:p>
      <w:pPr>
        <w:pStyle w:val="BlockText"/>
      </w:pPr>
      <w:r>
        <w:rPr>
          <w:i/>
          <w:iCs/>
        </w:rPr>
        <w:t xml:space="preserve">plus</w:t>
      </w:r>
    </w:p>
    <w:p>
      <w:pPr>
        <w:pStyle w:val="BlockText"/>
      </w:pPr>
      <w:r>
        <w:rPr>
          <w:b/>
          <w:bCs/>
        </w:rPr>
        <w:t xml:space="preserve">(ii) Accrued Interest.</w:t>
      </w:r>
      <w:r>
        <w:t xml:space="preserve"> </w:t>
      </w:r>
      <w:r>
        <w:t xml:space="preserve">all accrued and unpaid interest thereon, calculated at the</w:t>
      </w:r>
      <w:r>
        <w:t xml:space="preserve"> </w:t>
      </w:r>
      <w:r>
        <w:rPr>
          <w:b/>
          <w:bCs/>
        </w:rPr>
        <w:t xml:space="preserve">non-default contract rate</w:t>
      </w:r>
      <w:r>
        <w:t xml:space="preserve"> </w:t>
      </w:r>
      <w:r>
        <w:t xml:space="preserve">applicable under the First Lien Credit Agreement (i.e., Adjusted Term SOFR plus the Applicable Rate, without giving effect to any default-rate margin), through and including the date of purchase;</w:t>
      </w:r>
    </w:p>
    <w:p>
      <w:pPr>
        <w:pStyle w:val="BlockText"/>
      </w:pPr>
      <w:r>
        <w:rPr>
          <w:i/>
          <w:iCs/>
        </w:rPr>
        <w:t xml:space="preserve">plus</w:t>
      </w:r>
    </w:p>
    <w:p>
      <w:pPr>
        <w:pStyle w:val="BlockText"/>
      </w:pPr>
      <w:r>
        <w:rPr>
          <w:b/>
          <w:bCs/>
        </w:rPr>
        <w:t xml:space="preserve">(iii) Fees, Costs, and Other Amounts.</w:t>
      </w:r>
      <w:r>
        <w:t xml:space="preserve"> </w:t>
      </w:r>
      <w:r>
        <w:t xml:space="preserve">all fees, costs, and expenses (including reasonable and documented fees and disbursements of counsel), indemnification obligations, breakage costs (including any swap breakage or early termination costs under any hedging arrangements), yield protection amounts (including increased costs, capital adequacy charges, and tax gross-up amounts), and all other amounts then due and payable or accrued under or in connection with the First Lien Loan Documents, whether or not invoiced;</w:t>
      </w:r>
    </w:p>
    <w:p>
      <w:pPr>
        <w:pStyle w:val="BlockText"/>
      </w:pPr>
      <w:r>
        <w:rPr>
          <w:i/>
          <w:iCs/>
        </w:rPr>
        <w:t xml:space="preserve">plus</w:t>
      </w:r>
    </w:p>
    <w:p>
      <w:pPr>
        <w:pStyle w:val="BlockText"/>
      </w:pPr>
      <w:r>
        <w:rPr>
          <w:b/>
          <w:bCs/>
        </w:rPr>
        <w:t xml:space="preserve">(iv) Letters of Credit.</w:t>
      </w:r>
      <w:r>
        <w:t xml:space="preserve"> </w:t>
      </w:r>
      <w:r>
        <w:t xml:space="preserve">the aggregate LC Exposure, which shall be addressed by the purchaser, simultaneously with the consummation of the purchase, either (x) by depositing cash collateral in an amount equal to one hundred three percent (103%) of the aggregate face amount of all outstanding Letters of Credit in an account with the First Lien Agent (or its successor) for the benefit of the Issuing Bank, or (y) by delivering to the Issuing Bank one or more back-to-back replacement letters of credit in form and substance satisfactory to the Issuing Bank.</w:t>
      </w:r>
    </w:p>
    <w:p>
      <w:pPr>
        <w:pStyle w:val="BlockText"/>
      </w:pPr>
      <w:r>
        <w:rPr>
          <w:b/>
          <w:bCs/>
        </w:rPr>
        <w:t xml:space="preserve">Assumption of Unfunded Revolver Commitments.</w:t>
      </w:r>
      <w:r>
        <w:t xml:space="preserve"> </w:t>
      </w:r>
      <w:r>
        <w:t xml:space="preserve">Assumption of the unfunded commitments under the First Lien Revolver shall be</w:t>
      </w:r>
      <w:r>
        <w:t xml:space="preserve"> </w:t>
      </w:r>
      <w:r>
        <w:rPr>
          <w:b/>
          <w:bCs/>
        </w:rPr>
        <w:t xml:space="preserve">at the sole election of the Second Lien Agent (or its designee)</w:t>
      </w:r>
      <w:r>
        <w:t xml:space="preserve">. If the Second Lien Agent (or its designee) elects to assume such unfunded commitments, it shall execute and deliver to the First Lien Agent an assumption agreement, in form and substance reasonably satisfactory to the First Lien Agent, pursuant to which the Second Lien Agent (or its designee) shall be irrevocably obligated to fund subsequent draws by the Borrower on terms no less favorable to the Borrower than those set forth in the First Lien Credit Agreement (including the same interest rate, commitment fee, borrowing base provisions, maturity, and conditions to borrowing). If the Second Lien Agent (or its designee) elects</w:t>
      </w:r>
      <w:r>
        <w:t xml:space="preserve"> </w:t>
      </w:r>
      <w:r>
        <w:rPr>
          <w:b/>
          <w:bCs/>
        </w:rPr>
        <w:t xml:space="preserve">not</w:t>
      </w:r>
      <w:r>
        <w:t xml:space="preserve"> </w:t>
      </w:r>
      <w:r>
        <w:t xml:space="preserve">to assume such unfunded commitments, the unfunded commitments under the First Lien Revolver shall terminate upon consummation of the purchase, and the Second Lien Agent (or its designee) shall have no obligation to fund any future draws thereunder;</w:t>
      </w:r>
      <w:r>
        <w:t xml:space="preserve"> </w:t>
      </w:r>
      <w:r>
        <w:rPr>
          <w:i/>
          <w:iCs/>
        </w:rPr>
        <w:t xml:space="preserve">provided</w:t>
      </w:r>
      <w:r>
        <w:t xml:space="preserve"> </w:t>
      </w:r>
      <w:r>
        <w:t xml:space="preserve">that the Borrower and the Second Lien Agent (or its designee) shall negotiate in good faith regarding a replacement revolving credit facility, and</w:t>
      </w:r>
      <w:r>
        <w:t xml:space="preserve"> </w:t>
      </w:r>
      <w:r>
        <w:rPr>
          <w:i/>
          <w:iCs/>
        </w:rPr>
        <w:t xml:space="preserve">provided, further</w:t>
      </w:r>
      <w:r>
        <w:t xml:space="preserve">, that the foregoing termination shall not relieve the purchaser of the obligation to acquire all drawn amounts under the First Lien Revolver outstanding as of the date of purchase (which are included in clause (i) above as funded First Lien Obligations).</w:t>
      </w:r>
    </w:p>
    <w:p>
      <w:pPr>
        <w:pStyle w:val="BlockText"/>
      </w:pPr>
      <w:r>
        <w:t xml:space="preserve">The purchase shall be on a par, non-recourse, as-is, where-is basis, without representation or warranty of any kind by the First Lien Agent or any First Lien Lender (other than representations as to the authority of the assigning lender to assign and the enforceability of the transfer). The mechanics of the purchase (including the form, delivery, and irrevocability of the Purchase Notice, the closing location, the assignment agreements, the payoff letter, and the allocation of closing costs) shall be as set forth in Section 5.02.</w:t>
      </w:r>
    </w:p>
    <w:bookmarkEnd w:id="32"/>
    <w:bookmarkStart w:id="33" w:name="c.-negotiation-rationale-1"/>
    <w:p>
      <w:pPr>
        <w:pStyle w:val="Heading3"/>
      </w:pPr>
      <w:r>
        <w:t xml:space="preserve">C. Negotiation Rationale</w:t>
      </w:r>
    </w:p>
    <w:p>
      <w:pPr>
        <w:pStyle w:val="FirstParagraph"/>
      </w:pPr>
      <w:r>
        <w:rPr>
          <w:b/>
          <w:bCs/>
        </w:rPr>
        <w:t xml:space="preserve">(A) Purchase Price — Par for funded debt.</w:t>
      </w:r>
    </w:p>
    <w:p>
      <w:pPr>
        <w:pStyle w:val="BodyText"/>
      </w:pPr>
      <w:r>
        <w:t xml:space="preserve">Par for funded debt is the 1L Agent’s stated non-negotiable (</w:t>
      </w:r>
      <w:r>
        <w:t xml:space="preserve">“</w:t>
      </w:r>
      <w:r>
        <w:t xml:space="preserve">par purchase price for funded debt is non-negotiable… there is no room to move</w:t>
      </w:r>
      <w:r>
        <w:t xml:space="preserve">”</w:t>
      </w:r>
      <w:r>
        <w:t xml:space="preserve">), and the 2L Agent has conceded it (</w:t>
      </w:r>
      <w:r>
        <w:t xml:space="preserve">“</w:t>
      </w:r>
      <w:r>
        <w:t xml:space="preserve">Ridgeline acknowledges that par for funded debt may be acceptable… This is a significant concession on our part</w:t>
      </w:r>
      <w:r>
        <w:t xml:space="preserve">”</w:t>
      </w:r>
      <w:r>
        <w:t xml:space="preserve">). The compromise accordingly adopts par for funded debt and</w:t>
      </w:r>
      <w:r>
        <w:t xml:space="preserve"> </w:t>
      </w:r>
      <w:r>
        <w:rPr>
          <w:b/>
          <w:bCs/>
        </w:rPr>
        <w:t xml:space="preserve">drops the FMV / dealer-poll alternative</w:t>
      </w:r>
      <w:r>
        <w:t xml:space="preserve"> </w:t>
      </w:r>
      <w:r>
        <w:t xml:space="preserve">that the 2L proposed. This is the market majority:</w:t>
      </w:r>
      <w:r>
        <w:t xml:space="preserve"> </w:t>
      </w:r>
      <w:r>
        <w:rPr>
          <w:b/>
          <w:bCs/>
        </w:rPr>
        <w:t xml:space="preserve">71% of surveyed deals (30 of 42) use a par mechanic</w:t>
      </w:r>
      <w:r>
        <w:t xml:space="preserve">, versus only 10% (4 of 42) that use pure FMV. The closest comparable, Deal-007, uses par for funded debt. The 2L’s concession here is real — it gives up a below-par acquisition path — and it is the principal 2L concession that offsets the 1L’s concessions on the interest rate and the revolver assumption (see the package linkages in Part III).</w:t>
      </w:r>
    </w:p>
    <w:p>
      <w:pPr>
        <w:pStyle w:val="BodyText"/>
      </w:pPr>
      <w:r>
        <w:rPr>
          <w:b/>
          <w:bCs/>
        </w:rPr>
        <w:t xml:space="preserve">(B) Interest rate — Non-default contract rate.</w:t>
      </w:r>
    </w:p>
    <w:p>
      <w:pPr>
        <w:pStyle w:val="BodyText"/>
      </w:pPr>
      <w:r>
        <w:t xml:space="preserve">The compromise calculates accrued interest at the</w:t>
      </w:r>
      <w:r>
        <w:t xml:space="preserve"> </w:t>
      </w:r>
      <w:r>
        <w:rPr>
          <w:b/>
          <w:bCs/>
        </w:rPr>
        <w:t xml:space="preserve">non-default contract rate</w:t>
      </w:r>
      <w:r>
        <w:t xml:space="preserve"> </w:t>
      </w:r>
      <w:r>
        <w:t xml:space="preserve">(SOFR + 250 bps, ~7.83% all-in at the current SOFR of 5.33%), not the default rate (SOFR + 450 bps, ~9.83%). This is the market majority:</w:t>
      </w:r>
      <w:r>
        <w:t xml:space="preserve"> </w:t>
      </w:r>
      <w:r>
        <w:rPr>
          <w:b/>
          <w:bCs/>
        </w:rPr>
        <w:t xml:space="preserve">69% of deals (29 of 42) exclude default-rate interest</w:t>
      </w:r>
      <w:r>
        <w:t xml:space="preserve"> </w:t>
      </w:r>
      <w:r>
        <w:t xml:space="preserve">from the par calculation, and</w:t>
      </w:r>
      <w:r>
        <w:t xml:space="preserve"> </w:t>
      </w:r>
      <w:r>
        <w:rPr>
          <w:b/>
          <w:bCs/>
        </w:rPr>
        <w:t xml:space="preserve">90% (38 of 42) include the non-default contract rate</w:t>
      </w:r>
      <w:r>
        <w:t xml:space="preserve">. Only 31% (13 of 42) include default-rate interest — the 1L’s opening position is the minority market practice. Both sides have signaled flexibility here: the 1L’s counsel stated</w:t>
      </w:r>
      <w:r>
        <w:t xml:space="preserve"> </w:t>
      </w:r>
      <w:r>
        <w:t xml:space="preserve">“</w:t>
      </w:r>
      <w:r>
        <w:t xml:space="preserve">there may be room to accept accrued interest calculated at the non-default contract rate,</w:t>
      </w:r>
      <w:r>
        <w:t xml:space="preserve">”</w:t>
      </w:r>
      <w:r>
        <w:t xml:space="preserve"> </w:t>
      </w:r>
      <w:r>
        <w:t xml:space="preserve">and the 2L’s counsel confirmed willingness to</w:t>
      </w:r>
      <w:r>
        <w:t xml:space="preserve"> </w:t>
      </w:r>
      <w:r>
        <w:t xml:space="preserve">“</w:t>
      </w:r>
      <w:r>
        <w:t xml:space="preserve">discuss whether accrued interest at the non-default contract rate… could be part of the overall package.</w:t>
      </w:r>
      <w:r>
        <w:t xml:space="preserve">”</w:t>
      </w:r>
    </w:p>
    <w:p>
      <w:pPr>
        <w:pStyle w:val="BodyText"/>
      </w:pPr>
      <w:r>
        <w:rPr>
          <w:i/>
          <w:iCs/>
        </w:rPr>
        <w:t xml:space="preserve">Quantified impact.</w:t>
      </w:r>
      <w:r>
        <w:t xml:space="preserve"> </w:t>
      </w:r>
      <w:r>
        <w:t xml:space="preserve">On the full $475M 1L facility at full draw, the difference between the default rate and the non-default rate is</w:t>
      </w:r>
      <w:r>
        <w:t xml:space="preserve"> </w:t>
      </w:r>
      <w:r>
        <w:rPr>
          <w:b/>
          <w:bCs/>
        </w:rPr>
        <w:t xml:space="preserve">200 basis points</w:t>
      </w:r>
      <w:r>
        <w:t xml:space="preserve">, which equates to approximately: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Accrual Period</w:t>
            </w:r>
          </w:p>
        </w:tc>
        <w:tc>
          <w:tcPr/>
          <w:p>
            <w:pPr>
              <w:pStyle w:val="Compact"/>
              <w:jc w:val="left"/>
            </w:pPr>
            <w:r>
              <w:t xml:space="preserve">Non-default interest (7.83%)</w:t>
            </w:r>
          </w:p>
        </w:tc>
        <w:tc>
          <w:tcPr/>
          <w:p>
            <w:pPr>
              <w:pStyle w:val="Compact"/>
              <w:jc w:val="left"/>
            </w:pPr>
            <w:r>
              <w:t xml:space="preserve">Default interest (9.83%)</w:t>
            </w:r>
          </w:p>
        </w:tc>
        <w:tc>
          <w:tcPr/>
          <w:p>
            <w:pPr>
              <w:pStyle w:val="Compact"/>
              <w:jc w:val="left"/>
            </w:pPr>
            <w:r>
              <w:t xml:space="preserve">Difference (cost to purchaser of default rate)</w:t>
            </w:r>
          </w:p>
        </w:tc>
      </w:tr>
      <w:tr>
        <w:tc>
          <w:tcPr/>
          <w:p>
            <w:pPr>
              <w:pStyle w:val="Compact"/>
              <w:jc w:val="left"/>
            </w:pPr>
            <w:r>
              <w:t xml:space="preserve">90 days</w:t>
            </w:r>
          </w:p>
        </w:tc>
        <w:tc>
          <w:tcPr/>
          <w:p>
            <w:pPr>
              <w:pStyle w:val="Compact"/>
              <w:jc w:val="left"/>
            </w:pPr>
            <w:r>
              <w:t xml:space="preserve">~$9.30M</w:t>
            </w:r>
          </w:p>
        </w:tc>
        <w:tc>
          <w:tcPr/>
          <w:p>
            <w:pPr>
              <w:pStyle w:val="Compact"/>
              <w:jc w:val="left"/>
            </w:pPr>
            <w:r>
              <w:t xml:space="preserve">~$11.67M</w:t>
            </w:r>
          </w:p>
        </w:tc>
        <w:tc>
          <w:tcPr/>
          <w:p>
            <w:pPr>
              <w:pStyle w:val="Compact"/>
              <w:jc w:val="left"/>
            </w:pPr>
            <w:r>
              <w:rPr>
                <w:b/>
                <w:bCs/>
              </w:rPr>
              <w:t xml:space="preserve">~$2.37M</w:t>
            </w:r>
          </w:p>
        </w:tc>
      </w:tr>
      <w:tr>
        <w:tc>
          <w:tcPr/>
          <w:p>
            <w:pPr>
              <w:pStyle w:val="Compact"/>
              <w:jc w:val="left"/>
            </w:pPr>
            <w:r>
              <w:t xml:space="preserve">180 days</w:t>
            </w:r>
          </w:p>
        </w:tc>
        <w:tc>
          <w:tcPr/>
          <w:p>
            <w:pPr>
              <w:pStyle w:val="Compact"/>
              <w:jc w:val="left"/>
            </w:pPr>
            <w:r>
              <w:t xml:space="preserve">~$18.60M</w:t>
            </w:r>
          </w:p>
        </w:tc>
        <w:tc>
          <w:tcPr/>
          <w:p>
            <w:pPr>
              <w:pStyle w:val="Compact"/>
              <w:jc w:val="left"/>
            </w:pPr>
            <w:r>
              <w:t xml:space="preserve">~$23.35M</w:t>
            </w:r>
          </w:p>
        </w:tc>
        <w:tc>
          <w:tcPr/>
          <w:p>
            <w:pPr>
              <w:pStyle w:val="Compact"/>
              <w:jc w:val="left"/>
            </w:pPr>
            <w:r>
              <w:rPr>
                <w:b/>
                <w:bCs/>
              </w:rPr>
              <w:t xml:space="preserve">~$4.75M</w:t>
            </w:r>
          </w:p>
        </w:tc>
      </w:tr>
      <w:tr>
        <w:tc>
          <w:tcPr/>
          <w:p>
            <w:pPr>
              <w:pStyle w:val="Compact"/>
              <w:jc w:val="left"/>
            </w:pPr>
            <w:r>
              <w:t xml:space="preserve">270 days</w:t>
            </w:r>
          </w:p>
        </w:tc>
        <w:tc>
          <w:tcPr/>
          <w:p>
            <w:pPr>
              <w:pStyle w:val="Compact"/>
              <w:jc w:val="left"/>
            </w:pPr>
            <w:r>
              <w:t xml:space="preserve">~$27.88M</w:t>
            </w:r>
          </w:p>
        </w:tc>
        <w:tc>
          <w:tcPr/>
          <w:p>
            <w:pPr>
              <w:pStyle w:val="Compact"/>
              <w:jc w:val="left"/>
            </w:pPr>
            <w:r>
              <w:t xml:space="preserve">~$35.02M</w:t>
            </w:r>
          </w:p>
        </w:tc>
        <w:tc>
          <w:tcPr/>
          <w:p>
            <w:pPr>
              <w:pStyle w:val="Compact"/>
              <w:jc w:val="left"/>
            </w:pPr>
            <w:r>
              <w:rPr>
                <w:b/>
                <w:bCs/>
              </w:rPr>
              <w:t xml:space="preserve">~$7.14M</w:t>
            </w:r>
          </w:p>
        </w:tc>
      </w:tr>
    </w:tbl>
    <w:p>
      <w:pPr>
        <w:pStyle w:val="BodyText"/>
      </w:pPr>
      <w:r>
        <w:t xml:space="preserve">Using the non-default rate therefore saves the purchaser approximately</w:t>
      </w:r>
      <w:r>
        <w:t xml:space="preserve"> </w:t>
      </w:r>
      <w:r>
        <w:rPr>
          <w:b/>
          <w:bCs/>
        </w:rPr>
        <w:t xml:space="preserve">$2.4M on a 90-day accrual</w:t>
      </w:r>
      <w:r>
        <w:t xml:space="preserve"> </w:t>
      </w:r>
      <w:r>
        <w:t xml:space="preserve">(and ~$4.8M on 180 days) — a meaningful but not windfall-sized difference, and one that aligns with the market majority. The 1L retains 100% of principal plus its full contractual interest entitlement at the performing rate plus all fees and expenses; it gives up only the 200 bps default-rate increment, which the market predominantly treats as a punitive component not included in purchase prices. The illustrative par purchase price for funded debt at the non-default rate on a 90-day, full-draw basis is approximately</w:t>
      </w:r>
      <w:r>
        <w:t xml:space="preserve"> </w:t>
      </w:r>
      <w:r>
        <w:rPr>
          <w:b/>
          <w:bCs/>
        </w:rPr>
        <w:t xml:space="preserve">$484.3M</w:t>
      </w:r>
      <w:r>
        <w:t xml:space="preserve"> </w:t>
      </w:r>
      <w:r>
        <w:t xml:space="preserve">($475M principal + $9.30M interest), before fees/expenses (~$1.5M) and LC cash collateralization — consistent with the capital structure summary’s illustrative figure of $485.8M including fees.</w:t>
      </w:r>
    </w:p>
    <w:p>
      <w:pPr>
        <w:pStyle w:val="BodyText"/>
      </w:pPr>
      <w:r>
        <w:rPr>
          <w:b/>
          <w:bCs/>
        </w:rPr>
        <w:t xml:space="preserve">(C) Unfunded revolver — Optional at the purchaser’s election.</w:t>
      </w:r>
    </w:p>
    <w:p>
      <w:pPr>
        <w:pStyle w:val="BodyText"/>
      </w:pPr>
      <w:r>
        <w:t xml:space="preserve">The compromise makes assumption of the $125M unfunded revolver commitments</w:t>
      </w:r>
      <w:r>
        <w:t xml:space="preserve"> </w:t>
      </w:r>
      <w:r>
        <w:rPr>
          <w:b/>
          <w:bCs/>
        </w:rPr>
        <w:t xml:space="preserve">optional</w:t>
      </w:r>
      <w:r>
        <w:t xml:space="preserve">, not mandatory. This is the market majority (</w:t>
      </w:r>
      <w:r>
        <w:rPr>
          <w:b/>
          <w:bCs/>
        </w:rPr>
        <w:t xml:space="preserve">62% of deals, 26 of 42, make assumption optional</w:t>
      </w:r>
      <w:r>
        <w:t xml:space="preserve">; only 24% make it mandatory), and the trend is accelerating —</w:t>
      </w:r>
      <w:r>
        <w:t xml:space="preserve"> </w:t>
      </w:r>
      <w:r>
        <w:rPr>
          <w:b/>
          <w:bCs/>
        </w:rPr>
        <w:t xml:space="preserve">77% of 2024 deals</w:t>
      </w:r>
      <w:r>
        <w:t xml:space="preserve"> </w:t>
      </w:r>
      <w:r>
        <w:t xml:space="preserve">use optional assumption versus 50% of 2022 deals. Both sides have signaled flexibility: the 1L’s counsel stated</w:t>
      </w:r>
      <w:r>
        <w:t xml:space="preserve"> </w:t>
      </w:r>
      <w:r>
        <w:t xml:space="preserve">“</w:t>
      </w:r>
      <w:r>
        <w:t xml:space="preserve">there may be room to soften this requirement, potentially making assumption of unfunded Revolver commitments optional rather than mandatory,</w:t>
      </w:r>
      <w:r>
        <w:t xml:space="preserve">”</w:t>
      </w:r>
      <w:r>
        <w:t xml:space="preserve"> </w:t>
      </w:r>
      <w:r>
        <w:t xml:space="preserve">and the 2L’s counsel stated that mandatory assumption is a</w:t>
      </w:r>
      <w:r>
        <w:t xml:space="preserve"> </w:t>
      </w:r>
      <w:r>
        <w:t xml:space="preserve">“</w:t>
      </w:r>
      <w:r>
        <w:t xml:space="preserve">deal-breaker given the LPA constraints</w:t>
      </w:r>
      <w:r>
        <w:t xml:space="preserve">”</w:t>
      </w:r>
      <w:r>
        <w:t xml:space="preserve"> </w:t>
      </w:r>
      <w:r>
        <w:t xml:space="preserve">— a structural limitation of the Ridgeline fund vehicle (its limited partnership agreement restricts open-ended revolving credit commitment obligations), not a negotiating posture.</w:t>
      </w:r>
    </w:p>
    <w:p>
      <w:pPr>
        <w:pStyle w:val="BodyText"/>
      </w:pPr>
      <w:r>
        <w:t xml:space="preserve">The compromise respects the 1L’s concern about syndicate bifurcation by providing that, if the purchaser elects not to assume, the unfunded commitments</w:t>
      </w:r>
      <w:r>
        <w:t xml:space="preserve"> </w:t>
      </w:r>
      <w:r>
        <w:rPr>
          <w:b/>
          <w:bCs/>
        </w:rPr>
        <w:t xml:space="preserve">terminate</w:t>
      </w:r>
      <w:r>
        <w:t xml:space="preserve"> </w:t>
      </w:r>
      <w:r>
        <w:t xml:space="preserve">upon consummation of the purchase (rather than remaining with a residual revolver lender group in a way that would create the voting/collateral/enforcement conflicts the 1L identified). It also preserves the Borrower’s liquidity interest by requiring good-faith negotiation of a replacement revolver. The LC cash-collateralization/replacement requirement (clause (iv)) is preserved</w:t>
      </w:r>
      <w:r>
        <w:t xml:space="preserve"> </w:t>
      </w:r>
      <w:r>
        <w:rPr>
          <w:b/>
          <w:bCs/>
        </w:rPr>
        <w:t xml:space="preserve">regardless</w:t>
      </w:r>
      <w:r>
        <w:t xml:space="preserve"> </w:t>
      </w:r>
      <w:r>
        <w:t xml:space="preserve">of the revolver-election, because outstanding Letters of Credit are funded/existing obligations (LC Exposure), not unfunded commitments — and the 1L Credit Agreement (Section 2.04(f)) already requires any purchaser to cash-collateralize LCs at 103% or deliver substitute LCs. This is consistent with the 1L’s existing documentation and is not a new concession.</w:t>
      </w:r>
    </w:p>
    <w:p>
      <w:pPr>
        <w:pStyle w:val="BodyText"/>
      </w:pPr>
      <w:r>
        <w:rPr>
          <w:b/>
          <w:bCs/>
        </w:rPr>
        <w:t xml:space="preserve">(D) Exercise triggers — 1L Event of Default or 1L acceleration; 30-day window.</w:t>
      </w:r>
    </w:p>
    <w:p>
      <w:pPr>
        <w:pStyle w:val="BodyText"/>
      </w:pPr>
      <w:r>
        <w:t xml:space="preserve">The compromise permits exercise upon a 1L Event of Default</w:t>
      </w:r>
      <w:r>
        <w:t xml:space="preserve"> </w:t>
      </w:r>
      <w:r>
        <w:rPr>
          <w:b/>
          <w:bCs/>
        </w:rPr>
        <w:t xml:space="preserve">or</w:t>
      </w:r>
      <w:r>
        <w:t xml:space="preserve"> </w:t>
      </w:r>
      <w:r>
        <w:t xml:space="preserve">1L acceleration, within a</w:t>
      </w:r>
      <w:r>
        <w:t xml:space="preserve"> </w:t>
      </w:r>
      <w:r>
        <w:rPr>
          <w:b/>
          <w:bCs/>
        </w:rPr>
        <w:t xml:space="preserve">30-day window</w:t>
      </w:r>
      <w:r>
        <w:t xml:space="preserve">. This is narrower than the 2L’s proposal (which would have added a 2L Event of Default as a trigger) but broader than the 1L’s (which was 1L Event of Default only). It aligns with the market:</w:t>
      </w:r>
      <w:r>
        <w:t xml:space="preserve"> </w:t>
      </w:r>
      <w:r>
        <w:rPr>
          <w:b/>
          <w:bCs/>
        </w:rPr>
        <w:t xml:space="preserve">acceleration of the 1L is a trigger in 100% of surveyed deals</w:t>
      </w:r>
      <w:r>
        <w:t xml:space="preserve">, and a 30-day exercise window is the</w:t>
      </w:r>
      <w:r>
        <w:t xml:space="preserve"> </w:t>
      </w:r>
      <w:r>
        <w:rPr>
          <w:b/>
          <w:bCs/>
        </w:rPr>
        <w:t xml:space="preserve">median</w:t>
      </w:r>
      <w:r>
        <w:t xml:space="preserve"> </w:t>
      </w:r>
      <w:r>
        <w:t xml:space="preserve">(mean 34.8 days; range 10–60). Excluding the 2L Event of Default as a standalone trigger is appropriate because the purchase right is a mechanism to acquire the</w:t>
      </w:r>
      <w:r>
        <w:t xml:space="preserve"> </w:t>
      </w:r>
      <w:r>
        <w:rPr>
          <w:i/>
          <w:iCs/>
        </w:rPr>
        <w:t xml:space="preserve">1L</w:t>
      </w:r>
      <w:r>
        <w:t xml:space="preserve"> </w:t>
      </w:r>
      <w:r>
        <w:t xml:space="preserve">position in</w:t>
      </w:r>
      <w:r>
        <w:t xml:space="preserve"> </w:t>
      </w:r>
      <w:r>
        <w:rPr>
          <w:i/>
          <w:iCs/>
        </w:rPr>
        <w:t xml:space="preserve">1L</w:t>
      </w:r>
      <w:r>
        <w:t xml:space="preserve"> </w:t>
      </w:r>
      <w:r>
        <w:t xml:space="preserve">distress; a 2L-only default does not implicate the 1L position the right is designed to acquire. The 2L retains its other standstill-period protections (acceleration, proofs of claim, preservation actions) under Section 3.02 regardless.</w:t>
      </w:r>
    </w:p>
    <w:p>
      <w:r>
        <w:pict>
          <v:rect style="width:0;height:1.5pt" o:hralign="center" o:hrstd="t" o:hr="t"/>
        </w:pict>
      </w:r>
    </w:p>
    <w:bookmarkEnd w:id="33"/>
    <w:bookmarkEnd w:id="34"/>
    <w:bookmarkStart w:id="38" w:name="X10e838cf39269c2945d722a4f106a86c32cd120"/>
    <w:p>
      <w:pPr>
        <w:pStyle w:val="Heading2"/>
      </w:pPr>
      <w:r>
        <w:t xml:space="preserve">VII. Compromise Clause 3 — Permitted Second Lien Refinancing Indebtedness (Section 2.03(c))</w:t>
      </w:r>
    </w:p>
    <w:bookmarkStart w:id="35" w:name="a.-the-contested-positions-2"/>
    <w:p>
      <w:pPr>
        <w:pStyle w:val="Heading3"/>
      </w:pPr>
      <w:r>
        <w:t xml:space="preserve">A. The Contested Positions</w:t>
      </w:r>
    </w:p>
    <w:p>
      <w:pPr>
        <w:pStyle w:val="FirstParagraph"/>
      </w:pPr>
      <w:r>
        <w:t xml:space="preserve">Three sub-issues are open: (A) the principal increase cap; (B) the maturity floor; and (C) the restrictiveness test.</w:t>
      </w:r>
    </w:p>
    <w:p>
      <w:pPr>
        <w:pStyle w:val="Compact"/>
        <w:numPr>
          <w:ilvl w:val="0"/>
          <w:numId w:val="1005"/>
        </w:numPr>
      </w:pPr>
      <w:r>
        <w:rPr>
          <w:b/>
          <w:bCs/>
        </w:rPr>
        <w:t xml:space="preserve">1L Agent (opening):</w:t>
      </w:r>
      <w:r>
        <w:t xml:space="preserve"> </w:t>
      </w:r>
      <w:r>
        <w:rPr>
          <w:b/>
          <w:bCs/>
        </w:rPr>
        <w:t xml:space="preserve">0%</w:t>
      </w:r>
      <w:r>
        <w:t xml:space="preserve"> </w:t>
      </w:r>
      <w:r>
        <w:t xml:space="preserve">increase (equal or lesser principal); maturity ≥ 91 days after the 1L Maturity Date (i.e., ≥ September 14, 2030);</w:t>
      </w:r>
      <w:r>
        <w:t xml:space="preserve"> </w:t>
      </w:r>
      <w:r>
        <w:rPr>
          <w:b/>
          <w:bCs/>
        </w:rPr>
        <w:t xml:space="preserve">blanket</w:t>
      </w:r>
      <w:r>
        <w:t xml:space="preserve"> </w:t>
      </w:r>
      <w:r>
        <w:t xml:space="preserve">“</w:t>
      </w:r>
      <w:r>
        <w:t xml:space="preserve">no more restrictive in any material respect</w:t>
      </w:r>
      <w:r>
        <w:t xml:space="preserve">”</w:t>
      </w:r>
      <w:r>
        <w:t xml:space="preserve"> </w:t>
      </w:r>
      <w:r>
        <w:t xml:space="preserve">test.</w:t>
      </w:r>
    </w:p>
    <w:p>
      <w:pPr>
        <w:pStyle w:val="Compact"/>
        <w:numPr>
          <w:ilvl w:val="0"/>
          <w:numId w:val="1005"/>
        </w:numPr>
      </w:pPr>
      <w:r>
        <w:rPr>
          <w:b/>
          <w:bCs/>
        </w:rPr>
        <w:t xml:space="preserve">2L Agent (opening):</w:t>
      </w:r>
      <w:r>
        <w:t xml:space="preserve"> </w:t>
      </w:r>
      <w:r>
        <w:t xml:space="preserve">up to</w:t>
      </w:r>
      <w:r>
        <w:t xml:space="preserve"> </w:t>
      </w:r>
      <w:r>
        <w:rPr>
          <w:b/>
          <w:bCs/>
        </w:rPr>
        <w:t xml:space="preserve">120%</w:t>
      </w:r>
      <w:r>
        <w:t xml:space="preserve"> </w:t>
      </w:r>
      <w:r>
        <w:t xml:space="preserve">($30M increase); maturity ≥ the original 2L Maturity Date (June 15, 2031);</w:t>
      </w:r>
      <w:r>
        <w:t xml:space="preserve"> </w:t>
      </w:r>
      <w:r>
        <w:rPr>
          <w:b/>
          <w:bCs/>
        </w:rPr>
        <w:t xml:space="preserve">no</w:t>
      </w:r>
      <w:r>
        <w:t xml:space="preserve"> </w:t>
      </w:r>
      <w:r>
        <w:t xml:space="preserve">restrictiveness test.</w:t>
      </w:r>
    </w:p>
    <w:bookmarkEnd w:id="35"/>
    <w:bookmarkStart w:id="36" w:name="b.-proposed-compromise-language-2"/>
    <w:p>
      <w:pPr>
        <w:pStyle w:val="Heading3"/>
      </w:pPr>
      <w:r>
        <w:t xml:space="preserve">B. Proposed Compromise Language</w:t>
      </w:r>
    </w:p>
    <w:p>
      <w:pPr>
        <w:pStyle w:val="BlockText"/>
      </w:pPr>
      <w:r>
        <w:rPr>
          <w:b/>
          <w:bCs/>
        </w:rPr>
        <w:t xml:space="preserve">Section 2.03(c) — Permitted Second Lien Refinancing Indebtedness.</w:t>
      </w:r>
      <w:r>
        <w:t xml:space="preserve"> </w:t>
      </w:r>
      <w:r>
        <w:t xml:space="preserve">“</w:t>
      </w:r>
      <w:r>
        <w:t xml:space="preserve">Permitted Second Lien Refinancing Indebtedness</w:t>
      </w:r>
      <w:r>
        <w:t xml:space="preserve">”</w:t>
      </w:r>
      <w:r>
        <w:t xml:space="preserve"> </w:t>
      </w:r>
      <w:r>
        <w:t xml:space="preserve">means indebtedness incurred by the Borrower to refinance, replace, or substitute the Second Lien Obligations,</w:t>
      </w:r>
      <w:r>
        <w:t xml:space="preserve"> </w:t>
      </w:r>
      <w:r>
        <w:rPr>
          <w:i/>
          <w:iCs/>
        </w:rPr>
        <w:t xml:space="preserve">provided</w:t>
      </w:r>
      <w:r>
        <w:t xml:space="preserve"> </w:t>
      </w:r>
      <w:r>
        <w:t xml:space="preserve">that:</w:t>
      </w:r>
    </w:p>
    <w:p>
      <w:pPr>
        <w:pStyle w:val="BlockText"/>
      </w:pPr>
      <w:r>
        <w:rPr>
          <w:b/>
          <w:bCs/>
        </w:rPr>
        <w:t xml:space="preserve">(i) Principal Amount.</w:t>
      </w:r>
      <w:r>
        <w:t xml:space="preserve"> </w:t>
      </w:r>
      <w:r>
        <w:t xml:space="preserve">the aggregate principal amount of such refinancing indebtedness shall not exceed</w:t>
      </w:r>
      <w:r>
        <w:t xml:space="preserve"> </w:t>
      </w:r>
      <w:r>
        <w:rPr>
          <w:b/>
          <w:bCs/>
        </w:rPr>
        <w:t xml:space="preserve">one hundred ten percent (110%)</w:t>
      </w:r>
      <w:r>
        <w:t xml:space="preserve"> </w:t>
      </w:r>
      <w:r>
        <w:t xml:space="preserve">of the aggregate principal amount of the Second Lien Obligations being refinanced (i.e., based on the current $150,000,000 Second Lien Term Loan B, a maximum of $165,000,000, representing a permitted increase of $15,000,000),</w:t>
      </w:r>
      <w:r>
        <w:t xml:space="preserve"> </w:t>
      </w:r>
      <w:r>
        <w:rPr>
          <w:i/>
          <w:iCs/>
        </w:rPr>
        <w:t xml:space="preserve">provided</w:t>
      </w:r>
      <w:r>
        <w:t xml:space="preserve"> </w:t>
      </w:r>
      <w:r>
        <w:t xml:space="preserve">that any portion of such refinancing indebtedness in excess of the principal amount being refinanced shall be attributable solely to (A) accrued and unpaid interest, (B) call premiums, make-whole amounts, or prepayment premiums payable in connection with the refinancing, (C) original issue discount, (D) arrangement, underwriting, or placement fees, and (E) reasonable and documented legal, advisory, rating agency, and other transaction costs and expenses incurred in connection with the refinancing, and shall not in any event be used to fund new risk-bearing indebtedness or for any other purpose;</w:t>
      </w:r>
    </w:p>
    <w:p>
      <w:pPr>
        <w:pStyle w:val="BlockText"/>
      </w:pPr>
      <w:r>
        <w:rPr>
          <w:b/>
          <w:bCs/>
        </w:rPr>
        <w:t xml:space="preserve">(ii) Maturity.</w:t>
      </w:r>
      <w:r>
        <w:t xml:space="preserve"> </w:t>
      </w:r>
      <w:r>
        <w:t xml:space="preserve">the stated final maturity date of such refinancing indebtedness shall be no earlier than the</w:t>
      </w:r>
      <w:r>
        <w:t xml:space="preserve"> </w:t>
      </w:r>
      <w:r>
        <w:rPr>
          <w:b/>
          <w:bCs/>
        </w:rPr>
        <w:t xml:space="preserve">later of</w:t>
      </w:r>
      <w:r>
        <w:t xml:space="preserve"> </w:t>
      </w:r>
      <w:r>
        <w:t xml:space="preserve">(A) the date that is ninety-one (91) days after the Latest First Lien Maturity Date then in effect (i.e., based on the current First Lien Maturity Date of June 15, 2030, no earlier than September 14, 2030)</w:t>
      </w:r>
      <w:r>
        <w:t xml:space="preserve"> </w:t>
      </w:r>
      <w:r>
        <w:rPr>
          <w:b/>
          <w:bCs/>
        </w:rPr>
        <w:t xml:space="preserve">and</w:t>
      </w:r>
      <w:r>
        <w:t xml:space="preserve"> </w:t>
      </w:r>
      <w:r>
        <w:t xml:space="preserve">(B) the Second Lien Maturity Date (i.e., no earlier than June 15, 2031) (it being understood that June 15, 2031 is the binding constraint and inherently satisfies clause (A));</w:t>
      </w:r>
    </w:p>
    <w:p>
      <w:pPr>
        <w:pStyle w:val="BlockText"/>
      </w:pPr>
      <w:r>
        <w:rPr>
          <w:b/>
          <w:bCs/>
        </w:rPr>
        <w:t xml:space="preserve">(iii) Narrowed Restrictiveness Test.</w:t>
      </w:r>
      <w:r>
        <w:t xml:space="preserve"> </w:t>
      </w:r>
      <w:r>
        <w:t xml:space="preserve">the terms and conditions of such refinancing indebtedness shall not be more restrictive to the Borrower, in any material respect, with respect to (A) financial maintenance covenants, (B) events of default and the cure or grace periods applicable thereto, and (C) negative covenants (including, without limitation, covenants restricting indebtedness, liens, asset dispositions, restricted payments, and fundamental changes), than the corresponding terms and conditions of the Second Lien Credit Agreement as in effect on the Closing Date;</w:t>
      </w:r>
      <w:r>
        <w:t xml:space="preserve"> </w:t>
      </w:r>
      <w:r>
        <w:rPr>
          <w:i/>
          <w:iCs/>
        </w:rPr>
        <w:t xml:space="preserve">provided</w:t>
      </w:r>
      <w:r>
        <w:t xml:space="preserve"> </w:t>
      </w:r>
      <w:r>
        <w:t xml:space="preserve">that pricing (including interest rate, fees, and original issue discount), redemption or prepayment terms, and covenant holidays or other provisions that are not materially adverse to the lenders shall not be subject to the foregoing comparison; and</w:t>
      </w:r>
    </w:p>
    <w:p>
      <w:pPr>
        <w:pStyle w:val="BlockText"/>
      </w:pPr>
      <w:r>
        <w:rPr>
          <w:b/>
          <w:bCs/>
        </w:rPr>
        <w:t xml:space="preserve">(iv) MFN Right.</w:t>
      </w:r>
      <w:r>
        <w:t xml:space="preserve"> </w:t>
      </w:r>
      <w:r>
        <w:t xml:space="preserve">if any financial maintenance covenant contained in the documents governing such refinancing indebtedness is more restrictive to the Borrower (taken as a whole) than the corresponding financial maintenance covenant set forth in the Second Lien Credit Agreement as in effect on the Closing Date (the baseline for which is the Maximum Total Leverage Ratio of 6.50 to 1.00 set forth in Section 7.08 of the Second Lien Credit Agreement), then, upon written notice from the First Lien Agent to the Borrower, such more restrictive financial maintenance covenant shall be deemed incorporated into the First Lien Credit Agreement for the benefit of the First Lien Lenders, and the Borrower shall comply with such covenant for purposes of the First Lien Credit Agreement; and</w:t>
      </w:r>
    </w:p>
    <w:p>
      <w:pPr>
        <w:pStyle w:val="BlockText"/>
      </w:pPr>
      <w:r>
        <w:rPr>
          <w:b/>
          <w:bCs/>
        </w:rPr>
        <w:t xml:space="preserve">(v) Joinder.</w:t>
      </w:r>
      <w:r>
        <w:t xml:space="preserve"> </w:t>
      </w:r>
      <w:r>
        <w:t xml:space="preserve">the holders of such refinancing indebtedness shall have become party to this Agreement (or a replacement intercreditor agreement on substantially similar terms) by executing and delivering a joinder agreement in form and substance reasonably satisfactory to the First Lien Agent and the Second Lien Agent.</w:t>
      </w:r>
    </w:p>
    <w:bookmarkEnd w:id="36"/>
    <w:bookmarkStart w:id="37" w:name="c.-negotiation-rationale-2"/>
    <w:p>
      <w:pPr>
        <w:pStyle w:val="Heading3"/>
      </w:pPr>
      <w:r>
        <w:t xml:space="preserve">C. Negotiation Rationale</w:t>
      </w:r>
    </w:p>
    <w:p>
      <w:pPr>
        <w:pStyle w:val="FirstParagraph"/>
      </w:pPr>
      <w:r>
        <w:rPr>
          <w:b/>
          <w:bCs/>
        </w:rPr>
        <w:t xml:space="preserve">(A) Principal increase cap — 10%, limited to refinancing fees/costs/premiums.</w:t>
      </w:r>
    </w:p>
    <w:p>
      <w:pPr>
        <w:pStyle w:val="BodyText"/>
      </w:pPr>
      <w:r>
        <w:t xml:space="preserve">The compromise permits a</w:t>
      </w:r>
      <w:r>
        <w:t xml:space="preserve"> </w:t>
      </w:r>
      <w:r>
        <w:rPr>
          <w:b/>
          <w:bCs/>
        </w:rPr>
        <w:t xml:space="preserve">10% increase ($15M)</w:t>
      </w:r>
      <w:r>
        <w:t xml:space="preserve">, limited to refinancing-related fees, costs, and premiums. This is the</w:t>
      </w:r>
      <w:r>
        <w:t xml:space="preserve"> </w:t>
      </w:r>
      <w:r>
        <w:rPr>
          <w:b/>
          <w:bCs/>
        </w:rPr>
        <w:t xml:space="preserve">market median</w:t>
      </w:r>
      <w:r>
        <w:t xml:space="preserve"> </w:t>
      </w:r>
      <w:r>
        <w:t xml:space="preserve">(median 10%; mean 8.9%), the</w:t>
      </w:r>
      <w:r>
        <w:t xml:space="preserve"> </w:t>
      </w:r>
      <w:r>
        <w:rPr>
          <w:b/>
          <w:bCs/>
        </w:rPr>
        <w:t xml:space="preserve">modal category</w:t>
      </w:r>
      <w:r>
        <w:t xml:space="preserve"> </w:t>
      </w:r>
      <w:r>
        <w:t xml:space="preserve">(52% of deals, 22 of 42, use a 1–10% cap), and the</w:t>
      </w:r>
      <w:r>
        <w:t xml:space="preserve"> </w:t>
      </w:r>
      <w:r>
        <w:rPr>
          <w:b/>
          <w:bCs/>
        </w:rPr>
        <w:t xml:space="preserve">majority limitation practice</w:t>
      </w:r>
      <w:r>
        <w:t xml:space="preserve"> </w:t>
      </w:r>
      <w:r>
        <w:t xml:space="preserve">(79% of deals that permit any increase — 26 of 33 — limit the increase to fees/costs/premiums). It is also exactly the term the 2L Agent signaled it could accept (</w:t>
      </w:r>
      <w:r>
        <w:t xml:space="preserve">“</w:t>
      </w:r>
      <w:r>
        <w:t xml:space="preserve">Ridgeline can accept a</w:t>
      </w:r>
      <w:r>
        <w:t xml:space="preserve"> </w:t>
      </w:r>
      <w:r>
        <w:rPr>
          <w:b/>
          <w:bCs/>
        </w:rPr>
        <w:t xml:space="preserve">10% principal increase cap</w:t>
      </w:r>
      <w:r>
        <w:t xml:space="preserve"> </w:t>
      </w:r>
      <w:r>
        <w:t xml:space="preserve">— that is, $15M — provided the increase is</w:t>
      </w:r>
      <w:r>
        <w:t xml:space="preserve"> </w:t>
      </w:r>
      <w:r>
        <w:rPr>
          <w:b/>
          <w:bCs/>
        </w:rPr>
        <w:t xml:space="preserve">limited to refinancing-related fees and costs</w:t>
      </w:r>
      <w:r>
        <w:t xml:space="preserve">”</w:t>
      </w:r>
      <w:r>
        <w:t xml:space="preserve">) and that you, as Borrower, endorsed as</w:t>
      </w:r>
      <w:r>
        <w:t xml:space="preserve"> </w:t>
      </w:r>
      <w:r>
        <w:t xml:space="preserve">“</w:t>
      </w:r>
      <w:r>
        <w:t xml:space="preserve">a reasonable landing point.</w:t>
      </w:r>
      <w:r>
        <w:t xml:space="preserve">”</w:t>
      </w:r>
    </w:p>
    <w:p>
      <w:pPr>
        <w:pStyle w:val="BodyText"/>
      </w:pPr>
      <w:r>
        <w:rPr>
          <w:i/>
          <w:iCs/>
        </w:rPr>
        <w:t xml:space="preserve">Why the 1L can accept it.</w:t>
      </w:r>
      <w:r>
        <w:t xml:space="preserve"> </w:t>
      </w:r>
      <w:r>
        <w:t xml:space="preserve">The 1L’s opening 0% cap was anchored to its concern that any upsize would compress the 25.78% equity cushion. The compromise addresses that concern directly: because the $15M increase is</w:t>
      </w:r>
      <w:r>
        <w:t xml:space="preserve"> </w:t>
      </w:r>
      <w:r>
        <w:rPr>
          <w:b/>
          <w:bCs/>
        </w:rPr>
        <w:t xml:space="preserve">limited to refinancing friction costs</w:t>
      </w:r>
      <w:r>
        <w:t xml:space="preserve"> </w:t>
      </w:r>
      <w:r>
        <w:t xml:space="preserve">(call premium, OID, arrangement fees, legal/advisory costs) and</w:t>
      </w:r>
      <w:r>
        <w:t xml:space="preserve"> </w:t>
      </w:r>
      <w:r>
        <w:rPr>
          <w:b/>
          <w:bCs/>
        </w:rPr>
        <w:t xml:space="preserve">cannot fund new risk-bearing indebtedness</w:t>
      </w:r>
      <w:r>
        <w:t xml:space="preserve">, it is not a true upsize of the risk-bearing debt quantum — it is the one-time cost of rolling the existing $150M. The net new risk-bearing debt is effectively zero. The 1L’s counsel signaled willingness to discuss the principal cap</w:t>
      </w:r>
      <w:r>
        <w:t xml:space="preserve"> </w:t>
      </w:r>
      <w:r>
        <w:t xml:space="preserve">“</w:t>
      </w:r>
      <w:r>
        <w:t xml:space="preserve">in the context of the overall package,</w:t>
      </w:r>
      <w:r>
        <w:t xml:space="preserve">”</w:t>
      </w:r>
      <w:r>
        <w:t xml:space="preserve"> </w:t>
      </w:r>
      <w:r>
        <w:t xml:space="preserve">and the package gives the 1L offsetting gains (the narrowed restrictiveness test + MFN, and a cap that is</w:t>
      </w:r>
      <w:r>
        <w:t xml:space="preserve"> </w:t>
      </w:r>
      <w:r>
        <w:rPr>
          <w:i/>
          <w:iCs/>
        </w:rPr>
        <w:t xml:space="preserve">tighter</w:t>
      </w:r>
      <w:r>
        <w:t xml:space="preserve"> </w:t>
      </w:r>
      <w:r>
        <w:t xml:space="preserve">than what the 2L Credit Agreement itself permits — see below).</w:t>
      </w:r>
    </w:p>
    <w:p>
      <w:pPr>
        <w:pStyle w:val="BodyText"/>
      </w:pPr>
      <w:r>
        <w:rPr>
          <w:i/>
          <w:iCs/>
        </w:rPr>
        <w:t xml:space="preserve">Quantified calibration.</w:t>
      </w:r>
      <w:r>
        <w:t xml:space="preserve"> </w:t>
      </w:r>
      <w:r>
        <w:t xml:space="preserve">The 2L Credit Agreement’s prepayment premium is 2.00% in year one (i.e., 102%) and 1.00% in year two (101%), par thereafter — so a year-one refinancing call premium on $150M is ~$3.0M. Arranger/underwriting fees in the current second lien market run 200–350 bps (~$3.0M–$5.25M). OID for a facility of this profile runs 97–99 cents (~$1.5M–$4.5M). Legal, advisory, rating, and filing costs run ~$1M–$2M. Realistic total refinancing friction:</w:t>
      </w:r>
      <w:r>
        <w:t xml:space="preserve"> </w:t>
      </w:r>
      <w:r>
        <w:rPr>
          <w:b/>
          <w:bCs/>
        </w:rPr>
        <w:t xml:space="preserve">~$8.5M–$15M</w:t>
      </w:r>
      <w:r>
        <w:t xml:space="preserve">. A 10% / $15M cap is therefore calibrated to cover these costs without surplus — it is not a vehicle for incremental leverage.</w:t>
      </w:r>
    </w:p>
    <w:p>
      <w:pPr>
        <w:pStyle w:val="BodyText"/>
      </w:pPr>
      <w:r>
        <w:rPr>
          <w:i/>
          <w:iCs/>
        </w:rPr>
        <w:t xml:space="preserve">Important context.</w:t>
      </w:r>
      <w:r>
        <w:t xml:space="preserve"> </w:t>
      </w:r>
      <w:r>
        <w:t xml:space="preserve">The 2L Credit Agreement’s</w:t>
      </w:r>
      <w:r>
        <w:t xml:space="preserve"> </w:t>
      </w:r>
      <w:r>
        <w:rPr>
          <w:i/>
          <w:iCs/>
        </w:rPr>
        <w:t xml:space="preserve">own</w:t>
      </w:r>
      <w:r>
        <w:t xml:space="preserve"> </w:t>
      </w:r>
      <w:r>
        <w:t xml:space="preserve">definition of</w:t>
      </w:r>
      <w:r>
        <w:t xml:space="preserve"> </w:t>
      </w:r>
      <w:r>
        <w:t xml:space="preserve">“</w:t>
      </w:r>
      <w:r>
        <w:t xml:space="preserve">Permitted Refinancing Indebtedness</w:t>
      </w:r>
      <w:r>
        <w:t xml:space="preserve">”</w:t>
      </w:r>
      <w:r>
        <w:t xml:space="preserve"> </w:t>
      </w:r>
      <w:r>
        <w:t xml:space="preserve">already permits up to</w:t>
      </w:r>
      <w:r>
        <w:t xml:space="preserve"> </w:t>
      </w:r>
      <w:r>
        <w:rPr>
          <w:b/>
          <w:bCs/>
        </w:rPr>
        <w:t xml:space="preserve">120% ($30M)</w:t>
      </w:r>
      <w:r>
        <w:t xml:space="preserve">, limited to accrued interest, premiums, fees, and transaction costs. The ICA compromise cap of</w:t>
      </w:r>
      <w:r>
        <w:t xml:space="preserve"> </w:t>
      </w:r>
      <w:r>
        <w:rPr>
          <w:b/>
          <w:bCs/>
        </w:rPr>
        <w:t xml:space="preserve">110% ($15M) is tighter than the 2L Credit Agreement’s own refinancing permission</w:t>
      </w:r>
      <w:r>
        <w:t xml:space="preserve"> </w:t>
      </w:r>
      <w:r>
        <w:t xml:space="preserve">— meaning the ICA gives the 1L a meaningful intercreditor-level constraint that does not exist in the 2L documents alone. This is a concrete, demonstrable benefit to the 1L and a key reason the 1L can accept the narrowed restrictiveness test and the MFN in exchange. The ICA (which governs as among the lien levels under Section 9.10) will be the binding constraint, and the 1L Credit Agreement’s Section 6.09(b) already restricts 2L principal increases except for</w:t>
      </w:r>
      <w:r>
        <w:t xml:space="preserve"> </w:t>
      </w:r>
      <w:r>
        <w:t xml:space="preserve">“</w:t>
      </w:r>
      <w:r>
        <w:t xml:space="preserve">capitalized interest, premiums, fees, and customary refinancing costs permitted under the Intercreditor Agreement</w:t>
      </w:r>
      <w:r>
        <w:t xml:space="preserve">”</w:t>
      </w:r>
      <w:r>
        <w:t xml:space="preserve"> </w:t>
      </w:r>
      <w:r>
        <w:t xml:space="preserve">— so the ICA’s 110% cap is the operative limit the 1L underwrote.</w:t>
      </w:r>
    </w:p>
    <w:p>
      <w:pPr>
        <w:pStyle w:val="BodyText"/>
      </w:pPr>
      <w:r>
        <w:rPr>
          <w:b/>
          <w:bCs/>
        </w:rPr>
        <w:t xml:space="preserve">(B) Maturity floor — Both tests (91-day post-1L AND original 2L maturity).</w:t>
      </w:r>
    </w:p>
    <w:p>
      <w:pPr>
        <w:pStyle w:val="BodyText"/>
      </w:pPr>
      <w:r>
        <w:t xml:space="preserve">The compromise requires the refinancing maturity to be no earlier than the</w:t>
      </w:r>
      <w:r>
        <w:t xml:space="preserve"> </w:t>
      </w:r>
      <w:r>
        <w:rPr>
          <w:b/>
          <w:bCs/>
        </w:rPr>
        <w:t xml:space="preserve">later of</w:t>
      </w:r>
      <w:r>
        <w:t xml:space="preserve"> </w:t>
      </w:r>
      <w:r>
        <w:t xml:space="preserve">(A) 91 days after the Latest First Lien Maturity Date then in effect (September 14, 2030, based on the current 1L maturity) and (B) the original Second Lien Maturity Date (June 15, 2031). Because</w:t>
      </w:r>
      <w:r>
        <w:t xml:space="preserve"> </w:t>
      </w:r>
      <w:r>
        <w:rPr>
          <w:b/>
          <w:bCs/>
        </w:rPr>
        <w:t xml:space="preserve">June 15, 2031 is 274 days after September 14, 2030</w:t>
      </w:r>
      <w:r>
        <w:t xml:space="preserve">, the original-2L-maturity floor is the binding constraint and</w:t>
      </w:r>
      <w:r>
        <w:t xml:space="preserve"> </w:t>
      </w:r>
      <w:r>
        <w:rPr>
          <w:b/>
          <w:bCs/>
        </w:rPr>
        <w:t xml:space="preserve">inherently satisfies the 91-day test</w:t>
      </w:r>
      <w:r>
        <w:t xml:space="preserve">.</w:t>
      </w:r>
    </w:p>
    <w:p>
      <w:pPr>
        <w:pStyle w:val="BodyText"/>
      </w:pPr>
      <w:r>
        <w:t xml:space="preserve">You asked us to analyze whether the 2L’s position (June 15, 2031) disadvantages the 1L.</w:t>
      </w:r>
      <w:r>
        <w:t xml:space="preserve"> </w:t>
      </w:r>
      <w:r>
        <w:rPr>
          <w:b/>
          <w:bCs/>
        </w:rPr>
        <w:t xml:space="preserve">It does not.</w:t>
      </w:r>
      <w:r>
        <w:t xml:space="preserve"> </w:t>
      </w:r>
      <w:r>
        <w:t xml:space="preserve">June 15, 2031 is</w:t>
      </w:r>
      <w:r>
        <w:t xml:space="preserve"> </w:t>
      </w:r>
      <w:r>
        <w:rPr>
          <w:i/>
          <w:iCs/>
        </w:rPr>
        <w:t xml:space="preserve">later</w:t>
      </w:r>
      <w:r>
        <w:t xml:space="preserve"> </w:t>
      </w:r>
      <w:r>
        <w:t xml:space="preserve">than the 1L’s proposed September 14, 2030 floor by 274 days. A later 2L maturity is</w:t>
      </w:r>
      <w:r>
        <w:t xml:space="preserve"> </w:t>
      </w:r>
      <w:r>
        <w:rPr>
          <w:i/>
          <w:iCs/>
        </w:rPr>
        <w:t xml:space="preserve">more</w:t>
      </w:r>
      <w:r>
        <w:t xml:space="preserve"> </w:t>
      </w:r>
      <w:r>
        <w:t xml:space="preserve">1L-protective, not less — it provides a larger temporal cushion between the 1L and 2L maturities and reduces refinancing-wall risk. The only scenario in which the 1L’s September 14, 2030 floor would be the operative constraint is if the 2L sought to refinance into a facility maturing</w:t>
      </w:r>
      <w:r>
        <w:t xml:space="preserve"> </w:t>
      </w:r>
      <w:r>
        <w:rPr>
          <w:i/>
          <w:iCs/>
        </w:rPr>
        <w:t xml:space="preserve">between</w:t>
      </w:r>
      <w:r>
        <w:t xml:space="preserve"> </w:t>
      </w:r>
      <w:r>
        <w:t xml:space="preserve">September 14, 2030 and June 15, 2031 — but the 2L is not seeking that (the 2L’s position is that the floor should be June 15, 2031, which is later). There is therefore</w:t>
      </w:r>
      <w:r>
        <w:t xml:space="preserve"> </w:t>
      </w:r>
      <w:r>
        <w:rPr>
          <w:b/>
          <w:bCs/>
        </w:rPr>
        <w:t xml:space="preserve">no economic conflict</w:t>
      </w:r>
      <w:r>
        <w:t xml:space="preserve"> </w:t>
      </w:r>
      <w:r>
        <w:t xml:space="preserve">between the two positions: requiring maturity ≥ June 15, 2031 automatically satisfies ≥ September 14, 2030. The</w:t>
      </w:r>
      <w:r>
        <w:t xml:space="preserve"> </w:t>
      </w:r>
      <w:r>
        <w:t xml:space="preserve">“</w:t>
      </w:r>
      <w:r>
        <w:t xml:space="preserve">both/and</w:t>
      </w:r>
      <w:r>
        <w:t xml:space="preserve">”</w:t>
      </w:r>
      <w:r>
        <w:t xml:space="preserve"> </w:t>
      </w:r>
      <w:r>
        <w:t xml:space="preserve">formulation is an elegant way to give each side its stated position at zero economic cost to either.</w:t>
      </w:r>
    </w:p>
    <w:p>
      <w:pPr>
        <w:pStyle w:val="BodyText"/>
      </w:pPr>
      <w:r>
        <w:t xml:space="preserve">This is strongly supported by the market:</w:t>
      </w:r>
      <w:r>
        <w:t xml:space="preserve"> </w:t>
      </w:r>
      <w:r>
        <w:rPr>
          <w:b/>
          <w:bCs/>
        </w:rPr>
        <w:t xml:space="preserve">93% of deals (39 of 42) use the 91-day-post-1L test</w:t>
      </w:r>
      <w:r>
        <w:t xml:space="preserve">, and</w:t>
      </w:r>
      <w:r>
        <w:t xml:space="preserve"> </w:t>
      </w:r>
      <w:r>
        <w:rPr>
          <w:b/>
          <w:bCs/>
        </w:rPr>
        <w:t xml:space="preserve">81% (34 of 42) also include the original-2L-maturity floor</w:t>
      </w:r>
      <w:r>
        <w:t xml:space="preserve"> </w:t>
      </w:r>
      <w:r>
        <w:t xml:space="preserve">— the both/and formulation is the majority practice. The compromise references the</w:t>
      </w:r>
      <w:r>
        <w:t xml:space="preserve"> </w:t>
      </w:r>
      <w:r>
        <w:t xml:space="preserve">“</w:t>
      </w:r>
      <w:r>
        <w:t xml:space="preserve">Latest First Lien Maturity Date then in effect</w:t>
      </w:r>
      <w:r>
        <w:t xml:space="preserve">”</w:t>
      </w:r>
      <w:r>
        <w:t xml:space="preserve"> </w:t>
      </w:r>
      <w:r>
        <w:t xml:space="preserve">(not merely the original June 15, 2030) so that, if the 1L extends its maturity under Section 2.14 of the 1L Credit Agreement, the 91-day floor moves with it — consistent with the 1L Credit Agreement’s own Section 6.09(a). Both sides acknowledged maturity is the least contentious sub-issue.</w:t>
      </w:r>
    </w:p>
    <w:p>
      <w:pPr>
        <w:pStyle w:val="BodyText"/>
      </w:pPr>
      <w:r>
        <w:rPr>
          <w:b/>
          <w:bCs/>
        </w:rPr>
        <w:t xml:space="preserve">(C) Restrictiveness test — Narrowed test + MFN (financial covenants only).</w:t>
      </w:r>
    </w:p>
    <w:p>
      <w:pPr>
        <w:pStyle w:val="BodyText"/>
      </w:pPr>
      <w:r>
        <w:t xml:space="preserve">The compromise replaces the 1L’s</w:t>
      </w:r>
      <w:r>
        <w:t xml:space="preserve"> </w:t>
      </w:r>
      <w:r>
        <w:rPr>
          <w:b/>
          <w:bCs/>
        </w:rPr>
        <w:t xml:space="preserve">blanket</w:t>
      </w:r>
      <w:r>
        <w:t xml:space="preserve"> </w:t>
      </w:r>
      <w:r>
        <w:t xml:space="preserve">“</w:t>
      </w:r>
      <w:r>
        <w:t xml:space="preserve">no more restrictive in any material respect</w:t>
      </w:r>
      <w:r>
        <w:t xml:space="preserve">”</w:t>
      </w:r>
      <w:r>
        <w:t xml:space="preserve"> </w:t>
      </w:r>
      <w:r>
        <w:t xml:space="preserve">test (which covered</w:t>
      </w:r>
      <w:r>
        <w:t xml:space="preserve"> </w:t>
      </w:r>
      <w:r>
        <w:rPr>
          <w:i/>
          <w:iCs/>
        </w:rPr>
        <w:t xml:space="preserve">all</w:t>
      </w:r>
      <w:r>
        <w:t xml:space="preserve"> </w:t>
      </w:r>
      <w:r>
        <w:t xml:space="preserve">terms, including pricing) with a</w:t>
      </w:r>
      <w:r>
        <w:t xml:space="preserve"> </w:t>
      </w:r>
      <w:r>
        <w:rPr>
          <w:b/>
          <w:bCs/>
        </w:rPr>
        <w:t xml:space="preserve">narrowed</w:t>
      </w:r>
      <w:r>
        <w:t xml:space="preserve"> </w:t>
      </w:r>
      <w:r>
        <w:t xml:space="preserve">test limited to (A) financial maintenance covenants, (B) events of default and cure periods, and (C) negative covenants — and pairs it with an</w:t>
      </w:r>
      <w:r>
        <w:t xml:space="preserve"> </w:t>
      </w:r>
      <w:r>
        <w:rPr>
          <w:b/>
          <w:bCs/>
        </w:rPr>
        <w:t xml:space="preserve">MFN right</w:t>
      </w:r>
      <w:r>
        <w:t xml:space="preserve"> </w:t>
      </w:r>
      <w:r>
        <w:t xml:space="preserve">limited to financial maintenance covenants. This is the market majority:</w:t>
      </w:r>
      <w:r>
        <w:t xml:space="preserve"> </w:t>
      </w:r>
      <w:r>
        <w:rPr>
          <w:b/>
          <w:bCs/>
        </w:rPr>
        <w:t xml:space="preserve">52% of deals (22 of 42) use a narrowed test</w:t>
      </w:r>
      <w:r>
        <w:t xml:space="preserve"> </w:t>
      </w:r>
      <w:r>
        <w:t xml:space="preserve">(versus 33% blanket and 14% none),</w:t>
      </w:r>
      <w:r>
        <w:t xml:space="preserve"> </w:t>
      </w:r>
      <w:r>
        <w:rPr>
          <w:b/>
          <w:bCs/>
        </w:rPr>
        <w:t xml:space="preserve">100% of narrowed-test deals pair with an MFN</w:t>
      </w:r>
      <w:r>
        <w:t xml:space="preserve">, and</w:t>
      </w:r>
      <w:r>
        <w:t xml:space="preserve"> </w:t>
      </w:r>
      <w:r>
        <w:rPr>
          <w:b/>
          <w:bCs/>
        </w:rPr>
        <w:t xml:space="preserve">82% of MFNs are limited to financial covenants only</w:t>
      </w:r>
      <w:r>
        <w:t xml:space="preserve">. The trend is decisive: the narrowed-test-plus-MFN combination grew from 38% of 2022 deals to</w:t>
      </w:r>
      <w:r>
        <w:t xml:space="preserve"> </w:t>
      </w:r>
      <w:r>
        <w:rPr>
          <w:b/>
          <w:bCs/>
        </w:rPr>
        <w:t xml:space="preserve">65% of 2024 deals</w:t>
      </w:r>
      <w:r>
        <w:t xml:space="preserve">. Both agents have signaled this is the landing zone — the 1L’s counsel stated Cartwright</w:t>
      </w:r>
      <w:r>
        <w:t xml:space="preserve"> </w:t>
      </w:r>
      <w:r>
        <w:t xml:space="preserve">“</w:t>
      </w:r>
      <w:r>
        <w:t xml:space="preserve">is open to a</w:t>
      </w:r>
      <w:r>
        <w:t xml:space="preserve"> </w:t>
      </w:r>
      <w:r>
        <w:rPr>
          <w:b/>
          <w:bCs/>
        </w:rPr>
        <w:t xml:space="preserve">narrowed restrictiveness test</w:t>
      </w:r>
      <w:r>
        <w:t xml:space="preserve">… provided it is combined with a</w:t>
      </w:r>
      <w:r>
        <w:t xml:space="preserve"> </w:t>
      </w:r>
      <w:r>
        <w:rPr>
          <w:b/>
          <w:bCs/>
        </w:rPr>
        <w:t xml:space="preserve">most-favored-nation right</w:t>
      </w:r>
      <w:r>
        <w:t xml:space="preserve">,</w:t>
      </w:r>
      <w:r>
        <w:t xml:space="preserve">”</w:t>
      </w:r>
      <w:r>
        <w:t xml:space="preserve"> </w:t>
      </w:r>
      <w:r>
        <w:t xml:space="preserve">and the 2L’s counsel confirmed openness to</w:t>
      </w:r>
      <w:r>
        <w:t xml:space="preserve"> </w:t>
      </w:r>
      <w:r>
        <w:t xml:space="preserve">“</w:t>
      </w:r>
      <w:r>
        <w:t xml:space="preserve">a narrowed restrictiveness test paired with an MFN right.</w:t>
      </w:r>
      <w:r>
        <w:t xml:space="preserve">”</w:t>
      </w:r>
    </w:p>
    <w:p>
      <w:pPr>
        <w:pStyle w:val="BodyText"/>
      </w:pPr>
      <w:r>
        <w:rPr>
          <w:i/>
          <w:iCs/>
        </w:rPr>
        <w:t xml:space="preserve">Why the narrowed test is acceptable to the 1L.</w:t>
      </w:r>
      <w:r>
        <w:t xml:space="preserve"> </w:t>
      </w:r>
      <w:r>
        <w:t xml:space="preserve">The narrowed test covers exactly the categories the 1L’s position letter identified as the risk: a tightening of financial covenants that could trigger cross-default (the 1L Credit Agreement’s cross-default threshold is $10M of</w:t>
      </w:r>
      <w:r>
        <w:t xml:space="preserve"> </w:t>
      </w:r>
      <w:r>
        <w:t xml:space="preserve">“</w:t>
      </w:r>
      <w:r>
        <w:t xml:space="preserve">Material Indebtedness,</w:t>
      </w:r>
      <w:r>
        <w:t xml:space="preserve">”</w:t>
      </w:r>
      <w:r>
        <w:t xml:space="preserve"> </w:t>
      </w:r>
      <w:r>
        <w:t xml:space="preserve">which includes the 2L Obligations), an expansion of negative covenants that could conflict with 1L-permitted actions, and shortened cure periods that could accelerate 2L enforcement inconsistently with the standstill. Pricing is excluded from the comparison — appropriately, because refinancing pricing is a commercial matter for the 2L market and the Borrower, and does not affect the 1L’s structural protections. The narrowed test is also</w:t>
      </w:r>
      <w:r>
        <w:t xml:space="preserve"> </w:t>
      </w:r>
      <w:r>
        <w:rPr>
          <w:b/>
          <w:bCs/>
        </w:rPr>
        <w:t xml:space="preserve">less subjective and more administrable</w:t>
      </w:r>
      <w:r>
        <w:t xml:space="preserve"> </w:t>
      </w:r>
      <w:r>
        <w:t xml:space="preserve">than the blanket test, because it confines the comparison to enumerated categories — addressing the 2L’s objection that a blanket test gives the 1L an effective veto and the 1L’s own acknowledgment that the test</w:t>
      </w:r>
      <w:r>
        <w:t xml:space="preserve"> </w:t>
      </w:r>
      <w:r>
        <w:t xml:space="preserve">“</w:t>
      </w:r>
      <w:r>
        <w:t xml:space="preserve">requires the exercise of reasonable judgment.</w:t>
      </w:r>
      <w:r>
        <w:t xml:space="preserve">”</w:t>
      </w:r>
    </w:p>
    <w:p>
      <w:pPr>
        <w:pStyle w:val="BodyText"/>
      </w:pPr>
      <w:r>
        <w:rPr>
          <w:i/>
          <w:iCs/>
        </w:rPr>
        <w:t xml:space="preserve">Why the MFN is acceptable to the 2L.</w:t>
      </w:r>
      <w:r>
        <w:t xml:space="preserve"> </w:t>
      </w:r>
      <w:r>
        <w:t xml:space="preserve">The MFN is limited to</w:t>
      </w:r>
      <w:r>
        <w:t xml:space="preserve"> </w:t>
      </w:r>
      <w:r>
        <w:rPr>
          <w:b/>
          <w:bCs/>
        </w:rPr>
        <w:t xml:space="preserve">financial maintenance covenants only</w:t>
      </w:r>
      <w:r>
        <w:t xml:space="preserve"> </w:t>
      </w:r>
      <w:r>
        <w:t xml:space="preserve">(the 82% market practice), not all covenants. It is benchmarked to the existing 2L financial maintenance covenant — the</w:t>
      </w:r>
      <w:r>
        <w:t xml:space="preserve"> </w:t>
      </w:r>
      <w:r>
        <w:rPr>
          <w:b/>
          <w:bCs/>
        </w:rPr>
        <w:t xml:space="preserve">Maximum Total Leverage Ratio of 6.50x</w:t>
      </w:r>
      <w:r>
        <w:t xml:space="preserve"> </w:t>
      </w:r>
      <w:r>
        <w:t xml:space="preserve">in Section 7.08 of the 2L Credit Agreement. The 2L Credit Agreement</w:t>
      </w:r>
      <w:r>
        <w:t xml:space="preserve"> </w:t>
      </w:r>
      <w:r>
        <w:rPr>
          <w:i/>
          <w:iCs/>
        </w:rPr>
        <w:t xml:space="preserve">already</w:t>
      </w:r>
      <w:r>
        <w:t xml:space="preserve"> </w:t>
      </w:r>
      <w:r>
        <w:t xml:space="preserve">deems a total leverage maintenance covenant below 6.50x to be</w:t>
      </w:r>
      <w:r>
        <w:t xml:space="preserve"> </w:t>
      </w:r>
      <w:r>
        <w:t xml:space="preserve">“</w:t>
      </w:r>
      <w:r>
        <w:t xml:space="preserve">more restrictive</w:t>
      </w:r>
      <w:r>
        <w:t xml:space="preserve">”</w:t>
      </w:r>
      <w:r>
        <w:t xml:space="preserve"> </w:t>
      </w:r>
      <w:r>
        <w:t xml:space="preserve">for its own refinancing purposes (Section 7.08(d)), so the MFN simply extends that existing concept to the 1L’s benefit: if a refinancing tightens the total leverage covenant below 6.50x (or adds a more restrictive financial maintenance covenant), the 1L lenders automatically receive the benefit. This is a bounded, predictable protection — not an open-ended veto — and it is the precise pairing the market has converged on.</w:t>
      </w:r>
    </w:p>
    <w:p>
      <w:pPr>
        <w:pStyle w:val="BodyText"/>
      </w:pPr>
      <w:r>
        <w:rPr>
          <w:i/>
          <w:iCs/>
        </w:rPr>
        <w:t xml:space="preserve">No WAL requirement.</w:t>
      </w:r>
      <w:r>
        <w:t xml:space="preserve"> </w:t>
      </w:r>
      <w:r>
        <w:t xml:space="preserve">The compromise does not include a weighted-average-life (WAL) test. WAL requirements appear in only</w:t>
      </w:r>
      <w:r>
        <w:t xml:space="preserve"> </w:t>
      </w:r>
      <w:r>
        <w:rPr>
          <w:b/>
          <w:bCs/>
        </w:rPr>
        <w:t xml:space="preserve">29% of surveyed deals (12 of 42)</w:t>
      </w:r>
      <w:r>
        <w:t xml:space="preserve"> </w:t>
      </w:r>
      <w:r>
        <w:t xml:space="preserve">— a minority position — and neither side proposed one for the ICA. The 2L Credit Agreement’s own refinancing definition already imposes a WAL test (clause (c) of that definition), so the Borrower is already bound by a WAL constraint at the 2L-document level; duplicating it in the ICA would be redundant and is not market-standard for the intercreditor instrument.</w:t>
      </w:r>
    </w:p>
    <w:p>
      <w:r>
        <w:pict>
          <v:rect style="width:0;height:1.5pt" o:hralign="center" o:hrstd="t" o:hr="t"/>
        </w:pict>
      </w:r>
    </w:p>
    <w:bookmarkEnd w:id="37"/>
    <w:bookmarkEnd w:id="38"/>
    <w:bookmarkStart w:id="42" w:name="X1fbcf015dc3ece870cf604150e25c5ad44f8423"/>
    <w:p>
      <w:pPr>
        <w:pStyle w:val="Heading2"/>
      </w:pPr>
      <w:r>
        <w:t xml:space="preserve">VIII. Compromise Clause 4 — Application of Asset Disposition and Casualty Proceeds (Section 4.02)</w:t>
      </w:r>
    </w:p>
    <w:bookmarkStart w:id="39" w:name="a.-the-contested-positions-3"/>
    <w:p>
      <w:pPr>
        <w:pStyle w:val="Heading3"/>
      </w:pPr>
      <w:r>
        <w:t xml:space="preserve">A. The Contested Positions</w:t>
      </w:r>
    </w:p>
    <w:p>
      <w:pPr>
        <w:pStyle w:val="Compact"/>
        <w:numPr>
          <w:ilvl w:val="0"/>
          <w:numId w:val="1006"/>
        </w:numPr>
      </w:pPr>
      <w:r>
        <w:rPr>
          <w:b/>
          <w:bCs/>
        </w:rPr>
        <w:t xml:space="preserve">1L Agent (opening):</w:t>
      </w:r>
      <w:r>
        <w:t xml:space="preserve"> </w:t>
      </w:r>
      <w:r>
        <w:rPr>
          <w:b/>
          <w:bCs/>
        </w:rPr>
        <w:t xml:space="preserve">100% sweep</w:t>
      </w:r>
      <w:r>
        <w:t xml:space="preserve"> </w:t>
      </w:r>
      <w:r>
        <w:t xml:space="preserve">of all Net Cash Proceeds from any Asset Disposition or Casualty Event to the 1L Obligations,</w:t>
      </w:r>
      <w:r>
        <w:t xml:space="preserve"> </w:t>
      </w:r>
      <w:r>
        <w:rPr>
          <w:b/>
          <w:bCs/>
        </w:rPr>
        <w:t xml:space="preserve">overriding</w:t>
      </w:r>
      <w:r>
        <w:t xml:space="preserve"> </w:t>
      </w:r>
      <w:r>
        <w:t xml:space="preserve">the reinvestment rights in the 1L Credit Agreement, with</w:t>
      </w:r>
      <w:r>
        <w:t xml:space="preserve"> </w:t>
      </w:r>
      <w:r>
        <w:rPr>
          <w:b/>
          <w:bCs/>
        </w:rPr>
        <w:t xml:space="preserve">no</w:t>
      </w:r>
      <w:r>
        <w:t xml:space="preserve"> </w:t>
      </w:r>
      <w:r>
        <w:t xml:space="preserve">2L access until the 1L Obligations are paid in full.</w:t>
      </w:r>
    </w:p>
    <w:p>
      <w:pPr>
        <w:pStyle w:val="Compact"/>
        <w:numPr>
          <w:ilvl w:val="0"/>
          <w:numId w:val="1006"/>
        </w:numPr>
      </w:pPr>
      <w:r>
        <w:rPr>
          <w:b/>
          <w:bCs/>
        </w:rPr>
        <w:t xml:space="preserve">2L Agent (opening):</w:t>
      </w:r>
      <w:r>
        <w:t xml:space="preserve"> </w:t>
      </w:r>
      <w:r>
        <w:t xml:space="preserve">Apply proceeds in accordance with the 1L Credit Agreement’s reinvestment and mandatory prepayment mechanics (365-day reinvestment period; $5M individual / $15M annual aggregate triggers), with</w:t>
      </w:r>
      <w:r>
        <w:t xml:space="preserve"> </w:t>
      </w:r>
      <w:r>
        <w:rPr>
          <w:b/>
          <w:bCs/>
        </w:rPr>
        <w:t xml:space="preserve">residual proceeds flowing to the 2L</w:t>
      </w:r>
      <w:r>
        <w:t xml:space="preserve">.</w:t>
      </w:r>
    </w:p>
    <w:bookmarkEnd w:id="39"/>
    <w:bookmarkStart w:id="40" w:name="b.-proposed-compromise-language-3"/>
    <w:p>
      <w:pPr>
        <w:pStyle w:val="Heading3"/>
      </w:pPr>
      <w:r>
        <w:t xml:space="preserve">B. Proposed Compromise Language</w:t>
      </w:r>
    </w:p>
    <w:p>
      <w:pPr>
        <w:pStyle w:val="BlockText"/>
      </w:pPr>
      <w:r>
        <w:rPr>
          <w:b/>
          <w:bCs/>
        </w:rPr>
        <w:t xml:space="preserve">Section 4.02 — Application of Asset Disposition and Casualty Proceeds.</w:t>
      </w:r>
      <w:r>
        <w:t xml:space="preserve"> </w:t>
      </w:r>
      <w:r>
        <w:t xml:space="preserve">All Net Cash Proceeds received by the Borrower or any other loan party in respect of any Asset Disposition or Casualty Event shall be applied as follows:</w:t>
      </w:r>
    </w:p>
    <w:p>
      <w:pPr>
        <w:pStyle w:val="BlockText"/>
      </w:pPr>
      <w:r>
        <w:rPr>
          <w:b/>
          <w:bCs/>
        </w:rPr>
        <w:t xml:space="preserve">(a) Ordinary-Course Asset Dispositions.</w:t>
      </w:r>
      <w:r>
        <w:t xml:space="preserve"> </w:t>
      </w:r>
      <w:r>
        <w:t xml:space="preserve">With respect to any Asset Disposition that is in the ordinary course of business (as described in the definition of</w:t>
      </w:r>
      <w:r>
        <w:t xml:space="preserve"> </w:t>
      </w:r>
      <w:r>
        <w:t xml:space="preserve">“</w:t>
      </w:r>
      <w:r>
        <w:t xml:space="preserve">Asset Disposition</w:t>
      </w:r>
      <w:r>
        <w:t xml:space="preserve">”</w:t>
      </w:r>
      <w:r>
        <w:t xml:space="preserve"> </w:t>
      </w:r>
      <w:r>
        <w:t xml:space="preserve">in the First Lien Credit Agreement, including sales of inventory and dispositions of worn-out, obsolete, or surplus equipment, in each case in the ordinary course of business) and that yields Net Cash Proceeds not exceeding</w:t>
      </w:r>
      <w:r>
        <w:t xml:space="preserve"> </w:t>
      </w:r>
      <w:r>
        <w:rPr>
          <w:b/>
          <w:bCs/>
        </w:rPr>
        <w:t xml:space="preserve">$20,000,000</w:t>
      </w:r>
      <w:r>
        <w:t xml:space="preserve"> </w:t>
      </w:r>
      <w:r>
        <w:t xml:space="preserve">individually, the Borrower shall retain the reinvestment rights set forth in Section 2.05(b)(iv) of the First Lien Credit Agreement, including the right to reinvest such Net Cash Proceeds in Permitted Reinvestment Assets during the Reinvestment Period (i.e., the 365-day period following the date of receipt of such Net Cash Proceeds). To the extent such Net Cash Proceeds are not reinvested (or committed to be reinvested pursuant to a binding agreement entered into during the Reinvestment Period) in Permitted Reinvestment Assets within the Reinvestment Period, one hundred percent (100%) of the unreinvested portion shall be applied to prepay the First Lien Obligations in accordance with the mandatory prepayment provisions of the First Lien Credit Agreement.</w:t>
      </w:r>
    </w:p>
    <w:p>
      <w:pPr>
        <w:pStyle w:val="BlockText"/>
      </w:pPr>
      <w:r>
        <w:rPr>
          <w:b/>
          <w:bCs/>
        </w:rPr>
        <w:t xml:space="preserve">(b) Large, Extraordinary, or Non-Ordinary-Course Dispositions; Casualty Events.</w:t>
      </w:r>
      <w:r>
        <w:t xml:space="preserve"> </w:t>
      </w:r>
      <w:r>
        <w:t xml:space="preserve">With respect to (i) any Asset Disposition that yields Net Cash Proceeds exceeding</w:t>
      </w:r>
      <w:r>
        <w:t xml:space="preserve"> </w:t>
      </w:r>
      <w:r>
        <w:rPr>
          <w:b/>
          <w:bCs/>
        </w:rPr>
        <w:t xml:space="preserve">$20,000,000</w:t>
      </w:r>
      <w:r>
        <w:t xml:space="preserve"> </w:t>
      </w:r>
      <w:r>
        <w:t xml:space="preserve">individually, (ii) any Asset Disposition that is not in the ordinary course of business, or (iii) any Casualty Event (regardless of the amount of Net Cash Proceeds), one hundred percent (100%) of the Net Cash Proceeds shall be applied to prepay the First Lien Obligations in accordance with the waterfall set forth in Section 4.01, and,</w:t>
      </w:r>
      <w:r>
        <w:t xml:space="preserve"> </w:t>
      </w:r>
      <w:r>
        <w:rPr>
          <w:b/>
          <w:bCs/>
        </w:rPr>
        <w:t xml:space="preserve">notwithstanding any provision of the First Lien Credit Agreement to the contrary</w:t>
      </w:r>
      <w:r>
        <w:t xml:space="preserve"> </w:t>
      </w:r>
      <w:r>
        <w:t xml:space="preserve">(including the reinvestment rights set forth in Section 2.05(b)(iv) thereof), no reinvestment of such Net Cash Proceeds shall be permitted.</w:t>
      </w:r>
    </w:p>
    <w:p>
      <w:pPr>
        <w:pStyle w:val="BlockText"/>
      </w:pPr>
      <w:r>
        <w:rPr>
          <w:b/>
          <w:bCs/>
        </w:rPr>
        <w:t xml:space="preserve">(c) Residual Proceeds.</w:t>
      </w:r>
      <w:r>
        <w:t xml:space="preserve"> </w:t>
      </w:r>
      <w:r>
        <w:t xml:space="preserve">After the Discharge of First Lien Obligations, any remaining Net Cash Proceeds shall be applied to the Second Lien Obligations in accordance with the terms of the Second Lien Credit Agreement and Section 4.01 hereof. No Net Cash Proceeds shall be distributed to the Borrower, its equity holders, or any other person until all First Lien Obligations and all Second Lien Obligations have been paid in full, except as expressly permitted by the First Lien Credit Agreement for ordinary-course Asset Dispositions reinvested in Permitted Reinvestment Assets in accordance with Section (a) above.</w:t>
      </w:r>
    </w:p>
    <w:p>
      <w:pPr>
        <w:pStyle w:val="BlockText"/>
      </w:pPr>
      <w:r>
        <w:rPr>
          <w:b/>
          <w:bCs/>
        </w:rPr>
        <w:t xml:space="preserve">(d) Anti-Evasion.</w:t>
      </w:r>
      <w:r>
        <w:t xml:space="preserve"> </w:t>
      </w:r>
      <w:r>
        <w:t xml:space="preserve">No Asset Disposition (and no series of related Asset Dispositions) shall be structured, timed, or otherwise arranged in a manner designed to avoid the $20,000,000 threshold set forth in Section (a) or the application of Section (b). The First Lien Agent may, in its reasonable discretion, aggregate any Asset Dispositions occurring within a</w:t>
      </w:r>
      <w:r>
        <w:t xml:space="preserve"> </w:t>
      </w:r>
      <w:r>
        <w:rPr>
          <w:b/>
          <w:bCs/>
        </w:rPr>
        <w:t xml:space="preserve">ninety (90)-day period</w:t>
      </w:r>
      <w:r>
        <w:t xml:space="preserve"> </w:t>
      </w:r>
      <w:r>
        <w:t xml:space="preserve">if the First Lien Agent reasonably determines that such Asset Dispositions constitute a single plan or related series of transactions, and, in such event, the Net Cash Proceeds from all such aggregated Asset Dispositions shall be treated as Net Cash Proceeds from a single Asset Disposition for purposes of determining whether the $20,000,000 threshold has been exceeded. In making such determination, the First Lien Agent shall consider, among other factors, the identity of the acquirer or acquirers, the nature and location of the assets disposed of, and the timing and sequencing of the dispositions.</w:t>
      </w:r>
    </w:p>
    <w:p>
      <w:pPr>
        <w:pStyle w:val="BlockText"/>
      </w:pPr>
      <w:r>
        <w:rPr>
          <w:b/>
          <w:bCs/>
        </w:rPr>
        <w:t xml:space="preserve">(e) Reporting.</w:t>
      </w:r>
      <w:r>
        <w:t xml:space="preserve"> </w:t>
      </w:r>
      <w:r>
        <w:t xml:space="preserve">The Borrower shall deliver to the First Lien Agent and the Second Lien Agent (i) a quarterly certificate of compliance identifying all Asset Dispositions and Casualty Events during the relevant fiscal quarter and the application of Net Cash Proceeds therefrom; (ii) prompt notice (and in any event within five (5) Business Days) of any Asset Disposition or Casualty Event yielding Net Cash Proceeds in excess of</w:t>
      </w:r>
      <w:r>
        <w:t xml:space="preserve"> </w:t>
      </w:r>
      <w:r>
        <w:rPr>
          <w:b/>
          <w:bCs/>
        </w:rPr>
        <w:t xml:space="preserve">$3,000,000</w:t>
      </w:r>
      <w:r>
        <w:t xml:space="preserve"> </w:t>
      </w:r>
      <w:r>
        <w:t xml:space="preserve">(the</w:t>
      </w:r>
      <w:r>
        <w:t xml:space="preserve"> </w:t>
      </w:r>
      <w:r>
        <w:t xml:space="preserve">“</w:t>
      </w:r>
      <w:r>
        <w:t xml:space="preserve">Reporting Threshold</w:t>
      </w:r>
      <w:r>
        <w:t xml:space="preserve">”</w:t>
      </w:r>
      <w:r>
        <w:t xml:space="preserve">); and (iii) an annual aggregate disposition report setting forth an itemized list of all Asset Dispositions and Casualty Events during the relevant fiscal year and the application of Net Cash Proceeds therefrom.</w:t>
      </w:r>
    </w:p>
    <w:bookmarkEnd w:id="40"/>
    <w:bookmarkStart w:id="41" w:name="c.-negotiation-rationale-3"/>
    <w:p>
      <w:pPr>
        <w:pStyle w:val="Heading3"/>
      </w:pPr>
      <w:r>
        <w:t xml:space="preserve">C. Negotiation Rationale</w:t>
      </w:r>
    </w:p>
    <w:p>
      <w:pPr>
        <w:pStyle w:val="FirstParagraph"/>
      </w:pPr>
      <w:r>
        <w:rPr>
          <w:b/>
          <w:bCs/>
        </w:rPr>
        <w:t xml:space="preserve">The bifurcated structure.</w:t>
      </w:r>
    </w:p>
    <w:p>
      <w:pPr>
        <w:pStyle w:val="BodyText"/>
      </w:pPr>
      <w:r>
        <w:t xml:space="preserve">The compromise adopts a</w:t>
      </w:r>
      <w:r>
        <w:t xml:space="preserve"> </w:t>
      </w:r>
      <w:r>
        <w:rPr>
          <w:b/>
          <w:bCs/>
        </w:rPr>
        <w:t xml:space="preserve">bifurcated</w:t>
      </w:r>
      <w:r>
        <w:t xml:space="preserve"> </w:t>
      </w:r>
      <w:r>
        <w:t xml:space="preserve">approach that both agents have effectively converged on in their without-prejudice communications. The 1L Agent’s counsel stated that</w:t>
      </w:r>
      <w:r>
        <w:t xml:space="preserve"> </w:t>
      </w:r>
      <w:r>
        <w:t xml:space="preserve">“</w:t>
      </w:r>
      <w:r>
        <w:t xml:space="preserve">a</w:t>
      </w:r>
      <w:r>
        <w:t xml:space="preserve"> </w:t>
      </w:r>
      <w:r>
        <w:rPr>
          <w:b/>
          <w:bCs/>
        </w:rPr>
        <w:t xml:space="preserve">hard sweep of proceeds from large and/or extraordinary asset sales is essential</w:t>
      </w:r>
      <w:r>
        <w:t xml:space="preserve">… not subject to significant compromise,</w:t>
      </w:r>
      <w:r>
        <w:t xml:space="preserve">”</w:t>
      </w:r>
      <w:r>
        <w:t xml:space="preserve"> </w:t>
      </w:r>
      <w:r>
        <w:t xml:space="preserve">but acknowledged that</w:t>
      </w:r>
      <w:r>
        <w:t xml:space="preserve"> </w:t>
      </w:r>
      <w:r>
        <w:t xml:space="preserve">“</w:t>
      </w:r>
      <w:r>
        <w:t xml:space="preserve">reinvestment rights for</w:t>
      </w:r>
      <w:r>
        <w:t xml:space="preserve"> </w:t>
      </w:r>
      <w:r>
        <w:rPr>
          <w:b/>
          <w:bCs/>
        </w:rPr>
        <w:t xml:space="preserve">smaller, ordinary-course asset sales may be acceptable</w:t>
      </w:r>
      <w:r>
        <w:t xml:space="preserve">”</w:t>
      </w:r>
      <w:r>
        <w:t xml:space="preserve"> </w:t>
      </w:r>
      <w:r>
        <w:t xml:space="preserve">and proposed that</w:t>
      </w:r>
      <w:r>
        <w:t xml:space="preserve"> </w:t>
      </w:r>
      <w:r>
        <w:t xml:space="preserve">“</w:t>
      </w:r>
      <w:r>
        <w:t xml:space="preserve">the ICA defer to the 1L Credit Agreement’s existing reinvestment mechanics for ordinary-course sales below a defined threshold, while imposing a</w:t>
      </w:r>
      <w:r>
        <w:t xml:space="preserve"> </w:t>
      </w:r>
      <w:r>
        <w:rPr>
          <w:b/>
          <w:bCs/>
        </w:rPr>
        <w:t xml:space="preserve">hard 100% sweep</w:t>
      </w:r>
      <w:r>
        <w:t xml:space="preserve">… for larger or extraordinary dispositions,</w:t>
      </w:r>
      <w:r>
        <w:t xml:space="preserve">”</w:t>
      </w:r>
      <w:r>
        <w:t xml:space="preserve"> </w:t>
      </w:r>
      <w:r>
        <w:t xml:space="preserve">with</w:t>
      </w:r>
      <w:r>
        <w:t xml:space="preserve"> </w:t>
      </w:r>
      <w:r>
        <w:t xml:space="preserve">“</w:t>
      </w:r>
      <w:r>
        <w:t xml:space="preserve">anti-evasion language… essential.</w:t>
      </w:r>
      <w:r>
        <w:t xml:space="preserve">”</w:t>
      </w:r>
      <w:r>
        <w:t xml:space="preserve"> </w:t>
      </w:r>
      <w:r>
        <w:t xml:space="preserve">The 2L Agent’s counsel stated that</w:t>
      </w:r>
      <w:r>
        <w:t xml:space="preserve"> </w:t>
      </w:r>
      <w:r>
        <w:t xml:space="preserve">“</w:t>
      </w:r>
      <w:r>
        <w:t xml:space="preserve">Ridgeline understands that</w:t>
      </w:r>
      <w:r>
        <w:t xml:space="preserve"> </w:t>
      </w:r>
      <w:r>
        <w:rPr>
          <w:b/>
          <w:bCs/>
        </w:rPr>
        <w:t xml:space="preserve">hard sweeps on large or extraordinary asset sales may be necessary</w:t>
      </w:r>
      <w:r>
        <w:t xml:space="preserve">,</w:t>
      </w:r>
      <w:r>
        <w:t xml:space="preserve">”</w:t>
      </w:r>
      <w:r>
        <w:t xml:space="preserve"> </w:t>
      </w:r>
      <w:r>
        <w:t xml:space="preserve">that its</w:t>
      </w:r>
      <w:r>
        <w:t xml:space="preserve"> </w:t>
      </w:r>
      <w:r>
        <w:t xml:space="preserve">“</w:t>
      </w:r>
      <w:r>
        <w:t xml:space="preserve">primary concern is that</w:t>
      </w:r>
      <w:r>
        <w:t xml:space="preserve"> </w:t>
      </w:r>
      <w:r>
        <w:rPr>
          <w:b/>
          <w:bCs/>
        </w:rPr>
        <w:t xml:space="preserve">some form of 2L access to residual asset sale proceeds be preserved</w:t>
      </w:r>
      <w:r>
        <w:t xml:space="preserve">,</w:t>
      </w:r>
      <w:r>
        <w:t xml:space="preserve">”</w:t>
      </w:r>
      <w:r>
        <w:t xml:space="preserve"> </w:t>
      </w:r>
      <w:r>
        <w:t xml:space="preserve">and that it</w:t>
      </w:r>
      <w:r>
        <w:t xml:space="preserve"> </w:t>
      </w:r>
      <w:r>
        <w:t xml:space="preserve">“</w:t>
      </w:r>
      <w:r>
        <w:t xml:space="preserve">could live with the 1L reinvestment mechanics applying for ordinary-course sales… provided that the residual after 1L application flows to the 2L rather than back to the Borrower,</w:t>
      </w:r>
      <w:r>
        <w:t xml:space="preserve">”</w:t>
      </w:r>
      <w:r>
        <w:t xml:space="preserve"> </w:t>
      </w:r>
      <w:r>
        <w:t xml:space="preserve">with</w:t>
      </w:r>
      <w:r>
        <w:t xml:space="preserve"> </w:t>
      </w:r>
      <w:r>
        <w:t xml:space="preserve">“</w:t>
      </w:r>
      <w:r>
        <w:t xml:space="preserve">anti-evasion language… to protect against asset-stripping.</w:t>
      </w:r>
      <w:r>
        <w:t xml:space="preserve">”</w:t>
      </w:r>
      <w:r>
        <w:t xml:space="preserve"> </w:t>
      </w:r>
      <w:r>
        <w:t xml:space="preserve">The compromise implements exactly this convergence.</w:t>
      </w:r>
    </w:p>
    <w:p>
      <w:pPr>
        <w:pStyle w:val="BodyText"/>
      </w:pPr>
      <w:r>
        <w:rPr>
          <w:b/>
          <w:bCs/>
        </w:rPr>
        <w:t xml:space="preserve">Why the $20,000,000 ordinary-course threshold is the right line.</w:t>
      </w:r>
    </w:p>
    <w:p>
      <w:pPr>
        <w:pStyle w:val="BodyText"/>
      </w:pPr>
      <w:r>
        <w:t xml:space="preserve">The $20M threshold is the</w:t>
      </w:r>
      <w:r>
        <w:t xml:space="preserve"> </w:t>
      </w:r>
      <w:r>
        <w:rPr>
          <w:b/>
          <w:bCs/>
        </w:rPr>
        <w:t xml:space="preserve">market median</w:t>
      </w:r>
      <w:r>
        <w:t xml:space="preserve"> </w:t>
      </w:r>
      <w:r>
        <w:t xml:space="preserve">for the ordinary-course carve-out (median $20M; mean $19.7M; range $10M–$30M across the 34 deals that exclude ordinary-course sales, which is</w:t>
      </w:r>
      <w:r>
        <w:t xml:space="preserve"> </w:t>
      </w:r>
      <w:r>
        <w:rPr>
          <w:b/>
          <w:bCs/>
        </w:rPr>
        <w:t xml:space="preserve">81% of the survey</w:t>
      </w:r>
      <w:r>
        <w:t xml:space="preserve">). It is also the threshold used by</w:t>
      </w:r>
      <w:r>
        <w:t xml:space="preserve"> </w:t>
      </w:r>
      <w:r>
        <w:rPr>
          <w:b/>
          <w:bCs/>
        </w:rPr>
        <w:t xml:space="preserve">Deal-007</w:t>
      </w:r>
      <w:r>
        <w:t xml:space="preserve">, the closest structural comparable, which employed</w:t>
      </w:r>
      <w:r>
        <w:t xml:space="preserve"> </w:t>
      </w:r>
      <w:r>
        <w:t xml:space="preserve">“</w:t>
      </w:r>
      <w:r>
        <w:t xml:space="preserve">ordinary-course threshold $20M with anti-evasion clause at same level.</w:t>
      </w:r>
      <w:r>
        <w:t xml:space="preserve">”</w:t>
      </w:r>
      <w:r>
        <w:t xml:space="preserve"> </w:t>
      </w:r>
      <w:r>
        <w:t xml:space="preserve">You confirmed that</w:t>
      </w:r>
      <w:r>
        <w:t xml:space="preserve"> </w:t>
      </w:r>
      <w:r>
        <w:t xml:space="preserve">“</w:t>
      </w:r>
      <w:r>
        <w:t xml:space="preserve">$20M</w:t>
      </w:r>
      <w:r>
        <w:t xml:space="preserve">”</w:t>
      </w:r>
      <w:r>
        <w:t xml:space="preserve"> </w:t>
      </w:r>
      <w:r>
        <w:t xml:space="preserve">is the threshold discussed informally among the parties. The threshold represents approximately</w:t>
      </w:r>
      <w:r>
        <w:t xml:space="preserve"> </w:t>
      </w:r>
      <w:r>
        <w:rPr>
          <w:b/>
          <w:bCs/>
        </w:rPr>
        <w:t xml:space="preserve">22.4% of LTM EBITDA</w:t>
      </w:r>
      <w:r>
        <w:t xml:space="preserve"> </w:t>
      </w:r>
      <w:r>
        <w:t xml:space="preserve">($20M ÷ $89.4M) — large enough to accommodate routine asset turnover (replacement of aging manufacturing equipment, sale of surplus inventory, etc.) but small enough that any disposition material to the 1L’s ~$165M equity cushion is captured by the hard sweep.</w:t>
      </w:r>
    </w:p>
    <w:p>
      <w:pPr>
        <w:pStyle w:val="BodyText"/>
      </w:pPr>
      <w:r>
        <w:rPr>
          <w:b/>
          <w:bCs/>
        </w:rPr>
        <w:t xml:space="preserve">Why the hard sweep for large/extraordinary sales and all casualty events is essential to the 1L.</w:t>
      </w:r>
    </w:p>
    <w:p>
      <w:pPr>
        <w:pStyle w:val="BodyText"/>
      </w:pPr>
      <w:r>
        <w:t xml:space="preserve">The 1L’s insistence on the hard sweep is driven by the 97.66% Total LTV: with only ~$165M of value beneath the 1L debt, any leakage of significant disposition proceeds would directly impair 1L recovery. The hard sweep on dispositions &gt; $20M, non-ordinary-course dispositions, and</w:t>
      </w:r>
      <w:r>
        <w:t xml:space="preserve"> </w:t>
      </w:r>
      <w:r>
        <w:rPr>
          <w:b/>
          <w:bCs/>
        </w:rPr>
        <w:t xml:space="preserve">all casualty events</w:t>
      </w:r>
      <w:r>
        <w:t xml:space="preserve"> </w:t>
      </w:r>
      <w:r>
        <w:t xml:space="preserve">(regardless of size) protects the 1L on the dispositions that matter. Casualty events are swept regardless of size because they represent</w:t>
      </w:r>
      <w:r>
        <w:t xml:space="preserve"> </w:t>
      </w:r>
      <w:r>
        <w:rPr>
          <w:b/>
          <w:bCs/>
        </w:rPr>
        <w:t xml:space="preserve">collateral destruction</w:t>
      </w:r>
      <w:r>
        <w:t xml:space="preserve"> </w:t>
      </w:r>
      <w:r>
        <w:t xml:space="preserve">(not routine turnover) and are not</w:t>
      </w:r>
      <w:r>
        <w:t xml:space="preserve"> </w:t>
      </w:r>
      <w:r>
        <w:t xml:space="preserve">“</w:t>
      </w:r>
      <w:r>
        <w:t xml:space="preserve">ordinary course</w:t>
      </w:r>
      <w:r>
        <w:t xml:space="preserve">”</w:t>
      </w:r>
      <w:r>
        <w:t xml:space="preserve"> </w:t>
      </w:r>
      <w:r>
        <w:t xml:space="preserve">— the market’s ordinary-course carve-out is about</w:t>
      </w:r>
      <w:r>
        <w:t xml:space="preserve"> </w:t>
      </w:r>
      <w:r>
        <w:rPr>
          <w:i/>
          <w:iCs/>
        </w:rPr>
        <w:t xml:space="preserve">sales</w:t>
      </w:r>
      <w:r>
        <w:t xml:space="preserve">, not casualty, and the 1L’s position letter expressly included casualty proceeds in the sweep. This is the market majority:</w:t>
      </w:r>
      <w:r>
        <w:t xml:space="preserve"> </w:t>
      </w:r>
      <w:r>
        <w:rPr>
          <w:b/>
          <w:bCs/>
        </w:rPr>
        <w:t xml:space="preserve">90% of deals (38 of 42) include a hard sweep for large/extraordinary sales</w:t>
      </w:r>
      <w:r>
        <w:t xml:space="preserve">, and the 100%-to-1L-first principle is</w:t>
      </w:r>
      <w:r>
        <w:t xml:space="preserve"> </w:t>
      </w:r>
      <w:r>
        <w:rPr>
          <w:b/>
          <w:bCs/>
        </w:rPr>
        <w:t xml:space="preserve">universal</w:t>
      </w:r>
      <w:r>
        <w:t xml:space="preserve"> </w:t>
      </w:r>
      <w:r>
        <w:t xml:space="preserve">(100% of all 42 deals sweep to the 1L first).</w:t>
      </w:r>
    </w:p>
    <w:p>
      <w:pPr>
        <w:pStyle w:val="BodyText"/>
      </w:pPr>
      <w:r>
        <w:rPr>
          <w:b/>
          <w:bCs/>
        </w:rPr>
        <w:t xml:space="preserve">Why residual-to-2L is acceptable to the 1L.</w:t>
      </w:r>
    </w:p>
    <w:p>
      <w:pPr>
        <w:pStyle w:val="BodyText"/>
      </w:pPr>
      <w:r>
        <w:t xml:space="preserve">The 1L Agent’s counsel stated that</w:t>
      </w:r>
      <w:r>
        <w:t xml:space="preserve"> </w:t>
      </w:r>
      <w:r>
        <w:t xml:space="preserve">“</w:t>
      </w:r>
      <w:r>
        <w:t xml:space="preserve">the question of residual proceeds flowing to 2L after full 1L satisfaction… candidly… is less of a concern if the hard sweep for significant sales is preserved.</w:t>
      </w:r>
      <w:r>
        <w:t xml:space="preserve">”</w:t>
      </w:r>
      <w:r>
        <w:t xml:space="preserve"> </w:t>
      </w:r>
      <w:r>
        <w:t xml:space="preserve">The compromise delivers the hard sweep for significant sales (the 1L’s essential requirement) and therefore can — and should — grant the 2L the residual access the 2L needs. Residual-to-2L is the</w:t>
      </w:r>
      <w:r>
        <w:t xml:space="preserve"> </w:t>
      </w:r>
      <w:r>
        <w:rPr>
          <w:b/>
          <w:bCs/>
        </w:rPr>
        <w:t xml:space="preserve">market majority (79% of deals, 33 of 42)</w:t>
      </w:r>
      <w:r>
        <w:t xml:space="preserve"> </w:t>
      </w:r>
      <w:r>
        <w:t xml:space="preserve">and is, as the 2L’s counsel noted,</w:t>
      </w:r>
      <w:r>
        <w:t xml:space="preserve"> </w:t>
      </w:r>
      <w:r>
        <w:t xml:space="preserve">“</w:t>
      </w:r>
      <w:r>
        <w:t xml:space="preserve">symbolically important even if economically limited</w:t>
      </w:r>
      <w:r>
        <w:t xml:space="preserve">”</w:t>
      </w:r>
      <w:r>
        <w:t xml:space="preserve"> </w:t>
      </w:r>
      <w:r>
        <w:t xml:space="preserve">— the 2L must be able to demonstrate to its investors and LPs that the intercreditor structure preserves a waterfall right after full 1L satisfaction. Critically, the compromise directs residual proceeds to the</w:t>
      </w:r>
      <w:r>
        <w:t xml:space="preserve"> </w:t>
      </w:r>
      <w:r>
        <w:rPr>
          <w:b/>
          <w:bCs/>
        </w:rPr>
        <w:t xml:space="preserve">2L Obligations</w:t>
      </w:r>
      <w:r>
        <w:t xml:space="preserve">, not back to the Borrower — preventing the value-trapping outcome the 2L identified (proceeds sitting as unrestricted Borrower cash to no creditor’s benefit) and instead deleveraging the capital structure.</w:t>
      </w:r>
    </w:p>
    <w:p>
      <w:pPr>
        <w:pStyle w:val="BodyText"/>
      </w:pPr>
      <w:r>
        <w:rPr>
          <w:b/>
          <w:bCs/>
        </w:rPr>
        <w:t xml:space="preserve">Why the anti-evasion language is robust.</w:t>
      </w:r>
    </w:p>
    <w:p>
      <w:pPr>
        <w:pStyle w:val="BodyText"/>
      </w:pPr>
      <w:r>
        <w:t xml:space="preserve">Both agents independently flagged anti-evasion as essential, and the 1L specifically warned that</w:t>
      </w:r>
      <w:r>
        <w:t xml:space="preserve"> </w:t>
      </w:r>
      <w:r>
        <w:t xml:space="preserve">“</w:t>
      </w:r>
      <w:r>
        <w:t xml:space="preserve">any threshold distinguishing ordinary-course from extraordinary sales must be carefully drafted to prevent evasion — specifically, to guard against a large disposition being structured as a series of smaller transactions.</w:t>
      </w:r>
      <w:r>
        <w:t xml:space="preserve">”</w:t>
      </w:r>
      <w:r>
        <w:t xml:space="preserve"> </w:t>
      </w:r>
      <w:r>
        <w:t xml:space="preserve">The compromise’s anti-evasion provision (clause (d)) is modeled on the</w:t>
      </w:r>
      <w:r>
        <w:t xml:space="preserve"> </w:t>
      </w:r>
      <w:r>
        <w:rPr>
          <w:b/>
          <w:bCs/>
        </w:rPr>
        <w:t xml:space="preserve">existing anti-evasion language in Section 2.05(b)(iii) of the 1L Credit Agreement</w:t>
      </w:r>
      <w:r>
        <w:t xml:space="preserve"> </w:t>
      </w:r>
      <w:r>
        <w:t xml:space="preserve">— which already empowers the 1L Agent to aggregate dispositions within a 90-day period that constitute a single plan, considering the identity of the acquirer, the nature and location of the assets, and the timing and sequencing. Extending this established mechanism to the $20M ICA threshold ensures consistency with the Borrower’s existing obligations and gives the 1L a tested, administrable tool to prevent asset-stripping. This matches the market:</w:t>
      </w:r>
      <w:r>
        <w:t xml:space="preserve"> </w:t>
      </w:r>
      <w:r>
        <w:rPr>
          <w:b/>
          <w:bCs/>
        </w:rPr>
        <w:t xml:space="preserve">97% of deals with an ordinary-course carve-out (33 of 34) include an anti-evasion clause</w:t>
      </w:r>
      <w:r>
        <w:t xml:space="preserve">, typically set at the same threshold as the carve-out.</w:t>
      </w:r>
    </w:p>
    <w:p>
      <w:pPr>
        <w:pStyle w:val="BodyText"/>
      </w:pPr>
      <w:r>
        <w:rPr>
          <w:b/>
          <w:bCs/>
        </w:rPr>
        <w:t xml:space="preserve">Why the reporting regime is appropriate.</w:t>
      </w:r>
    </w:p>
    <w:p>
      <w:pPr>
        <w:pStyle w:val="BodyText"/>
      </w:pPr>
      <w:r>
        <w:t xml:space="preserve">The reporting regime (clause (e)) combines (i) a quarterly certificate of compliance, (ii) prompt event-driven notice above a $3M Reporting Threshold, and (iii) an annual aggregate disposition report. This tracks the market (quarterly certificate in</w:t>
      </w:r>
      <w:r>
        <w:t xml:space="preserve"> </w:t>
      </w:r>
      <w:r>
        <w:rPr>
          <w:b/>
          <w:bCs/>
        </w:rPr>
        <w:t xml:space="preserve">90%</w:t>
      </w:r>
      <w:r>
        <w:t xml:space="preserve"> </w:t>
      </w:r>
      <w:r>
        <w:t xml:space="preserve">of deals; event-driven notice in</w:t>
      </w:r>
      <w:r>
        <w:t xml:space="preserve"> </w:t>
      </w:r>
      <w:r>
        <w:rPr>
          <w:b/>
          <w:bCs/>
        </w:rPr>
        <w:t xml:space="preserve">79%</w:t>
      </w:r>
      <w:r>
        <w:t xml:space="preserve">; annual aggregate report in</w:t>
      </w:r>
      <w:r>
        <w:t xml:space="preserve"> </w:t>
      </w:r>
      <w:r>
        <w:rPr>
          <w:b/>
          <w:bCs/>
        </w:rPr>
        <w:t xml:space="preserve">38%</w:t>
      </w:r>
      <w:r>
        <w:t xml:space="preserve">) and mirrors Deal-007’s</w:t>
      </w:r>
      <w:r>
        <w:t xml:space="preserve"> </w:t>
      </w:r>
      <w:r>
        <w:t xml:space="preserve">“</w:t>
      </w:r>
      <w:r>
        <w:t xml:space="preserve">quarterly certificate + prompt notice + annual aggregate report</w:t>
      </w:r>
      <w:r>
        <w:t xml:space="preserve">”</w:t>
      </w:r>
      <w:r>
        <w:t xml:space="preserve"> </w:t>
      </w:r>
      <w:r>
        <w:t xml:space="preserve">framework. The $3M Reporting Threshold is drawn directly from the 1L Credit Agreement (Section 2.05(b)(v)), which already requires a Prepayment Event Notice above $3M — set below the $5M individual prepayment trigger to give the 1L early visibility. Reusing the existing threshold avoids imposing a new reporting burden and gives both lien levels transparency into proceeds application, which is essential to administering the bifurcated waterfall and the anti-evasion aggregation right.</w:t>
      </w:r>
    </w:p>
    <w:p>
      <w:pPr>
        <w:pStyle w:val="BodyText"/>
      </w:pPr>
      <w:r>
        <w:rPr>
          <w:b/>
          <w:bCs/>
        </w:rPr>
        <w:t xml:space="preserve">Quantified economic impact.</w:t>
      </w:r>
    </w:p>
    <w:p>
      <w:pPr>
        <w:pStyle w:val="BodyText"/>
      </w:pPr>
      <w:r>
        <w:t xml:space="preserve">The 1L’s ~$165M equity cushion is the relevant frame. A single large asset sale that bypassed the 1L waterfall — say, a $50M disposition permitted to be reinvested or distributed — would erode ~30% of that cushion. The hard sweep on dispositions &gt; $20M ensures such proceeds go to the 1L, preserving the cushion. Conversely, ordinary-course sales ≤ $20M that are</w:t>
      </w:r>
      <w:r>
        <w:t xml:space="preserve"> </w:t>
      </w:r>
      <w:r>
        <w:rPr>
          <w:i/>
          <w:iCs/>
        </w:rPr>
        <w:t xml:space="preserve">reinvested</w:t>
      </w:r>
      <w:r>
        <w:t xml:space="preserve"> </w:t>
      </w:r>
      <w:r>
        <w:t xml:space="preserve">in Permitted Reinvestment Assets do</w:t>
      </w:r>
      <w:r>
        <w:t xml:space="preserve"> </w:t>
      </w:r>
      <w:r>
        <w:rPr>
          <w:b/>
          <w:bCs/>
        </w:rPr>
        <w:t xml:space="preserve">not</w:t>
      </w:r>
      <w:r>
        <w:t xml:space="preserve"> </w:t>
      </w:r>
      <w:r>
        <w:t xml:space="preserve">erode the cushion, because the proceeds are converted into replacement assets that remain in the collateral base — which is precisely why the market (81%) and the 1L Agent’s counsel accept reinvestment for small ordinary-course sales. The bifurcation is therefore economically sound: large, cushion-eroding dispositions are swept; small, cushion-neutral ordinary-course dispositions retain reinvestment. The residual-to-2L has no impact on the 1L (it operates only after the 1L is paid in full) and gives the 2L its bargained-for waterfall right.</w:t>
      </w:r>
    </w:p>
    <w:p>
      <w:r>
        <w:pict>
          <v:rect style="width:0;height:1.5pt" o:hralign="center" o:hrstd="t" o:hr="t"/>
        </w:pict>
      </w:r>
    </w:p>
    <w:bookmarkEnd w:id="41"/>
    <w:bookmarkEnd w:id="42"/>
    <w:bookmarkStart w:id="43" w:name="ix.-package-balance-summary"/>
    <w:p>
      <w:pPr>
        <w:pStyle w:val="Heading2"/>
      </w:pPr>
      <w:r>
        <w:t xml:space="preserve">IX. Package Balance Summary</w:t>
      </w:r>
    </w:p>
    <w:p>
      <w:pPr>
        <w:pStyle w:val="FirstParagraph"/>
      </w:pPr>
      <w:r>
        <w:t xml:space="preserve">The table below summarizes what each side concedes and gains under the package, demonstrating the balance that makes it closeable.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1L Agent concedes</w:t>
            </w:r>
          </w:p>
        </w:tc>
        <w:tc>
          <w:tcPr/>
          <w:p>
            <w:pPr>
              <w:pStyle w:val="Compact"/>
              <w:jc w:val="left"/>
            </w:pPr>
            <w:r>
              <w:t xml:space="preserve">1L Agent gains</w:t>
            </w:r>
          </w:p>
        </w:tc>
        <w:tc>
          <w:tcPr/>
          <w:p>
            <w:pPr>
              <w:pStyle w:val="Compact"/>
              <w:jc w:val="left"/>
            </w:pPr>
            <w:r>
              <w:t xml:space="preserve">2L Agent concedes</w:t>
            </w:r>
          </w:p>
        </w:tc>
        <w:tc>
          <w:tcPr/>
          <w:p>
            <w:pPr>
              <w:pStyle w:val="Compact"/>
              <w:jc w:val="left"/>
            </w:pPr>
            <w:r>
              <w:t xml:space="preserve">2L Agent gains</w:t>
            </w:r>
          </w:p>
        </w:tc>
      </w:tr>
      <w:tr>
        <w:tc>
          <w:tcPr/>
          <w:p>
            <w:pPr>
              <w:pStyle w:val="Compact"/>
              <w:jc w:val="left"/>
            </w:pPr>
            <w:r>
              <w:rPr>
                <w:b/>
                <w:bCs/>
              </w:rPr>
              <w:t xml:space="preserve">Standstill (3.01(b))</w:t>
            </w:r>
          </w:p>
        </w:tc>
        <w:tc>
          <w:tcPr/>
          <w:p>
            <w:pPr>
              <w:pStyle w:val="Compact"/>
              <w:jc w:val="left"/>
            </w:pPr>
            <w:r>
              <w:t xml:space="preserve">270 →</w:t>
            </w:r>
            <w:r>
              <w:t xml:space="preserve"> </w:t>
            </w:r>
            <w:r>
              <w:rPr>
                <w:b/>
                <w:bCs/>
              </w:rPr>
              <w:t xml:space="preserve">180</w:t>
            </w:r>
            <w:r>
              <w:t xml:space="preserve"> </w:t>
            </w:r>
            <w:r>
              <w:t xml:space="preserve">days; accepts early-termination triggers</w:t>
            </w:r>
          </w:p>
        </w:tc>
        <w:tc>
          <w:tcPr/>
          <w:p>
            <w:pPr>
              <w:pStyle w:val="Compact"/>
              <w:jc w:val="left"/>
            </w:pPr>
            <w:r>
              <w:t xml:space="preserve">180 days (above 150-day floor; full 6-month window); triggers are 1L-action/inaction-based (not value-based); 2-notice/365-day cap prevents perpetual reset</w:t>
            </w:r>
          </w:p>
        </w:tc>
        <w:tc>
          <w:tcPr/>
          <w:p>
            <w:pPr>
              <w:pStyle w:val="Compact"/>
              <w:jc w:val="left"/>
            </w:pPr>
            <w:r>
              <w:t xml:space="preserve">90 →</w:t>
            </w:r>
            <w:r>
              <w:t xml:space="preserve"> </w:t>
            </w:r>
            <w:r>
              <w:rPr>
                <w:b/>
                <w:bCs/>
              </w:rPr>
              <w:t xml:space="preserve">180</w:t>
            </w:r>
            <w:r>
              <w:t xml:space="preserve"> </w:t>
            </w:r>
            <w:r>
              <w:t xml:space="preserve">days (doubles opening)</w:t>
            </w:r>
          </w:p>
        </w:tc>
        <w:tc>
          <w:tcPr/>
          <w:p>
            <w:pPr>
              <w:pStyle w:val="Compact"/>
              <w:jc w:val="left"/>
            </w:pPr>
            <w:r>
              <w:rPr>
                <w:b/>
                <w:bCs/>
              </w:rPr>
              <w:t xml:space="preserve">Early-termination triggers</w:t>
            </w:r>
            <w:r>
              <w:t xml:space="preserve"> </w:t>
            </w:r>
            <w:r>
              <w:t xml:space="preserve">(its firm condition); notice cap prevents</w:t>
            </w:r>
            <w:r>
              <w:t xml:space="preserve"> </w:t>
            </w:r>
            <w:r>
              <w:t xml:space="preserve">“</w:t>
            </w:r>
            <w:r>
              <w:t xml:space="preserve">run out the clock</w:t>
            </w:r>
            <w:r>
              <w:t xml:space="preserve">”</w:t>
            </w:r>
            <w:r>
              <w:t xml:space="preserve"> </w:t>
            </w:r>
            <w:r>
              <w:t xml:space="preserve">abuse</w:t>
            </w:r>
          </w:p>
        </w:tc>
      </w:tr>
      <w:tr>
        <w:tc>
          <w:tcPr/>
          <w:p>
            <w:pPr>
              <w:pStyle w:val="Compact"/>
              <w:jc w:val="left"/>
            </w:pPr>
            <w:r>
              <w:rPr>
                <w:b/>
                <w:bCs/>
              </w:rPr>
              <w:t xml:space="preserve">Purchase Right (5.01)</w:t>
            </w:r>
          </w:p>
        </w:tc>
        <w:tc>
          <w:tcPr/>
          <w:p>
            <w:pPr>
              <w:pStyle w:val="Compact"/>
              <w:jc w:val="left"/>
            </w:pPr>
            <w:r>
              <w:t xml:space="preserve">Default →</w:t>
            </w:r>
            <w:r>
              <w:t xml:space="preserve"> </w:t>
            </w:r>
            <w:r>
              <w:rPr>
                <w:b/>
                <w:bCs/>
              </w:rPr>
              <w:t xml:space="preserve">non-default</w:t>
            </w:r>
            <w:r>
              <w:t xml:space="preserve"> </w:t>
            </w:r>
            <w:r>
              <w:t xml:space="preserve">rate (~$2.4M/90 days); mandatory →</w:t>
            </w:r>
            <w:r>
              <w:t xml:space="preserve"> </w:t>
            </w:r>
            <w:r>
              <w:rPr>
                <w:b/>
                <w:bCs/>
              </w:rPr>
              <w:t xml:space="preserve">optional</w:t>
            </w:r>
            <w:r>
              <w:t xml:space="preserve"> </w:t>
            </w:r>
            <w:r>
              <w:t xml:space="preserve">revolver</w:t>
            </w:r>
          </w:p>
        </w:tc>
        <w:tc>
          <w:tcPr/>
          <w:p>
            <w:pPr>
              <w:pStyle w:val="Compact"/>
              <w:jc w:val="left"/>
            </w:pPr>
            <w:r>
              <w:rPr>
                <w:b/>
                <w:bCs/>
              </w:rPr>
              <w:t xml:space="preserve">Par for funded debt</w:t>
            </w:r>
            <w:r>
              <w:t xml:space="preserve"> </w:t>
            </w:r>
            <w:r>
              <w:t xml:space="preserve">(its non-negotiable, accepted by 2L); LC cash-collateralization preserved; 1L-EOD/acceleration triggers</w:t>
            </w:r>
          </w:p>
        </w:tc>
        <w:tc>
          <w:tcPr/>
          <w:p>
            <w:pPr>
              <w:pStyle w:val="Compact"/>
              <w:jc w:val="left"/>
            </w:pPr>
            <w:r>
              <w:rPr>
                <w:b/>
                <w:bCs/>
              </w:rPr>
              <w:t xml:space="preserve">Drops FMV</w:t>
            </w:r>
            <w:r>
              <w:t xml:space="preserve"> </w:t>
            </w:r>
            <w:r>
              <w:t xml:space="preserve">alternative; accepts</w:t>
            </w:r>
            <w:r>
              <w:t xml:space="preserve"> </w:t>
            </w:r>
            <w:r>
              <w:rPr>
                <w:b/>
                <w:bCs/>
              </w:rPr>
              <w:t xml:space="preserve">par</w:t>
            </w:r>
          </w:p>
        </w:tc>
        <w:tc>
          <w:tcPr/>
          <w:p>
            <w:pPr>
              <w:pStyle w:val="Compact"/>
              <w:jc w:val="left"/>
            </w:pPr>
            <w:r>
              <w:rPr>
                <w:b/>
                <w:bCs/>
              </w:rPr>
              <w:t xml:space="preserve">Non-default</w:t>
            </w:r>
            <w:r>
              <w:t xml:space="preserve"> </w:t>
            </w:r>
            <w:r>
              <w:t xml:space="preserve">rate;</w:t>
            </w:r>
            <w:r>
              <w:t xml:space="preserve"> </w:t>
            </w:r>
            <w:r>
              <w:rPr>
                <w:b/>
                <w:bCs/>
              </w:rPr>
              <w:t xml:space="preserve">optional</w:t>
            </w:r>
            <w:r>
              <w:t xml:space="preserve"> </w:t>
            </w:r>
            <w:r>
              <w:t xml:space="preserve">revolver (resolves LPA constraint); 1L-acceleration trigger; 30-day window</w:t>
            </w:r>
          </w:p>
        </w:tc>
      </w:tr>
      <w:tr>
        <w:tc>
          <w:tcPr/>
          <w:p>
            <w:pPr>
              <w:pStyle w:val="Compact"/>
              <w:jc w:val="left"/>
            </w:pPr>
            <w:r>
              <w:rPr>
                <w:b/>
                <w:bCs/>
              </w:rPr>
              <w:t xml:space="preserve">Refinancing (2.03(c))</w:t>
            </w:r>
          </w:p>
        </w:tc>
        <w:tc>
          <w:tcPr/>
          <w:p>
            <w:pPr>
              <w:pStyle w:val="Compact"/>
              <w:jc w:val="left"/>
            </w:pPr>
            <w:r>
              <w:t xml:space="preserve">0% →</w:t>
            </w:r>
            <w:r>
              <w:t xml:space="preserve"> </w:t>
            </w:r>
            <w:r>
              <w:rPr>
                <w:b/>
                <w:bCs/>
              </w:rPr>
              <w:t xml:space="preserve">10%</w:t>
            </w:r>
            <w:r>
              <w:t xml:space="preserve"> </w:t>
            </w:r>
            <w:r>
              <w:t xml:space="preserve">cap; blanket →</w:t>
            </w:r>
            <w:r>
              <w:t xml:space="preserve"> </w:t>
            </w:r>
            <w:r>
              <w:rPr>
                <w:b/>
                <w:bCs/>
              </w:rPr>
              <w:t xml:space="preserve">narrowed</w:t>
            </w:r>
            <w:r>
              <w:t xml:space="preserve"> </w:t>
            </w:r>
            <w:r>
              <w:t xml:space="preserve">test</w:t>
            </w:r>
          </w:p>
        </w:tc>
        <w:tc>
          <w:tcPr/>
          <w:p>
            <w:pPr>
              <w:pStyle w:val="Compact"/>
              <w:jc w:val="left"/>
            </w:pPr>
            <w:r>
              <w:t xml:space="preserve">10% cap</w:t>
            </w:r>
            <w:r>
              <w:t xml:space="preserve"> </w:t>
            </w:r>
            <w:r>
              <w:rPr>
                <w:b/>
                <w:bCs/>
              </w:rPr>
              <w:t xml:space="preserve">tighter than 2L CA’s own 20%</w:t>
            </w:r>
            <w:r>
              <w:t xml:space="preserve">; narrowed test +</w:t>
            </w:r>
            <w:r>
              <w:t xml:space="preserve"> </w:t>
            </w:r>
            <w:r>
              <w:rPr>
                <w:b/>
                <w:bCs/>
              </w:rPr>
              <w:t xml:space="preserve">MFN</w:t>
            </w:r>
            <w:r>
              <w:t xml:space="preserve">; both maturity tests (June 15, 2031 binding)</w:t>
            </w:r>
          </w:p>
        </w:tc>
        <w:tc>
          <w:tcPr/>
          <w:p>
            <w:pPr>
              <w:pStyle w:val="Compact"/>
              <w:jc w:val="left"/>
            </w:pPr>
            <w:r>
              <w:t xml:space="preserve">120% →</w:t>
            </w:r>
            <w:r>
              <w:t xml:space="preserve"> </w:t>
            </w:r>
            <w:r>
              <w:rPr>
                <w:b/>
                <w:bCs/>
              </w:rPr>
              <w:t xml:space="preserve">110%</w:t>
            </w:r>
            <w:r>
              <w:t xml:space="preserve">; accepts a restrictiveness test</w:t>
            </w:r>
          </w:p>
        </w:tc>
        <w:tc>
          <w:tcPr/>
          <w:p>
            <w:pPr>
              <w:pStyle w:val="Compact"/>
              <w:jc w:val="left"/>
            </w:pPr>
            <w:r>
              <w:t xml:space="preserve">10% covers refinancing costs;</w:t>
            </w:r>
            <w:r>
              <w:t xml:space="preserve"> </w:t>
            </w:r>
            <w:r>
              <w:rPr>
                <w:b/>
                <w:bCs/>
              </w:rPr>
              <w:t xml:space="preserve">narrowed</w:t>
            </w:r>
            <w:r>
              <w:t xml:space="preserve"> </w:t>
            </w:r>
            <w:r>
              <w:t xml:space="preserve">(not blanket) test;</w:t>
            </w:r>
            <w:r>
              <w:t xml:space="preserve"> </w:t>
            </w:r>
            <w:r>
              <w:rPr>
                <w:b/>
                <w:bCs/>
              </w:rPr>
              <w:t xml:space="preserve">MFN limited to financial covenants</w:t>
            </w:r>
            <w:r>
              <w:t xml:space="preserve">; original 2L maturity floor preserved</w:t>
            </w:r>
          </w:p>
        </w:tc>
      </w:tr>
      <w:tr>
        <w:tc>
          <w:tcPr/>
          <w:p>
            <w:pPr>
              <w:pStyle w:val="Compact"/>
              <w:jc w:val="left"/>
            </w:pPr>
            <w:r>
              <w:rPr>
                <w:b/>
                <w:bCs/>
              </w:rPr>
              <w:t xml:space="preserve">Proceeds (4.02)</w:t>
            </w:r>
          </w:p>
        </w:tc>
        <w:tc>
          <w:tcPr/>
          <w:p>
            <w:pPr>
              <w:pStyle w:val="Compact"/>
              <w:jc w:val="left"/>
            </w:pPr>
            <w:r>
              <w:t xml:space="preserve">100%-sweep-all →</w:t>
            </w:r>
            <w:r>
              <w:t xml:space="preserve"> </w:t>
            </w:r>
            <w:r>
              <w:rPr>
                <w:b/>
                <w:bCs/>
              </w:rPr>
              <w:t xml:space="preserve">bifurcated</w:t>
            </w:r>
            <w:r>
              <w:t xml:space="preserve">; accepts ordinary-course reinvestment + 2L residual</w:t>
            </w:r>
          </w:p>
        </w:tc>
        <w:tc>
          <w:tcPr/>
          <w:p>
            <w:pPr>
              <w:pStyle w:val="Compact"/>
              <w:jc w:val="left"/>
            </w:pPr>
            <w:r>
              <w:rPr>
                <w:b/>
                <w:bCs/>
              </w:rPr>
              <w:t xml:space="preserve">Hard sweep</w:t>
            </w:r>
            <w:r>
              <w:t xml:space="preserve"> </w:t>
            </w:r>
            <w:r>
              <w:t xml:space="preserve">for &gt;$20M / non-ordinary / all casualty (90% market); robust</w:t>
            </w:r>
            <w:r>
              <w:t xml:space="preserve"> </w:t>
            </w:r>
            <w:r>
              <w:rPr>
                <w:b/>
                <w:bCs/>
              </w:rPr>
              <w:t xml:space="preserve">anti-evasion</w:t>
            </w:r>
            <w:r>
              <w:t xml:space="preserve">; 100% to 1L first (universal)</w:t>
            </w:r>
          </w:p>
        </w:tc>
        <w:tc>
          <w:tcPr/>
          <w:p>
            <w:pPr>
              <w:pStyle w:val="Compact"/>
              <w:jc w:val="left"/>
            </w:pPr>
            <w:r>
              <w:t xml:space="preserve">Accepts</w:t>
            </w:r>
            <w:r>
              <w:t xml:space="preserve"> </w:t>
            </w:r>
            <w:r>
              <w:rPr>
                <w:b/>
                <w:bCs/>
              </w:rPr>
              <w:t xml:space="preserve">hard sweep</w:t>
            </w:r>
            <w:r>
              <w:t xml:space="preserve"> </w:t>
            </w:r>
            <w:r>
              <w:t xml:space="preserve">for large/casualty</w:t>
            </w:r>
          </w:p>
        </w:tc>
        <w:tc>
          <w:tcPr/>
          <w:p>
            <w:pPr>
              <w:pStyle w:val="Compact"/>
              <w:jc w:val="left"/>
            </w:pPr>
            <w:r>
              <w:rPr>
                <w:b/>
                <w:bCs/>
              </w:rPr>
              <w:t xml:space="preserve">Ordinary-course reinvestment</w:t>
            </w:r>
            <w:r>
              <w:t xml:space="preserve"> </w:t>
            </w:r>
            <w:r>
              <w:t xml:space="preserve">preserved (≤$20M);</w:t>
            </w:r>
            <w:r>
              <w:t xml:space="preserve"> </w:t>
            </w:r>
            <w:r>
              <w:rPr>
                <w:b/>
                <w:bCs/>
              </w:rPr>
              <w:t xml:space="preserve">residual to 2L</w:t>
            </w:r>
            <w:r>
              <w:t xml:space="preserve"> </w:t>
            </w:r>
            <w:r>
              <w:t xml:space="preserve">(79% market); anti-evasion at $20M</w:t>
            </w:r>
          </w:p>
        </w:tc>
      </w:tr>
    </w:tbl>
    <w:p>
      <w:pPr>
        <w:pStyle w:val="BodyText"/>
      </w:pPr>
      <w:r>
        <w:rPr>
          <w:b/>
          <w:bCs/>
        </w:rPr>
        <w:t xml:space="preserve">Net assessment.</w:t>
      </w:r>
      <w:r>
        <w:t xml:space="preserve"> </w:t>
      </w:r>
      <w:r>
        <w:t xml:space="preserve">Each side concedes on two provisions and gains on two. Every term sits at or near the KTM Survey median or majority practice. No term requires either side to accept a position outside the range of comparable transactions. The 1L retains its non-negotiables (par for funded debt; hard sweep on significant sales; a restrictiveness test + MFN; a standstill well above its 150-day floor). The 2L retains its firm conditions (early-termination triggers; a workable purchase right with optional revolver; refinancing headroom covering costs; residual access). The Borrower retains operational flexibility (ordinary-course reinvestment; refinancing ability) and gets a closeable package on the timeline required.</w:t>
      </w:r>
    </w:p>
    <w:p>
      <w:r>
        <w:pict>
          <v:rect style="width:0;height:1.5pt" o:hralign="center" o:hrstd="t" o:hr="t"/>
        </w:pict>
      </w:r>
    </w:p>
    <w:bookmarkEnd w:id="43"/>
    <w:bookmarkStart w:id="44" w:name="X0d2f4d3d6978ef937fbbed4646bdec02c4c7166"/>
    <w:p>
      <w:pPr>
        <w:pStyle w:val="Heading2"/>
      </w:pPr>
      <w:r>
        <w:t xml:space="preserve">X. Closing Conditions, Next Steps, and Reservations</w:t>
      </w:r>
    </w:p>
    <w:p>
      <w:pPr>
        <w:pStyle w:val="FirstParagraph"/>
      </w:pPr>
      <w:r>
        <w:rPr>
          <w:b/>
          <w:bCs/>
        </w:rPr>
        <w:t xml:space="preserve">Presentation strategy.</w:t>
      </w:r>
      <w:r>
        <w:t xml:space="preserve"> </w:t>
      </w:r>
      <w:r>
        <w:t xml:space="preserve">We recommend that Meridian present this package to both agents simultaneously as a single, integrated framework — not as four separate proposals — and that you signal Meridian’s active endorsement of the package as a whole, as you indicated you are prepared to do. Framing the package as Meridian’s recommended resolution (rather than as one side’s proposal) maximizes the likelihood that both agents accept it without re-syndication or re-pricing, both of which would jeopardize the July 31, 2025 drop-dead date. If either agent seeks to unbundle a single term, we recommend responding that the terms are interdependent and that the balance of concessions is what makes each term acceptable — and redirecting the discussion to the package as a whole.</w:t>
      </w:r>
    </w:p>
    <w:p>
      <w:pPr>
        <w:pStyle w:val="BodyText"/>
      </w:pPr>
      <w:r>
        <w:rPr>
          <w:b/>
          <w:bCs/>
        </w:rPr>
        <w:t xml:space="preserve">Conforming amendments.</w:t>
      </w:r>
      <w:r>
        <w:t xml:space="preserve"> </w:t>
      </w:r>
      <w:r>
        <w:t xml:space="preserve">Adoption of the compromise language will require conforming amendments to (a) the ICA (Sections 1.01, 2.03(c), 3.01(b), 4.02, and 5.01, plus the new defined term</w:t>
      </w:r>
      <w:r>
        <w:t xml:space="preserve"> </w:t>
      </w:r>
      <w:r>
        <w:t xml:space="preserve">“</w:t>
      </w:r>
      <w:r>
        <w:t xml:space="preserve">Enforcement Action</w:t>
      </w:r>
      <w:r>
        <w:t xml:space="preserve">”</w:t>
      </w:r>
      <w:r>
        <w:t xml:space="preserve">); (b) the 1L Credit Agreement (principally the cross-reference to ICA Section 2.03(c) in Section 6.09, which is already drafted to accommodate the ICA’s refinancing terms); and (c) the 2L Credit Agreement (the existing</w:t>
      </w:r>
      <w:r>
        <w:t xml:space="preserve"> </w:t>
      </w:r>
      <w:r>
        <w:t xml:space="preserve">“</w:t>
      </w:r>
      <w:r>
        <w:t xml:space="preserve">Permitted Refinancing Indebtedness</w:t>
      </w:r>
      <w:r>
        <w:t xml:space="preserve">”</w:t>
      </w:r>
      <w:r>
        <w:t xml:space="preserve"> </w:t>
      </w:r>
      <w:r>
        <w:t xml:space="preserve">definition in the 2L Credit Agreement already permits up to 120% limited to costs and a maturity ≥ June 15, 2031, so the ICA’s tighter 110% cap and both-tests maturity floor will be the binding intercreditor constraints — no amendment to the 2L Credit Agreement’s refinancing definition is required for the ICA terms to operate, though the parties should confirm internal consistency). We will prepare a conforming-amendments schedule upon your authorization.</w:t>
      </w:r>
    </w:p>
    <w:p>
      <w:pPr>
        <w:pStyle w:val="BodyText"/>
      </w:pPr>
      <w:r>
        <w:rPr>
          <w:b/>
          <w:bCs/>
        </w:rPr>
        <w:t xml:space="preserve">Timeline.</w:t>
      </w:r>
      <w:r>
        <w:t xml:space="preserve"> </w:t>
      </w:r>
      <w:r>
        <w:t xml:space="preserve">With 34 days to the drop-dead date and the existing facility maturing August 15, 2025, we recommend circulating this package to both agents’ counsel no later than</w:t>
      </w:r>
      <w:r>
        <w:t xml:space="preserve"> </w:t>
      </w:r>
      <w:r>
        <w:rPr>
          <w:b/>
          <w:bCs/>
        </w:rPr>
        <w:t xml:space="preserve">June 30, 2025</w:t>
      </w:r>
      <w:r>
        <w:t xml:space="preserve">, with a target for substantive agreement by</w:t>
      </w:r>
      <w:r>
        <w:t xml:space="preserve"> </w:t>
      </w:r>
      <w:r>
        <w:rPr>
          <w:b/>
          <w:bCs/>
        </w:rPr>
        <w:t xml:space="preserve">July 15, 2025</w:t>
      </w:r>
      <w:r>
        <w:t xml:space="preserve"> </w:t>
      </w:r>
      <w:r>
        <w:t xml:space="preserve">(the internal target date for ICA resolution reflected in the timeline), leaving approximately two weeks for definitive documentation, internal credit committee approvals, and execution on or before July 31, 2025.</w:t>
      </w:r>
    </w:p>
    <w:p>
      <w:pPr>
        <w:pStyle w:val="BodyText"/>
      </w:pPr>
      <w:r>
        <w:rPr>
          <w:b/>
          <w:bCs/>
        </w:rPr>
        <w:t xml:space="preserve">Reservations.</w:t>
      </w:r>
      <w:r>
        <w:t xml:space="preserve"> </w:t>
      </w:r>
      <w:r>
        <w:t xml:space="preserve">This memorandum reflects Kesswick, Tanaka &amp; Moreau LLP’s advice to Meridian Industrial Holdings, Inc. as Borrower’s counsel and is protected by the attorney-client privilege and the work product doctrine. The proposed compromise language is draft negotiating text, not a binding agreement, and is subject to (a) the negotiation and execution of definitive documentation in form and substance satisfactory to all parties and their counsel, (b) the satisfaction of all conditions precedent to closing set forth in the First Lien Credit Agreement, the Second Lien Credit Agreement, and the ICA, and (c) final internal credit committee and investment committee approvals at Cartwright and within the Ridgeline fund structure. Nothing herein constitutes a binding commitment, an admission of fact or law, or a waiver of any right, remedy, or defense available to Meridian, the 1L Agent, the 2L Agent, or any of their respective lender groups. All positions are submitted without prejudice and for settlement discussion purposes only pursuant to Federal Rule of Evidence 408 and applicable state-law equivalents, and may not be offered or admitted into evidence in any proceeding except to enforce any agreement reached as a result of the discussions contemplated herein.</w:t>
      </w:r>
    </w:p>
    <w:p>
      <w:pPr>
        <w:pStyle w:val="BodyText"/>
      </w:pPr>
      <w:r>
        <w:t xml:space="preserve">We are available to discuss any aspect of this memorandum at your convenience and to participate in joint discussions with Aldgate &amp; Pryor LLP and Sternfeld Yates &amp; Carroll LLP as you may direct.</w:t>
      </w:r>
    </w:p>
    <w:p>
      <w:pPr>
        <w:pStyle w:val="BodyText"/>
      </w:pPr>
      <w:r>
        <w:t xml:space="preserve">Respectfully submitted,</w:t>
      </w:r>
    </w:p>
    <w:p>
      <w:pPr>
        <w:pStyle w:val="BodyText"/>
      </w:pPr>
      <w:r>
        <w:rPr>
          <w:b/>
          <w:bCs/>
        </w:rPr>
        <w:t xml:space="preserve">KESSWICK, TANAKA &amp; MOREAU LLP</w:t>
      </w:r>
    </w:p>
    <w:p>
      <w:pPr>
        <w:pStyle w:val="BodyText"/>
      </w:pPr>
      <w:r>
        <w:t xml:space="preserve">By: _______________________</w:t>
      </w:r>
    </w:p>
    <w:p>
      <w:pPr>
        <w:pStyle w:val="BodyText"/>
      </w:pPr>
      <w:r>
        <w:t xml:space="preserve">David Tanaka</w:t>
      </w:r>
      <w:r>
        <w:t xml:space="preserve"> </w:t>
      </w:r>
      <w:r>
        <w:t xml:space="preserve">Partner</w:t>
      </w:r>
      <w:r>
        <w:t xml:space="preserve"> </w:t>
      </w:r>
      <w:r>
        <w:t xml:space="preserve">Direct Dial: (212) 555-0162</w:t>
      </w:r>
      <w:r>
        <w:t xml:space="preserve"> </w:t>
      </w:r>
      <w:r>
        <w:t xml:space="preserve">Email: dtanaka@ktmlaw.com</w:t>
      </w:r>
    </w:p>
    <w:p>
      <w:r>
        <w:pict>
          <v:rect style="width:0;height:1.5pt" o:hralign="center" o:hrstd="t" o:hr="t"/>
        </w:pict>
      </w:r>
    </w:p>
    <w:p>
      <w:pPr>
        <w:pStyle w:val="FirstParagraph"/>
      </w:pPr>
      <w:r>
        <w:rPr>
          <w:i/>
          <w:iCs/>
        </w:rPr>
        <w:t xml:space="preserve">cc: Rachel Fong, General Counsel, Meridian Industrial Holdings, Inc.</w:t>
      </w:r>
    </w:p>
    <w:p>
      <w:r>
        <w:pict>
          <v:rect style="width:0;height:1.5pt" o:hralign="center" o:hrstd="t" o:hr="t"/>
        </w:pict>
      </w:r>
    </w:p>
    <w:p>
      <w:pPr>
        <w:pStyle w:val="FirstParagraph"/>
      </w:pPr>
      <w:r>
        <w:rPr>
          <w:b/>
          <w:bCs/>
        </w:rPr>
        <w:t xml:space="preserve">PRIVILEGED &amp; CONFIDENTIAL — ATTORNEY-CLIENT COMMUNICATION / ATTORNEY WORK PRODUCT. WITHOUT PREJUDICE — FOR SETTLEMENT DISCUSSION PURPOSES ONLY (FRE 408).</w:t>
      </w:r>
      <w:r>
        <w:t xml:space="preserve"> </w:t>
      </w:r>
      <w:r>
        <w:t xml:space="preserve">This memorandum is intended solely for the use of the named recipients and their counsel. It may not be forwarded, distributed, or disclosed to any other person without the express prior written authorization of Kesswick, Tanaka &amp; Moreau LLP. Unauthorized review, use, disclosure, or distribution is strictly prohibited.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2026-06-28T18:10:17Z</dcterms:created>
  <dcterms:modified xsi:type="dcterms:W3CDTF">2026-06-28T18:10:17Z</dcterms:modified>
</cp:coreProperties>
</file>

<file path=docProps/custom.xml><?xml version="1.0" encoding="utf-8"?>
<Properties xmlns="http://schemas.openxmlformats.org/officeDocument/2006/custom-properties" xmlns:vt="http://schemas.openxmlformats.org/officeDocument/2006/docPropsVTypes"/>
</file>