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00a8ce9f01252ee933d31ffed2c10f1672bce1"/>
    <w:p>
      <w:pPr>
        <w:pStyle w:val="Heading1"/>
      </w:pPr>
      <w:r>
        <w:t xml:space="preserve">PRIVILEGED &amp; CONFIDENTIAL — ATTORNEY-CLIENT COMMUNICATION / ATTORNEY WORK PRODUCT</w:t>
      </w:r>
    </w:p>
    <w:bookmarkEnd w:id="20"/>
    <w:bookmarkStart w:id="45" w:name="X7c0202a41901ce3c69fe3beca040a746c628610"/>
    <w:p>
      <w:pPr>
        <w:pStyle w:val="Heading1"/>
      </w:pPr>
      <w:r>
        <w:t xml:space="preserve">WITHOUT PREJUDICE — FOR SETTLEMENT DISCUSSION PURPOSES ONLY (FRE 408)</w:t>
      </w:r>
    </w:p>
    <w:p>
      <w:r>
        <w:pict>
          <v:rect style="width:0;height:1.5pt" o:hralign="center" o:hrstd="t" o:hr="t"/>
        </w:pict>
      </w:r>
    </w:p>
    <w:p>
      <w:pPr>
        <w:pStyle w:val="FirstParagraph"/>
      </w:pPr>
      <w:r>
        <w:rPr>
          <w:b/>
          <w:bCs/>
        </w:rPr>
        <w:t xml:space="preserve">KESSWICK, TANAKA &amp; MOREAU LLP</w:t>
      </w:r>
    </w:p>
    <w:p>
      <w:pPr>
        <w:pStyle w:val="BodyText"/>
      </w:pPr>
      <w:r>
        <w:t xml:space="preserve">51 West 52nd Street, 34th Floor, New York, NY 10019</w:t>
      </w:r>
    </w:p>
    <w:p>
      <w:pPr>
        <w:pStyle w:val="BodyText"/>
      </w:pPr>
      <w:r>
        <w:t xml:space="preserve">Telephone: (212) 555-0400 · Facsimile: (212) 555-0401</w:t>
      </w:r>
    </w:p>
    <w:p>
      <w:r>
        <w:pict>
          <v:rect style="width:0;height:1.5pt" o:hralign="center" o:hrstd="t" o:hr="t"/>
        </w:pict>
      </w:r>
    </w:p>
    <w:bookmarkStart w:id="21" w:name="memorandum"/>
    <w:p>
      <w:pPr>
        <w:pStyle w:val="Heading2"/>
      </w:pPr>
      <w:r>
        <w:t xml:space="preserve">MEMORANDUM</w:t>
      </w:r>
    </w:p>
    <w:p>
      <w:pPr>
        <w:pStyle w:val="FirstParagraph"/>
      </w:pPr>
      <w:r>
        <w:rPr>
          <w:b/>
          <w:bCs/>
        </w:rPr>
        <w:t xml:space="preserve">TO:</w:t>
      </w:r>
      <w:r>
        <w:t xml:space="preserve"> </w:t>
      </w:r>
      <w:r>
        <w:t xml:space="preserve">Sandra Koh-Wexler, Chief Executive Officer, Meridian Industrial Holdings, Inc.</w:t>
      </w:r>
      <w:r>
        <w:t xml:space="preserve"> </w:t>
      </w:r>
      <w:r>
        <w:t xml:space="preserve">Rachel Fong, General Counsel, Meridian Industrial Holdings, Inc.</w:t>
      </w:r>
    </w:p>
    <w:p>
      <w:pPr>
        <w:pStyle w:val="BodyText"/>
      </w:pPr>
      <w:r>
        <w:rPr>
          <w:b/>
          <w:bCs/>
        </w:rPr>
        <w:t xml:space="preserve">FROM:</w:t>
      </w:r>
      <w:r>
        <w:t xml:space="preserve"> </w:t>
      </w:r>
      <w:r>
        <w:t xml:space="preserve">David Tanaka, Kesswick, Tanaka &amp; Moreau LLP</w:t>
      </w:r>
    </w:p>
    <w:p>
      <w:pPr>
        <w:pStyle w:val="BodyText"/>
      </w:pPr>
      <w:r>
        <w:rPr>
          <w:b/>
          <w:bCs/>
        </w:rPr>
        <w:t xml:space="preserve">DATE:</w:t>
      </w:r>
      <w:r>
        <w:t xml:space="preserve"> </w:t>
      </w:r>
      <w:r>
        <w:t xml:space="preserve">June 27, 2025</w:t>
      </w:r>
    </w:p>
    <w:p>
      <w:pPr>
        <w:pStyle w:val="BodyText"/>
      </w:pPr>
      <w:r>
        <w:rPr>
          <w:b/>
          <w:bCs/>
        </w:rPr>
        <w:t xml:space="preserve">RE:</w:t>
      </w:r>
      <w:r>
        <w:t xml:space="preserve"> </w:t>
      </w:r>
      <w:r>
        <w:t xml:space="preserve">Proposed Compromise Language for the Four Contested Provisions of the Intercreditor Agreement — Meridian Industrial Holdings, Inc. (Cartwright National Bank, N.A., as First Lien Agent; Ridgeline Capital Partners, LP, as Second Lien Agent) — Presented as a Single Indivisible Package</w:t>
      </w:r>
    </w:p>
    <w:p>
      <w:r>
        <w:pict>
          <v:rect style="width:0;height:1.5pt" o:hralign="center" o:hrstd="t" o:hr="t"/>
        </w:pict>
      </w:r>
    </w:p>
    <w:p>
      <w:pPr>
        <w:pStyle w:val="BlockText"/>
      </w:pPr>
      <w:r>
        <w:rPr>
          <w:b/>
          <w:bCs/>
        </w:rPr>
        <w:t xml:space="preserve">PRIVILEGE &amp; CONFIDENTIALITY.</w:t>
      </w:r>
      <w:r>
        <w:t xml:space="preserve"> </w:t>
      </w:r>
      <w:r>
        <w:t xml:space="preserve">This memorandum is prepared by Borrower’s counsel for the Borrower in anticipation of settlement discussions among Meridian Industrial Holdings, Inc. (</w:t>
      </w:r>
      <w:r>
        <w:t xml:space="preserve">“</w:t>
      </w:r>
      <w:r>
        <w:t xml:space="preserve">Meridian</w:t>
      </w:r>
      <w:r>
        <w:t xml:space="preserve">”</w:t>
      </w:r>
      <w:r>
        <w:t xml:space="preserve"> </w:t>
      </w:r>
      <w:r>
        <w:t xml:space="preserve">or the</w:t>
      </w:r>
      <w:r>
        <w:t xml:space="preserve"> </w:t>
      </w:r>
      <w:r>
        <w:t xml:space="preserve">“</w:t>
      </w:r>
      <w:r>
        <w:t xml:space="preserve">Borrower</w:t>
      </w:r>
      <w:r>
        <w:t xml:space="preserve">”</w:t>
      </w:r>
      <w:r>
        <w:t xml:space="preserve">), Cartwright National Bank, N.A. (</w:t>
      </w:r>
      <w:r>
        <w:t xml:space="preserve">“</w:t>
      </w:r>
      <w:r>
        <w:t xml:space="preserve">Cartwright,</w:t>
      </w:r>
      <w:r>
        <w:t xml:space="preserve">”</w:t>
      </w:r>
      <w:r>
        <w:t xml:space="preserve"> </w:t>
      </w:r>
      <w:r>
        <w:t xml:space="preserve">as First Lien Agent), and Ridgeline Capital Partners, LP (</w:t>
      </w:r>
      <w:r>
        <w:t xml:space="preserve">“</w:t>
      </w:r>
      <w:r>
        <w:t xml:space="preserve">Ridgeline,</w:t>
      </w:r>
      <w:r>
        <w:t xml:space="preserve">”</w:t>
      </w:r>
      <w:r>
        <w:t xml:space="preserve"> </w:t>
      </w:r>
      <w:r>
        <w:t xml:space="preserve">as Second Lien Agent) concerning the Intercreditor Agreement dated as of July 31, 2025 (the</w:t>
      </w:r>
      <w:r>
        <w:t xml:space="preserve"> </w:t>
      </w:r>
      <w:r>
        <w:t xml:space="preserve">“</w:t>
      </w:r>
      <w:r>
        <w:t xml:space="preserve">ICA</w:t>
      </w:r>
      <w:r>
        <w:t xml:space="preserve">”</w:t>
      </w:r>
      <w:r>
        <w:t xml:space="preserve">). It is protected by the attorney-client privilege and the attorney work-product doctrine. It is also submitted without prejudice and for settlement discussion purposes only pursuant to Federal Rule of Evidence 408 and applicable New York law. Nothing herein constitutes an admission of fact or law, a binding commitment, or a concession by any party, and this memorandum may not be offered or admitted into evidence in any judicial, arbitral, or administrative proceeding except to enforce any agreement reached as a result of the discussions contemplated herein. All transaction documents are governed by New York law.</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As you directed in your engagement of June 26, 2025, this memorandum sets forth proposed compromise language for each of the four contested provisions of the ICA — Section 3.01(b) (Standstill Period), Section 5.01 (Second Lien Purchase Right), Section 2.03(c) (Permitted Second Lien Refinancing Indebtedness), and Section 4.02 (Application of Asset Disposition and Casualty Proceeds). For each provision, we provide (a) full contractual drafting ready for insertion into the ICA, and (b) negotiation rationale explaining what each side gains and concedes, with citations to the KTM market survey of 42 first lien/second lien intercreditor agreements closed between January 2022 and December 2024 (the</w:t>
      </w:r>
      <w:r>
        <w:t xml:space="preserve"> </w:t>
      </w:r>
      <w:r>
        <w:t xml:space="preserve">“</w:t>
      </w:r>
      <w:r>
        <w:t xml:space="preserve">Market Survey</w:t>
      </w:r>
      <w:r>
        <w:t xml:space="preserve">”</w:t>
      </w:r>
      <w:r>
        <w:t xml:space="preserve">) and quantified economic impacts drawn from the lender appraisal, the capital structure summary, and the underlying credit agreements.</w:t>
      </w:r>
    </w:p>
    <w:p>
      <w:pPr>
        <w:pStyle w:val="BodyText"/>
      </w:pPr>
      <w:r>
        <w:rPr>
          <w:b/>
          <w:bCs/>
        </w:rPr>
        <w:t xml:space="preserve">The four proposals are presented as a single, indivisible package.</w:t>
      </w:r>
      <w:r>
        <w:t xml:space="preserve"> </w:t>
      </w:r>
      <w:r>
        <w:t xml:space="preserve">This is deliberate and important. The concessions are cross-linked: the First Lien Agent’s acceptance of a standstill materially shorter than its 270-day opening position is balanced by the Second Lien Agent’s acceptance of a par purchase price and a hard proceeds sweep for large asset sales; the Second Lien Agent’s acceptance of a narrowed (rather than eliminated) restrictiveness test is balanced by a 10% refinancing principal cushion and an optional (rather than mandatory) revolver assumption. Unbundling the package would unravel the overall balance and is likely to reignite positional bargaining that the parties cannot afford in the 34 days remaining before the July 31, 2025 drop-dead date. We recommend that Meridian present the package to both agents on an all-or-nothing basis and signal its active support for the package as a whole.</w:t>
      </w:r>
    </w:p>
    <w:p>
      <w:pPr>
        <w:pStyle w:val="BodyText"/>
      </w:pPr>
      <w:r>
        <w:t xml:space="preserve">In summary, the proposed landing zones are: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ICA Provision</w:t>
            </w:r>
          </w:p>
        </w:tc>
        <w:tc>
          <w:tcPr/>
          <w:p>
            <w:pPr>
              <w:pStyle w:val="Compact"/>
              <w:jc w:val="left"/>
            </w:pPr>
            <w:r>
              <w:t xml:space="preserve">1L Opening</w:t>
            </w:r>
          </w:p>
        </w:tc>
        <w:tc>
          <w:tcPr/>
          <w:p>
            <w:pPr>
              <w:pStyle w:val="Compact"/>
              <w:jc w:val="left"/>
            </w:pPr>
            <w:r>
              <w:t xml:space="preserve">2L Opening</w:t>
            </w:r>
          </w:p>
        </w:tc>
        <w:tc>
          <w:tcPr/>
          <w:p>
            <w:pPr>
              <w:pStyle w:val="Compact"/>
              <w:jc w:val="left"/>
            </w:pPr>
            <w:r>
              <w:t xml:space="preserve">Market Median / Majority</w:t>
            </w:r>
          </w:p>
        </w:tc>
        <w:tc>
          <w:tcPr/>
          <w:p>
            <w:pPr>
              <w:pStyle w:val="Compact"/>
              <w:jc w:val="left"/>
            </w:pPr>
            <w:r>
              <w:t xml:space="preserve">Proposed Compromise</w:t>
            </w:r>
          </w:p>
        </w:tc>
      </w:tr>
      <w:tr>
        <w:tc>
          <w:tcPr/>
          <w:p>
            <w:pPr>
              <w:pStyle w:val="Compact"/>
              <w:jc w:val="left"/>
            </w:pPr>
            <w:r>
              <w:rPr>
                <w:b/>
                <w:bCs/>
              </w:rPr>
              <w:t xml:space="preserve">3.01(b) Standstill</w:t>
            </w:r>
          </w:p>
        </w:tc>
        <w:tc>
          <w:tcPr/>
          <w:p>
            <w:pPr>
              <w:pStyle w:val="Compact"/>
              <w:jc w:val="left"/>
            </w:pPr>
            <w:r>
              <w:t xml:space="preserve">270 days; no triggers</w:t>
            </w:r>
          </w:p>
        </w:tc>
        <w:tc>
          <w:tcPr/>
          <w:p>
            <w:pPr>
              <w:pStyle w:val="Compact"/>
              <w:jc w:val="left"/>
            </w:pPr>
            <w:r>
              <w:t xml:space="preserve">90 days; 2 triggers</w:t>
            </w:r>
          </w:p>
        </w:tc>
        <w:tc>
          <w:tcPr/>
          <w:p>
            <w:pPr>
              <w:pStyle w:val="Compact"/>
              <w:jc w:val="left"/>
            </w:pPr>
            <w:r>
              <w:t xml:space="preserve">180 days; 76% include triggers</w:t>
            </w:r>
          </w:p>
        </w:tc>
        <w:tc>
          <w:tcPr/>
          <w:p>
            <w:pPr>
              <w:pStyle w:val="Compact"/>
              <w:jc w:val="left"/>
            </w:pPr>
            <w:r>
              <w:rPr>
                <w:b/>
                <w:bCs/>
              </w:rPr>
              <w:t xml:space="preserve">180 days</w:t>
            </w:r>
            <w:r>
              <w:t xml:space="preserve"> </w:t>
            </w:r>
            <w:r>
              <w:t xml:space="preserve">with 3 narrow, objectively verifiable early-termination triggers + a 2-notice / 180-day-per-year Blockage Notice cap</w:t>
            </w:r>
          </w:p>
        </w:tc>
      </w:tr>
      <w:tr>
        <w:tc>
          <w:tcPr/>
          <w:p>
            <w:pPr>
              <w:pStyle w:val="Compact"/>
              <w:jc w:val="left"/>
            </w:pPr>
            <w:r>
              <w:rPr>
                <w:b/>
                <w:bCs/>
              </w:rPr>
              <w:t xml:space="preserve">5.01 Purchase Right</w:t>
            </w:r>
          </w:p>
        </w:tc>
        <w:tc>
          <w:tcPr/>
          <w:p>
            <w:pPr>
              <w:pStyle w:val="Compact"/>
              <w:jc w:val="left"/>
            </w:pPr>
            <w:r>
              <w:t xml:space="preserve">Par + default-rate interest + mandatory revolver assumption; 1L EOD trigger</w:t>
            </w:r>
          </w:p>
        </w:tc>
        <w:tc>
          <w:tcPr/>
          <w:p>
            <w:pPr>
              <w:pStyle w:val="Compact"/>
              <w:jc w:val="left"/>
            </w:pPr>
            <w:r>
              <w:t xml:space="preserve">Lesser of par (non-default) or FMV; no revolver assumption; 1L/2L EOD or 1L acceleration</w:t>
            </w:r>
          </w:p>
        </w:tc>
        <w:tc>
          <w:tcPr/>
          <w:p>
            <w:pPr>
              <w:pStyle w:val="Compact"/>
              <w:jc w:val="left"/>
            </w:pPr>
            <w:r>
              <w:t xml:space="preserve">Par (71%); non-default rate (69%); optional revolver (62%); 1L acceleration trigger (100%)</w:t>
            </w:r>
          </w:p>
        </w:tc>
        <w:tc>
          <w:tcPr/>
          <w:p>
            <w:pPr>
              <w:pStyle w:val="Compact"/>
              <w:jc w:val="left"/>
            </w:pPr>
            <w:r>
              <w:rPr>
                <w:b/>
                <w:bCs/>
              </w:rPr>
              <w:t xml:space="preserve">Par for funded debt at the non-default contract rate</w:t>
            </w:r>
            <w:r>
              <w:t xml:space="preserve"> </w:t>
            </w:r>
            <w:r>
              <w:t xml:space="preserve">+ fees;</w:t>
            </w:r>
            <w:r>
              <w:t xml:space="preserve"> </w:t>
            </w:r>
            <w:r>
              <w:rPr>
                <w:b/>
                <w:bCs/>
              </w:rPr>
              <w:t xml:space="preserve">optional</w:t>
            </w:r>
            <w:r>
              <w:t xml:space="preserve"> </w:t>
            </w:r>
            <w:r>
              <w:t xml:space="preserve">revolver assumption; trigger on 1L EOD (including acceleration)</w:t>
            </w:r>
          </w:p>
        </w:tc>
      </w:tr>
      <w:tr>
        <w:tc>
          <w:tcPr/>
          <w:p>
            <w:pPr>
              <w:pStyle w:val="Compact"/>
              <w:jc w:val="left"/>
            </w:pPr>
            <w:r>
              <w:rPr>
                <w:b/>
                <w:bCs/>
              </w:rPr>
              <w:t xml:space="preserve">2.03(c) Refinancing</w:t>
            </w:r>
          </w:p>
        </w:tc>
        <w:tc>
          <w:tcPr/>
          <w:p>
            <w:pPr>
              <w:pStyle w:val="Compact"/>
              <w:jc w:val="left"/>
            </w:pPr>
            <w:r>
              <w:t xml:space="preserve">0% increase; ≥ Sept 14, 2030; blanket restrictiveness test</w:t>
            </w:r>
          </w:p>
        </w:tc>
        <w:tc>
          <w:tcPr/>
          <w:p>
            <w:pPr>
              <w:pStyle w:val="Compact"/>
              <w:jc w:val="left"/>
            </w:pPr>
            <w:r>
              <w:t xml:space="preserve">120% increase; ≥ June 15, 2031; no test</w:t>
            </w:r>
          </w:p>
        </w:tc>
        <w:tc>
          <w:tcPr/>
          <w:p>
            <w:pPr>
              <w:pStyle w:val="Compact"/>
              <w:jc w:val="left"/>
            </w:pPr>
            <w:r>
              <w:t xml:space="preserve">10% cap limited to fees/costs (median); narrowed test + MFN (52%); MFN limited to financial covenants (82%)</w:t>
            </w:r>
          </w:p>
        </w:tc>
        <w:tc>
          <w:tcPr/>
          <w:p>
            <w:pPr>
              <w:pStyle w:val="Compact"/>
              <w:jc w:val="left"/>
            </w:pPr>
            <w:r>
              <w:rPr>
                <w:b/>
                <w:bCs/>
              </w:rPr>
              <w:t xml:space="preserve">10% cap ($15M) limited to refinancing fees/costs</w:t>
            </w:r>
            <w:r>
              <w:t xml:space="preserve">; maturity ≥ June 15, 2031 (satisfies both floors);</w:t>
            </w:r>
            <w:r>
              <w:t xml:space="preserve"> </w:t>
            </w:r>
            <w:r>
              <w:rPr>
                <w:b/>
                <w:bCs/>
              </w:rPr>
              <w:t xml:space="preserve">narrowed restrictiveness test + MFN on financial maintenance covenants</w:t>
            </w:r>
          </w:p>
        </w:tc>
      </w:tr>
      <w:tr>
        <w:tc>
          <w:tcPr/>
          <w:p>
            <w:pPr>
              <w:pStyle w:val="Compact"/>
              <w:jc w:val="left"/>
            </w:pPr>
            <w:r>
              <w:rPr>
                <w:b/>
                <w:bCs/>
              </w:rPr>
              <w:t xml:space="preserve">4.02 Proceeds Waterfall</w:t>
            </w:r>
          </w:p>
        </w:tc>
        <w:tc>
          <w:tcPr/>
          <w:p>
            <w:pPr>
              <w:pStyle w:val="Compact"/>
              <w:jc w:val="left"/>
            </w:pPr>
            <w:r>
              <w:t xml:space="preserve">100% sweep, override all reinvestment, no 2L access</w:t>
            </w:r>
          </w:p>
        </w:tc>
        <w:tc>
          <w:tcPr/>
          <w:p>
            <w:pPr>
              <w:pStyle w:val="Compact"/>
              <w:jc w:val="left"/>
            </w:pPr>
            <w:r>
              <w:t xml:space="preserve">Follow 1L CA reinvestment mechanics; residual to 2L</w:t>
            </w:r>
          </w:p>
        </w:tc>
        <w:tc>
          <w:tcPr/>
          <w:p>
            <w:pPr>
              <w:pStyle w:val="Compact"/>
              <w:jc w:val="left"/>
            </w:pPr>
            <w:r>
              <w:t xml:space="preserve">100% sweep (universal); reinvestment preserved (81%); hard sweep for large sales (90%); 2L residual after 1L paydown (79%); $20M ordinary-course threshold (median)</w:t>
            </w:r>
          </w:p>
        </w:tc>
        <w:tc>
          <w:tcPr/>
          <w:p>
            <w:pPr>
              <w:pStyle w:val="Compact"/>
              <w:jc w:val="left"/>
            </w:pPr>
            <w:r>
              <w:rPr>
                <w:b/>
                <w:bCs/>
              </w:rPr>
              <w:t xml:space="preserve">Bifurcated</w:t>
            </w:r>
            <w:r>
              <w:t xml:space="preserve">: ordinary-course (≤ $20M) follows 1L CA reinvestment mechanics; large/extraordinary (&gt; $20M) hard 100% sweep;</w:t>
            </w:r>
            <w:r>
              <w:t xml:space="preserve"> </w:t>
            </w:r>
            <w:r>
              <w:rPr>
                <w:b/>
                <w:bCs/>
              </w:rPr>
              <w:t xml:space="preserve">residual to 2L after 1L Discharge</w:t>
            </w:r>
            <w:r>
              <w:t xml:space="preserve">; robust anti-evasion; quarterly + event-driven + annual reporting</w:t>
            </w:r>
          </w:p>
        </w:tc>
      </w:tr>
    </w:tbl>
    <w:p>
      <w:pPr>
        <w:pStyle w:val="BodyText"/>
      </w:pPr>
      <w:r>
        <w:t xml:space="preserve">Each landing zone sits squarely within the flexibility both agents disclosed to us in their respective without-prejudice communications of June 26, 2025, and each is anchored to the Market Survey. The economic balance reflects the thin 25.78% second lien equity cushion and the 97.66% total loan-to-value that define this capital structure.</w:t>
      </w:r>
    </w:p>
    <w:p>
      <w:r>
        <w:pict>
          <v:rect style="width:0;height:1.5pt" o:hralign="center" o:hrstd="t" o:hr="t"/>
        </w:pict>
      </w:r>
    </w:p>
    <w:bookmarkEnd w:id="22"/>
    <w:bookmarkStart w:id="23" w:name="X16e3363f965814e8d6de796ca2a4822386b52fd"/>
    <w:p>
      <w:pPr>
        <w:pStyle w:val="Heading2"/>
      </w:pPr>
      <w:r>
        <w:t xml:space="preserve">II. Background and Capital Structure Context</w:t>
      </w:r>
    </w:p>
    <w:p>
      <w:pPr>
        <w:pStyle w:val="FirstParagraph"/>
      </w:pPr>
      <w:r>
        <w:rPr>
          <w:b/>
          <w:bCs/>
        </w:rPr>
        <w:t xml:space="preserve">A. The Transaction and the Impasse.</w:t>
      </w:r>
      <w:r>
        <w:t xml:space="preserve"> </w:t>
      </w:r>
      <w:r>
        <w:t xml:space="preserve">ICA negotiations among the Borrower, Cartwright (as First Lien Agent), and Ridgeline (as Second Lien Agent) commenced on May 12, 2025. The ICA is a condition precedent to the closing of both the First Lien Credit Agreement and the Second Lien Credit Agreement, each dated as of July 31, 2025. Despite productive sessions, four provisions remain unresolved. The drop-dead date for closing is</w:t>
      </w:r>
      <w:r>
        <w:t xml:space="preserve"> </w:t>
      </w:r>
      <w:r>
        <w:rPr>
          <w:b/>
          <w:bCs/>
        </w:rPr>
        <w:t xml:space="preserve">July 31, 2025</w:t>
      </w:r>
      <w:r>
        <w:t xml:space="preserve"> </w:t>
      </w:r>
      <w:r>
        <w:t xml:space="preserve">(34 days from the date of this memorandum), and Meridian’s existing senior secured facility matures on</w:t>
      </w:r>
      <w:r>
        <w:t xml:space="preserve"> </w:t>
      </w:r>
      <w:r>
        <w:rPr>
          <w:b/>
          <w:bCs/>
        </w:rPr>
        <w:t xml:space="preserve">August 15, 2025</w:t>
      </w:r>
      <w:r>
        <w:t xml:space="preserve"> </w:t>
      </w:r>
      <w:r>
        <w:t xml:space="preserve">— a 15-day margin that leaves no room for slippage.</w:t>
      </w:r>
    </w:p>
    <w:p>
      <w:pPr>
        <w:pStyle w:val="BodyText"/>
      </w:pPr>
      <w:r>
        <w:rPr>
          <w:b/>
          <w:bCs/>
        </w:rPr>
        <w:t xml:space="preserve">B. The Capital Structure.</w:t>
      </w:r>
      <w:r>
        <w:t xml:space="preserve"> </w:t>
      </w:r>
      <w:r>
        <w:t xml:space="preserve">The agreed capital structure, as reflected in the lender appraisal delivered by Cartwright’s Valuation Advisory Group on May 15, 2025 (the</w:t>
      </w:r>
      <w:r>
        <w:t xml:space="preserve"> </w:t>
      </w:r>
      <w:r>
        <w:t xml:space="preserve">“</w:t>
      </w:r>
      <w:r>
        <w:t xml:space="preserve">Appraisal</w:t>
      </w:r>
      <w:r>
        <w:t xml:space="preserve">”</w:t>
      </w:r>
      <w:r>
        <w:t xml:space="preserve">) and the capital structure summary, is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Pricing</w:t>
            </w:r>
          </w:p>
        </w:tc>
        <w:tc>
          <w:tcPr/>
          <w:p>
            <w:pPr>
              <w:pStyle w:val="Compact"/>
              <w:jc w:val="left"/>
            </w:pPr>
            <w:r>
              <w:t xml:space="preserve">Maturity</w:t>
            </w:r>
          </w:p>
        </w:tc>
        <w:tc>
          <w:tcPr/>
          <w:p>
            <w:pPr>
              <w:pStyle w:val="Compact"/>
              <w:jc w:val="left"/>
            </w:pPr>
            <w:r>
              <w:t xml:space="preserve">Lenders</w:t>
            </w:r>
          </w:p>
        </w:tc>
      </w:tr>
      <w:tr>
        <w:tc>
          <w:tcPr/>
          <w:p>
            <w:pPr>
              <w:pStyle w:val="Compact"/>
              <w:jc w:val="left"/>
            </w:pPr>
            <w:r>
              <w:t xml:space="preserve">First Lien Revolver</w:t>
            </w:r>
          </w:p>
        </w:tc>
        <w:tc>
          <w:tcPr/>
          <w:p>
            <w:pPr>
              <w:pStyle w:val="Compact"/>
              <w:jc w:val="left"/>
            </w:pPr>
            <w:r>
              <w:t xml:space="preserve">$125,000,000</w:t>
            </w:r>
          </w:p>
        </w:tc>
        <w:tc>
          <w:tcPr/>
          <w:p>
            <w:pPr>
              <w:pStyle w:val="Compact"/>
              <w:jc w:val="left"/>
            </w:pPr>
            <w:r>
              <w:t xml:space="preserve">SOFR + 250 bps (floating)</w:t>
            </w:r>
          </w:p>
        </w:tc>
        <w:tc>
          <w:tcPr/>
          <w:p>
            <w:pPr>
              <w:pStyle w:val="Compact"/>
              <w:jc w:val="left"/>
            </w:pPr>
            <w:r>
              <w:t xml:space="preserve">June 15, 2030</w:t>
            </w:r>
          </w:p>
        </w:tc>
        <w:tc>
          <w:tcPr/>
          <w:p>
            <w:pPr>
              <w:pStyle w:val="Compact"/>
              <w:jc w:val="left"/>
            </w:pPr>
            <w:r>
              <w:t xml:space="preserve">7 (led by Cartwright)</w:t>
            </w:r>
          </w:p>
        </w:tc>
      </w:tr>
      <w:tr>
        <w:tc>
          <w:tcPr/>
          <w:p>
            <w:pPr>
              <w:pStyle w:val="Compact"/>
              <w:jc w:val="left"/>
            </w:pPr>
            <w:r>
              <w:t xml:space="preserve">First Lien Term Loan A</w:t>
            </w:r>
          </w:p>
        </w:tc>
        <w:tc>
          <w:tcPr/>
          <w:p>
            <w:pPr>
              <w:pStyle w:val="Compact"/>
              <w:jc w:val="left"/>
            </w:pPr>
            <w:r>
              <w:t xml:space="preserve">$350,000,000</w:t>
            </w:r>
          </w:p>
        </w:tc>
        <w:tc>
          <w:tcPr/>
          <w:p>
            <w:pPr>
              <w:pStyle w:val="Compact"/>
              <w:jc w:val="left"/>
            </w:pPr>
            <w:r>
              <w:t xml:space="preserve">SOFR + 250 bps (floating)</w:t>
            </w:r>
          </w:p>
        </w:tc>
        <w:tc>
          <w:tcPr/>
          <w:p>
            <w:pPr>
              <w:pStyle w:val="Compact"/>
              <w:jc w:val="left"/>
            </w:pPr>
            <w:r>
              <w:t xml:space="preserve">June 15, 2030</w:t>
            </w:r>
          </w:p>
        </w:tc>
        <w:tc>
          <w:tcPr/>
          <w:p>
            <w:pPr>
              <w:pStyle w:val="Compact"/>
              <w:jc w:val="left"/>
            </w:pPr>
            <w:r>
              <w:t xml:space="preserve">7 (led by Cartwright)</w:t>
            </w:r>
          </w:p>
        </w:tc>
      </w:tr>
      <w:tr>
        <w:tc>
          <w:tcPr/>
          <w:p>
            <w:pPr>
              <w:pStyle w:val="Compact"/>
              <w:jc w:val="left"/>
            </w:pPr>
            <w:r>
              <w:rPr>
                <w:b/>
                <w:bCs/>
              </w:rPr>
              <w:t xml:space="preserve">Total First Lien Facility</w:t>
            </w:r>
          </w:p>
        </w:tc>
        <w:tc>
          <w:tcPr/>
          <w:p>
            <w:pPr>
              <w:pStyle w:val="Compact"/>
              <w:jc w:val="left"/>
            </w:pPr>
            <w:r>
              <w:rPr>
                <w:b/>
                <w:bCs/>
              </w:rPr>
              <w:t xml:space="preserve">$475,000,000</w:t>
            </w:r>
          </w:p>
        </w:tc>
        <w:tc>
          <w:tcPr/>
          <w:p>
            <w:pPr>
              <w:pStyle w:val="Compact"/>
            </w:pPr>
          </w:p>
        </w:tc>
        <w:tc>
          <w:tcPr/>
          <w:p>
            <w:pPr>
              <w:pStyle w:val="Compact"/>
            </w:pPr>
          </w:p>
        </w:tc>
        <w:tc>
          <w:tcPr/>
          <w:p>
            <w:pPr>
              <w:pStyle w:val="Compact"/>
            </w:pPr>
          </w:p>
        </w:tc>
      </w:tr>
      <w:tr>
        <w:tc>
          <w:tcPr/>
          <w:p>
            <w:pPr>
              <w:pStyle w:val="Compact"/>
              <w:jc w:val="left"/>
            </w:pPr>
            <w:r>
              <w:t xml:space="preserve">Second Lien Term Loan B</w:t>
            </w:r>
          </w:p>
        </w:tc>
        <w:tc>
          <w:tcPr/>
          <w:p>
            <w:pPr>
              <w:pStyle w:val="Compact"/>
              <w:jc w:val="left"/>
            </w:pPr>
            <w:r>
              <w:t xml:space="preserve">$150,000,000</w:t>
            </w:r>
          </w:p>
        </w:tc>
        <w:tc>
          <w:tcPr/>
          <w:p>
            <w:pPr>
              <w:pStyle w:val="Compact"/>
              <w:jc w:val="left"/>
            </w:pPr>
            <w:r>
              <w:t xml:space="preserve">SOFR + 625 bps (floating)</w:t>
            </w:r>
          </w:p>
        </w:tc>
        <w:tc>
          <w:tcPr/>
          <w:p>
            <w:pPr>
              <w:pStyle w:val="Compact"/>
              <w:jc w:val="left"/>
            </w:pPr>
            <w:r>
              <w:t xml:space="preserve">June 15, 2031</w:t>
            </w:r>
          </w:p>
        </w:tc>
        <w:tc>
          <w:tcPr/>
          <w:p>
            <w:pPr>
              <w:pStyle w:val="Compact"/>
              <w:jc w:val="left"/>
            </w:pPr>
            <w:r>
              <w:t xml:space="preserve">3 (led by Ridgeline)</w:t>
            </w:r>
          </w:p>
        </w:tc>
      </w:tr>
      <w:tr>
        <w:tc>
          <w:tcPr/>
          <w:p>
            <w:pPr>
              <w:pStyle w:val="Compact"/>
              <w:jc w:val="left"/>
            </w:pPr>
            <w:r>
              <w:rPr>
                <w:b/>
                <w:bCs/>
              </w:rPr>
              <w:t xml:space="preserve">Total Secured Debt</w:t>
            </w:r>
          </w:p>
        </w:tc>
        <w:tc>
          <w:tcPr/>
          <w:p>
            <w:pPr>
              <w:pStyle w:val="Compact"/>
              <w:jc w:val="left"/>
            </w:pPr>
            <w:r>
              <w:rPr>
                <w:b/>
                <w:bCs/>
              </w:rPr>
              <w:t xml:space="preserve">$625,000,000</w:t>
            </w:r>
          </w:p>
        </w:tc>
        <w:tc>
          <w:tcPr/>
          <w:p>
            <w:pPr>
              <w:pStyle w:val="Compact"/>
            </w:pPr>
          </w:p>
        </w:tc>
        <w:tc>
          <w:tcPr/>
          <w:p>
            <w:pPr>
              <w:pStyle w:val="Compact"/>
            </w:pPr>
          </w:p>
        </w:tc>
        <w:tc>
          <w:tcPr/>
          <w:p>
            <w:pPr>
              <w:pStyle w:val="Compact"/>
            </w:pPr>
          </w:p>
        </w:tc>
      </w:tr>
    </w:tbl>
    <w:p>
      <w:pPr>
        <w:pStyle w:val="BodyText"/>
      </w:pPr>
      <w:r>
        <w:rPr>
          <w:b/>
          <w:bCs/>
        </w:rPr>
        <w:t xml:space="preserve">C. Credit Metrics.</w:t>
      </w:r>
      <w:r>
        <w:t xml:space="preserve"> </w:t>
      </w:r>
      <w:r>
        <w:t xml:space="preserve">Based on the Appraisal’s concluded Total Enterprise Value (</w:t>
      </w:r>
      <w:r>
        <w:t xml:space="preserve">“</w:t>
      </w:r>
      <w:r>
        <w:t xml:space="preserve">TEV</w:t>
      </w:r>
      <w:r>
        <w:t xml:space="preserve">”</w:t>
      </w:r>
      <w:r>
        <w:t xml:space="preserve">) of approximately $640,000,000 (midpoint of a $620,000,000–$660,000,000 range, derived from a 50% DCF / 50% comparable-company weighting) and LTM EBITDA of $89,400,000: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Calculation</w:t>
            </w:r>
          </w:p>
        </w:tc>
      </w:tr>
      <w:tr>
        <w:tc>
          <w:tcPr/>
          <w:p>
            <w:pPr>
              <w:pStyle w:val="Compact"/>
              <w:jc w:val="left"/>
            </w:pPr>
            <w:r>
              <w:t xml:space="preserve">First Lien LTV</w:t>
            </w:r>
          </w:p>
        </w:tc>
        <w:tc>
          <w:tcPr/>
          <w:p>
            <w:pPr>
              <w:pStyle w:val="Compact"/>
              <w:jc w:val="left"/>
            </w:pPr>
            <w:r>
              <w:t xml:space="preserve">74.22%</w:t>
            </w:r>
          </w:p>
        </w:tc>
        <w:tc>
          <w:tcPr/>
          <w:p>
            <w:pPr>
              <w:pStyle w:val="Compact"/>
              <w:jc w:val="left"/>
            </w:pPr>
            <w:r>
              <w:t xml:space="preserve">$475M ÷ $640M</w:t>
            </w:r>
          </w:p>
        </w:tc>
      </w:tr>
      <w:tr>
        <w:tc>
          <w:tcPr/>
          <w:p>
            <w:pPr>
              <w:pStyle w:val="Compact"/>
              <w:jc w:val="left"/>
            </w:pPr>
            <w:r>
              <w:t xml:space="preserve">Total LTV</w:t>
            </w:r>
          </w:p>
        </w:tc>
        <w:tc>
          <w:tcPr/>
          <w:p>
            <w:pPr>
              <w:pStyle w:val="Compact"/>
              <w:jc w:val="left"/>
            </w:pPr>
            <w:r>
              <w:t xml:space="preserve">97.66%</w:t>
            </w:r>
          </w:p>
        </w:tc>
        <w:tc>
          <w:tcPr/>
          <w:p>
            <w:pPr>
              <w:pStyle w:val="Compact"/>
              <w:jc w:val="left"/>
            </w:pPr>
            <w:r>
              <w:t xml:space="preserve">$625M ÷ $640M</w:t>
            </w:r>
          </w:p>
        </w:tc>
      </w:tr>
      <w:tr>
        <w:tc>
          <w:tcPr/>
          <w:p>
            <w:pPr>
              <w:pStyle w:val="Compact"/>
              <w:jc w:val="left"/>
            </w:pPr>
            <w:r>
              <w:t xml:space="preserve">Second Lien Equity Cushion</w:t>
            </w:r>
          </w:p>
        </w:tc>
        <w:tc>
          <w:tcPr/>
          <w:p>
            <w:pPr>
              <w:pStyle w:val="Compact"/>
              <w:jc w:val="left"/>
            </w:pPr>
            <w:r>
              <w:t xml:space="preserve">25.78% (~$165M absolute)</w:t>
            </w:r>
          </w:p>
        </w:tc>
        <w:tc>
          <w:tcPr/>
          <w:p>
            <w:pPr>
              <w:pStyle w:val="Compact"/>
              <w:jc w:val="left"/>
            </w:pPr>
            <w:r>
              <w:t xml:space="preserve">($640M − $475M) ÷ $640M</w:t>
            </w:r>
          </w:p>
        </w:tc>
      </w:tr>
      <w:tr>
        <w:tc>
          <w:tcPr/>
          <w:p>
            <w:pPr>
              <w:pStyle w:val="Compact"/>
              <w:jc w:val="left"/>
            </w:pPr>
            <w:r>
              <w:t xml:space="preserve">Second Lien Value Coverage</w:t>
            </w:r>
          </w:p>
        </w:tc>
        <w:tc>
          <w:tcPr/>
          <w:p>
            <w:pPr>
              <w:pStyle w:val="Compact"/>
              <w:jc w:val="left"/>
            </w:pPr>
            <w:r>
              <w:t xml:space="preserve">1.10x</w:t>
            </w:r>
          </w:p>
        </w:tc>
        <w:tc>
          <w:tcPr/>
          <w:p>
            <w:pPr>
              <w:pStyle w:val="Compact"/>
              <w:jc w:val="left"/>
            </w:pPr>
            <w:r>
              <w:t xml:space="preserve">($640M − $475M) ÷ $150M</w:t>
            </w:r>
          </w:p>
        </w:tc>
      </w:tr>
      <w:tr>
        <w:tc>
          <w:tcPr/>
          <w:p>
            <w:pPr>
              <w:pStyle w:val="Compact"/>
              <w:jc w:val="left"/>
            </w:pPr>
            <w:r>
              <w:t xml:space="preserve">First Lien Leverage</w:t>
            </w:r>
          </w:p>
        </w:tc>
        <w:tc>
          <w:tcPr/>
          <w:p>
            <w:pPr>
              <w:pStyle w:val="Compact"/>
              <w:jc w:val="left"/>
            </w:pPr>
            <w:r>
              <w:t xml:space="preserve">5.31x</w:t>
            </w:r>
          </w:p>
        </w:tc>
        <w:tc>
          <w:tcPr/>
          <w:p>
            <w:pPr>
              <w:pStyle w:val="Compact"/>
              <w:jc w:val="left"/>
            </w:pPr>
            <w:r>
              <w:t xml:space="preserve">$475M ÷ $89.4M</w:t>
            </w:r>
          </w:p>
        </w:tc>
      </w:tr>
      <w:tr>
        <w:tc>
          <w:tcPr/>
          <w:p>
            <w:pPr>
              <w:pStyle w:val="Compact"/>
              <w:jc w:val="left"/>
            </w:pPr>
            <w:r>
              <w:t xml:space="preserve">Total Leverage</w:t>
            </w:r>
          </w:p>
        </w:tc>
        <w:tc>
          <w:tcPr/>
          <w:p>
            <w:pPr>
              <w:pStyle w:val="Compact"/>
              <w:jc w:val="left"/>
            </w:pPr>
            <w:r>
              <w:t xml:space="preserve">6.99x</w:t>
            </w:r>
          </w:p>
        </w:tc>
        <w:tc>
          <w:tcPr/>
          <w:p>
            <w:pPr>
              <w:pStyle w:val="Compact"/>
              <w:jc w:val="left"/>
            </w:pPr>
            <w:r>
              <w:t xml:space="preserve">$625M ÷ $89.4M</w:t>
            </w:r>
          </w:p>
        </w:tc>
      </w:tr>
      <w:tr>
        <w:tc>
          <w:tcPr/>
          <w:p>
            <w:pPr>
              <w:pStyle w:val="Compact"/>
              <w:jc w:val="left"/>
            </w:pPr>
            <w:r>
              <w:t xml:space="preserve">Illustrative Interest Coverage</w:t>
            </w:r>
          </w:p>
        </w:tc>
        <w:tc>
          <w:tcPr/>
          <w:p>
            <w:pPr>
              <w:pStyle w:val="Compact"/>
              <w:jc w:val="left"/>
            </w:pPr>
            <w:r>
              <w:t xml:space="preserve">1.64x</w:t>
            </w:r>
          </w:p>
        </w:tc>
        <w:tc>
          <w:tcPr/>
          <w:p>
            <w:pPr>
              <w:pStyle w:val="Compact"/>
              <w:jc w:val="left"/>
            </w:pPr>
            <w:r>
              <w:t xml:space="preserve">$89.4M ÷ $54.56M total annual interest</w:t>
            </w:r>
          </w:p>
        </w:tc>
      </w:tr>
    </w:tbl>
    <w:p>
      <w:pPr>
        <w:pStyle w:val="BodyText"/>
      </w:pPr>
      <w:r>
        <w:t xml:space="preserve">The Total LTV of 97.66% means aggregate secured indebtedness nearly equals enterprise value. The 25.78% second lien cushion is thin by any measure, and total leverage of 6.99x exceeds the Second Lien Credit Agreement’s Total Leverage maintenance covenant of 6.50x (first tested in the first full fiscal quarter after closing). These metrics inform every compromise below: they justify the First Lien Agent’s insistence on structural protections (priority, sweep, standstill) and simultaneously justify the Second Lien Agent’s insistence that the ICA preserve its bargained-for enforcement, purchase, refinancing, and residual-access rights, because those rights are the primary safeguard of an investment sitting behind a near-par capital structure.</w:t>
      </w:r>
    </w:p>
    <w:p>
      <w:pPr>
        <w:pStyle w:val="BodyText"/>
      </w:pPr>
      <w:r>
        <w:rPr>
          <w:b/>
          <w:bCs/>
        </w:rPr>
        <w:t xml:space="preserve">D. Key Reference Rates and Contractual Anchors.</w:t>
      </w:r>
      <w:r>
        <w:t xml:space="preserve"> </w:t>
      </w:r>
      <w:r>
        <w:t xml:space="preserve">For the economic analysis below, SOFR is 5.33% (as of June 27, 2025), yielding a First Lien all-in non-default rate of 7.83% (SOFR + 250 bps) and a default rate of SOFR + 450 bps (9.83%, i.e., non-default plus 200 bps). The Second Lien all-in non-default rate is 11.58% (SOFR + 625 bps). The First Lien Credit Agreement’s asset-sale prepayment regime (Section 2.05(b)) uses a $5,000,000 individual trigger, a $15,000,000 annual aggregate trigger, a 365-day reinvestment period, a 100% sweep of non-reinvested proceeds, a 90-day anti-evasion aggregation rule, and a $3,000,000 reporting threshold. The Second Lien Credit Agreement’s prepayment premium is 2.00% in year one (through July 31, 2026), 1.00% in year two (through July 31, 2027), and par thereafter.</w:t>
      </w:r>
    </w:p>
    <w:p>
      <w:r>
        <w:pict>
          <v:rect style="width:0;height:1.5pt" o:hralign="center" o:hrstd="t" o:hr="t"/>
        </w:pict>
      </w:r>
    </w:p>
    <w:bookmarkEnd w:id="23"/>
    <w:bookmarkStart w:id="24" w:name="X4dc9abb716dab3534d29c34dad4f45421ad3bc0"/>
    <w:p>
      <w:pPr>
        <w:pStyle w:val="Heading2"/>
      </w:pPr>
      <w:r>
        <w:t xml:space="preserve">III. The Indivisible Package — Framing and Cross-Linkages</w:t>
      </w:r>
    </w:p>
    <w:p>
      <w:pPr>
        <w:pStyle w:val="FirstParagraph"/>
      </w:pPr>
      <w:r>
        <w:t xml:space="preserve">We have constructed the four compromises as an interdependent set. The linkages are as follows:</w:t>
      </w:r>
    </w:p>
    <w:p>
      <w:pPr>
        <w:numPr>
          <w:ilvl w:val="0"/>
          <w:numId w:val="1001"/>
        </w:numPr>
      </w:pPr>
      <w:r>
        <w:rPr>
          <w:b/>
          <w:bCs/>
        </w:rPr>
        <w:t xml:space="preserve">Standstill ↔ Purchase Right.</w:t>
      </w:r>
      <w:r>
        <w:t xml:space="preserve"> </w:t>
      </w:r>
      <w:r>
        <w:t xml:space="preserve">The First Lien Agent’s willingness to accept a 180-day standstill (90 days shorter than its 270-day opening position, and only 30 days above its 150-day credit-committee floor) is materially facilitated by the Second Lien Agent’s acceptance of a</w:t>
      </w:r>
      <w:r>
        <w:t xml:space="preserve"> </w:t>
      </w:r>
      <w:r>
        <w:rPr>
          <w:b/>
          <w:bCs/>
        </w:rPr>
        <w:t xml:space="preserve">par</w:t>
      </w:r>
      <w:r>
        <w:t xml:space="preserve"> </w:t>
      </w:r>
      <w:r>
        <w:t xml:space="preserve">purchase price for funded debt. A par purchase right gives the First Lien Agent a guaranteed exit at full value if the standstill proves insufficient to permit an orderly workout — the purchase right is, in effect, the First Lien Agent’s downside protection for accepting a shorter standstill. Conversely, the Second Lien Agent’s acceptance of par (rather than the lesser-of-par-or-FMV construct it originally proposed) is made economically tolerable by (a) the shorter standstill, which reduces the collateral-erosion risk the Second Lien Agent bears while the purchase right remains unexercised, and (b) the use of the non-default contract rate and optional revolver assumption, which keep the purchase price within a range the Second Lien Agent can fund.</w:t>
      </w:r>
    </w:p>
    <w:p>
      <w:pPr>
        <w:numPr>
          <w:ilvl w:val="0"/>
          <w:numId w:val="1001"/>
        </w:numPr>
      </w:pPr>
      <w:r>
        <w:rPr>
          <w:b/>
          <w:bCs/>
        </w:rPr>
        <w:t xml:space="preserve">Purchase Right ↔ Refinancing.</w:t>
      </w:r>
      <w:r>
        <w:t xml:space="preserve"> </w:t>
      </w:r>
      <w:r>
        <w:t xml:space="preserve">The Second Lien Agent’s acceptance of a</w:t>
      </w:r>
      <w:r>
        <w:t xml:space="preserve"> </w:t>
      </w:r>
      <w:r>
        <w:rPr>
          <w:b/>
          <w:bCs/>
        </w:rPr>
        <w:t xml:space="preserve">narrowed</w:t>
      </w:r>
      <w:r>
        <w:t xml:space="preserve"> </w:t>
      </w:r>
      <w:r>
        <w:t xml:space="preserve">restrictiveness test (rather than no test at all) and an</w:t>
      </w:r>
      <w:r>
        <w:t xml:space="preserve"> </w:t>
      </w:r>
      <w:r>
        <w:rPr>
          <w:b/>
          <w:bCs/>
        </w:rPr>
        <w:t xml:space="preserve">MFN</w:t>
      </w:r>
      <w:r>
        <w:t xml:space="preserve"> </w:t>
      </w:r>
      <w:r>
        <w:t xml:space="preserve">right in favor of the First Lien Lenders is balanced by the First Lien Agent’s acceptance of a</w:t>
      </w:r>
      <w:r>
        <w:t xml:space="preserve"> </w:t>
      </w:r>
      <w:r>
        <w:rPr>
          <w:b/>
          <w:bCs/>
        </w:rPr>
        <w:t xml:space="preserve">10% refinancing principal cushion</w:t>
      </w:r>
      <w:r>
        <w:t xml:space="preserve"> </w:t>
      </w:r>
      <w:r>
        <w:t xml:space="preserve">limited to bona fide refinancing costs. The 10% cushion preserves the Second Lien Agent’s ability to refinance without being economically locked into the existing facility, while the narrowed test plus MFN preserve the First Lien Agent’s protection against a replacement facility that tightens covenants in a manner that could destabilize the capital structure.</w:t>
      </w:r>
    </w:p>
    <w:p>
      <w:pPr>
        <w:numPr>
          <w:ilvl w:val="0"/>
          <w:numId w:val="1001"/>
        </w:numPr>
      </w:pPr>
      <w:r>
        <w:rPr>
          <w:b/>
          <w:bCs/>
        </w:rPr>
        <w:t xml:space="preserve">Proceeds Waterfall ↔ Standstill.</w:t>
      </w:r>
      <w:r>
        <w:t xml:space="preserve"> </w:t>
      </w:r>
      <w:r>
        <w:t xml:space="preserve">The First Lien Agent’s acceptance of a</w:t>
      </w:r>
      <w:r>
        <w:t xml:space="preserve"> </w:t>
      </w:r>
      <w:r>
        <w:rPr>
          <w:b/>
          <w:bCs/>
        </w:rPr>
        <w:t xml:space="preserve">reinvestment carve-out for ordinary-course asset sales</w:t>
      </w:r>
      <w:r>
        <w:t xml:space="preserve"> </w:t>
      </w:r>
      <w:r>
        <w:t xml:space="preserve">(rather than a blanket override of all reinvestment rights) is balanced by the</w:t>
      </w:r>
      <w:r>
        <w:t xml:space="preserve"> </w:t>
      </w:r>
      <w:r>
        <w:rPr>
          <w:b/>
          <w:bCs/>
        </w:rPr>
        <w:t xml:space="preserve">hard 100% sweep for large or extraordinary dispositions</w:t>
      </w:r>
      <w:r>
        <w:t xml:space="preserve"> </w:t>
      </w:r>
      <w:r>
        <w:t xml:space="preserve">and the robust</w:t>
      </w:r>
      <w:r>
        <w:t xml:space="preserve"> </w:t>
      </w:r>
      <w:r>
        <w:rPr>
          <w:b/>
          <w:bCs/>
        </w:rPr>
        <w:t xml:space="preserve">anti-evasion</w:t>
      </w:r>
      <w:r>
        <w:t xml:space="preserve"> </w:t>
      </w:r>
      <w:r>
        <w:t xml:space="preserve">regime. The hard sweep protects the First Lien Agent’s collateral coverage in precisely the distressed scenarios in which the standstill operates; the ordinary-course carve-out preserves the Borrower’s operational flexibility, which in turn preserves enterprise value (and thus the second lien cushion) during any workout period — aligning the interests of both lien levels.</w:t>
      </w:r>
    </w:p>
    <w:p>
      <w:pPr>
        <w:numPr>
          <w:ilvl w:val="0"/>
          <w:numId w:val="1001"/>
        </w:numPr>
      </w:pPr>
      <w:r>
        <w:rPr>
          <w:b/>
          <w:bCs/>
        </w:rPr>
        <w:t xml:space="preserve">Residual Access ↔ Priority.</w:t>
      </w:r>
      <w:r>
        <w:t xml:space="preserve"> </w:t>
      </w:r>
      <w:r>
        <w:t xml:space="preserve">The Second Lien Agent’s acceptance that</w:t>
      </w:r>
      <w:r>
        <w:t xml:space="preserve"> </w:t>
      </w:r>
      <w:r>
        <w:rPr>
          <w:b/>
          <w:bCs/>
        </w:rPr>
        <w:t xml:space="preserve">residual proceeds flow to it only after the Discharge of First Lien Obligations</w:t>
      </w:r>
      <w:r>
        <w:t xml:space="preserve"> </w:t>
      </w:r>
      <w:r>
        <w:t xml:space="preserve">(rather than after mere application of the First Lien Credit Agreement’s mandatory-prepayment triggers) preserves the absolute priority of the First Lien Obligations, while still giving the Second Lien Agent the theoretical waterfall right it has told us is</w:t>
      </w:r>
      <w:r>
        <w:t xml:space="preserve"> </w:t>
      </w:r>
      <w:r>
        <w:t xml:space="preserve">“</w:t>
      </w:r>
      <w:r>
        <w:t xml:space="preserve">symbolically important even if economically limited</w:t>
      </w:r>
      <w:r>
        <w:t xml:space="preserve">”</w:t>
      </w:r>
      <w:r>
        <w:t xml:space="preserve"> </w:t>
      </w:r>
      <w:r>
        <w:t xml:space="preserve">for purposes of reporting to its own investors and limited partners.</w:t>
      </w:r>
    </w:p>
    <w:p>
      <w:pPr>
        <w:pStyle w:val="FirstParagraph"/>
      </w:pPr>
      <w:r>
        <w:t xml:space="preserve">Because of these linkages,</w:t>
      </w:r>
      <w:r>
        <w:t xml:space="preserve"> </w:t>
      </w:r>
      <w:r>
        <w:rPr>
          <w:b/>
          <w:bCs/>
        </w:rPr>
        <w:t xml:space="preserve">the package should be presented and accepted or rejected as a whole.</w:t>
      </w:r>
      <w:r>
        <w:t xml:space="preserve"> </w:t>
      </w:r>
      <w:r>
        <w:t xml:space="preserve">If either agent seeks to cherry-pick the provisions most favorable to it while rejecting the balancing concessions, the overall equilibrium collapses and the parties return to the positional impasse that has stalled negotiations since mid-June. Meridian’s active endorsement of the package as a unit — which you have indicated you are prepared to provide to both agents — is the most effective mechanism for breaking the deadlock.</w:t>
      </w:r>
    </w:p>
    <w:p>
      <w:r>
        <w:pict>
          <v:rect style="width:0;height:1.5pt" o:hralign="center" o:hrstd="t" o:hr="t"/>
        </w:pict>
      </w:r>
    </w:p>
    <w:bookmarkEnd w:id="24"/>
    <w:bookmarkStart w:id="41" w:name="Xeb7caad536808a17fdfe896b9600dc1ad4cae88"/>
    <w:p>
      <w:pPr>
        <w:pStyle w:val="Heading2"/>
      </w:pPr>
      <w:r>
        <w:t xml:space="preserve">IV. Compromise Language and Negotiation Rationale</w:t>
      </w:r>
    </w:p>
    <w:bookmarkStart w:id="28" w:name="a.-section-3.01b-standstill-period"/>
    <w:p>
      <w:pPr>
        <w:pStyle w:val="Heading3"/>
      </w:pPr>
      <w:r>
        <w:t xml:space="preserve">A. Section 3.01(b) — Standstill Period</w:t>
      </w:r>
    </w:p>
    <w:bookmarkStart w:id="25" w:name="the-impasse"/>
    <w:p>
      <w:pPr>
        <w:pStyle w:val="Heading4"/>
      </w:pPr>
      <w:r>
        <w:t xml:space="preserve">1. The Impasse</w:t>
      </w:r>
    </w:p>
    <w:p>
      <w:pPr>
        <w:pStyle w:val="FirstParagraph"/>
      </w:pPr>
      <w:r>
        <w:t xml:space="preserve">The First Lien Agent proposes a</w:t>
      </w:r>
      <w:r>
        <w:t xml:space="preserve"> </w:t>
      </w:r>
      <w:r>
        <w:rPr>
          <w:b/>
          <w:bCs/>
        </w:rPr>
        <w:t xml:space="preserve">270-day</w:t>
      </w:r>
      <w:r>
        <w:t xml:space="preserve"> </w:t>
      </w:r>
      <w:r>
        <w:t xml:space="preserve">standstill, absolute and unconditional, with</w:t>
      </w:r>
      <w:r>
        <w:t xml:space="preserve"> </w:t>
      </w:r>
      <w:r>
        <w:rPr>
          <w:b/>
          <w:bCs/>
        </w:rPr>
        <w:t xml:space="preserve">no early termination events</w:t>
      </w:r>
      <w:r>
        <w:t xml:space="preserve"> </w:t>
      </w:r>
      <w:r>
        <w:t xml:space="preserve">under any circumstance and no cap on Blockage Notices. The Second Lien Agent proposes a</w:t>
      </w:r>
      <w:r>
        <w:t xml:space="preserve"> </w:t>
      </w:r>
      <w:r>
        <w:rPr>
          <w:b/>
          <w:bCs/>
        </w:rPr>
        <w:t xml:space="preserve">90-day</w:t>
      </w:r>
      <w:r>
        <w:t xml:space="preserve"> </w:t>
      </w:r>
      <w:r>
        <w:t xml:space="preserve">standstill measured from the First Lien Agent’s actual receipt of a Blockage Notice, with two early-termination events (commencement of First Lien enforcement against material Collateral, or filing of an Insolvency Proceeding). The gap is the widest of the four provisions.</w:t>
      </w:r>
    </w:p>
    <w:bookmarkEnd w:id="25"/>
    <w:bookmarkStart w:id="26" w:name="proposed-compromise-language"/>
    <w:p>
      <w:pPr>
        <w:pStyle w:val="Heading4"/>
      </w:pPr>
      <w:r>
        <w:t xml:space="preserve">2. Proposed Compromise Language</w:t>
      </w:r>
    </w:p>
    <w:p>
      <w:pPr>
        <w:pStyle w:val="FirstParagraph"/>
      </w:pPr>
      <w:r>
        <w:t xml:space="preserve">The following is proposed to replace the bracketed text of Section 3.01(b) in its entirety:</w:t>
      </w:r>
    </w:p>
    <w:p>
      <w:pPr>
        <w:pStyle w:val="BlockText"/>
      </w:pPr>
      <w:r>
        <w:rPr>
          <w:b/>
          <w:bCs/>
        </w:rPr>
        <w:t xml:space="preserve">Section 3.01(b) — Standstill Period.</w:t>
      </w:r>
    </w:p>
    <w:p>
      <w:pPr>
        <w:pStyle w:val="BlockText"/>
      </w:pPr>
      <w:r>
        <w:rPr>
          <w:b/>
          <w:bCs/>
        </w:rPr>
        <w:t xml:space="preserve">(i) Duration.</w:t>
      </w:r>
      <w:r>
        <w:t xml:space="preserve"> </w:t>
      </w:r>
      <w:r>
        <w:t xml:space="preserve">Following the occurrence and during the continuance of a Second Lien Default, the Second Lien Agent shall not exercise any rights or remedies with respect to the Collateral for a period of</w:t>
      </w:r>
      <w:r>
        <w:t xml:space="preserve"> </w:t>
      </w:r>
      <w:r>
        <w:rPr>
          <w:b/>
          <w:bCs/>
        </w:rPr>
        <w:t xml:space="preserve">one hundred eighty (180) days</w:t>
      </w:r>
      <w:r>
        <w:t xml:space="preserve"> </w:t>
      </w:r>
      <w:r>
        <w:t xml:space="preserve">following the date of actual receipt by the First Lien Agent of a written notice (a</w:t>
      </w:r>
      <w:r>
        <w:t xml:space="preserve"> </w:t>
      </w:r>
      <w:r>
        <w:t xml:space="preserve">“</w:t>
      </w:r>
      <w:r>
        <w:rPr>
          <w:b/>
          <w:bCs/>
        </w:rPr>
        <w:t xml:space="preserve">Blockage Notice</w:t>
      </w:r>
      <w:r>
        <w:t xml:space="preserve">”</w:t>
      </w:r>
      <w:r>
        <w:t xml:space="preserve">) specifying in reasonable detail the Second Lien Default giving rise thereto (the</w:t>
      </w:r>
      <w:r>
        <w:t xml:space="preserve"> </w:t>
      </w:r>
      <w:r>
        <w:t xml:space="preserve">“</w:t>
      </w:r>
      <w:r>
        <w:rPr>
          <w:b/>
          <w:bCs/>
        </w:rPr>
        <w:t xml:space="preserve">Standstill Period</w:t>
      </w:r>
      <w:r>
        <w:t xml:space="preserve">”</w:t>
      </w:r>
      <w:r>
        <w:t xml:space="preserve">). The Standstill Period shall be measured from the date of actual receipt of the Blockage Notice by the First Lien Agent and shall remain in effect for the full one hundred eighty (180)-day period, subject only to the early termination events set forth in Section 3.01(b)(iii) below.</w:t>
      </w:r>
    </w:p>
    <w:p>
      <w:pPr>
        <w:pStyle w:val="BlockText"/>
      </w:pPr>
      <w:r>
        <w:rPr>
          <w:b/>
          <w:bCs/>
        </w:rPr>
        <w:t xml:space="preserve">(ii) Blockage Notice Cap.</w:t>
      </w:r>
      <w:r>
        <w:t xml:space="preserve"> </w:t>
      </w:r>
      <w:r>
        <w:t xml:space="preserve">There shall be no limit on the number of Blockage Notices that the First Lien Agent may deliver during the term of the Second Lien Credit Agreement, and each Blockage Notice shall give rise to a separate Standstill Period;</w:t>
      </w:r>
      <w:r>
        <w:t xml:space="preserve"> </w:t>
      </w:r>
      <w:r>
        <w:rPr>
          <w:i/>
          <w:iCs/>
        </w:rPr>
        <w:t xml:space="preserve">provided that</w:t>
      </w:r>
      <w:r>
        <w:t xml:space="preserve"> </w:t>
      </w:r>
      <w:r>
        <w:t xml:space="preserve">(A) the First Lien Agent shall not deliver more than</w:t>
      </w:r>
      <w:r>
        <w:t xml:space="preserve"> </w:t>
      </w:r>
      <w:r>
        <w:rPr>
          <w:b/>
          <w:bCs/>
        </w:rPr>
        <w:t xml:space="preserve">two (2)</w:t>
      </w:r>
      <w:r>
        <w:t xml:space="preserve"> </w:t>
      </w:r>
      <w:r>
        <w:t xml:space="preserve">Blockage Notices during any rolling twelve (12)-month period, and (B) the aggregate number of days during which one or more Standstill Periods are in effect shall not exceed</w:t>
      </w:r>
      <w:r>
        <w:t xml:space="preserve"> </w:t>
      </w:r>
      <w:r>
        <w:rPr>
          <w:b/>
          <w:bCs/>
        </w:rPr>
        <w:t xml:space="preserve">one hundred eighty (180) days</w:t>
      </w:r>
      <w:r>
        <w:t xml:space="preserve"> </w:t>
      </w:r>
      <w:r>
        <w:t xml:space="preserve">during any rolling twelve (12)-month period. If a Second Lien Default that gave rise to a Standstill Period is cured or waived, the First Lien Agent may deliver a new Blockage Notice in connection with any subsequently occurring Second Lien Default, subject to the foregoing caps.</w:t>
      </w:r>
    </w:p>
    <w:p>
      <w:pPr>
        <w:pStyle w:val="BlockText"/>
      </w:pPr>
      <w:r>
        <w:rPr>
          <w:b/>
          <w:bCs/>
        </w:rPr>
        <w:t xml:space="preserve">(iii) Early Termination Events.</w:t>
      </w:r>
      <w:r>
        <w:t xml:space="preserve"> </w:t>
      </w:r>
      <w:r>
        <w:t xml:space="preserve">Notwithstanding Section 3.01(b)(i), the Standstill Period shall terminate prior to the expiration of the one hundred eighty (180)-day period upon the occurrence of any of the following events (each, an</w:t>
      </w:r>
      <w:r>
        <w:t xml:space="preserve"> </w:t>
      </w:r>
      <w:r>
        <w:t xml:space="preserve">“</w:t>
      </w:r>
      <w:r>
        <w:rPr>
          <w:b/>
          <w:bCs/>
        </w:rPr>
        <w:t xml:space="preserve">Early Termination Event</w:t>
      </w:r>
      <w:r>
        <w:t xml:space="preserve">”</w:t>
      </w:r>
      <w:r>
        <w:t xml:space="preserve">), each of which shall be objectively verifiable:</w:t>
      </w:r>
    </w:p>
    <w:p>
      <w:pPr>
        <w:pStyle w:val="BlockText"/>
        <w:numPr>
          <w:ilvl w:val="0"/>
          <w:numId w:val="1002"/>
        </w:numPr>
      </w:pPr>
      <w:r>
        <w:rPr>
          <w:b/>
          <w:bCs/>
        </w:rPr>
        <w:t xml:space="preserve">Disposition of Substantially All Collateral.</w:t>
      </w:r>
      <w:r>
        <w:t xml:space="preserve"> </w:t>
      </w:r>
      <w:r>
        <w:t xml:space="preserve">The First Lien Agent (or any First Lien Lender) shall have completed a foreclosure, sale, disposition, or other realization upon, or shall have credit bid the First Lien Obligations in connection with a sale of, substantially all of the Collateral (whether under Article 9 of the UCC, Section 363 of the Bankruptcy Code, or otherwise);</w:t>
      </w:r>
    </w:p>
    <w:p>
      <w:pPr>
        <w:pStyle w:val="BlockText"/>
        <w:numPr>
          <w:ilvl w:val="0"/>
          <w:numId w:val="1002"/>
        </w:numPr>
      </w:pPr>
      <w:r>
        <w:rPr>
          <w:b/>
          <w:bCs/>
        </w:rPr>
        <w:t xml:space="preserve">Sale Order Without 2L Consent.</w:t>
      </w:r>
      <w:r>
        <w:t xml:space="preserve"> </w:t>
      </w:r>
      <w:r>
        <w:t xml:space="preserve">The entry of an order approving a sale of substantially all of the Collateral under Section 363 of the Bankruptcy Code (or any comparable provision of any other applicable law) in an Insolvency Proceeding, in each case to which the Second Lien Agent has not consented (such consent not to be unreasonably withheld, conditioned, or delayed); or</w:t>
      </w:r>
    </w:p>
    <w:p>
      <w:pPr>
        <w:pStyle w:val="BlockText"/>
        <w:numPr>
          <w:ilvl w:val="0"/>
          <w:numId w:val="1002"/>
        </w:numPr>
      </w:pPr>
      <w:r>
        <w:rPr>
          <w:b/>
          <w:bCs/>
        </w:rPr>
        <w:t xml:space="preserve">Confirming Order Impairing 2L.</w:t>
      </w:r>
      <w:r>
        <w:t xml:space="preserve"> </w:t>
      </w:r>
      <w:r>
        <w:t xml:space="preserve">The entry of an order confirming a plan of reorganization or liquidation in an Insolvency Proceeding that impairs the Second Lien Obligations without the consent of the Second Lien Agent.</w:t>
      </w:r>
    </w:p>
    <w:p>
      <w:pPr>
        <w:pStyle w:val="BlockText"/>
      </w:pPr>
      <w:r>
        <w:t xml:space="preserve">Upon the occurrence of any Early Termination Event, the Standstill Period shall terminate immediately, and the Second Lien Agent may exercise any and all rights and remedies available to it under the Second Lien Loan Documents and applicable law with respect to the Collateral, subject to Section 3.03 and the priority and subordination provisions of this Agreement.</w:t>
      </w:r>
    </w:p>
    <w:p>
      <w:pPr>
        <w:pStyle w:val="BlockText"/>
      </w:pPr>
      <w:r>
        <w:rPr>
          <w:b/>
          <w:bCs/>
        </w:rPr>
        <w:t xml:space="preserve">(iv) Reinstatement.</w:t>
      </w:r>
      <w:r>
        <w:t xml:space="preserve"> </w:t>
      </w:r>
      <w:r>
        <w:t xml:space="preserve">If a Second Lien Default that gave rise to a Standstill Period is cured or waived at any time during the applicable Standstill Period, such Standstill Period shall immediately terminate and be of no further force and effect, and a new Standstill Period may be commenced only by delivery of a new Blockage Notice in accordance with this Section 3.01(b).</w:t>
      </w:r>
    </w:p>
    <w:bookmarkEnd w:id="26"/>
    <w:bookmarkStart w:id="27" w:name="negotiation-rationale"/>
    <w:p>
      <w:pPr>
        <w:pStyle w:val="Heading4"/>
      </w:pPr>
      <w:r>
        <w:t xml:space="preserve">3. Negotiation Rationale</w:t>
      </w:r>
    </w:p>
    <w:p>
      <w:pPr>
        <w:pStyle w:val="FirstParagraph"/>
      </w:pPr>
      <w:r>
        <w:rPr>
          <w:b/>
          <w:bCs/>
        </w:rPr>
        <w:t xml:space="preserve">Why 180 days is the right duration.</w:t>
      </w:r>
      <w:r>
        <w:t xml:space="preserve"> </w:t>
      </w:r>
      <w:r>
        <w:t xml:space="preserve">The Market Survey of 42 comparable intercreditor agreements (industrial and manufacturing sectors, total funded secured debt exceeding $400 million, total leverage exceeding 5.0x) shows a</w:t>
      </w:r>
      <w:r>
        <w:t xml:space="preserve"> </w:t>
      </w:r>
      <w:r>
        <w:rPr>
          <w:b/>
          <w:bCs/>
        </w:rPr>
        <w:t xml:space="preserve">median standstill of 180 days</w:t>
      </w:r>
      <w:r>
        <w:t xml:space="preserve"> </w:t>
      </w:r>
      <w:r>
        <w:t xml:space="preserve">(mean 172.9 days; 25th percentile 150 days; 75th percentile 202.5 days; range 90–270 days). A 180-day standstill is therefore the single most market-anchored term available. Critically, 180 days falls</w:t>
      </w:r>
      <w:r>
        <w:t xml:space="preserve"> </w:t>
      </w:r>
      <w:r>
        <w:rPr>
          <w:b/>
          <w:bCs/>
        </w:rPr>
        <w:t xml:space="preserve">within both agents’ disclosed flexibility</w:t>
      </w:r>
      <w:r>
        <w:t xml:space="preserve">: it is 30 days above Cartwright’s credit-committee floor of 150 days (below which Cartwright has stated it would require re-syndication), and it is exactly at Ridgeline’s stated ceiling of</w:t>
      </w:r>
      <w:r>
        <w:t xml:space="preserve"> </w:t>
      </w:r>
      <w:r>
        <w:t xml:space="preserve">“</w:t>
      </w:r>
      <w:r>
        <w:t xml:space="preserve">up to 180 days.</w:t>
      </w:r>
      <w:r>
        <w:t xml:space="preserve">”</w:t>
      </w:r>
      <w:r>
        <w:t xml:space="preserve"> </w:t>
      </w:r>
      <w:r>
        <w:t xml:space="preserve">Neither agent can credibly reject the market median when it sits inside its own stated zone.</w:t>
      </w:r>
    </w:p>
    <w:p>
      <w:pPr>
        <w:pStyle w:val="BodyText"/>
      </w:pPr>
      <w:r>
        <w:rPr>
          <w:b/>
          <w:bCs/>
        </w:rPr>
        <w:t xml:space="preserve">Why early-termination triggers are appropriate — and why these three.</w:t>
      </w:r>
      <w:r>
        <w:t xml:space="preserve"> </w:t>
      </w:r>
      <w:r>
        <w:t xml:space="preserve">The Market Survey shows that</w:t>
      </w:r>
      <w:r>
        <w:t xml:space="preserve"> </w:t>
      </w:r>
      <w:r>
        <w:rPr>
          <w:b/>
          <w:bCs/>
        </w:rPr>
        <w:t xml:space="preserve">76% of surveyed agreements (32 of 42) include early-termination triggers</w:t>
      </w:r>
      <w:r>
        <w:t xml:space="preserve">, and that the</w:t>
      </w:r>
      <w:r>
        <w:t xml:space="preserve"> </w:t>
      </w:r>
      <w:r>
        <w:rPr>
          <w:b/>
          <w:bCs/>
        </w:rPr>
        <w:t xml:space="preserve">market-standard pairing is a standstill of 180 days or longer combined with triggers (25 of 42 deals)</w:t>
      </w:r>
      <w:r>
        <w:t xml:space="preserve">. An absolute, no-trigger standstill is the minority position (24% of deals). The First Lien Agent’s own precedent set is internally inconsistent: its cited Hartsfield/Consolidated Metals and Kingsbridge/Atlas Materials precedents used no triggers, but its Briarcliff/Weston Energy precedent used a single carve-out, and the Market Survey’s comparable Deal-038 (a $470M/$155M/$625M industrial transaction closely matching Meridian’s structure) used a 240-day standstill with a comprehensive trigger set. The three triggers we propose are drawn from the Market Survey’s most common and most objectively verifiable triggers —</w:t>
      </w:r>
      <w:r>
        <w:t xml:space="preserve"> </w:t>
      </w:r>
      <w:r>
        <w:rPr>
          <w:b/>
          <w:bCs/>
        </w:rPr>
        <w:t xml:space="preserve">liquidation/disposition of substantially all Collateral (the most common trigger, appearing in 29 deals)</w:t>
      </w:r>
      <w:r>
        <w:t xml:space="preserve">,</w:t>
      </w:r>
      <w:r>
        <w:t xml:space="preserve"> </w:t>
      </w:r>
      <w:r>
        <w:rPr>
          <w:b/>
          <w:bCs/>
        </w:rPr>
        <w:t xml:space="preserve">credit bid by the First Lien Agent (22 deals)</w:t>
      </w:r>
      <w:r>
        <w:t xml:space="preserve">, and</w:t>
      </w:r>
      <w:r>
        <w:t xml:space="preserve"> </w:t>
      </w:r>
      <w:r>
        <w:rPr>
          <w:b/>
          <w:bCs/>
        </w:rPr>
        <w:t xml:space="preserve">sale motion/plan confirmation without Second Lien consent (9 and related deals)</w:t>
      </w:r>
      <w:r>
        <w:t xml:space="preserve"> </w:t>
      </w:r>
      <w:r>
        <w:t xml:space="preserve">— and are tied exclusively to the First Lien Agent’s</w:t>
      </w:r>
      <w:r>
        <w:t xml:space="preserve"> </w:t>
      </w:r>
      <w:r>
        <w:rPr>
          <w:b/>
          <w:bCs/>
        </w:rPr>
        <w:t xml:space="preserve">affirmative</w:t>
      </w:r>
      <w:r>
        <w:t xml:space="preserve"> </w:t>
      </w:r>
      <w:r>
        <w:t xml:space="preserve">enforcement actions. They deliberately do</w:t>
      </w:r>
      <w:r>
        <w:t xml:space="preserve"> </w:t>
      </w:r>
      <w:r>
        <w:rPr>
          <w:b/>
          <w:bCs/>
        </w:rPr>
        <w:t xml:space="preserve">not</w:t>
      </w:r>
      <w:r>
        <w:t xml:space="preserve"> </w:t>
      </w:r>
      <w:r>
        <w:t xml:space="preserve">include the</w:t>
      </w:r>
      <w:r>
        <w:t xml:space="preserve"> </w:t>
      </w:r>
      <w:r>
        <w:t xml:space="preserve">“</w:t>
      </w:r>
      <w:r>
        <w:t xml:space="preserve">cessation of active enforcement</w:t>
      </w:r>
      <w:r>
        <w:t xml:space="preserve">”</w:t>
      </w:r>
      <w:r>
        <w:t xml:space="preserve"> </w:t>
      </w:r>
      <w:r>
        <w:t xml:space="preserve">or</w:t>
      </w:r>
      <w:r>
        <w:t xml:space="preserve"> </w:t>
      </w:r>
      <w:r>
        <w:t xml:space="preserve">“</w:t>
      </w:r>
      <w:r>
        <w:t xml:space="preserve">failure to commence enforcement within a specified period</w:t>
      </w:r>
      <w:r>
        <w:t xml:space="preserve">”</w:t>
      </w:r>
      <w:r>
        <w:t xml:space="preserve"> </w:t>
      </w:r>
      <w:r>
        <w:t xml:space="preserve">trigger that the First Lien Agent has expressly objected to and that the First Lien Agent’s June 26 communication flagged as a</w:t>
      </w:r>
      <w:r>
        <w:t xml:space="preserve"> </w:t>
      </w:r>
      <w:r>
        <w:t xml:space="preserve">“</w:t>
      </w:r>
      <w:r>
        <w:t xml:space="preserve">harder sell internally.</w:t>
      </w:r>
      <w:r>
        <w:t xml:space="preserve">”</w:t>
      </w:r>
      <w:r>
        <w:t xml:space="preserve"> </w:t>
      </w:r>
      <w:r>
        <w:t xml:space="preserve">This design respects the First Lien Agent’s stated requirement that triggers be</w:t>
      </w:r>
      <w:r>
        <w:t xml:space="preserve"> </w:t>
      </w:r>
      <w:r>
        <w:t xml:space="preserve">“</w:t>
      </w:r>
      <w:r>
        <w:t xml:space="preserve">narrow and objectively verifiable</w:t>
      </w:r>
      <w:r>
        <w:t xml:space="preserve">”</w:t>
      </w:r>
      <w:r>
        <w:t xml:space="preserve"> </w:t>
      </w:r>
      <w:r>
        <w:t xml:space="preserve">while giving the Second Lien Agent meaningful protection against being locked out after the assets have been sold, credit-bid, or reorganized — the scenarios in which a standstill has no remaining purpose.</w:t>
      </w:r>
    </w:p>
    <w:p>
      <w:pPr>
        <w:pStyle w:val="BodyText"/>
      </w:pPr>
      <w:r>
        <w:rPr>
          <w:b/>
          <w:bCs/>
        </w:rPr>
        <w:t xml:space="preserve">Why the Blockage Notice cap is essential — and why it substitutes for a</w:t>
      </w:r>
      <w:r>
        <w:rPr>
          <w:b/>
          <w:bCs/>
        </w:rPr>
        <w:t xml:space="preserve"> </w:t>
      </w:r>
      <w:r>
        <w:rPr>
          <w:b/>
          <w:bCs/>
        </w:rPr>
        <w:t xml:space="preserve">“</w:t>
      </w:r>
      <w:r>
        <w:rPr>
          <w:b/>
          <w:bCs/>
        </w:rPr>
        <w:t xml:space="preserve">cessation of enforcement</w:t>
      </w:r>
      <w:r>
        <w:rPr>
          <w:b/>
          <w:bCs/>
        </w:rPr>
        <w:t xml:space="preserve">”</w:t>
      </w:r>
      <w:r>
        <w:rPr>
          <w:b/>
          <w:bCs/>
        </w:rPr>
        <w:t xml:space="preserve"> </w:t>
      </w:r>
      <w:r>
        <w:rPr>
          <w:b/>
          <w:bCs/>
        </w:rPr>
        <w:t xml:space="preserve">trigger.</w:t>
      </w:r>
      <w:r>
        <w:t xml:space="preserve"> </w:t>
      </w:r>
      <w:r>
        <w:t xml:space="preserve">The Second Lien Agent’s deepest concern, expressed in both its position letter and its June 26 communication, is that an extended standstill paired with an unlimited ability to reset the clock would</w:t>
      </w:r>
      <w:r>
        <w:t xml:space="preserve"> </w:t>
      </w:r>
      <w:r>
        <w:t xml:space="preserve">“</w:t>
      </w:r>
      <w:r>
        <w:t xml:space="preserve">convert the standstill from a temporary pause on 2L enforcement into a de facto preclusion of Second Lien rights</w:t>
      </w:r>
      <w:r>
        <w:t xml:space="preserve">”</w:t>
      </w:r>
      <w:r>
        <w:t xml:space="preserve"> </w:t>
      </w:r>
      <w:r>
        <w:t xml:space="preserve">and permit the First Lien Lenders to</w:t>
      </w:r>
      <w:r>
        <w:t xml:space="preserve"> </w:t>
      </w:r>
      <w:r>
        <w:t xml:space="preserve">“</w:t>
      </w:r>
      <w:r>
        <w:t xml:space="preserve">run out the clock on Second Lien remedies while collateral value declines.</w:t>
      </w:r>
      <w:r>
        <w:t xml:space="preserve">”</w:t>
      </w:r>
      <w:r>
        <w:t xml:space="preserve"> </w:t>
      </w:r>
      <w:r>
        <w:t xml:space="preserve">The Blockage Notice cap — no more than two Blockage Notices and no more than 180 aggregate standstill days in any rolling 12-month period — directly addresses this concern with an objective, mechanical limit, without imposing the</w:t>
      </w:r>
      <w:r>
        <w:t xml:space="preserve"> </w:t>
      </w:r>
      <w:r>
        <w:t xml:space="preserve">“</w:t>
      </w:r>
      <w:r>
        <w:t xml:space="preserve">failure to enforce</w:t>
      </w:r>
      <w:r>
        <w:t xml:space="preserve">”</w:t>
      </w:r>
      <w:r>
        <w:t xml:space="preserve"> </w:t>
      </w:r>
      <w:r>
        <w:t xml:space="preserve">trigger that the First Lien Agent cannot accept. The cap ensures that the First Lien Agent cannot indefinitely serial-block Second Lien enforcement, while preserving the First Lien Agent’s ability to invoke a full 180-day standstill (or two shorter standstills) per year as needed. This is a clean trade: the Second Lien Agent gives up the</w:t>
      </w:r>
      <w:r>
        <w:t xml:space="preserve"> </w:t>
      </w:r>
      <w:r>
        <w:t xml:space="preserve">“</w:t>
      </w:r>
      <w:r>
        <w:t xml:space="preserve">cessation of enforcement</w:t>
      </w:r>
      <w:r>
        <w:t xml:space="preserve">”</w:t>
      </w:r>
      <w:r>
        <w:t xml:space="preserve"> </w:t>
      </w:r>
      <w:r>
        <w:t xml:space="preserve">trigger it floated, and in exchange receives a hard annual cap that achieves the same anti-blockage objective.</w:t>
      </w:r>
    </w:p>
    <w:p>
      <w:pPr>
        <w:pStyle w:val="BodyText"/>
      </w:pPr>
      <w:r>
        <w:rPr>
          <w:b/>
          <w:bCs/>
        </w:rPr>
        <w:t xml:space="preserve">Economic quantification.</w:t>
      </w:r>
      <w:r>
        <w:t xml:space="preserve"> </w:t>
      </w:r>
      <w:r>
        <w:t xml:space="preserve">The standstill operates only in distress, when collateral value is declining. The Second Lien Agent’s cushion is 25.78% of TEV ($165 million absolute). The Second Lien Agent’s position letter estimates that a 15% TEV decline (to ~$544 million) over a 270-day standstill would reduce its theoretical recovery to ~$69 million (46 cents on the dollar) before liquidation frictions, and that a 25.78% decline would eliminate its recovery entirely. A 180-day standstill exposes the Second Lien Agent to materially less erosion risk than 270 days — roughly two-thirds of the time-at-risk — while still giving the First Lien Agent a full six months, which the First Lien Agent’s own letter acknowledges is the low end of the</w:t>
      </w:r>
      <w:r>
        <w:t xml:space="preserve"> </w:t>
      </w:r>
      <w:r>
        <w:t xml:space="preserve">“</w:t>
      </w:r>
      <w:r>
        <w:t xml:space="preserve">six to nine months</w:t>
      </w:r>
      <w:r>
        <w:t xml:space="preserve">”</w:t>
      </w:r>
      <w:r>
        <w:t xml:space="preserve"> </w:t>
      </w:r>
      <w:r>
        <w:t xml:space="preserve">range reasonably necessary for a comprehensive restructuring or orderly asset sale. The floating-rate structure further mitigates the time-value cost to the Second Lien Agent: the Second Lien Term Loan B accrues interest at SOFR + 625 bps (11.58% at current SOFR, or 13.58% at the default rate), so the Second Lien Secured Parties are compensated for the passage of time through continued interest accrual — approximately $8.7 million of non-default interest (or $10.2 million at the default rate) accrues on the $150 million facility over 180 days.</w:t>
      </w:r>
    </w:p>
    <w:p>
      <w:pPr>
        <w:pStyle w:val="BodyText"/>
      </w:pPr>
      <w:r>
        <w:rPr>
          <w:b/>
          <w:bCs/>
        </w:rPr>
        <w:t xml:space="preserve">What each side gains and concedes.</w:t>
      </w:r>
      <w:r>
        <w:t xml:space="preserve"> </w:t>
      </w:r>
      <w:r>
        <w:t xml:space="preserve">The First Lien Agent</w:t>
      </w:r>
      <w:r>
        <w:t xml:space="preserve"> </w:t>
      </w:r>
      <w:r>
        <w:rPr>
          <w:b/>
          <w:bCs/>
        </w:rPr>
        <w:t xml:space="preserve">concedes</w:t>
      </w:r>
      <w:r>
        <w:t xml:space="preserve"> </w:t>
      </w:r>
      <w:r>
        <w:t xml:space="preserve">90 days of standstill duration (from 270 to 180) and accepts three narrow triggers and a Blockage Notice cap; it</w:t>
      </w:r>
      <w:r>
        <w:t xml:space="preserve"> </w:t>
      </w:r>
      <w:r>
        <w:rPr>
          <w:b/>
          <w:bCs/>
        </w:rPr>
        <w:t xml:space="preserve">gains</w:t>
      </w:r>
      <w:r>
        <w:t xml:space="preserve"> </w:t>
      </w:r>
      <w:r>
        <w:t xml:space="preserve">a standstill 30 days above its credit-committee floor, triggers tied only to its own affirmative actions (not its inaction), and preservation of its control over the enforcement process. The Second Lien Agent</w:t>
      </w:r>
      <w:r>
        <w:t xml:space="preserve"> </w:t>
      </w:r>
      <w:r>
        <w:rPr>
          <w:b/>
          <w:bCs/>
        </w:rPr>
        <w:t xml:space="preserve">concedes</w:t>
      </w:r>
      <w:r>
        <w:t xml:space="preserve"> </w:t>
      </w:r>
      <w:r>
        <w:t xml:space="preserve">90 days of standstill duration (from 90 to 180) and gives up the</w:t>
      </w:r>
      <w:r>
        <w:t xml:space="preserve"> </w:t>
      </w:r>
      <w:r>
        <w:t xml:space="preserve">“</w:t>
      </w:r>
      <w:r>
        <w:t xml:space="preserve">cessation of enforcement</w:t>
      </w:r>
      <w:r>
        <w:t xml:space="preserve">”</w:t>
      </w:r>
      <w:r>
        <w:t xml:space="preserve"> </w:t>
      </w:r>
      <w:r>
        <w:t xml:space="preserve">trigger; it</w:t>
      </w:r>
      <w:r>
        <w:t xml:space="preserve"> </w:t>
      </w:r>
      <w:r>
        <w:rPr>
          <w:b/>
          <w:bCs/>
        </w:rPr>
        <w:t xml:space="preserve">gains</w:t>
      </w:r>
      <w:r>
        <w:t xml:space="preserve"> </w:t>
      </w:r>
      <w:r>
        <w:t xml:space="preserve">a standstill 90 days shorter than the First Lien Agent’s opening position, three meaningful early-termination triggers tied to disposition/credit-bid/sale/plan events, and a hard annual cap that prevents indefinite serial blockage. Both sides land on the market median.</w:t>
      </w:r>
    </w:p>
    <w:p>
      <w:r>
        <w:pict>
          <v:rect style="width:0;height:1.5pt" o:hralign="center" o:hrstd="t" o:hr="t"/>
        </w:pict>
      </w:r>
    </w:p>
    <w:bookmarkEnd w:id="27"/>
    <w:bookmarkEnd w:id="28"/>
    <w:bookmarkStart w:id="32" w:name="Xf018d71099889033a9e4aa7b3cb9f37be8a3917"/>
    <w:p>
      <w:pPr>
        <w:pStyle w:val="Heading3"/>
      </w:pPr>
      <w:r>
        <w:t xml:space="preserve">B. Section 5.01 — Second Lien Purchase Right</w:t>
      </w:r>
    </w:p>
    <w:bookmarkStart w:id="29" w:name="the-impasse-1"/>
    <w:p>
      <w:pPr>
        <w:pStyle w:val="Heading4"/>
      </w:pPr>
      <w:r>
        <w:t xml:space="preserve">1. The Impasse</w:t>
      </w:r>
    </w:p>
    <w:p>
      <w:pPr>
        <w:pStyle w:val="FirstParagraph"/>
      </w:pPr>
      <w:r>
        <w:t xml:space="preserve">Four sub-issues are open: (A) the Purchase Price mechanic (the First Lien Agent proposes par plus default-rate interest plus fees; the Second Lien Agent proposes the lesser of par at the non-default rate or fair market value via dealer poll); (B) the interest rate for accrued interest (default rate vs. non-default contract rate); (C) treatment of unfunded Revolver commitments (mandatory assumption vs. no assumption); and (D) the scope of exercise triggers (First Lien Event of Default only vs. First Lien or Second Lien Event of Default or First Lien acceleration).</w:t>
      </w:r>
    </w:p>
    <w:bookmarkEnd w:id="29"/>
    <w:bookmarkStart w:id="30" w:name="proposed-compromise-language-1"/>
    <w:p>
      <w:pPr>
        <w:pStyle w:val="Heading4"/>
      </w:pPr>
      <w:r>
        <w:t xml:space="preserve">2. Proposed Compromise Language</w:t>
      </w:r>
    </w:p>
    <w:p>
      <w:pPr>
        <w:pStyle w:val="FirstParagraph"/>
      </w:pPr>
      <w:r>
        <w:t xml:space="preserve">The following is proposed to replace the bracketed text of Section 5.01 in its entirety (the mechanics of purchase in Section 5.02, including the 10–20 Business Day purchase window and the payoff-letter requirement, remain unchanged):</w:t>
      </w:r>
    </w:p>
    <w:p>
      <w:pPr>
        <w:pStyle w:val="BlockText"/>
      </w:pPr>
      <w:r>
        <w:rPr>
          <w:b/>
          <w:bCs/>
        </w:rPr>
        <w:t xml:space="preserve">Section 5.01 — Second Lien Purchase Right.</w:t>
      </w:r>
    </w:p>
    <w:p>
      <w:pPr>
        <w:pStyle w:val="BlockText"/>
      </w:pPr>
      <w:r>
        <w:rPr>
          <w:b/>
          <w:bCs/>
        </w:rPr>
        <w:t xml:space="preserve">(a) Grant of Right.</w:t>
      </w:r>
      <w:r>
        <w:t xml:space="preserve"> </w:t>
      </w:r>
      <w:r>
        <w:t xml:space="preserve">At any time following the occurrence and during the continuance of an Event of Default under the First Lien Credit Agreement (including upon the acceleration of the First Lien Obligations by the First Lien Agent), the Second Lien Agent (on behalf of the Second Lien Lenders, or one or more Second Lien Lenders, or any designee of the foregoing) shall have the right (but not the obligation) (the</w:t>
      </w:r>
      <w:r>
        <w:t xml:space="preserve"> </w:t>
      </w:r>
      <w:r>
        <w:t xml:space="preserve">“</w:t>
      </w:r>
      <w:r>
        <w:rPr>
          <w:b/>
          <w:bCs/>
        </w:rPr>
        <w:t xml:space="preserve">Second Lien Purchase Right</w:t>
      </w:r>
      <w:r>
        <w:t xml:space="preserve">”</w:t>
      </w:r>
      <w:r>
        <w:t xml:space="preserve">) to purchase all (but not less than all) of the First Lien Obligations by paying to the First Lien Agent in immediately available funds a purchase price (the</w:t>
      </w:r>
      <w:r>
        <w:t xml:space="preserve"> </w:t>
      </w:r>
      <w:r>
        <w:t xml:space="preserve">“</w:t>
      </w:r>
      <w:r>
        <w:rPr>
          <w:b/>
          <w:bCs/>
        </w:rPr>
        <w:t xml:space="preserve">Purchase Price</w:t>
      </w:r>
      <w:r>
        <w:t xml:space="preserve">”</w:t>
      </w:r>
      <w:r>
        <w:t xml:space="preserve">) determined in accordance with Section 5.01(b).</w:t>
      </w:r>
    </w:p>
    <w:p>
      <w:pPr>
        <w:pStyle w:val="BlockText"/>
      </w:pPr>
      <w:r>
        <w:rPr>
          <w:b/>
          <w:bCs/>
        </w:rPr>
        <w:t xml:space="preserve">(b) Purchase Price.</w:t>
      </w:r>
      <w:r>
        <w:t xml:space="preserve"> </w:t>
      </w:r>
      <w:r>
        <w:t xml:space="preserve">The Purchase Price shall be equal to the sum of the following amounts, each calculated as of the date of purchase (the</w:t>
      </w:r>
      <w:r>
        <w:t xml:space="preserve"> </w:t>
      </w:r>
      <w:r>
        <w:t xml:space="preserve">“</w:t>
      </w:r>
      <w:r>
        <w:rPr>
          <w:b/>
          <w:bCs/>
        </w:rPr>
        <w:t xml:space="preserve">Purchase Date</w:t>
      </w:r>
      <w:r>
        <w:t xml:space="preserve">”</w:t>
      </w:r>
      <w:r>
        <w:t xml:space="preserve">):</w:t>
      </w:r>
    </w:p>
    <w:p>
      <w:pPr>
        <w:pStyle w:val="Compact"/>
        <w:numPr>
          <w:ilvl w:val="0"/>
          <w:numId w:val="1003"/>
        </w:numPr>
      </w:pPr>
      <w:r>
        <w:rPr>
          <w:b/>
          <w:bCs/>
        </w:rPr>
        <w:t xml:space="preserve">Outstanding Principal.</w:t>
      </w:r>
      <w:r>
        <w:t xml:space="preserve"> </w:t>
      </w:r>
      <w:r>
        <w:t xml:space="preserve">One hundred percent (100%) of the aggregate outstanding principal amount of all funded First Lien Obligations (including all amounts outstanding under the First Lien Term Loan A and all drawn amounts under the First Lien Revolver);</w:t>
      </w:r>
    </w:p>
    <w:p>
      <w:pPr>
        <w:pStyle w:val="BlockText"/>
      </w:pPr>
      <w:r>
        <w:rPr>
          <w:i/>
          <w:iCs/>
        </w:rPr>
        <w:t xml:space="preserve">plus</w:t>
      </w:r>
    </w:p>
    <w:p>
      <w:pPr>
        <w:pStyle w:val="Compact"/>
        <w:numPr>
          <w:ilvl w:val="0"/>
          <w:numId w:val="1004"/>
        </w:numPr>
      </w:pPr>
      <w:r>
        <w:rPr>
          <w:b/>
          <w:bCs/>
        </w:rPr>
        <w:t xml:space="preserve">Accrued Interest.</w:t>
      </w:r>
      <w:r>
        <w:t xml:space="preserve"> </w:t>
      </w:r>
      <w:r>
        <w:t xml:space="preserve">All accrued and unpaid interest on the First Lien Obligations, calculated at the</w:t>
      </w:r>
      <w:r>
        <w:t xml:space="preserve"> </w:t>
      </w:r>
      <w:r>
        <w:rPr>
          <w:b/>
          <w:bCs/>
        </w:rPr>
        <w:t xml:space="preserve">non-default contract rate</w:t>
      </w:r>
      <w:r>
        <w:t xml:space="preserve"> </w:t>
      </w:r>
      <w:r>
        <w:t xml:space="preserve">applicable under the First Lien Credit Agreement (i.e., SOFR plus 250 basis points, or such other rate as may be applicable under the First Lien Credit Agreement absent the occurrence of an Event of Default), through and including the Purchase Date, calculated on the basis of a 360-day year for the actual number of days elapsed;</w:t>
      </w:r>
    </w:p>
    <w:p>
      <w:pPr>
        <w:pStyle w:val="BlockText"/>
      </w:pPr>
      <w:r>
        <w:rPr>
          <w:i/>
          <w:iCs/>
        </w:rPr>
        <w:t xml:space="preserve">plus</w:t>
      </w:r>
    </w:p>
    <w:p>
      <w:pPr>
        <w:pStyle w:val="Compact"/>
        <w:numPr>
          <w:ilvl w:val="0"/>
          <w:numId w:val="1005"/>
        </w:numPr>
      </w:pPr>
      <w:r>
        <w:rPr>
          <w:b/>
          <w:bCs/>
        </w:rPr>
        <w:t xml:space="preserve">Fees, Costs, and Expenses.</w:t>
      </w:r>
      <w:r>
        <w:t xml:space="preserve"> </w:t>
      </w:r>
      <w:r>
        <w:t xml:space="preserve">All fees (including commitment fees, letter of credit fees, and agency fees), costs, expenses (including reasonable and documented fees and disbursements of counsel), indemnification obligations (to the extent then due and payable or asserted in writing), breakage costs (including any swap breakage or early termination costs under any hedging arrangements), yield protection amounts, and all other amounts then due and payable to the First Lien Agent or any First Lien Lender under or in connection with the First Lien Loan Documents.</w:t>
      </w:r>
    </w:p>
    <w:p>
      <w:pPr>
        <w:pStyle w:val="BlockText"/>
      </w:pPr>
      <w:r>
        <w:rPr>
          <w:b/>
          <w:bCs/>
        </w:rPr>
        <w:t xml:space="preserve">(c) Unfunded Revolver Commitments — Optional Assumption.</w:t>
      </w:r>
      <w:r>
        <w:t xml:space="preserve"> </w:t>
      </w:r>
      <w:r>
        <w:t xml:space="preserve">As a condition to the purchase, the Second Lien Agent (or its designee) shall have the</w:t>
      </w:r>
      <w:r>
        <w:t xml:space="preserve"> </w:t>
      </w:r>
      <w:r>
        <w:rPr>
          <w:b/>
          <w:bCs/>
        </w:rPr>
        <w:t xml:space="preserve">right, but not the obligation</w:t>
      </w:r>
      <w:r>
        <w:t xml:space="preserve">, to assume all unfunded commitments under the First Lien Revolver (which, as of the date hereof, total One Hundred Twenty-Five Million Dollars ($125,000,000) in aggregate commitments, less any amounts drawn thereunder as of the Purchase Date) by executing and delivering to the First Lien Agent an assumption agreement in form and substance reasonably satisfactory to the First Lien Agent. The Second Lien Agent shall specify in the Purchase Notice whether it elects to assume the unfunded Revolver commitments. If the Second Lien Agent (or its designee) elects not to assume the unfunded Revolver commitments, then, upon consummation of the purchase, (i) the unfunded Revolver commitments shall terminate, (ii) the First Lien Revolver shall be permanently cancelled, and (iii) the purchasing Second Lien Secured Parties shall acquire all funded amounts under the First Lien Revolver as part of the First Lien Obligations purchased hereunder. For the avoidance of doubt, the foregoing mechanism is designed to avoid any bifurcation of the funded First Lien Obligations from the unfunded Revolver commitments among different holders.</w:t>
      </w:r>
    </w:p>
    <w:p>
      <w:pPr>
        <w:pStyle w:val="BlockText"/>
      </w:pPr>
      <w:r>
        <w:rPr>
          <w:b/>
          <w:bCs/>
        </w:rPr>
        <w:t xml:space="preserve">(d) Basis of Purchase.</w:t>
      </w:r>
      <w:r>
        <w:t xml:space="preserve"> </w:t>
      </w:r>
      <w:r>
        <w:t xml:space="preserve">The purchase shall be on a par, non-recourse, as-is, where-is basis, without representation or warranty of any kind by the First Lien Agent or any First Lien Lender (other than representations as to the authority of the assigning lender to assign and the enforceability of the transfer).</w:t>
      </w:r>
    </w:p>
    <w:bookmarkEnd w:id="30"/>
    <w:bookmarkStart w:id="31" w:name="negotiation-rationale-1"/>
    <w:p>
      <w:pPr>
        <w:pStyle w:val="Heading4"/>
      </w:pPr>
      <w:r>
        <w:t xml:space="preserve">3. Negotiation Rationale</w:t>
      </w:r>
    </w:p>
    <w:p>
      <w:pPr>
        <w:pStyle w:val="FirstParagraph"/>
      </w:pPr>
      <w:r>
        <w:rPr>
          <w:b/>
          <w:bCs/>
        </w:rPr>
        <w:t xml:space="preserve">Purchase Price — par for funded debt (Sub-issue A).</w:t>
      </w:r>
      <w:r>
        <w:t xml:space="preserve"> </w:t>
      </w:r>
      <w:r>
        <w:t xml:space="preserve">The First Lien Agent has stated unequivocally that</w:t>
      </w:r>
      <w:r>
        <w:t xml:space="preserve"> </w:t>
      </w:r>
      <w:r>
        <w:t xml:space="preserve">“</w:t>
      </w:r>
      <w:r>
        <w:t xml:space="preserve">par purchase price for funded debt is non-negotiable,</w:t>
      </w:r>
      <w:r>
        <w:t xml:space="preserve">”</w:t>
      </w:r>
      <w:r>
        <w:t xml:space="preserve"> </w:t>
      </w:r>
      <w:r>
        <w:t xml:space="preserve">and the Second Lien Agent has acknowledged in its June 26 communication that</w:t>
      </w:r>
      <w:r>
        <w:t xml:space="preserve"> </w:t>
      </w:r>
      <w:r>
        <w:t xml:space="preserve">“</w:t>
      </w:r>
      <w:r>
        <w:t xml:space="preserve">par for funded debt may be acceptable.</w:t>
      </w:r>
      <w:r>
        <w:t xml:space="preserve">”</w:t>
      </w:r>
      <w:r>
        <w:t xml:space="preserve"> </w:t>
      </w:r>
      <w:r>
        <w:t xml:space="preserve">The Market Survey strongly supports par:</w:t>
      </w:r>
      <w:r>
        <w:t xml:space="preserve"> </w:t>
      </w:r>
      <w:r>
        <w:rPr>
          <w:b/>
          <w:bCs/>
        </w:rPr>
        <w:t xml:space="preserve">71% of surveyed agreements (30 of 42) use a par mechanic</w:t>
      </w:r>
      <w:r>
        <w:t xml:space="preserve">, compared to 19% hybrid (lesser of par or FMV) and only 10% pure FMV. The pure-FMV construct the Second Lien Agent originally proposed is a distinct minority position, appearing in only four surveyed deals, each a non-sponsor transaction with a single-CLO second lien holder — a fact pattern unlike Meridian’s three-lender Ridgeline-led group. We therefore recommend accepting par for funded debt and dropping the FMV alternative. This is the single most important concession the Second Lien Agent makes in the package, and it is the foundation on which the First Lien Agent’s flexibility on the standstill and the proceeds waterfall rests.</w:t>
      </w:r>
    </w:p>
    <w:p>
      <w:pPr>
        <w:pStyle w:val="BodyText"/>
      </w:pPr>
      <w:r>
        <w:rPr>
          <w:b/>
          <w:bCs/>
        </w:rPr>
        <w:t xml:space="preserve">Interest rate — non-default contract rate (Sub-issue B).</w:t>
      </w:r>
      <w:r>
        <w:t xml:space="preserve"> </w:t>
      </w:r>
      <w:r>
        <w:t xml:space="preserve">The First Lien Agent’s opening position would include default-rate interest (SOFR + 450 bps) in the Purchase Price; the Second Lien Agent proposed the non-default contract rate (SOFR + 250 bps). The Market Survey favors the non-default rate:</w:t>
      </w:r>
      <w:r>
        <w:t xml:space="preserve"> </w:t>
      </w:r>
      <w:r>
        <w:rPr>
          <w:b/>
          <w:bCs/>
        </w:rPr>
        <w:t xml:space="preserve">69% of surveyed agreements (29 of 42) exclude default-rate interest</w:t>
      </w:r>
      <w:r>
        <w:t xml:space="preserve"> </w:t>
      </w:r>
      <w:r>
        <w:t xml:space="preserve">from the par calculation, and</w:t>
      </w:r>
      <w:r>
        <w:t xml:space="preserve"> </w:t>
      </w:r>
      <w:r>
        <w:rPr>
          <w:b/>
          <w:bCs/>
        </w:rPr>
        <w:t xml:space="preserve">90% (38 of 42) include the non-default contract rate</w:t>
      </w:r>
      <w:r>
        <w:t xml:space="preserve">. The First Lien Agent’s June 26 communication expressly signals flexibility here, stating that</w:t>
      </w:r>
      <w:r>
        <w:t xml:space="preserve"> </w:t>
      </w:r>
      <w:r>
        <w:t xml:space="preserve">“</w:t>
      </w:r>
      <w:r>
        <w:t xml:space="preserve">there may be room to accept accrued interest calculated at the non-default contract rate.</w:t>
      </w:r>
      <w:r>
        <w:t xml:space="preserve">”</w:t>
      </w:r>
      <w:r>
        <w:t xml:space="preserve"> </w:t>
      </w:r>
      <w:r>
        <w:t xml:space="preserve">The economic impact is quantifiable and meaningful: the 200 basis-point spread between the default and non-default rates, applied to the $475 million First Lien facility, equals approximately</w:t>
      </w:r>
      <w:r>
        <w:t xml:space="preserve"> </w:t>
      </w:r>
      <w:r>
        <w:rPr>
          <w:b/>
          <w:bCs/>
        </w:rPr>
        <w:t xml:space="preserve">$9.5 million per annum</w:t>
      </w:r>
      <w:r>
        <w:t xml:space="preserve">, or approximately</w:t>
      </w:r>
      <w:r>
        <w:t xml:space="preserve"> </w:t>
      </w:r>
      <w:r>
        <w:rPr>
          <w:b/>
          <w:bCs/>
        </w:rPr>
        <w:t xml:space="preserve">$2.375 million per 90 days</w:t>
      </w:r>
      <w:r>
        <w:t xml:space="preserve"> </w:t>
      </w:r>
      <w:r>
        <w:t xml:space="preserve">and</w:t>
      </w:r>
      <w:r>
        <w:t xml:space="preserve"> </w:t>
      </w:r>
      <w:r>
        <w:rPr>
          <w:b/>
          <w:bCs/>
        </w:rPr>
        <w:t xml:space="preserve">$4.75 million per 180 days</w:t>
      </w:r>
      <w:r>
        <w:t xml:space="preserve">. On the illustrative 90-day, full-draw scenario used by both agents, the Purchase Price for funded debt is approximately</w:t>
      </w:r>
      <w:r>
        <w:t xml:space="preserve"> </w:t>
      </w:r>
      <w:r>
        <w:rPr>
          <w:b/>
          <w:bCs/>
        </w:rPr>
        <w:t xml:space="preserve">$484.3 million</w:t>
      </w:r>
      <w:r>
        <w:t xml:space="preserve"> </w:t>
      </w:r>
      <w:r>
        <w:t xml:space="preserve">at the non-default rate ($475 million principal + $9.30 million accrued interest) plus fees and expenses (approximately $1.5 million per the capital structure summary, yielding ~$485.8 million), compared to approximately $488.2 million at the default rate — a difference of roughly $2.4 million on a 90-day accrual that grows with the length of the default period. Using the non-default rate keeps the purchase economically viable for the Second Lien Agent while still making the First Lien Lenders whole on principal and contract interest.</w:t>
      </w:r>
    </w:p>
    <w:p>
      <w:pPr>
        <w:pStyle w:val="BodyText"/>
      </w:pPr>
      <w:r>
        <w:rPr>
          <w:b/>
          <w:bCs/>
        </w:rPr>
        <w:t xml:space="preserve">Unfunded Revolver — optional assumption (Sub-issue C).</w:t>
      </w:r>
      <w:r>
        <w:t xml:space="preserve"> </w:t>
      </w:r>
      <w:r>
        <w:t xml:space="preserve">This is the Second Lien Agent’s firm deal-breaker. Ridgeline has explained, and we find credible, that its fund’s Amended and Restated Limited Partnership Agreement (dated March 1, 2021) contains structural constraints that prevent the fund from taking on open-ended revolving credit commitment obligations. The First Lien Agent’s June 26 communication acknowledges this is</w:t>
      </w:r>
      <w:r>
        <w:t xml:space="preserve"> </w:t>
      </w:r>
      <w:r>
        <w:t xml:space="preserve">“</w:t>
      </w:r>
      <w:r>
        <w:t xml:space="preserve">a practical consideration, not a positional one</w:t>
      </w:r>
      <w:r>
        <w:t xml:space="preserve">”</w:t>
      </w:r>
      <w:r>
        <w:t xml:space="preserve"> </w:t>
      </w:r>
      <w:r>
        <w:t xml:space="preserve">and signals that</w:t>
      </w:r>
      <w:r>
        <w:t xml:space="preserve"> </w:t>
      </w:r>
      <w:r>
        <w:t xml:space="preserve">“</w:t>
      </w:r>
      <w:r>
        <w:t xml:space="preserve">there may be room to soften this requirement, potentially making assumption of unfunded Revolver commitments optional rather than mandatory.</w:t>
      </w:r>
      <w:r>
        <w:t xml:space="preserve">”</w:t>
      </w:r>
      <w:r>
        <w:t xml:space="preserve"> </w:t>
      </w:r>
      <w:r>
        <w:t xml:space="preserve">The Market Survey overwhelmingly supports optional assumption:</w:t>
      </w:r>
      <w:r>
        <w:t xml:space="preserve"> </w:t>
      </w:r>
      <w:r>
        <w:rPr>
          <w:b/>
          <w:bCs/>
        </w:rPr>
        <w:t xml:space="preserve">62% of surveyed agreements (26 of 42) make revolver assumption optional</w:t>
      </w:r>
      <w:r>
        <w:t xml:space="preserve">, against only 24% mandatory and 14% silent, and the trend is accelerating —</w:t>
      </w:r>
      <w:r>
        <w:t xml:space="preserve"> </w:t>
      </w:r>
      <w:r>
        <w:rPr>
          <w:b/>
          <w:bCs/>
        </w:rPr>
        <w:t xml:space="preserve">77% of 2024 deals use optional assumption</w:t>
      </w:r>
      <w:r>
        <w:t xml:space="preserve"> </w:t>
      </w:r>
      <w:r>
        <w:t xml:space="preserve">(versus 50% of 2022 deals). The comparable Deal-007 (a $475M/$150M/$625M industrial transaction matching Meridian’s structure) uses par for funded debt at the non-default rate with optional revolver assumption. Our proposed mechanism addresses the First Lien Agent’s bifurcation concern directly: if the Second Lien Agent elects not to assume, the unfunded commitments</w:t>
      </w:r>
      <w:r>
        <w:t xml:space="preserve"> </w:t>
      </w:r>
      <w:r>
        <w:rPr>
          <w:b/>
          <w:bCs/>
        </w:rPr>
        <w:t xml:space="preserve">terminate</w:t>
      </w:r>
      <w:r>
        <w:t xml:space="preserve"> </w:t>
      </w:r>
      <w:r>
        <w:t xml:space="preserve">and the Revolver is</w:t>
      </w:r>
      <w:r>
        <w:t xml:space="preserve"> </w:t>
      </w:r>
      <w:r>
        <w:rPr>
          <w:b/>
          <w:bCs/>
        </w:rPr>
        <w:t xml:space="preserve">permanently cancelled</w:t>
      </w:r>
      <w:r>
        <w:t xml:space="preserve">, so the purchasing Second Lien Secured Parties hold all funded First Lien Obligations and there is no split between a funded-position holder and a residual unfunded-commitment holder. The First Lien Revolver lenders are made whole on their funded exposure at par and released from their unfunded commitments. The consequence — that Meridian loses access to the $125 million revolver facility upon a distressed purchase — is an unavoidable incident of a purchase right exercised in default, and is far preferable to a formulation that would render the purchase right unexercisable for the Second Lien Agent and thus eliminate the First Lien Agent’s guaranteed par exit.</w:t>
      </w:r>
    </w:p>
    <w:p>
      <w:pPr>
        <w:pStyle w:val="BodyText"/>
      </w:pPr>
      <w:r>
        <w:rPr>
          <w:b/>
          <w:bCs/>
        </w:rPr>
        <w:t xml:space="preserve">Exercise triggers (Sub-issue D).</w:t>
      </w:r>
      <w:r>
        <w:t xml:space="preserve"> </w:t>
      </w:r>
      <w:r>
        <w:t xml:space="preserve">The First Lien Agent proposes that the purchase right be exercisable only upon a First Lien Event of Default; the Second Lien Agent proposes the broader set of a First Lien or Second Lien Event of Default or First Lien acceleration. The Market Survey is decisive:</w:t>
      </w:r>
      <w:r>
        <w:t xml:space="preserve"> </w:t>
      </w:r>
      <w:r>
        <w:rPr>
          <w:b/>
          <w:bCs/>
        </w:rPr>
        <w:t xml:space="preserve">100% of surveyed agreements permit exercise upon acceleration of the First Lien Obligations</w:t>
      </w:r>
      <w:r>
        <w:t xml:space="preserve">, 74% upon commencement of a First Lien enforcement action, 45% upon a payment default continuing beyond cure, and 38% upon a bankruptcy filing — but only</w:t>
      </w:r>
      <w:r>
        <w:t xml:space="preserve"> </w:t>
      </w:r>
      <w:r>
        <w:rPr>
          <w:b/>
          <w:bCs/>
        </w:rPr>
        <w:t xml:space="preserve">2% (a single deal)</w:t>
      </w:r>
      <w:r>
        <w:t xml:space="preserve"> </w:t>
      </w:r>
      <w:r>
        <w:t xml:space="preserve">permit exercise upon a Second Lien covenant default. Permitting the Second Lien Agent to buy the senior debt based on a default under the Second Lien Documents alone is not market-supported and would be anomalous (it would allow the junior creditor to acquire the senior position on the basis of its own bilateral default, before the senior creditor has determined that a default has occurred). We therefore propose exercise upon a First Lien Event of Default, expressly including acceleration. This is the First Lien Agent’s position plus explicit acceleration language, and it captures the universally-accepted market trigger while dropping the non-market Second Lien Event of Default trigger.</w:t>
      </w:r>
    </w:p>
    <w:p>
      <w:pPr>
        <w:pStyle w:val="BodyText"/>
      </w:pPr>
      <w:r>
        <w:rPr>
          <w:b/>
          <w:bCs/>
        </w:rPr>
        <w:t xml:space="preserve">Economic quantification — keeping the purchase viable.</w:t>
      </w:r>
      <w:r>
        <w:t xml:space="preserve"> </w:t>
      </w:r>
      <w:r>
        <w:t xml:space="preserve">The Second Lien Agent’s core economic point is that a par purchase at full draw requires it to deploy capital approaching the entire enterprise value to acquire the senior position. At the non-default rate on a 90-day accrual, the funded-debt Purchase Price is approximately $485.8 million; combined with the Second Lien Agent’s existing $150 million position, total capital at risk would be approximately</w:t>
      </w:r>
      <w:r>
        <w:t xml:space="preserve"> </w:t>
      </w:r>
      <w:r>
        <w:rPr>
          <w:b/>
          <w:bCs/>
        </w:rPr>
        <w:t xml:space="preserve">$635.8 million — just under the $640 million TEV</w:t>
      </w:r>
      <w:r>
        <w:t xml:space="preserve">. If default-rate interest and mandatory revolver assumption were both required, the Second Lien Agent’s required deployment could approach or exceed $610 million for the First Lien position alone (funded debt plus a $125 million contingent revolver obligation), pushing total exposure toward $760 million — well in excess of TEV and economically irrational in any distressed scenario where TEV has declined below the appraised value. The combination of (i) the non-default rate, (ii) optional revolver assumption, and (iii) the shorter 180-day standstill (which reduces the collateral erosion that would otherwise compound the over-payment risk) is what keeps the purchase right a viable, exercisable tool — which is, after all, the reason the First Lien Agent wants the right to exist as its guaranteed par exit.</w:t>
      </w:r>
    </w:p>
    <w:p>
      <w:pPr>
        <w:pStyle w:val="BodyText"/>
      </w:pPr>
      <w:r>
        <w:rPr>
          <w:b/>
          <w:bCs/>
        </w:rPr>
        <w:t xml:space="preserve">What each side gains and concedes.</w:t>
      </w:r>
      <w:r>
        <w:t xml:space="preserve"> </w:t>
      </w:r>
      <w:r>
        <w:t xml:space="preserve">The First Lien Agent</w:t>
      </w:r>
      <w:r>
        <w:t xml:space="preserve"> </w:t>
      </w:r>
      <w:r>
        <w:rPr>
          <w:b/>
          <w:bCs/>
        </w:rPr>
        <w:t xml:space="preserve">concedes</w:t>
      </w:r>
      <w:r>
        <w:t xml:space="preserve"> </w:t>
      </w:r>
      <w:r>
        <w:t xml:space="preserve">the default-rate interest component (~$2.4 million per 90 days) and mandatory revolver assumption; it</w:t>
      </w:r>
      <w:r>
        <w:t xml:space="preserve"> </w:t>
      </w:r>
      <w:r>
        <w:rPr>
          <w:b/>
          <w:bCs/>
        </w:rPr>
        <w:t xml:space="preserve">gains</w:t>
      </w:r>
      <w:r>
        <w:t xml:space="preserve"> </w:t>
      </w:r>
      <w:r>
        <w:t xml:space="preserve">par for all funded debt (its non-negotiable core), a clean termination of unfunded commitments if not assumed (resolving its bifurcation concern), and a trigger limited to First Lien Events of Default. The Second Lien Agent</w:t>
      </w:r>
      <w:r>
        <w:t xml:space="preserve"> </w:t>
      </w:r>
      <w:r>
        <w:rPr>
          <w:b/>
          <w:bCs/>
        </w:rPr>
        <w:t xml:space="preserve">concedes</w:t>
      </w:r>
      <w:r>
        <w:t xml:space="preserve"> </w:t>
      </w:r>
      <w:r>
        <w:t xml:space="preserve">the FMV alternative and the Second Lien Event of Default trigger; it</w:t>
      </w:r>
      <w:r>
        <w:t xml:space="preserve"> </w:t>
      </w:r>
      <w:r>
        <w:rPr>
          <w:b/>
          <w:bCs/>
        </w:rPr>
        <w:t xml:space="preserve">gains</w:t>
      </w:r>
      <w:r>
        <w:t xml:space="preserve"> </w:t>
      </w:r>
      <w:r>
        <w:t xml:space="preserve">the non-default contract rate, optional revolver assumption (resolving its LPA constraint), and a purchase price calibrated to keep the right exercisable. Both sides land on the market-majority formulation (par at the non-default rate with optional revolver), which the comparable Deal-007 confirms.</w:t>
      </w:r>
    </w:p>
    <w:p>
      <w:r>
        <w:pict>
          <v:rect style="width:0;height:1.5pt" o:hralign="center" o:hrstd="t" o:hr="t"/>
        </w:pict>
      </w:r>
    </w:p>
    <w:bookmarkEnd w:id="31"/>
    <w:bookmarkEnd w:id="32"/>
    <w:bookmarkStart w:id="36" w:name="X1012eb3c9b09e326a3695c9c8fd1c94a3781cd0"/>
    <w:p>
      <w:pPr>
        <w:pStyle w:val="Heading3"/>
      </w:pPr>
      <w:r>
        <w:t xml:space="preserve">C. Section 2.03(c) — Permitted Second Lien Refinancing Indebtedness</w:t>
      </w:r>
    </w:p>
    <w:bookmarkStart w:id="33" w:name="the-impasse-2"/>
    <w:p>
      <w:pPr>
        <w:pStyle w:val="Heading4"/>
      </w:pPr>
      <w:r>
        <w:t xml:space="preserve">1. The Impasse</w:t>
      </w:r>
    </w:p>
    <w:p>
      <w:pPr>
        <w:pStyle w:val="FirstParagraph"/>
      </w:pPr>
      <w:r>
        <w:t xml:space="preserve">Three sub-issues are open: (A) the principal increase cap (0% vs. 120%); (B) the maturity floor (91 days after the First Lien Maturity Date, i.e., September 14, 2030, vs. the original Second Lien Maturity Date of June 15, 2031); and (C) the restrictiveness test (blanket</w:t>
      </w:r>
      <w:r>
        <w:t xml:space="preserve"> </w:t>
      </w:r>
      <w:r>
        <w:t xml:space="preserve">“</w:t>
      </w:r>
      <w:r>
        <w:t xml:space="preserve">no more restrictive in any material respect</w:t>
      </w:r>
      <w:r>
        <w:t xml:space="preserve">”</w:t>
      </w:r>
      <w:r>
        <w:t xml:space="preserve"> </w:t>
      </w:r>
      <w:r>
        <w:t xml:space="preserve">vs. no test at all).</w:t>
      </w:r>
    </w:p>
    <w:bookmarkEnd w:id="33"/>
    <w:bookmarkStart w:id="34" w:name="proposed-compromise-language-2"/>
    <w:p>
      <w:pPr>
        <w:pStyle w:val="Heading4"/>
      </w:pPr>
      <w:r>
        <w:t xml:space="preserve">2. Proposed Compromise Language</w:t>
      </w:r>
    </w:p>
    <w:p>
      <w:pPr>
        <w:pStyle w:val="FirstParagraph"/>
      </w:pPr>
      <w:r>
        <w:t xml:space="preserve">The following is proposed to replace the bracketed definition of</w:t>
      </w:r>
      <w:r>
        <w:t xml:space="preserve"> </w:t>
      </w:r>
      <w:r>
        <w:t xml:space="preserve">“</w:t>
      </w:r>
      <w:r>
        <w:t xml:space="preserve">Permitted Second Lien Refinancing Indebtedness</w:t>
      </w:r>
      <w:r>
        <w:t xml:space="preserve">”</w:t>
      </w:r>
      <w:r>
        <w:t xml:space="preserve"> </w:t>
      </w:r>
      <w:r>
        <w:t xml:space="preserve">in Section 2.03(c) in its entirety:</w:t>
      </w:r>
    </w:p>
    <w:p>
      <w:pPr>
        <w:pStyle w:val="BlockText"/>
      </w:pPr>
      <w:r>
        <w:rPr>
          <w:b/>
          <w:bCs/>
        </w:rPr>
        <w:t xml:space="preserve">Section 2.03(c) — Permitted Second Lien Refinancing Indebtedness.</w:t>
      </w:r>
    </w:p>
    <w:p>
      <w:pPr>
        <w:pStyle w:val="BlockText"/>
      </w:pPr>
      <w:r>
        <w:t xml:space="preserve">“</w:t>
      </w:r>
      <w:r>
        <w:rPr>
          <w:b/>
          <w:bCs/>
        </w:rPr>
        <w:t xml:space="preserve">Permitted Second Lien Refinancing Indebtedness</w:t>
      </w:r>
      <w:r>
        <w:t xml:space="preserve">”</w:t>
      </w:r>
      <w:r>
        <w:t xml:space="preserve"> </w:t>
      </w:r>
      <w:r>
        <w:t xml:space="preserve">means indebtedness incurred by the Borrower to refinance, replace, refund, or substitute all or any portion of the Second Lien Obligations (the</w:t>
      </w:r>
      <w:r>
        <w:t xml:space="preserve"> </w:t>
      </w:r>
      <w:r>
        <w:t xml:space="preserve">“</w:t>
      </w:r>
      <w:r>
        <w:rPr>
          <w:b/>
          <w:bCs/>
        </w:rPr>
        <w:t xml:space="preserve">Refinanced Second Lien Obligations</w:t>
      </w:r>
      <w:r>
        <w:t xml:space="preserve">”</w:t>
      </w:r>
      <w:r>
        <w:t xml:space="preserve">),</w:t>
      </w:r>
      <w:r>
        <w:t xml:space="preserve"> </w:t>
      </w:r>
      <w:r>
        <w:rPr>
          <w:i/>
          <w:iCs/>
        </w:rPr>
        <w:t xml:space="preserve">provided that</w:t>
      </w:r>
      <w:r>
        <w:t xml:space="preserve"> </w:t>
      </w:r>
      <w:r>
        <w:t xml:space="preserve">all of the following conditions are satisfied:</w:t>
      </w:r>
    </w:p>
    <w:p>
      <w:pPr>
        <w:pStyle w:val="BlockText"/>
      </w:pPr>
      <w:r>
        <w:rPr>
          <w:b/>
          <w:bCs/>
        </w:rPr>
        <w:t xml:space="preserve">(i) Principal Amount.</w:t>
      </w:r>
      <w:r>
        <w:t xml:space="preserve"> </w:t>
      </w:r>
      <w:r>
        <w:t xml:space="preserve">The aggregate principal amount of such Permitted Second Lien Refinancing Indebtedness shall not exceed the sum of (A) the aggregate principal amount of the Refinanced Second Lien Obligations being refinanced,</w:t>
      </w:r>
      <w:r>
        <w:t xml:space="preserve"> </w:t>
      </w:r>
      <w:r>
        <w:rPr>
          <w:i/>
          <w:iCs/>
        </w:rPr>
        <w:t xml:space="preserve">plus</w:t>
      </w:r>
      <w:r>
        <w:t xml:space="preserve"> </w:t>
      </w:r>
      <w:r>
        <w:t xml:space="preserve">(B) an amount equal to</w:t>
      </w:r>
      <w:r>
        <w:t xml:space="preserve"> </w:t>
      </w:r>
      <w:r>
        <w:rPr>
          <w:b/>
          <w:bCs/>
        </w:rPr>
        <w:t xml:space="preserve">ten percent (10%)</w:t>
      </w:r>
      <w:r>
        <w:t xml:space="preserve"> </w:t>
      </w:r>
      <w:r>
        <w:t xml:space="preserve">of the aggregate principal amount of the Refinanced Second Lien Obligations being refinanced (which, based on the current $150,000,000 Second Lien Term Loan B, equates to a maximum permitted increase of $15,000,000, resulting in a maximum aggregate principal amount of $165,000,000);</w:t>
      </w:r>
      <w:r>
        <w:t xml:space="preserve"> </w:t>
      </w:r>
      <w:r>
        <w:rPr>
          <w:i/>
          <w:iCs/>
        </w:rPr>
        <w:t xml:space="preserve">provided that</w:t>
      </w:r>
      <w:r>
        <w:t xml:space="preserve"> </w:t>
      </w:r>
      <w:r>
        <w:t xml:space="preserve">the amount of any increase pursuant to clause (B) shall be applied solely to pay fees, costs, premiums, and expenses incurred in connection with such refinancing, including, without limitation, call premiums or prepayment premiums payable in respect of the Refinanced Second Lien Obligations, original issue discount, arranger fees, underwriting discounts, placement fees, legal, advisory, accounting, and rating agency fees, and other transaction costs and expenses (and shall not be available for general corporate purposes, working capital, or any other purpose of the Borrower);</w:t>
      </w:r>
    </w:p>
    <w:p>
      <w:pPr>
        <w:pStyle w:val="BlockText"/>
      </w:pPr>
      <w:r>
        <w:rPr>
          <w:b/>
          <w:bCs/>
        </w:rPr>
        <w:t xml:space="preserve">(ii) Maturity.</w:t>
      </w:r>
      <w:r>
        <w:t xml:space="preserve"> </w:t>
      </w:r>
      <w:r>
        <w:t xml:space="preserve">The stated final maturity date of such Permitted Second Lien Refinancing Indebtedness shall be no earlier than the</w:t>
      </w:r>
      <w:r>
        <w:t xml:space="preserve"> </w:t>
      </w:r>
      <w:r>
        <w:rPr>
          <w:b/>
          <w:bCs/>
        </w:rPr>
        <w:t xml:space="preserve">later of</w:t>
      </w:r>
      <w:r>
        <w:t xml:space="preserve"> </w:t>
      </w:r>
      <w:r>
        <w:t xml:space="preserve">(A) the date that is ninety-one (91) days after the First Lien Maturity Date (i.e., no earlier than September 14, 2030)</w:t>
      </w:r>
      <w:r>
        <w:t xml:space="preserve"> </w:t>
      </w:r>
      <w:r>
        <w:rPr>
          <w:i/>
          <w:iCs/>
        </w:rPr>
        <w:t xml:space="preserve">and</w:t>
      </w:r>
      <w:r>
        <w:t xml:space="preserve"> </w:t>
      </w:r>
      <w:r>
        <w:t xml:space="preserve">(B) the Second Lien Maturity Date (i.e., no earlier than June 15, 2031) (which, as of the date hereof, resolves to June 15, 2031);</w:t>
      </w:r>
    </w:p>
    <w:p>
      <w:pPr>
        <w:pStyle w:val="BlockText"/>
      </w:pPr>
      <w:r>
        <w:rPr>
          <w:b/>
          <w:bCs/>
        </w:rPr>
        <w:t xml:space="preserve">(iii) Narrowed Restrictiveness Test.</w:t>
      </w:r>
      <w:r>
        <w:t xml:space="preserve"> </w:t>
      </w:r>
      <w:r>
        <w:t xml:space="preserve">The terms and conditions of such Permitted Second Lien Refinancing Indebtedness shall not be more restrictive to the Borrower, in any material respect, than the terms and conditions of the Second Lien Credit Agreement as in effect on the Closing Date, in each case with respect to the following enumerated provisions only: (A) financial maintenance covenants (including the Total Leverage Ratio covenant, which as of the Closing Date is set at 6.50 to 1.00), (B) events of default and the related cure, grace, and notice periods, and (C) negative covenants (including, without limitation, covenants restricting asset dispositions, restricted payments, indebtedness, and liens);</w:t>
      </w:r>
      <w:r>
        <w:t xml:space="preserve"> </w:t>
      </w:r>
      <w:r>
        <w:rPr>
          <w:i/>
          <w:iCs/>
        </w:rPr>
        <w:t xml:space="preserve">provided that</w:t>
      </w:r>
      <w:r>
        <w:t xml:space="preserve"> </w:t>
      </w:r>
      <w:r>
        <w:t xml:space="preserve">the foregoing restrictiveness test shall not apply to pricing terms (including interest rate, fees, and original issue discount), mandatory prepayment provisions, or other commercial terms that do not affect the Borrower’s operational or financial flexibility;</w:t>
      </w:r>
    </w:p>
    <w:p>
      <w:pPr>
        <w:pStyle w:val="BlockText"/>
      </w:pPr>
      <w:r>
        <w:rPr>
          <w:b/>
          <w:bCs/>
        </w:rPr>
        <w:t xml:space="preserve">(iv) Most-Favored-Nation Right.</w:t>
      </w:r>
      <w:r>
        <w:t xml:space="preserve"> </w:t>
      </w:r>
      <w:r>
        <w:t xml:space="preserve">If any Permitted Second Lien Refinancing Indebtedness includes a financial maintenance covenant that is more favorable to the lenders thereof than the corresponding financial maintenance covenant in the First Lien Credit Agreement as in effect on the date of such refinancing (including, for the avoidance of doubt, a Total Leverage Ratio covenant set at a level lower than the corresponding level in the First Lien Credit Agreement), then, upon the request of the First Lien Agent, the Borrower shall, or shall cause the applicable loan parties to, amend the First Lien Credit Agreement (or enter into a joinder or other appropriate instrument) to provide the First Lien Lenders with the benefit of such more favorable financial maintenance covenant, on the same terms as set forth in the Permitted Second Lien Refinancing Indebtedness; and</w:t>
      </w:r>
    </w:p>
    <w:p>
      <w:pPr>
        <w:pStyle w:val="BlockText"/>
      </w:pPr>
      <w:r>
        <w:rPr>
          <w:b/>
          <w:bCs/>
        </w:rPr>
        <w:t xml:space="preserve">(v) Joinder.</w:t>
      </w:r>
      <w:r>
        <w:t xml:space="preserve"> </w:t>
      </w:r>
      <w:r>
        <w:t xml:space="preserve">The holders of such Permitted Second Lien Refinancing Indebtedness shall have become party to this Agreement (or a replacement intercreditor agreement on substantially similar terms) by executing and delivering a joinder agreement in form and substance reasonably satisfactory to the First Lien Agent and the Second Lien Agent.</w:t>
      </w:r>
    </w:p>
    <w:bookmarkEnd w:id="34"/>
    <w:bookmarkStart w:id="35" w:name="negotiation-rationale-2"/>
    <w:p>
      <w:pPr>
        <w:pStyle w:val="Heading4"/>
      </w:pPr>
      <w:r>
        <w:t xml:space="preserve">3. Negotiation Rationale</w:t>
      </w:r>
    </w:p>
    <w:p>
      <w:pPr>
        <w:pStyle w:val="FirstParagraph"/>
      </w:pPr>
      <w:r>
        <w:rPr>
          <w:b/>
          <w:bCs/>
        </w:rPr>
        <w:t xml:space="preserve">Principal increase cap — 10% limited to refinancing costs (Sub-issue A).</w:t>
      </w:r>
      <w:r>
        <w:t xml:space="preserve"> </w:t>
      </w:r>
      <w:r>
        <w:t xml:space="preserve">The First Lien Agent proposes 0% (no increase); the Second Lien Agent proposes 20% ($30 million). The Market Survey’s</w:t>
      </w:r>
      <w:r>
        <w:t xml:space="preserve"> </w:t>
      </w:r>
      <w:r>
        <w:rPr>
          <w:b/>
          <w:bCs/>
        </w:rPr>
        <w:t xml:space="preserve">median cap is 10%</w:t>
      </w:r>
      <w:r>
        <w:t xml:space="preserve"> </w:t>
      </w:r>
      <w:r>
        <w:t xml:space="preserve">(mean 8.9%), with 52% of deals in the 1–10% range and only 12% at 16–20%. Critically,</w:t>
      </w:r>
      <w:r>
        <w:t xml:space="preserve"> </w:t>
      </w:r>
      <w:r>
        <w:rPr>
          <w:b/>
          <w:bCs/>
        </w:rPr>
        <w:t xml:space="preserve">79% of deals that permit any increase (26 of 33) limit the increase to fees, costs, premiums, and expenses</w:t>
      </w:r>
      <w:r>
        <w:t xml:space="preserve"> </w:t>
      </w:r>
      <w:r>
        <w:t xml:space="preserve">rather than permitting general-purpose new money. The comparable Deal-007 uses a 10% cap ($15 million) limited to fees/costs. The Second Lien Agent’s June 26 communication expressly offers</w:t>
      </w:r>
      <w:r>
        <w:t xml:space="preserve"> </w:t>
      </w:r>
      <w:r>
        <w:t xml:space="preserve">“</w:t>
      </w:r>
      <w:r>
        <w:t xml:space="preserve">a 10% principal increase cap — that is, $15 million — provided the increase is limited to refinancing-related fees and costs,</w:t>
      </w:r>
      <w:r>
        <w:t xml:space="preserve">”</w:t>
      </w:r>
      <w:r>
        <w:t xml:space="preserve"> </w:t>
      </w:r>
      <w:r>
        <w:t xml:space="preserve">which is precisely our proposal. The 10% cap is therefore within the Second Lien Agent’s stated flexibility and at the market median.</w:t>
      </w:r>
    </w:p>
    <w:p>
      <w:pPr>
        <w:pStyle w:val="BodyText"/>
      </w:pPr>
      <w:r>
        <w:t xml:space="preserve">The 10% cap is also</w:t>
      </w:r>
      <w:r>
        <w:t xml:space="preserve"> </w:t>
      </w:r>
      <w:r>
        <w:rPr>
          <w:b/>
          <w:bCs/>
        </w:rPr>
        <w:t xml:space="preserve">calibrated to actual refinancing costs</w:t>
      </w:r>
      <w:r>
        <w:t xml:space="preserve">, which we can quantify against the Second Lien Credit Agreement’s own terms and current market practice: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Refinancing Cost Component</w:t>
            </w:r>
          </w:p>
        </w:tc>
        <w:tc>
          <w:tcPr/>
          <w:p>
            <w:pPr>
              <w:pStyle w:val="Compact"/>
              <w:jc w:val="left"/>
            </w:pPr>
            <w:r>
              <w:t xml:space="preserve">Estimated Amount on $150M</w:t>
            </w:r>
          </w:p>
        </w:tc>
      </w:tr>
      <w:tr>
        <w:tc>
          <w:tcPr/>
          <w:p>
            <w:pPr>
              <w:pStyle w:val="Compact"/>
              <w:jc w:val="left"/>
            </w:pPr>
            <w:r>
              <w:t xml:space="preserve">Call / prepayment premium (max 2.00% in year one; 1.00% in year two; par thereafter)</w:t>
            </w:r>
          </w:p>
        </w:tc>
        <w:tc>
          <w:tcPr/>
          <w:p>
            <w:pPr>
              <w:pStyle w:val="Compact"/>
              <w:jc w:val="left"/>
            </w:pPr>
            <w:r>
              <w:t xml:space="preserve">$0 – $3.0 million</w:t>
            </w:r>
          </w:p>
        </w:tc>
      </w:tr>
      <w:tr>
        <w:tc>
          <w:tcPr/>
          <w:p>
            <w:pPr>
              <w:pStyle w:val="Compact"/>
              <w:jc w:val="left"/>
            </w:pPr>
            <w:r>
              <w:t xml:space="preserve">Arranger / underwriting / placement fees (200–350 bps)</w:t>
            </w:r>
          </w:p>
        </w:tc>
        <w:tc>
          <w:tcPr/>
          <w:p>
            <w:pPr>
              <w:pStyle w:val="Compact"/>
              <w:jc w:val="left"/>
            </w:pPr>
            <w:r>
              <w:t xml:space="preserve">$3.0 – $5.25 million</w:t>
            </w:r>
          </w:p>
        </w:tc>
      </w:tr>
      <w:tr>
        <w:tc>
          <w:tcPr/>
          <w:p>
            <w:pPr>
              <w:pStyle w:val="Compact"/>
              <w:jc w:val="left"/>
            </w:pPr>
            <w:r>
              <w:t xml:space="preserve">Original issue discount (1–3% at 97–99 cents)</w:t>
            </w:r>
          </w:p>
        </w:tc>
        <w:tc>
          <w:tcPr/>
          <w:p>
            <w:pPr>
              <w:pStyle w:val="Compact"/>
              <w:jc w:val="left"/>
            </w:pPr>
            <w:r>
              <w:t xml:space="preserve">$1.5 – $4.5 million</w:t>
            </w:r>
          </w:p>
        </w:tc>
      </w:tr>
      <w:tr>
        <w:tc>
          <w:tcPr/>
          <w:p>
            <w:pPr>
              <w:pStyle w:val="Compact"/>
              <w:jc w:val="left"/>
            </w:pPr>
            <w:r>
              <w:t xml:space="preserve">Legal, advisory, accounting, rating agency, and filing costs</w:t>
            </w:r>
          </w:p>
        </w:tc>
        <w:tc>
          <w:tcPr/>
          <w:p>
            <w:pPr>
              <w:pStyle w:val="Compact"/>
              <w:jc w:val="left"/>
            </w:pPr>
            <w:r>
              <w:t xml:space="preserve">$1.5 – $2.5 million</w:t>
            </w:r>
          </w:p>
        </w:tc>
      </w:tr>
      <w:tr>
        <w:tc>
          <w:tcPr/>
          <w:p>
            <w:pPr>
              <w:pStyle w:val="Compact"/>
              <w:jc w:val="left"/>
            </w:pPr>
            <w:r>
              <w:rPr>
                <w:b/>
                <w:bCs/>
              </w:rPr>
              <w:t xml:space="preserve">Total estimated refinancing costs</w:t>
            </w:r>
          </w:p>
        </w:tc>
        <w:tc>
          <w:tcPr/>
          <w:p>
            <w:pPr>
              <w:pStyle w:val="Compact"/>
              <w:jc w:val="left"/>
            </w:pPr>
            <w:r>
              <w:rPr>
                <w:b/>
                <w:bCs/>
              </w:rPr>
              <w:t xml:space="preserve">~$6.0 – $15.25 million</w:t>
            </w:r>
          </w:p>
        </w:tc>
      </w:tr>
    </w:tbl>
    <w:p>
      <w:pPr>
        <w:pStyle w:val="BodyText"/>
      </w:pPr>
      <w:r>
        <w:t xml:space="preserve">The $15 million (10%) headroom thus covers the high end of bona fide refinancing costs without providing surplus cash to the Borrower. We acknowledge the First Lien Agent’s concern that a $15 million increase would raise total secured debt from $625 million to $640 million, pushing Total LTV from 97.66% to 100% and eliminating the equity cushion in absolute terms. Three points mitigate this concern: (a) the increase is</w:t>
      </w:r>
      <w:r>
        <w:t xml:space="preserve"> </w:t>
      </w:r>
      <w:r>
        <w:rPr>
          <w:b/>
          <w:bCs/>
        </w:rPr>
        <w:t xml:space="preserve">limited to refinancing costs</w:t>
      </w:r>
      <w:r>
        <w:t xml:space="preserve"> </w:t>
      </w:r>
      <w:r>
        <w:t xml:space="preserve">(not borrower cash), so it does not fund operations, distributions, or new assets; (b) a refinancing, by its nature, occurs when market conditions or the Borrower’s credit profile have improved sufficiently to attract replacement capital — i.e., in a scenario less distressed than the one that animates the First Lien Agent’s structural concerns; and (c) the narrowed restrictiveness test and MFN right (below) protect the First Lien Agent against any tightening of covenants in the replacement facility. The First Lien Agent’s 0% position is the strict minority (21% of the Market Survey); the 10%-limited-to-costs formulation is the market median and a defensible middle ground.</w:t>
      </w:r>
    </w:p>
    <w:p>
      <w:pPr>
        <w:pStyle w:val="BodyText"/>
      </w:pPr>
      <w:r>
        <w:rPr>
          <w:b/>
          <w:bCs/>
        </w:rPr>
        <w:t xml:space="preserve">Maturity floor — June 15, 2031 (Sub-issue B).</w:t>
      </w:r>
      <w:r>
        <w:t xml:space="preserve"> </w:t>
      </w:r>
      <w:r>
        <w:t xml:space="preserve">This sub-issue is, in practical terms, already resolved in the Second Lien Agent’s favor, and we recommend the First Lien Agent accept it on that basis. The First Lien Agent’s proposed floor is 91 days after the First Lien Maturity Date (September 14, 2030); the Second Lien Agent’s proposed floor is the original Second Lien Maturity Date (June 15, 2031). Because</w:t>
      </w:r>
      <w:r>
        <w:t xml:space="preserve"> </w:t>
      </w:r>
      <w:r>
        <w:rPr>
          <w:b/>
          <w:bCs/>
        </w:rPr>
        <w:t xml:space="preserve">June 15, 2031 is approximately nine months later than September 14, 2030</w:t>
      </w:r>
      <w:r>
        <w:t xml:space="preserve">, the Second Lien Agent’s position is</w:t>
      </w:r>
      <w:r>
        <w:t xml:space="preserve"> </w:t>
      </w:r>
      <w:r>
        <w:rPr>
          <w:b/>
          <w:bCs/>
        </w:rPr>
        <w:t xml:space="preserve">inherently more restrictive</w:t>
      </w:r>
      <w:r>
        <w:t xml:space="preserve"> </w:t>
      </w:r>
      <w:r>
        <w:t xml:space="preserve">than the First Lien Agent’s — it requires a later, not an earlier, maturity. The Market Survey confirms that both tests commonly coexist:</w:t>
      </w:r>
      <w:r>
        <w:t xml:space="preserve"> </w:t>
      </w:r>
      <w:r>
        <w:rPr>
          <w:b/>
          <w:bCs/>
        </w:rPr>
        <w:t xml:space="preserve">93% of deals use the 91-day-post-First-Lien test, and 81% also include the original Second Lien maturity floor</w:t>
      </w:r>
      <w:r>
        <w:t xml:space="preserve">. Our</w:t>
      </w:r>
      <w:r>
        <w:t xml:space="preserve"> </w:t>
      </w:r>
      <w:r>
        <w:t xml:space="preserve">“</w:t>
      </w:r>
      <w:r>
        <w:t xml:space="preserve">later of</w:t>
      </w:r>
      <w:r>
        <w:t xml:space="preserve">”</w:t>
      </w:r>
      <w:r>
        <w:t xml:space="preserve"> </w:t>
      </w:r>
      <w:r>
        <w:t xml:space="preserve">formulation satisfies both tests and resolves to June 15, 2031. There is no scenario in which the Second Lien Agent’s position disadvantages the First Lien Agent, because any maturity on or after June 15, 2031 necessarily satisfies the 91-day buffer. We flag this as the provision on which the First Lien Agent should concede most readily, and doing so costs the First Lien Agent nothing while demonstrating good-faith movement that supports acceptance of the package as a whole.</w:t>
      </w:r>
    </w:p>
    <w:p>
      <w:pPr>
        <w:pStyle w:val="BodyText"/>
      </w:pPr>
      <w:r>
        <w:rPr>
          <w:b/>
          <w:bCs/>
        </w:rPr>
        <w:t xml:space="preserve">Restrictiveness test — narrowed test plus MFN (Sub-issue C).</w:t>
      </w:r>
      <w:r>
        <w:t xml:space="preserve"> </w:t>
      </w:r>
      <w:r>
        <w:t xml:space="preserve">The First Lien Agent proposes a blanket</w:t>
      </w:r>
      <w:r>
        <w:t xml:space="preserve"> </w:t>
      </w:r>
      <w:r>
        <w:t xml:space="preserve">“</w:t>
      </w:r>
      <w:r>
        <w:t xml:space="preserve">no more restrictive in any material respect</w:t>
      </w:r>
      <w:r>
        <w:t xml:space="preserve">”</w:t>
      </w:r>
      <w:r>
        <w:t xml:space="preserve"> </w:t>
      </w:r>
      <w:r>
        <w:t xml:space="preserve">test; the Second Lien Agent proposes no test at all. The Market Survey’s modal position is a</w:t>
      </w:r>
      <w:r>
        <w:t xml:space="preserve"> </w:t>
      </w:r>
      <w:r>
        <w:rPr>
          <w:b/>
          <w:bCs/>
        </w:rPr>
        <w:t xml:space="preserve">narrowed test: 52% of deals (22 of 42) use a narrowed test, against 33% blanket and only 14% with no test</w:t>
      </w:r>
      <w:r>
        <w:t xml:space="preserve">. The decisive correlation is that</w:t>
      </w:r>
      <w:r>
        <w:t xml:space="preserve"> </w:t>
      </w:r>
      <w:r>
        <w:rPr>
          <w:b/>
          <w:bCs/>
        </w:rPr>
        <w:t xml:space="preserve">100% of narrowed-test deals pair the narrowed test with an MFN provision</w:t>
      </w:r>
      <w:r>
        <w:t xml:space="preserve">, and</w:t>
      </w:r>
      <w:r>
        <w:t xml:space="preserve"> </w:t>
      </w:r>
      <w:r>
        <w:rPr>
          <w:b/>
          <w:bCs/>
        </w:rPr>
        <w:t xml:space="preserve">82% of those MFN provisions are limited to financial maintenance covenants</w:t>
      </w:r>
      <w:r>
        <w:t xml:space="preserve">. The trend is accelerating: the narrowed-test-plus-MFN combination grew from 38% of 2022 deals to 65% of 2024 deals. Both agents have signaled openness to this pairing — the First Lien Agent’s June 26 communication proposes</w:t>
      </w:r>
      <w:r>
        <w:t xml:space="preserve"> </w:t>
      </w:r>
      <w:r>
        <w:t xml:space="preserve">“</w:t>
      </w:r>
      <w:r>
        <w:t xml:space="preserve">a narrowed restrictiveness test… provided it is combined with a most-favored-nation right,</w:t>
      </w:r>
      <w:r>
        <w:t xml:space="preserve">”</w:t>
      </w:r>
      <w:r>
        <w:t xml:space="preserve"> </w:t>
      </w:r>
      <w:r>
        <w:t xml:space="preserve">and the Second Lien Agent’s June 26 communication states it is</w:t>
      </w:r>
      <w:r>
        <w:t xml:space="preserve"> </w:t>
      </w:r>
      <w:r>
        <w:t xml:space="preserve">“</w:t>
      </w:r>
      <w:r>
        <w:t xml:space="preserve">open to discussing whether a narrowed restrictiveness test paired with an MFN right could work.</w:t>
      </w:r>
      <w:r>
        <w:t xml:space="preserve">”</w:t>
      </w:r>
      <w:r>
        <w:t xml:space="preserve"> </w:t>
      </w:r>
      <w:r>
        <w:t xml:space="preserve">Our proposal is therefore squarely within both agents’ stated flexibility and at the market modal position.</w:t>
      </w:r>
    </w:p>
    <w:p>
      <w:pPr>
        <w:pStyle w:val="BodyText"/>
      </w:pPr>
      <w:r>
        <w:t xml:space="preserve">The narrowed test is limited to three enumerated categories — (A) financial maintenance covenants, (B) events of default and cure/grace/notice periods, and (C) negative covenants — and expressly</w:t>
      </w:r>
      <w:r>
        <w:t xml:space="preserve"> </w:t>
      </w:r>
      <w:r>
        <w:rPr>
          <w:b/>
          <w:bCs/>
        </w:rPr>
        <w:t xml:space="preserve">excludes pricing, OID, and mandatory prepayment provisions</w:t>
      </w:r>
      <w:r>
        <w:t xml:space="preserve">. This addresses the Second Lien Agent’s objection that a blanket test would give the First Lien Agent an effective veto over the commercial terms of the replacement facility (the test does not reach pricing or other commercial terms that do not affect the Borrower’s operational or financial flexibility), while still protecting the First Lien Agent against the specific risks it identified: a tightening of the Total Leverage covenant (currently 6.50x) that could trigger a cross-default, an expansion of negative covenants that could conflict with First Lien-permitted actions, and a shortening of cure periods that could undermine the standstill. The MFN right gives the First Lien Lenders the automatic benefit of any financial maintenance covenant in the replacement facility that is more favorable to lenders than the corresponding First Lien covenant — so if, for example, a replacement facility tightens the Total Leverage covenant from 6.50x to 6.0x, the First Lien Lenders receive the benefit of a 6.0x covenant. This converts a potential threat (tighter junior covenants destabilizing the capital structure) into a benefit (the senior lenders get the same tighter protection). The Second Lien Credit Agreement’s own Section 7.08(d) already provides that any refinancing with a Total Leverage covenant below 6.50x is deemed more restrictive, so the narrowed test is consistent with the Second Lien’s own existing framework.</w:t>
      </w:r>
    </w:p>
    <w:p>
      <w:pPr>
        <w:pStyle w:val="BodyText"/>
      </w:pPr>
      <w:r>
        <w:rPr>
          <w:b/>
          <w:bCs/>
        </w:rPr>
        <w:t xml:space="preserve">What each side gains and concedes.</w:t>
      </w:r>
      <w:r>
        <w:t xml:space="preserve"> </w:t>
      </w:r>
      <w:r>
        <w:t xml:space="preserve">The First Lien Agent</w:t>
      </w:r>
      <w:r>
        <w:t xml:space="preserve"> </w:t>
      </w:r>
      <w:r>
        <w:rPr>
          <w:b/>
          <w:bCs/>
        </w:rPr>
        <w:t xml:space="preserve">concedes</w:t>
      </w:r>
      <w:r>
        <w:t xml:space="preserve"> </w:t>
      </w:r>
      <w:r>
        <w:t xml:space="preserve">a 10% principal cushion and the narrowing of the restrictiveness test from blanket to enumerated provisions; it</w:t>
      </w:r>
      <w:r>
        <w:t xml:space="preserve"> </w:t>
      </w:r>
      <w:r>
        <w:rPr>
          <w:b/>
          <w:bCs/>
        </w:rPr>
        <w:t xml:space="preserve">gains</w:t>
      </w:r>
      <w:r>
        <w:t xml:space="preserve"> </w:t>
      </w:r>
      <w:r>
        <w:t xml:space="preserve">the limitation of the increase to bona fide refinancing costs, an MFN right that captures any tighter financial covenant for the First Lien Lenders’ benefit, and a narrowed test that still covers the three risk categories it identified. The Second Lien Agent</w:t>
      </w:r>
      <w:r>
        <w:t xml:space="preserve"> </w:t>
      </w:r>
      <w:r>
        <w:rPr>
          <w:b/>
          <w:bCs/>
        </w:rPr>
        <w:t xml:space="preserve">concedes</w:t>
      </w:r>
      <w:r>
        <w:t xml:space="preserve"> </w:t>
      </w:r>
      <w:r>
        <w:t xml:space="preserve">the narrowed restrictiveness test and the MFN right (rather than no test at all) and reduces its principal ask from 20% to 10%; it</w:t>
      </w:r>
      <w:r>
        <w:t xml:space="preserve"> </w:t>
      </w:r>
      <w:r>
        <w:rPr>
          <w:b/>
          <w:bCs/>
        </w:rPr>
        <w:t xml:space="preserve">gains</w:t>
      </w:r>
      <w:r>
        <w:t xml:space="preserve"> </w:t>
      </w:r>
      <w:r>
        <w:t xml:space="preserve">a refinancing cushion calibrated to actual costs, a maturity floor at the original Second Lien Maturity Date, and the exclusion of pricing and commercial terms from the restrictiveness test. Both sides land on the market modal position (10% cap limited to costs; narrowed test plus MFN on financial covenants), confirmed by the comparable Deal-007.</w:t>
      </w:r>
    </w:p>
    <w:p>
      <w:r>
        <w:pict>
          <v:rect style="width:0;height:1.5pt" o:hralign="center" o:hrstd="t" o:hr="t"/>
        </w:pict>
      </w:r>
    </w:p>
    <w:bookmarkEnd w:id="35"/>
    <w:bookmarkEnd w:id="36"/>
    <w:bookmarkStart w:id="40" w:name="X724ff17a9a6848af06243d44c74530450fdd203"/>
    <w:p>
      <w:pPr>
        <w:pStyle w:val="Heading3"/>
      </w:pPr>
      <w:r>
        <w:t xml:space="preserve">D. Section 4.02 — Application of Asset Disposition and Casualty Proceeds</w:t>
      </w:r>
    </w:p>
    <w:bookmarkStart w:id="37" w:name="the-impasse-3"/>
    <w:p>
      <w:pPr>
        <w:pStyle w:val="Heading4"/>
      </w:pPr>
      <w:r>
        <w:t xml:space="preserve">1. The Impasse</w:t>
      </w:r>
    </w:p>
    <w:p>
      <w:pPr>
        <w:pStyle w:val="FirstParagraph"/>
      </w:pPr>
      <w:r>
        <w:t xml:space="preserve">The First Lien Agent proposes a 100% sweep of all Net Cash Proceeds from Asset Dispositions and Casualty Events to the First Lien Obligations, with an express override of the reinvestment rights in the First Lien Credit Agreement and no Second Lien access until the First Lien Obligations are Paid in Full. The Second Lien Agent proposes that the ICA follow the First Lien Credit Agreement’s reinvestment and mandatory-prepayment mechanics (365-day reinvestment period; $5 million individual and $15 million annual aggregate triggers), with residual proceeds flowing to the Second Lien Obligations. Neither party’s bracketed proposal includes anti-evasion language or a reporting mechanism, both of which the First Lien Agent’s June 26 communication identifies as essential.</w:t>
      </w:r>
    </w:p>
    <w:bookmarkEnd w:id="37"/>
    <w:bookmarkStart w:id="38" w:name="proposed-compromise-language-3"/>
    <w:p>
      <w:pPr>
        <w:pStyle w:val="Heading4"/>
      </w:pPr>
      <w:r>
        <w:t xml:space="preserve">2. Proposed Compromise Language</w:t>
      </w:r>
    </w:p>
    <w:p>
      <w:pPr>
        <w:pStyle w:val="FirstParagraph"/>
      </w:pPr>
      <w:r>
        <w:t xml:space="preserve">The following is proposed to replace the bracketed text of Section 4.02 in its entirety:</w:t>
      </w:r>
    </w:p>
    <w:p>
      <w:pPr>
        <w:pStyle w:val="BlockText"/>
      </w:pPr>
      <w:r>
        <w:rPr>
          <w:b/>
          <w:bCs/>
        </w:rPr>
        <w:t xml:space="preserve">Section 4.02 — Application of Asset Disposition and Casualty Proceeds.</w:t>
      </w:r>
    </w:p>
    <w:p>
      <w:pPr>
        <w:pStyle w:val="BlockText"/>
      </w:pPr>
      <w:r>
        <w:rPr>
          <w:b/>
          <w:bCs/>
        </w:rPr>
        <w:t xml:space="preserve">(a) Bifurcated Application.</w:t>
      </w:r>
      <w:r>
        <w:t xml:space="preserve"> </w:t>
      </w:r>
      <w:r>
        <w:t xml:space="preserve">All Net Cash Proceeds received by the Borrower or any other loan party in respect of any Asset Disposition or Casualty Event shall be applied as follows:</w:t>
      </w:r>
    </w:p>
    <w:p>
      <w:pPr>
        <w:pStyle w:val="BlockText"/>
      </w:pPr>
      <w:r>
        <w:rPr>
          <w:b/>
          <w:bCs/>
        </w:rPr>
        <w:t xml:space="preserve">(i) Ordinary-Course Dispositions.</w:t>
      </w:r>
      <w:r>
        <w:t xml:space="preserve"> </w:t>
      </w:r>
      <w:r>
        <w:t xml:space="preserve">With respect to any Asset Disposition or Casualty Event (or series of related Asset Dispositions or Casualty Events) generating Net Cash Proceeds of</w:t>
      </w:r>
      <w:r>
        <w:t xml:space="preserve"> </w:t>
      </w:r>
      <w:r>
        <w:rPr>
          <w:b/>
          <w:bCs/>
        </w:rPr>
        <w:t xml:space="preserve">Twenty Million Dollars ($20,000,000) or less</w:t>
      </w:r>
      <w:r>
        <w:t xml:space="preserve"> </w:t>
      </w:r>
      <w:r>
        <w:t xml:space="preserve">individually and not exceeding</w:t>
      </w:r>
      <w:r>
        <w:t xml:space="preserve"> </w:t>
      </w:r>
      <w:r>
        <w:rPr>
          <w:b/>
          <w:bCs/>
        </w:rPr>
        <w:t xml:space="preserve">Twenty Million Dollars ($20,000,000)</w:t>
      </w:r>
      <w:r>
        <w:t xml:space="preserve"> </w:t>
      </w:r>
      <w:r>
        <w:t xml:space="preserve">in the aggregate during any fiscal year of the Borrower (each, an</w:t>
      </w:r>
      <w:r>
        <w:t xml:space="preserve"> </w:t>
      </w:r>
      <w:r>
        <w:t xml:space="preserve">“</w:t>
      </w:r>
      <w:r>
        <w:rPr>
          <w:b/>
          <w:bCs/>
        </w:rPr>
        <w:t xml:space="preserve">Ordinary-Course Disposition</w:t>
      </w:r>
      <w:r>
        <w:t xml:space="preserve">”</w:t>
      </w:r>
      <w:r>
        <w:t xml:space="preserve">), such Net Cash Proceeds shall be applied in accordance with the mandatory prepayment and reinvestment provisions of Section 2.05(b) of the First Lien Credit Agreement, including (A) the individual Five Million Dollar ($5,000,000) and annual aggregate Fifteen Million Dollar ($15,000,000) prepayment triggers, (B) the three hundred sixty-five (365)-day reinvestment period during which the Borrower may reinvest such Net Cash Proceeds in Permitted Reinvestment Assets, and (C) the one hundred percent (100%) sweep of any Net Cash Proceeds not reinvested within such reinvestment period. The Borrower’s reinvestment rights under Section 2.05(b)(iv) of the First Lien Credit Agreement shall be preserved with respect to Ordinary-Course Dispositions.</w:t>
      </w:r>
    </w:p>
    <w:p>
      <w:pPr>
        <w:pStyle w:val="BlockText"/>
      </w:pPr>
      <w:r>
        <w:rPr>
          <w:b/>
          <w:bCs/>
        </w:rPr>
        <w:t xml:space="preserve">(ii) Large or Extraordinary Dispositions.</w:t>
      </w:r>
      <w:r>
        <w:t xml:space="preserve"> </w:t>
      </w:r>
      <w:r>
        <w:t xml:space="preserve">With respect to any Asset Disposition or Casualty Event (or series of related Asset Dispositions or Casualty Events) generating Net Cash Proceeds in excess of</w:t>
      </w:r>
      <w:r>
        <w:t xml:space="preserve"> </w:t>
      </w:r>
      <w:r>
        <w:rPr>
          <w:b/>
          <w:bCs/>
        </w:rPr>
        <w:t xml:space="preserve">Twenty Million Dollars ($20,000,000)</w:t>
      </w:r>
      <w:r>
        <w:t xml:space="preserve"> </w:t>
      </w:r>
      <w:r>
        <w:t xml:space="preserve">individually or in the aggregate during any fiscal year of the Borrower (each, a</w:t>
      </w:r>
      <w:r>
        <w:t xml:space="preserve"> </w:t>
      </w:r>
      <w:r>
        <w:t xml:space="preserve">“</w:t>
      </w:r>
      <w:r>
        <w:rPr>
          <w:b/>
          <w:bCs/>
        </w:rPr>
        <w:t xml:space="preserve">Large Disposition</w:t>
      </w:r>
      <w:r>
        <w:t xml:space="preserve">”</w:t>
      </w:r>
      <w:r>
        <w:t xml:space="preserve">),</w:t>
      </w:r>
      <w:r>
        <w:t xml:space="preserve"> </w:t>
      </w:r>
      <w:r>
        <w:rPr>
          <w:b/>
          <w:bCs/>
        </w:rPr>
        <w:t xml:space="preserve">one hundred percent (100%)</w:t>
      </w:r>
      <w:r>
        <w:t xml:space="preserve"> </w:t>
      </w:r>
      <w:r>
        <w:t xml:space="preserve">of such Net Cash Proceeds shall be applied to prepay the First Lien Obligations in accordance with the waterfall set forth in Section 4.01(a) hereof, until the Discharge of First Lien Obligations shall have occurred.</w:t>
      </w:r>
      <w:r>
        <w:t xml:space="preserve"> </w:t>
      </w:r>
      <w:r>
        <w:rPr>
          <w:b/>
          <w:bCs/>
        </w:rPr>
        <w:t xml:space="preserve">Notwithstanding any provision of the First Lien Credit Agreement to the contrary</w:t>
      </w:r>
      <w:r>
        <w:t xml:space="preserve"> </w:t>
      </w:r>
      <w:r>
        <w:t xml:space="preserve">(including the reinvestment rights set forth in Section 2.05(b)(iv) thereof), no reinvestment of Net Cash Proceeds from a Large Disposition shall be permitted, and the ICA waterfall set forth in this Section 4.02(a)(ii) shall control the application of all such Net Cash Proceeds as between the First Lien Secured Parties and the Second Lien Secured Parties.</w:t>
      </w:r>
    </w:p>
    <w:p>
      <w:pPr>
        <w:pStyle w:val="BlockText"/>
      </w:pPr>
      <w:r>
        <w:rPr>
          <w:b/>
          <w:bCs/>
        </w:rPr>
        <w:t xml:space="preserve">(b) Residual Proceeds to Second Lien.</w:t>
      </w:r>
      <w:r>
        <w:t xml:space="preserve"> </w:t>
      </w:r>
      <w:r>
        <w:t xml:space="preserve">After the Discharge of First Lien Obligations, any Net Cash Proceeds remaining from any Asset Disposition or Casualty Event (whether an Ordinary-Course Disposition or a Large Disposition) shall be applied to the Second Lien Obligations in accordance with the waterfall set forth in Section 4.01(a) hereof. No Net Cash Proceeds from any Asset Disposition or Casualty Event shall be distributed to the Borrower, its equity holders, or any other person until all First Lien Obligations and all Second Lien Obligations have been indefeasibly paid in full in cash.</w:t>
      </w:r>
    </w:p>
    <w:p>
      <w:pPr>
        <w:pStyle w:val="BlockText"/>
      </w:pPr>
      <w:r>
        <w:rPr>
          <w:b/>
          <w:bCs/>
        </w:rPr>
        <w:t xml:space="preserve">(c) Anti-Evasion.</w:t>
      </w:r>
      <w:r>
        <w:t xml:space="preserve"> </w:t>
      </w:r>
      <w:r>
        <w:t xml:space="preserve">No Asset Disposition or Casualty Event (and no series of related Asset Dispositions or Casualty Events) shall be structured, timed, or otherwise arranged in a manner designed to avoid the Twenty Million Dollar ($20,000,000) threshold set forth in this Section 4.02. The First Lien Agent may, in its reasonable discretion, aggregate any Asset Dispositions or Casualty Events occurring within a</w:t>
      </w:r>
      <w:r>
        <w:t xml:space="preserve"> </w:t>
      </w:r>
      <w:r>
        <w:rPr>
          <w:b/>
          <w:bCs/>
        </w:rPr>
        <w:t xml:space="preserve">ninety (90)-day period</w:t>
      </w:r>
      <w:r>
        <w:t xml:space="preserve"> </w:t>
      </w:r>
      <w:r>
        <w:t xml:space="preserve">(or involving the same acquirer or any Affiliate thereof, the same or related assets, or a coordinated sequence of transactions) if the First Lien Agent reasonably determines that such Asset Dispositions or Casualty Events constitute a single plan or related series of transactions, and, in such event, the Net Cash Proceeds from all such aggregated Asset Dispositions and Casualty Events shall be treated as Net Cash Proceeds from a single Asset Disposition or Casualty Event for purposes of determining whether the Twenty Million Dollar ($20,000,000) threshold has been exceeded. In making such determination, the First Lien Agent shall consider, among other factors, the identity of the acquirer or acquirers (and any Affiliates thereof), the nature and location of the assets disposed of, and the timing and sequencing of the dispositions. For the avoidance of doubt, the anti-evasion provisions of Section 2.05(b)(iii) of the First Lien Credit Agreement shall continue to apply with respect to the Five Million Dollar ($5,000,000) individual and Fifteen Million Dollar ($15,000,000) annual aggregate thresholds set forth therein.</w:t>
      </w:r>
    </w:p>
    <w:p>
      <w:pPr>
        <w:pStyle w:val="BlockText"/>
      </w:pPr>
      <w:r>
        <w:rPr>
          <w:b/>
          <w:bCs/>
        </w:rPr>
        <w:t xml:space="preserve">(d) Reporting.</w:t>
      </w:r>
      <w:r>
        <w:t xml:space="preserve"> </w:t>
      </w:r>
      <w:r>
        <w:t xml:space="preserve">The Borrower shall deliver to the First Lien Agent and the Second Lien Agent (i) a Prepayment Event Notice in accordance with Section 2.05(b)(v) of the First Lien Credit Agreement with respect to any Asset Disposition or Casualty Event yielding Net Cash Proceeds in excess of the Reporting Threshold set forth therein, (ii) prompt written notice (and in any event within five (5) Business Days) of any Asset Disposition or Casualty Event yielding Net Cash Proceeds in excess of Five Million Dollars ($5,000,000), and (iii) an annual aggregate disposition report, delivered together with the Compliance Certificate for the fourth fiscal quarter of each fiscal year, itemizing all Asset Dispositions and Casualty Events during such fiscal year, the Net Cash Proceeds thereof, and the application of such proceeds pursuant to this Section 4.02. The First Lien Agent shall promptly distribute copies of each such notice and report to the First Lien Lenders, and shall provide copies thereof to the Second Lien Agent.</w:t>
      </w:r>
    </w:p>
    <w:bookmarkEnd w:id="38"/>
    <w:bookmarkStart w:id="39" w:name="negotiation-rationale-3"/>
    <w:p>
      <w:pPr>
        <w:pStyle w:val="Heading4"/>
      </w:pPr>
      <w:r>
        <w:t xml:space="preserve">3. Negotiation Rationale</w:t>
      </w:r>
    </w:p>
    <w:p>
      <w:pPr>
        <w:pStyle w:val="FirstParagraph"/>
      </w:pPr>
      <w:r>
        <w:rPr>
          <w:b/>
          <w:bCs/>
        </w:rPr>
        <w:t xml:space="preserve">The bifurcated framework — ordinary-course reinvestment plus hard sweep for large sales.</w:t>
      </w:r>
      <w:r>
        <w:t xml:space="preserve"> </w:t>
      </w:r>
      <w:r>
        <w:t xml:space="preserve">The First Lien Agent’s June 26 communication describes precisely this structure as</w:t>
      </w:r>
      <w:r>
        <w:t xml:space="preserve"> </w:t>
      </w:r>
      <w:r>
        <w:t xml:space="preserve">“</w:t>
      </w:r>
      <w:r>
        <w:t xml:space="preserve">a workable approach</w:t>
      </w:r>
      <w:r>
        <w:t xml:space="preserve">”</w:t>
      </w:r>
      <w:r>
        <w:t xml:space="preserve">:</w:t>
      </w:r>
      <w:r>
        <w:t xml:space="preserve"> </w:t>
      </w:r>
      <w:r>
        <w:t xml:space="preserve">“</w:t>
      </w:r>
      <w:r>
        <w:t xml:space="preserve">the ICA to defer to the First Lien Credit Agreement’s existing reinvestment mechanics for ordinary-course sales below a defined threshold, while imposing a hard 100% sweep to First Lien obligations for larger or extraordinary dispositions.</w:t>
      </w:r>
      <w:r>
        <w:t xml:space="preserve">”</w:t>
      </w:r>
      <w:r>
        <w:t xml:space="preserve"> </w:t>
      </w:r>
      <w:r>
        <w:t xml:space="preserve">The Second Lien Agent’s June 26 communication confirms it</w:t>
      </w:r>
      <w:r>
        <w:t xml:space="preserve"> </w:t>
      </w:r>
      <w:r>
        <w:t xml:space="preserve">“</w:t>
      </w:r>
      <w:r>
        <w:t xml:space="preserve">could live with the First Lien reinvestment mechanics applying for ordinary-course sales… provided that the residual after 1L application flows to the 2L rather than back to the Borrower.</w:t>
      </w:r>
      <w:r>
        <w:t xml:space="preserve">”</w:t>
      </w:r>
      <w:r>
        <w:t xml:space="preserve"> </w:t>
      </w:r>
      <w:r>
        <w:t xml:space="preserve">The bifurcated framework is therefore within both agents’ stated flexibility.</w:t>
      </w:r>
    </w:p>
    <w:p>
      <w:pPr>
        <w:pStyle w:val="BodyText"/>
      </w:pPr>
      <w:r>
        <w:t xml:space="preserve">The Market Survey strongly supports every element of the bifurcation:</w:t>
      </w:r>
    </w:p>
    <w:p>
      <w:pPr>
        <w:pStyle w:val="Compact"/>
        <w:numPr>
          <w:ilvl w:val="0"/>
          <w:numId w:val="1006"/>
        </w:numPr>
      </w:pPr>
      <w:r>
        <w:rPr>
          <w:b/>
          <w:bCs/>
        </w:rPr>
        <w:t xml:space="preserve">100% sweep to the First Lien is universal</w:t>
      </w:r>
      <w:r>
        <w:t xml:space="preserve"> </w:t>
      </w:r>
      <w:r>
        <w:t xml:space="preserve">— all 42 surveyed agreements sweep 100% of proceeds to the First Lien Obligations (at least until First Lien paydown). The First Lien Agent’s core requirement is therefore market-standard and preserved.</w:t>
      </w:r>
    </w:p>
    <w:p>
      <w:pPr>
        <w:pStyle w:val="Compact"/>
        <w:numPr>
          <w:ilvl w:val="0"/>
          <w:numId w:val="1006"/>
        </w:numPr>
      </w:pPr>
      <w:r>
        <w:rPr>
          <w:b/>
          <w:bCs/>
        </w:rPr>
        <w:t xml:space="preserve">Reinvestment rights are preserved in 81% of deals (34 of 42)</w:t>
      </w:r>
      <w:r>
        <w:t xml:space="preserve">, and</w:t>
      </w:r>
      <w:r>
        <w:t xml:space="preserve"> </w:t>
      </w:r>
      <w:r>
        <w:rPr>
          <w:b/>
          <w:bCs/>
        </w:rPr>
        <w:t xml:space="preserve">91% of those use the 365-day reinvestment period</w:t>
      </w:r>
      <w:r>
        <w:t xml:space="preserve"> </w:t>
      </w:r>
      <w:r>
        <w:t xml:space="preserve">that tracks the First Lien Credit Agreement. Preserving reinvestment for ordinary-course sales is the market majority, not an exception.</w:t>
      </w:r>
    </w:p>
    <w:p>
      <w:pPr>
        <w:pStyle w:val="Compact"/>
        <w:numPr>
          <w:ilvl w:val="0"/>
          <w:numId w:val="1006"/>
        </w:numPr>
      </w:pPr>
      <w:r>
        <w:rPr>
          <w:b/>
          <w:bCs/>
        </w:rPr>
        <w:t xml:space="preserve">A hard sweep for large or extraordinary sales is included in 90% of deals (38 of 42)</w:t>
      </w:r>
      <w:r>
        <w:t xml:space="preserve">. The First Lien Agent’s insistence on a hard sweep for significant sales is therefore market-standard, and our proposal applies it to Large Dispositions exceeding the $20 million threshold.</w:t>
      </w:r>
    </w:p>
    <w:p>
      <w:pPr>
        <w:pStyle w:val="Compact"/>
        <w:numPr>
          <w:ilvl w:val="0"/>
          <w:numId w:val="1006"/>
        </w:numPr>
      </w:pPr>
      <w:r>
        <w:rPr>
          <w:b/>
          <w:bCs/>
        </w:rPr>
        <w:t xml:space="preserve">An ordinary-course exclusion is included in 81% of deals (34 of 42)</w:t>
      </w:r>
      <w:r>
        <w:t xml:space="preserve">, with a</w:t>
      </w:r>
      <w:r>
        <w:t xml:space="preserve"> </w:t>
      </w:r>
      <w:r>
        <w:rPr>
          <w:b/>
          <w:bCs/>
        </w:rPr>
        <w:t xml:space="preserve">median threshold of $20 million</w:t>
      </w:r>
      <w:r>
        <w:t xml:space="preserve"> </w:t>
      </w:r>
      <w:r>
        <w:t xml:space="preserve">(mean $19.7 million; range $10–$30 million). The $20 million threshold we propose is the market median and matches the comparable Deal-007 (a $475M/$150M/$625M industrial transaction), which uses a $20 million ordinary-course threshold with anti-evasion at the same level. The $20 million figure represents approximately 22.4% of LTM EBITDA ($89.4 million), a proportion consistent with the surveyed industrial comparables.</w:t>
      </w:r>
    </w:p>
    <w:p>
      <w:pPr>
        <w:pStyle w:val="FirstParagraph"/>
      </w:pPr>
      <w:r>
        <w:rPr>
          <w:b/>
          <w:bCs/>
        </w:rPr>
        <w:t xml:space="preserve">Residual access to the Second Lien (Sub-issue on residual).</w:t>
      </w:r>
      <w:r>
        <w:t xml:space="preserve"> </w:t>
      </w:r>
      <w:r>
        <w:t xml:space="preserve">The First Lien Agent’s opening position would deny the Second Lien any access to proceeds until the First Lien Obligations are Paid in Full; the Second Lien Agent wants residual proceeds to flow to it after application of the First Lien Credit Agreement’s mandatory-prepayment triggers. The Market Survey favors residual access:</w:t>
      </w:r>
      <w:r>
        <w:t xml:space="preserve"> </w:t>
      </w:r>
      <w:r>
        <w:rPr>
          <w:b/>
          <w:bCs/>
        </w:rPr>
        <w:t xml:space="preserve">79% of deals (33 of 42) provide the Second Lien with residual access after First Lien paydown</w:t>
      </w:r>
      <w:r>
        <w:t xml:space="preserve">, against 21% that do not. Our proposal splits the difference in a manner that preserves First Lien priority absolutely: residual proceeds flow to the Second Lien only</w:t>
      </w:r>
      <w:r>
        <w:t xml:space="preserve"> </w:t>
      </w:r>
      <w:r>
        <w:rPr>
          <w:b/>
          <w:bCs/>
        </w:rPr>
        <w:t xml:space="preserve">after the Discharge of First Lien Obligations</w:t>
      </w:r>
      <w:r>
        <w:t xml:space="preserve"> </w:t>
      </w:r>
      <w:r>
        <w:t xml:space="preserve">(not after the mere application of the First Lien Credit Agreement’s mandatory-prepayment triggers, which is the Second Lien Agent’s more aggressive formulation). This preserves the First Lien Agent’s core requirement that no proceeds reach the Second Lien until the First Lien is Paid in Full, while giving the Second Lien the theoretical waterfall right it has told us is</w:t>
      </w:r>
      <w:r>
        <w:t xml:space="preserve"> </w:t>
      </w:r>
      <w:r>
        <w:t xml:space="preserve">“</w:t>
      </w:r>
      <w:r>
        <w:t xml:space="preserve">symbolically important even if economically limited</w:t>
      </w:r>
      <w:r>
        <w:t xml:space="preserve">”</w:t>
      </w:r>
      <w:r>
        <w:t xml:space="preserve"> </w:t>
      </w:r>
      <w:r>
        <w:t xml:space="preserve">for reporting to its investors and limited partners. Given the 97.66% Total LTV, residual proceeds reaching the Second Lien will be rare and modest in practice — but the right exists, which is what the Second Lien Agent needs. The First Lien Agent’s June 26 communication confirms that residual access</w:t>
      </w:r>
      <w:r>
        <w:t xml:space="preserve"> </w:t>
      </w:r>
      <w:r>
        <w:t xml:space="preserve">“</w:t>
      </w:r>
      <w:r>
        <w:t xml:space="preserve">is less of a concern if the hard sweep for significant sales is preserved,</w:t>
      </w:r>
      <w:r>
        <w:t xml:space="preserve">”</w:t>
      </w:r>
      <w:r>
        <w:t xml:space="preserve"> </w:t>
      </w:r>
      <w:r>
        <w:t xml:space="preserve">which our proposal ensures.</w:t>
      </w:r>
    </w:p>
    <w:p>
      <w:pPr>
        <w:pStyle w:val="BodyText"/>
      </w:pPr>
      <w:r>
        <w:rPr>
          <w:b/>
          <w:bCs/>
        </w:rPr>
        <w:t xml:space="preserve">Anti-evasion (Sub-issue B).</w:t>
      </w:r>
      <w:r>
        <w:t xml:space="preserve"> </w:t>
      </w:r>
      <w:r>
        <w:t xml:space="preserve">Neither party’s bracketed proposal included anti-evasion language, but the First Lien Agent’s June 26 communication flags it as essential, and the Second Lien Agent’s June 26 communication agrees it is needed. The Market Survey confirms this is market-standard:</w:t>
      </w:r>
      <w:r>
        <w:t xml:space="preserve"> </w:t>
      </w:r>
      <w:r>
        <w:rPr>
          <w:b/>
          <w:bCs/>
        </w:rPr>
        <w:t xml:space="preserve">97% of agreements with an ordinary-course exclusion (33 of 34) include an anti-evasion clause</w:t>
      </w:r>
      <w:r>
        <w:t xml:space="preserve">, typically at the same threshold as the ordinary-course exclusion. Our anti-evasion provision borrows directly from the First Lien Credit Agreement’s own Section 2.05(b)(iii), which already contains a 90-day aggregation rule and a multi-factor test (identity of acquirer, nature and location of assets, timing and sequencing). By mirroring the First Lien Credit Agreement’s existing anti-evasion architecture at the $20 million ICA threshold, we ensure consistency between the bilateral First Lien regime and the intercreditor regime, and we guard against the specific evasion risk the First Lien Agent identified — a large disposition structured as a series of sub-threshold transactions. The provision also expressly preserves the First Lien Credit Agreement’s separate anti-evasion regime at the $5 million / $15 million thresholds, so the two regimes operate in tandem without conflict.</w:t>
      </w:r>
    </w:p>
    <w:p>
      <w:pPr>
        <w:pStyle w:val="BodyText"/>
      </w:pPr>
      <w:r>
        <w:rPr>
          <w:b/>
          <w:bCs/>
        </w:rPr>
        <w:t xml:space="preserve">Reporting (Sub-issue C).</w:t>
      </w:r>
      <w:r>
        <w:t xml:space="preserve"> </w:t>
      </w:r>
      <w:r>
        <w:t xml:space="preserve">The Market Survey shows that</w:t>
      </w:r>
      <w:r>
        <w:t xml:space="preserve"> </w:t>
      </w:r>
      <w:r>
        <w:rPr>
          <w:b/>
          <w:bCs/>
        </w:rPr>
        <w:t xml:space="preserve">90% of deals require a quarterly compliance certificate, 79% require event-driven notice of sales above a trigger, and 38% require an annual aggregate disposition report</w:t>
      </w:r>
      <w:r>
        <w:t xml:space="preserve">. Our proposal adopts all three: the Prepayment Event Notice already required by the First Lien Credit Agreement (at the $3 million Reporting Threshold), prompt event-driven notice of any sale exceeding $5 million, and an annual aggregate report delivered with the fourth-quarter Compliance Certificate. This gives both agents visibility into proceeds application and supports the anti-evasion regime, at a reporting burden consistent with market practice.</w:t>
      </w:r>
    </w:p>
    <w:p>
      <w:pPr>
        <w:pStyle w:val="BodyText"/>
      </w:pPr>
      <w:r>
        <w:rPr>
          <w:b/>
          <w:bCs/>
        </w:rPr>
        <w:t xml:space="preserve">Economic quantification.</w:t>
      </w:r>
      <w:r>
        <w:t xml:space="preserve"> </w:t>
      </w:r>
      <w:r>
        <w:t xml:space="preserve">The First Lien Agent’s margin of collateral coverage is approximately $165 million ($640 million TEV less $475 million First Lien debt). The hard sweep for Large Dispositions ensures that proceeds from any sale exceeding $20 million are applied to reduce First Lien exposure, preserving that margin in the distressed scenarios in which the waterfall matters most. The ordinary-course carve-out preserves the Borrower’s ability to manage routine asset turnover — essential for a precision-industrial-components manufacturer whose customers require continuity of supply and whose suppliers require payment assurance. As the Second Lien Agent’s position letter observes, stripping out all reinvestment flexibility would</w:t>
      </w:r>
      <w:r>
        <w:t xml:space="preserve"> </w:t>
      </w:r>
      <w:r>
        <w:t xml:space="preserve">“</w:t>
      </w:r>
      <w:r>
        <w:t xml:space="preserve">undermine those relationships, which in turn would accelerate the very collateral deterioration that harms both lien levels.</w:t>
      </w:r>
      <w:r>
        <w:t xml:space="preserve">”</w:t>
      </w:r>
      <w:r>
        <w:t xml:space="preserve"> </w:t>
      </w:r>
      <w:r>
        <w:t xml:space="preserve">The bifurcated framework thus protects First Lien recovery (hard sweep for large sales) while preserving enterprise value (ordinary-course reinvestment), aligning the interests of both lien levels — which is the overarching purpose of a well-drafted intercreditor waterfall.</w:t>
      </w:r>
    </w:p>
    <w:p>
      <w:pPr>
        <w:pStyle w:val="BodyText"/>
      </w:pPr>
      <w:r>
        <w:rPr>
          <w:b/>
          <w:bCs/>
        </w:rPr>
        <w:t xml:space="preserve">What each side gains and concedes.</w:t>
      </w:r>
      <w:r>
        <w:t xml:space="preserve"> </w:t>
      </w:r>
      <w:r>
        <w:t xml:space="preserve">The First Lien Agent</w:t>
      </w:r>
      <w:r>
        <w:t xml:space="preserve"> </w:t>
      </w:r>
      <w:r>
        <w:rPr>
          <w:b/>
          <w:bCs/>
        </w:rPr>
        <w:t xml:space="preserve">concedes</w:t>
      </w:r>
      <w:r>
        <w:t xml:space="preserve"> </w:t>
      </w:r>
      <w:r>
        <w:t xml:space="preserve">the preservation of reinvestment rights for ordinary-course sales (≤ $20 million) and Second Lien residual access after First Lien Discharge; it</w:t>
      </w:r>
      <w:r>
        <w:t xml:space="preserve"> </w:t>
      </w:r>
      <w:r>
        <w:rPr>
          <w:b/>
          <w:bCs/>
        </w:rPr>
        <w:t xml:space="preserve">gains</w:t>
      </w:r>
      <w:r>
        <w:t xml:space="preserve"> </w:t>
      </w:r>
      <w:r>
        <w:t xml:space="preserve">a hard 100% sweep for all Large Dispositions (&gt; $20 million) with an express override of reinvestment rights, robust anti-evasion protection, and a comprehensive reporting regime. The Second Lien Agent</w:t>
      </w:r>
      <w:r>
        <w:t xml:space="preserve"> </w:t>
      </w:r>
      <w:r>
        <w:rPr>
          <w:b/>
          <w:bCs/>
        </w:rPr>
        <w:t xml:space="preserve">concedes</w:t>
      </w:r>
      <w:r>
        <w:t xml:space="preserve"> </w:t>
      </w:r>
      <w:r>
        <w:t xml:space="preserve">the hard sweep for Large Dispositions and the override of reinvestment rights for those sales, and accepts that residual access arises only after First Lien Discharge (not after the First Lien Credit Agreement’s mandatory-prepayment triggers); it</w:t>
      </w:r>
      <w:r>
        <w:t xml:space="preserve"> </w:t>
      </w:r>
      <w:r>
        <w:rPr>
          <w:b/>
          <w:bCs/>
        </w:rPr>
        <w:t xml:space="preserve">gains</w:t>
      </w:r>
      <w:r>
        <w:t xml:space="preserve"> </w:t>
      </w:r>
      <w:r>
        <w:t xml:space="preserve">preserved reinvestment rights for ordinary-course sales, residual access to proceeds after First Lien paydown, and a reporting regime that gives it visibility into proceeds application. Both sides land on the market-majority framework (100% sweep with ordinary-course reinvestment carve-out, hard sweep for large sales, 2L residual after 1L paydown, anti-evasion at $20 million), confirmed by the comparable Deal-007.</w:t>
      </w:r>
    </w:p>
    <w:p>
      <w:r>
        <w:pict>
          <v:rect style="width:0;height:1.5pt" o:hralign="center" o:hrstd="t" o:hr="t"/>
        </w:pict>
      </w:r>
    </w:p>
    <w:bookmarkEnd w:id="39"/>
    <w:bookmarkEnd w:id="40"/>
    <w:bookmarkEnd w:id="41"/>
    <w:bookmarkStart w:id="42" w:name="v.-package-summary"/>
    <w:p>
      <w:pPr>
        <w:pStyle w:val="Heading2"/>
      </w:pPr>
      <w:r>
        <w:t xml:space="preserve">V. Package Summary</w:t>
      </w:r>
    </w:p>
    <w:p>
      <w:pPr>
        <w:pStyle w:val="FirstParagraph"/>
      </w:pPr>
      <w:r>
        <w:t xml:space="preserve">The table below summarizes the package as a whole, showing how each provision balances the two agents’ positions against the market and the proposed compromise: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Provision</w:t>
            </w:r>
          </w:p>
        </w:tc>
        <w:tc>
          <w:tcPr/>
          <w:p>
            <w:pPr>
              <w:pStyle w:val="Compact"/>
              <w:jc w:val="left"/>
            </w:pPr>
            <w:r>
              <w:t xml:space="preserve">1L Opening</w:t>
            </w:r>
          </w:p>
        </w:tc>
        <w:tc>
          <w:tcPr/>
          <w:p>
            <w:pPr>
              <w:pStyle w:val="Compact"/>
              <w:jc w:val="left"/>
            </w:pPr>
            <w:r>
              <w:t xml:space="preserve">2L Opening</w:t>
            </w:r>
          </w:p>
        </w:tc>
        <w:tc>
          <w:tcPr/>
          <w:p>
            <w:pPr>
              <w:pStyle w:val="Compact"/>
              <w:jc w:val="left"/>
            </w:pPr>
            <w:r>
              <w:t xml:space="preserve">Market Anchor</w:t>
            </w:r>
          </w:p>
        </w:tc>
        <w:tc>
          <w:tcPr/>
          <w:p>
            <w:pPr>
              <w:pStyle w:val="Compact"/>
              <w:jc w:val="left"/>
            </w:pPr>
            <w:r>
              <w:t xml:space="preserve">Proposed Compromise</w:t>
            </w:r>
          </w:p>
        </w:tc>
        <w:tc>
          <w:tcPr/>
          <w:p>
            <w:pPr>
              <w:pStyle w:val="Compact"/>
              <w:jc w:val="left"/>
            </w:pPr>
            <w:r>
              <w:t xml:space="preserve">1L Concession / Gain</w:t>
            </w:r>
          </w:p>
        </w:tc>
        <w:tc>
          <w:tcPr/>
          <w:p>
            <w:pPr>
              <w:pStyle w:val="Compact"/>
              <w:jc w:val="left"/>
            </w:pPr>
            <w:r>
              <w:t xml:space="preserve">2L Concession / Gain</w:t>
            </w:r>
          </w:p>
        </w:tc>
      </w:tr>
      <w:tr>
        <w:tc>
          <w:tcPr/>
          <w:p>
            <w:pPr>
              <w:pStyle w:val="Compact"/>
              <w:jc w:val="left"/>
            </w:pPr>
            <w:r>
              <w:rPr>
                <w:b/>
                <w:bCs/>
              </w:rPr>
              <w:t xml:space="preserve">3.01(b) Standstill</w:t>
            </w:r>
          </w:p>
        </w:tc>
        <w:tc>
          <w:tcPr/>
          <w:p>
            <w:pPr>
              <w:pStyle w:val="Compact"/>
              <w:jc w:val="left"/>
            </w:pPr>
            <w:r>
              <w:t xml:space="preserve">270 days; no triggers; unlimited Blockage Notices</w:t>
            </w:r>
          </w:p>
        </w:tc>
        <w:tc>
          <w:tcPr/>
          <w:p>
            <w:pPr>
              <w:pStyle w:val="Compact"/>
              <w:jc w:val="left"/>
            </w:pPr>
            <w:r>
              <w:t xml:space="preserve">90 days; 2 triggers</w:t>
            </w:r>
          </w:p>
        </w:tc>
        <w:tc>
          <w:tcPr/>
          <w:p>
            <w:pPr>
              <w:pStyle w:val="Compact"/>
              <w:jc w:val="left"/>
            </w:pPr>
            <w:r>
              <w:t xml:space="preserve">Median 180 days; 76% have triggers; 25/42 pair ≥180 days + triggers</w:t>
            </w:r>
          </w:p>
        </w:tc>
        <w:tc>
          <w:tcPr/>
          <w:p>
            <w:pPr>
              <w:pStyle w:val="Compact"/>
              <w:jc w:val="left"/>
            </w:pPr>
            <w:r>
              <w:t xml:space="preserve">180 days; 3 narrow triggers (disposition/credit-bid of substantially all Collateral; sale order without 2L consent; confirming order impairing 2L); 2-notice / 180-day-per-year cap</w:t>
            </w:r>
          </w:p>
        </w:tc>
        <w:tc>
          <w:tcPr/>
          <w:p>
            <w:pPr>
              <w:pStyle w:val="Compact"/>
              <w:jc w:val="left"/>
            </w:pPr>
            <w:r>
              <w:t xml:space="preserve">Concedes 90 days + triggers + cap; gains 30 days above floor, triggers tied to its own affirmative acts</w:t>
            </w:r>
          </w:p>
        </w:tc>
        <w:tc>
          <w:tcPr/>
          <w:p>
            <w:pPr>
              <w:pStyle w:val="Compact"/>
              <w:jc w:val="left"/>
            </w:pPr>
            <w:r>
              <w:t xml:space="preserve">Concedes 90 days + drops</w:t>
            </w:r>
            <w:r>
              <w:t xml:space="preserve"> </w:t>
            </w:r>
            <w:r>
              <w:t xml:space="preserve">“</w:t>
            </w:r>
            <w:r>
              <w:t xml:space="preserve">cessation</w:t>
            </w:r>
            <w:r>
              <w:t xml:space="preserve">”</w:t>
            </w:r>
            <w:r>
              <w:t xml:space="preserve"> </w:t>
            </w:r>
            <w:r>
              <w:t xml:space="preserve">trigger; gains 90 days vs. 1L opening, meaningful triggers, hard annual cap</w:t>
            </w:r>
          </w:p>
        </w:tc>
      </w:tr>
      <w:tr>
        <w:tc>
          <w:tcPr/>
          <w:p>
            <w:pPr>
              <w:pStyle w:val="Compact"/>
              <w:jc w:val="left"/>
            </w:pPr>
            <w:r>
              <w:rPr>
                <w:b/>
                <w:bCs/>
              </w:rPr>
              <w:t xml:space="preserve">5.01 Purchase Right</w:t>
            </w:r>
          </w:p>
        </w:tc>
        <w:tc>
          <w:tcPr/>
          <w:p>
            <w:pPr>
              <w:pStyle w:val="Compact"/>
              <w:jc w:val="left"/>
            </w:pPr>
            <w:r>
              <w:t xml:space="preserve">Par + default-rate interest + mandatory revolver; 1L EOD</w:t>
            </w:r>
          </w:p>
        </w:tc>
        <w:tc>
          <w:tcPr/>
          <w:p>
            <w:pPr>
              <w:pStyle w:val="Compact"/>
              <w:jc w:val="left"/>
            </w:pPr>
            <w:r>
              <w:t xml:space="preserve">Lesser of par (non-default) or FMV; no revolver; 1L/2L EOD or acceleration</w:t>
            </w:r>
          </w:p>
        </w:tc>
        <w:tc>
          <w:tcPr/>
          <w:p>
            <w:pPr>
              <w:pStyle w:val="Compact"/>
              <w:jc w:val="left"/>
            </w:pPr>
            <w:r>
              <w:t xml:space="preserve">Par 71%; non-default rate 69%; optional revolver 62% (77% in 2024); 1L acceleration 100%</w:t>
            </w:r>
          </w:p>
        </w:tc>
        <w:tc>
          <w:tcPr/>
          <w:p>
            <w:pPr>
              <w:pStyle w:val="Compact"/>
              <w:jc w:val="left"/>
            </w:pPr>
            <w:r>
              <w:t xml:space="preserve">Par for funded debt at non-default rate + fees; optional revolver (terminate if not assumed); 1L EOD incl. acceleration</w:t>
            </w:r>
          </w:p>
        </w:tc>
        <w:tc>
          <w:tcPr/>
          <w:p>
            <w:pPr>
              <w:pStyle w:val="Compact"/>
              <w:jc w:val="left"/>
            </w:pPr>
            <w:r>
              <w:t xml:space="preserve">Concedes default-rate interest (~$2.4M/90 days) + mandatory revolver; gains par core, clean termination, 1L-only trigger</w:t>
            </w:r>
          </w:p>
        </w:tc>
        <w:tc>
          <w:tcPr/>
          <w:p>
            <w:pPr>
              <w:pStyle w:val="Compact"/>
              <w:jc w:val="left"/>
            </w:pPr>
            <w:r>
              <w:t xml:space="preserve">Concedes FMV + 2L EOD trigger; gains non-default rate, optional revolver (LPA fix), viable purchase price</w:t>
            </w:r>
          </w:p>
        </w:tc>
      </w:tr>
      <w:tr>
        <w:tc>
          <w:tcPr/>
          <w:p>
            <w:pPr>
              <w:pStyle w:val="Compact"/>
              <w:jc w:val="left"/>
            </w:pPr>
            <w:r>
              <w:rPr>
                <w:b/>
                <w:bCs/>
              </w:rPr>
              <w:t xml:space="preserve">2.03(c) Refinancing</w:t>
            </w:r>
          </w:p>
        </w:tc>
        <w:tc>
          <w:tcPr/>
          <w:p>
            <w:pPr>
              <w:pStyle w:val="Compact"/>
              <w:jc w:val="left"/>
            </w:pPr>
            <w:r>
              <w:t xml:space="preserve">0% increase; ≥ Sept 14, 2030; blanket test</w:t>
            </w:r>
          </w:p>
        </w:tc>
        <w:tc>
          <w:tcPr/>
          <w:p>
            <w:pPr>
              <w:pStyle w:val="Compact"/>
              <w:jc w:val="left"/>
            </w:pPr>
            <w:r>
              <w:t xml:space="preserve">120% increase; ≥ June 15, 2031; no test</w:t>
            </w:r>
          </w:p>
        </w:tc>
        <w:tc>
          <w:tcPr/>
          <w:p>
            <w:pPr>
              <w:pStyle w:val="Compact"/>
              <w:jc w:val="left"/>
            </w:pPr>
            <w:r>
              <w:t xml:space="preserve">Median 10% cap (79% limited to costs); narrowed test + MFN 52%; MFN on financial covenants 82%</w:t>
            </w:r>
          </w:p>
        </w:tc>
        <w:tc>
          <w:tcPr/>
          <w:p>
            <w:pPr>
              <w:pStyle w:val="Compact"/>
              <w:jc w:val="left"/>
            </w:pPr>
            <w:r>
              <w:t xml:space="preserve">10% cap ($15M) limited to costs; maturity ≥ June 15, 2031 (later of both floors); narrowed test + MFN on financial covenants</w:t>
            </w:r>
          </w:p>
        </w:tc>
        <w:tc>
          <w:tcPr/>
          <w:p>
            <w:pPr>
              <w:pStyle w:val="Compact"/>
              <w:jc w:val="left"/>
            </w:pPr>
            <w:r>
              <w:t xml:space="preserve">Concedes 10% cushion + narrowed test; gains costs-only limit, MFN, narrowed test on 3 risk categories</w:t>
            </w:r>
          </w:p>
        </w:tc>
        <w:tc>
          <w:tcPr/>
          <w:p>
            <w:pPr>
              <w:pStyle w:val="Compact"/>
              <w:jc w:val="left"/>
            </w:pPr>
            <w:r>
              <w:t xml:space="preserve">Concedes narrowed test + MFN + 10% (not 20%); gains costs-calibrated cushion, original-2L maturity floor, pricing excluded from test</w:t>
            </w:r>
          </w:p>
        </w:tc>
      </w:tr>
      <w:tr>
        <w:tc>
          <w:tcPr/>
          <w:p>
            <w:pPr>
              <w:pStyle w:val="Compact"/>
              <w:jc w:val="left"/>
            </w:pPr>
            <w:r>
              <w:rPr>
                <w:b/>
                <w:bCs/>
              </w:rPr>
              <w:t xml:space="preserve">4.02 Proceeds</w:t>
            </w:r>
          </w:p>
        </w:tc>
        <w:tc>
          <w:tcPr/>
          <w:p>
            <w:pPr>
              <w:pStyle w:val="Compact"/>
              <w:jc w:val="left"/>
            </w:pPr>
            <w:r>
              <w:t xml:space="preserve">100% sweep; override all reinvestment; no 2L access</w:t>
            </w:r>
          </w:p>
        </w:tc>
        <w:tc>
          <w:tcPr/>
          <w:p>
            <w:pPr>
              <w:pStyle w:val="Compact"/>
              <w:jc w:val="left"/>
            </w:pPr>
            <w:r>
              <w:t xml:space="preserve">Follow 1L CA mechanics; residual to 2L</w:t>
            </w:r>
          </w:p>
        </w:tc>
        <w:tc>
          <w:tcPr/>
          <w:p>
            <w:pPr>
              <w:pStyle w:val="Compact"/>
              <w:jc w:val="left"/>
            </w:pPr>
            <w:r>
              <w:t xml:space="preserve">100% sweep universal; reinvestment preserved 81%; hard sweep for large 90%; 2L residual 79%; $20M threshold median; anti-evasion 97%</w:t>
            </w:r>
          </w:p>
        </w:tc>
        <w:tc>
          <w:tcPr/>
          <w:p>
            <w:pPr>
              <w:pStyle w:val="Compact"/>
              <w:jc w:val="left"/>
            </w:pPr>
            <w:r>
              <w:t xml:space="preserve">Bifurcated: ordinary-course (≤ $20M) follows 1L CA mechanics; large (&gt; $20M) hard sweep; residual to 2L after 1L Discharge; anti-evasion; reporting</w:t>
            </w:r>
          </w:p>
        </w:tc>
        <w:tc>
          <w:tcPr/>
          <w:p>
            <w:pPr>
              <w:pStyle w:val="Compact"/>
              <w:jc w:val="left"/>
            </w:pPr>
            <w:r>
              <w:t xml:space="preserve">Concedes ordinary-course reinvestment + 2L residual; gains hard sweep for large sales, override, anti-evasion, reporting</w:t>
            </w:r>
          </w:p>
        </w:tc>
        <w:tc>
          <w:tcPr/>
          <w:p>
            <w:pPr>
              <w:pStyle w:val="Compact"/>
              <w:jc w:val="left"/>
            </w:pPr>
            <w:r>
              <w:t xml:space="preserve">Concedes hard sweep + override for large sales + residual only after 1L Discharge; gains ordinary-course reinvestment, residual access, reporting visibility</w:t>
            </w:r>
          </w:p>
        </w:tc>
      </w:tr>
    </w:tbl>
    <w:p>
      <w:pPr>
        <w:pStyle w:val="BodyText"/>
      </w:pPr>
      <w:r>
        <w:rPr>
          <w:b/>
          <w:bCs/>
        </w:rPr>
        <w:t xml:space="preserve">Balance of the package.</w:t>
      </w:r>
      <w:r>
        <w:t xml:space="preserve"> </w:t>
      </w:r>
      <w:r>
        <w:t xml:space="preserve">The First Lien Agent’s non-negotiable cores are preserved: par for funded debt, a 100% proceeds sweep (universal in the market), a standstill 30 days above its credit-committee floor, and an MFN right protecting it against tighter junior covenants. The Second Lien Agent’s non-negotiable cores are preserved: a standstill 90 days shorter than the First Lien Agent’s opening position with meaningful triggers and an anti-blockage cap, optional revolver assumption (resolving its LPA constraint), a refinancing cushion calibrated to actual costs, and residual access to proceeds. Each side moves from its opening position toward the market median, and each side’s concessions are offset by corresponding gains elsewhere in the package.</w:t>
      </w:r>
    </w:p>
    <w:p>
      <w:r>
        <w:pict>
          <v:rect style="width:0;height:1.5pt" o:hralign="center" o:hrstd="t" o:hr="t"/>
        </w:pict>
      </w:r>
    </w:p>
    <w:bookmarkEnd w:id="42"/>
    <w:bookmarkStart w:id="43" w:name="vi.-recommendation-and-next-steps"/>
    <w:p>
      <w:pPr>
        <w:pStyle w:val="Heading2"/>
      </w:pPr>
      <w:r>
        <w:t xml:space="preserve">VI. Recommendation and Next Steps</w:t>
      </w:r>
    </w:p>
    <w:p>
      <w:pPr>
        <w:pStyle w:val="FirstParagraph"/>
      </w:pPr>
      <w:r>
        <w:rPr>
          <w:b/>
          <w:bCs/>
        </w:rPr>
        <w:t xml:space="preserve">Recommendation.</w:t>
      </w:r>
      <w:r>
        <w:t xml:space="preserve"> </w:t>
      </w:r>
      <w:r>
        <w:t xml:space="preserve">We recommend that you authorize us to circulate this package to Thomas Buchanan at Aldgate &amp; Pryor and Naomi Oduya at Sternfeld Yates on an all-or-nothing basis, accompanied by your express endorsement of the package as a whole. The package is calibrated to the flexibility both agents disclosed on June 26, anchored to the Market Survey at every term, and balanced so that neither agent can accept its favored provisions while rejecting the balancing concessions without unraveling the equilibrium.</w:t>
      </w:r>
    </w:p>
    <w:p>
      <w:pPr>
        <w:pStyle w:val="BodyText"/>
      </w:pPr>
      <w:r>
        <w:rPr>
          <w:b/>
          <w:bCs/>
        </w:rPr>
        <w:t xml:space="preserve">Why the package is closeable.</w:t>
      </w:r>
      <w:r>
        <w:t xml:space="preserve"> </w:t>
      </w:r>
      <w:r>
        <w:t xml:space="preserve">Each landing zone sits inside both agents’ stated zones of flexibility and at or near the market median or majority practice. The package does not require either agent to seek credit-committee re-approval for a position outside its disclosed range: 180 days is above Cartwright’s 150-day floor and at Ridgeline’s 180-day ceiling; par at the non-default rate with optional revolver is the market-majority formulation both agents have signaled; the 10%-limited-to-costs cap is Ridgeline’s own June 26 offer and the market median; and the bifurcated proceeds waterfall is the structure the First Lien Agent’s June 26 communication described as</w:t>
      </w:r>
      <w:r>
        <w:t xml:space="preserve"> </w:t>
      </w:r>
      <w:r>
        <w:t xml:space="preserve">“</w:t>
      </w:r>
      <w:r>
        <w:t xml:space="preserve">workable.</w:t>
      </w:r>
      <w:r>
        <w:t xml:space="preserve">”</w:t>
      </w:r>
      <w:r>
        <w:t xml:space="preserve"> </w:t>
      </w:r>
      <w:r>
        <w:t xml:space="preserve">The maturity floor costs the First Lien Agent nothing (the Second Lien Agent’s position is inherently more restrictive) and should be conceded readily as a good-faith gesture.</w:t>
      </w:r>
    </w:p>
    <w:p>
      <w:pPr>
        <w:pStyle w:val="BodyText"/>
      </w:pPr>
      <w:r>
        <w:rPr>
          <w:b/>
          <w:bCs/>
        </w:rPr>
        <w:t xml:space="preserve">Timing.</w:t>
      </w:r>
      <w:r>
        <w:t xml:space="preserve"> </w:t>
      </w:r>
      <w:r>
        <w:t xml:space="preserve">With 34 days to the July 31, 2025 drop-dead date and the existing facility maturing August 15, 2025, we recommend circulating the package no later than</w:t>
      </w:r>
      <w:r>
        <w:t xml:space="preserve"> </w:t>
      </w:r>
      <w:r>
        <w:rPr>
          <w:b/>
          <w:bCs/>
        </w:rPr>
        <w:t xml:space="preserve">Monday, June 30, 2025</w:t>
      </w:r>
      <w:r>
        <w:t xml:space="preserve">, with a request for written responses by</w:t>
      </w:r>
      <w:r>
        <w:t xml:space="preserve"> </w:t>
      </w:r>
      <w:r>
        <w:rPr>
          <w:b/>
          <w:bCs/>
        </w:rPr>
        <w:t xml:space="preserve">Friday, July 11, 2025</w:t>
      </w:r>
      <w:r>
        <w:t xml:space="preserve">. That timeline leaves 20 days for any final adjustments, credit-committee confirmations, definitive documentation, and execution. We are available to meet jointly with both agents’ counsel to work through the package, and we suggest proposing such a session for the week of July 7 if written responses are constructive.</w:t>
      </w:r>
    </w:p>
    <w:p>
      <w:pPr>
        <w:pStyle w:val="BodyText"/>
      </w:pPr>
      <w:r>
        <w:rPr>
          <w:b/>
          <w:bCs/>
        </w:rPr>
        <w:t xml:space="preserve">Meridian’s role.</w:t>
      </w:r>
      <w:r>
        <w:t xml:space="preserve"> </w:t>
      </w:r>
      <w:r>
        <w:t xml:space="preserve">Your active endorsement of the package to both agents — which you indicated you are prepared to provide — is, in our judgment, the single most effective step available to break the deadlock. Both agents have told us they view Meridian’s support as genuinely helpful, and a unified borrower signal that the package is fair, balanced, and closeable will materially reduce the friction of final acceptance.</w:t>
      </w:r>
    </w:p>
    <w:p>
      <w:r>
        <w:pict>
          <v:rect style="width:0;height:1.5pt" o:hralign="center" o:hrstd="t" o:hr="t"/>
        </w:pict>
      </w:r>
    </w:p>
    <w:bookmarkEnd w:id="43"/>
    <w:bookmarkStart w:id="44" w:name="vii.-reservation-of-rights-privilege"/>
    <w:p>
      <w:pPr>
        <w:pStyle w:val="Heading2"/>
      </w:pPr>
      <w:r>
        <w:t xml:space="preserve">VII. Reservation of Rights; Privilege</w:t>
      </w:r>
    </w:p>
    <w:p>
      <w:pPr>
        <w:pStyle w:val="FirstParagraph"/>
      </w:pPr>
      <w:r>
        <w:t xml:space="preserve">This memorandum is provided by Kesswick, Tanaka &amp; Moreau LLP in its capacity as counsel to Meridian Industrial Holdings, Inc. It is protected by the attorney-client privilege and the attorney work-product doctrine, and is submitted without prejudice and for settlement discussion purposes only pursuant to Federal Rule of Evidence 408 and applicable New York law. Nothing herein constitutes an admission of fact or law, a binding commitment, or a concession by Meridian, Cartwright, Ridgeline, or any of their respective lenders, and this memorandum may not be offered or admitted into evidence in any judicial, arbitral, or administrative proceeding except to enforce any agreement reached as a result of the discussions contemplated herein. The proposed compromise language is draft negotiating text only; no term is binding on any party unless and until set forth in a definitive Intercreditor Agreement duly executed by all parties thereto. All transaction documents are governed by the laws of the State of New York. All rights, remedies, claims, and defenses of Meridian and each of the agents and their respective lender groups are expressly reserved.</w:t>
      </w:r>
    </w:p>
    <w:p>
      <w:pPr>
        <w:pStyle w:val="BodyText"/>
      </w:pPr>
      <w:r>
        <w:rPr>
          <w:i/>
          <w:iCs/>
        </w:rPr>
        <w:t xml:space="preserve">Prepared by: David Tanaka, Partner, Kesswick, Tanaka &amp; Moreau LLP</w:t>
      </w:r>
    </w:p>
    <w:p>
      <w:pPr>
        <w:pStyle w:val="BodyText"/>
      </w:pPr>
      <w:r>
        <w:rPr>
          <w:i/>
          <w:iCs/>
        </w:rPr>
        <w:t xml:space="preserve">Privileged &amp; Confidential — Attorney-Client Communication / Attorney Work Product — Without Prejudice — For Settlement Discussion Purposes Only (FRE 408)</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2026-06-28T21:38:13Z</dcterms:created>
  <dcterms:modified xsi:type="dcterms:W3CDTF">2026-06-28T21:38:13Z</dcterms:modified>
</cp:coreProperties>
</file>

<file path=docProps/custom.xml><?xml version="1.0" encoding="utf-8"?>
<Properties xmlns="http://schemas.openxmlformats.org/officeDocument/2006/custom-properties" xmlns:vt="http://schemas.openxmlformats.org/officeDocument/2006/docPropsVTypes"/>
</file>