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w:t>
      </w:r>
      <w:r>
        <w:t xml:space="preserve"> </w:t>
      </w:r>
      <w:r>
        <w:t xml:space="preserve">Analysis</w:t>
      </w:r>
      <w:r>
        <w:t xml:space="preserve"> </w:t>
      </w:r>
      <w:r>
        <w:t xml:space="preserve">Memorandum</w:t>
      </w:r>
      <w:r>
        <w:t xml:space="preserve"> </w:t>
      </w:r>
      <w:r>
        <w:t xml:space="preserve">—</w:t>
      </w:r>
      <w:r>
        <w:t xml:space="preserve"> </w:t>
      </w:r>
      <w:r>
        <w:t xml:space="preserve">SEC</w:t>
      </w:r>
      <w:r>
        <w:t xml:space="preserve"> </w:t>
      </w:r>
      <w:r>
        <w:t xml:space="preserve">Cybersecurity</w:t>
      </w:r>
      <w:r>
        <w:t xml:space="preserve"> </w:t>
      </w:r>
      <w:r>
        <w:t xml:space="preserve">Disclosure</w:t>
      </w:r>
      <w:r>
        <w:t xml:space="preserve"> </w:t>
      </w:r>
      <w:r>
        <w:t xml:space="preserve">Compliance</w:t>
      </w:r>
    </w:p>
    <w:p>
      <w:pPr>
        <w:pStyle w:val="Subtitle"/>
      </w:pPr>
      <w:r>
        <w:t xml:space="preserve">Incident</w:t>
      </w:r>
      <w:r>
        <w:t xml:space="preserve"> </w:t>
      </w:r>
      <w:r>
        <w:t xml:space="preserve">INC-2024-0047</w:t>
      </w:r>
      <w:r>
        <w:t xml:space="preserve"> </w:t>
      </w:r>
      <w:r>
        <w:t xml:space="preserve">(LockStar</w:t>
      </w:r>
      <w:r>
        <w:t xml:space="preserve"> </w:t>
      </w:r>
      <w:r>
        <w:t xml:space="preserve">3.0</w:t>
      </w:r>
      <w:r>
        <w:t xml:space="preserve"> </w:t>
      </w:r>
      <w:r>
        <w:t xml:space="preserve">Ransomware</w:t>
      </w:r>
      <w:r>
        <w:t xml:space="preserve"> </w:t>
      </w:r>
      <w:r>
        <w:t xml:space="preserve">and</w:t>
      </w:r>
      <w:r>
        <w:t xml:space="preserve"> </w:t>
      </w:r>
      <w:r>
        <w:t xml:space="preserve">Data</w:t>
      </w:r>
      <w:r>
        <w:t xml:space="preserve"> </w:t>
      </w:r>
      <w:r>
        <w:t xml:space="preserve">Exfiltration</w:t>
      </w:r>
      <w:r>
        <w:t xml:space="preserve"> </w:t>
      </w:r>
      <w:r>
        <w:t xml:space="preserve">Event</w:t>
      </w:r>
      <w:r>
        <w:t xml:space="preserve"> </w:t>
      </w:r>
      <w:r>
        <w:t xml:space="preserve">of</w:t>
      </w:r>
      <w:r>
        <w:t xml:space="preserve"> </w:t>
      </w:r>
      <w:r>
        <w:t xml:space="preserve">November</w:t>
      </w:r>
      <w:r>
        <w:t xml:space="preserve"> </w:t>
      </w:r>
      <w:r>
        <w:t xml:space="preserve">18,</w:t>
      </w:r>
      <w:r>
        <w:t xml:space="preserve"> </w:t>
      </w:r>
      <w:r>
        <w:t xml:space="preserve">2024)</w:t>
      </w:r>
    </w:p>
    <w:bookmarkStart w:id="20" w:name="privileged-and-confidential"/>
    <w:p>
      <w:pPr>
        <w:pStyle w:val="Heading1"/>
      </w:pPr>
      <w:r>
        <w:t xml:space="preserve">PRIVILEGED AND CONFIDENTIAL</w:t>
      </w:r>
    </w:p>
    <w:p>
      <w:pPr>
        <w:pStyle w:val="FirstParagraph"/>
      </w:pPr>
      <w:r>
        <w:rPr>
          <w:b/>
          <w:bCs/>
        </w:rPr>
        <w:t xml:space="preserve">ATTORNEY–CLIENT COMMUNICATION | ATTORNEY WORK PRODUCT</w:t>
      </w:r>
      <w:r>
        <w:t xml:space="preserve"> </w:t>
      </w:r>
      <w:r>
        <w:rPr>
          <w:b/>
          <w:bCs/>
        </w:rPr>
        <w:t xml:space="preserve">PREPARED AT THE DIRECTION OF COUNSEL</w:t>
      </w:r>
    </w:p>
    <w:p>
      <w:r>
        <w:pict>
          <v:rect style="width:0;height:1.5pt" o:hralign="center" o:hrstd="t" o:hr="t"/>
        </w:pict>
      </w:r>
    </w:p>
    <w:bookmarkEnd w:id="20"/>
    <w:bookmarkStart w:id="53" w:name="gap-analysis-memorandum"/>
    <w:p>
      <w:pPr>
        <w:pStyle w:val="Heading1"/>
      </w:pPr>
      <w:r>
        <w:t xml:space="preserve">GAP ANALYSIS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Raghavan, General Counsel &amp; Corporate Secretary; Dr. Helen Ostrowski, Chair, Audit Committee of the Board of Directors</w:t>
            </w:r>
          </w:p>
        </w:tc>
      </w:tr>
      <w:tr>
        <w:tc>
          <w:tcPr/>
          <w:p>
            <w:pPr>
              <w:pStyle w:val="Compact"/>
              <w:jc w:val="left"/>
            </w:pPr>
            <w:r>
              <w:rPr>
                <w:b/>
                <w:bCs/>
              </w:rPr>
              <w:t xml:space="preserve">FROM:</w:t>
            </w:r>
          </w:p>
        </w:tc>
        <w:tc>
          <w:tcPr/>
          <w:p>
            <w:pPr>
              <w:pStyle w:val="Compact"/>
              <w:jc w:val="left"/>
            </w:pPr>
            <w:r>
              <w:t xml:space="preserve">Hollister Marsh LLP — Outside Securities Counsel (Jonathan Beckett, Lead Partner)</w:t>
            </w:r>
          </w:p>
        </w:tc>
      </w:tr>
      <w:tr>
        <w:tc>
          <w:tcPr/>
          <w:p>
            <w:pPr>
              <w:pStyle w:val="Compact"/>
              <w:jc w:val="left"/>
            </w:pPr>
            <w:r>
              <w:rPr>
                <w:b/>
                <w:bCs/>
              </w:rPr>
              <w:t xml:space="preserve">DATE:</w:t>
            </w:r>
          </w:p>
        </w:tc>
        <w:tc>
          <w:tcPr/>
          <w:p>
            <w:pPr>
              <w:pStyle w:val="Compact"/>
              <w:jc w:val="left"/>
            </w:pPr>
            <w:r>
              <w:t xml:space="preserve">December 9, 2024</w:t>
            </w:r>
          </w:p>
        </w:tc>
      </w:tr>
      <w:tr>
        <w:tc>
          <w:tcPr/>
          <w:p>
            <w:pPr>
              <w:pStyle w:val="Compact"/>
              <w:jc w:val="left"/>
            </w:pPr>
            <w:r>
              <w:rPr>
                <w:b/>
                <w:bCs/>
              </w:rPr>
              <w:t xml:space="preserve">RE:</w:t>
            </w:r>
          </w:p>
        </w:tc>
        <w:tc>
          <w:tcPr/>
          <w:p>
            <w:pPr>
              <w:pStyle w:val="Compact"/>
              <w:jc w:val="left"/>
            </w:pPr>
            <w:r>
              <w:t xml:space="preserve">SEC Cybersecurity Disclosure Compliance Gap Analysis — Incident INC-2024-0047 (LockStar 3.0 Ransomware and Data Exfiltration Event detected November 18, 2024)</w:t>
            </w:r>
          </w:p>
        </w:tc>
      </w:tr>
      <w:tr>
        <w:tc>
          <w:tcPr/>
          <w:p>
            <w:pPr>
              <w:pStyle w:val="Compact"/>
              <w:jc w:val="left"/>
            </w:pPr>
            <w:r>
              <w:rPr>
                <w:b/>
                <w:bCs/>
              </w:rPr>
              <w:t xml:space="preserve">CLASSIFICATION:</w:t>
            </w:r>
          </w:p>
        </w:tc>
        <w:tc>
          <w:tcPr/>
          <w:p>
            <w:pPr>
              <w:pStyle w:val="Compact"/>
              <w:jc w:val="left"/>
            </w:pPr>
            <w:r>
              <w:t xml:space="preserve">Privileged &amp; Confidential — Do not distribute outside the Office of the General Counsel and the Audit Committee without prior authorization</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gap analysis of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(NASDAQ: VTIQ) compliance with the U.S. Securities and Exchange Commission (</w:t>
      </w:r>
      <w:r>
        <w:t xml:space="preserve">“</w:t>
      </w:r>
      <w:r>
        <w:t xml:space="preserve">SEC</w:t>
      </w:r>
      <w:r>
        <w:t xml:space="preserve">”</w:t>
      </w:r>
      <w:r>
        <w:t xml:space="preserve">) cybersecurity disclosure rules in connection with the ransomware and data exfiltration incident detected on November 18, 2024 (the</w:t>
      </w:r>
      <w:r>
        <w:t xml:space="preserve"> </w:t>
      </w:r>
      <w:r>
        <w:t xml:space="preserve">“</w:t>
      </w:r>
      <w:r>
        <w:t xml:space="preserve">Incident,</w:t>
      </w:r>
      <w:r>
        <w:t xml:space="preserve">”</w:t>
      </w:r>
      <w:r>
        <w:t xml:space="preserve"> </w:t>
      </w:r>
      <w:r>
        <w:t xml:space="preserve">ServiceNow ticket INC-2024-0047). The analysis is based on a review of the documents listed in Section II.</w:t>
      </w:r>
    </w:p>
    <w:p>
      <w:pPr>
        <w:pStyle w:val="BodyText"/>
      </w:pPr>
      <w:r>
        <w:t xml:space="preserve">As of the date of this memorandum —</w:t>
      </w:r>
      <w:r>
        <w:t xml:space="preserve"> </w:t>
      </w:r>
      <w:r>
        <w:rPr>
          <w:b/>
          <w:bCs/>
        </w:rPr>
        <w:t xml:space="preserve">Day 21 following detection</w:t>
      </w:r>
      <w:r>
        <w:t xml:space="preserve"> </w:t>
      </w:r>
      <w:r>
        <w:t xml:space="preserve">of the Incident — the Company has not (i) conducted a formal materiality determination, (ii) filed any Current Report on Form 8-K under Item 1.05, or (iii) implemented a documented process integrating incident response with its disclosure controls and procedures. The Chair of the Audit Committee was not notified until Day 15 (December 3, 2024), and the escalation path described in the Company’s own FY2023 Form 10-K governance disclosure was not followed. The Cybersecurity Incident Response Plan (the</w:t>
      </w:r>
      <w:r>
        <w:t xml:space="preserve"> </w:t>
      </w:r>
      <w:r>
        <w:t xml:space="preserve">“</w:t>
      </w:r>
      <w:r>
        <w:t xml:space="preserve">CIRP</w:t>
      </w:r>
      <w:r>
        <w:t xml:space="preserve">”</w:t>
      </w:r>
      <w:r>
        <w:t xml:space="preserve">) escalation matrix does not mandate notification to the General Counsel, the Chief Executive Officer, or the Board of Directors, and the CIRP expressly excludes external and regulatory communications from its scope. The Audit Committee Charter, last amended in March 2021, contains no cybersecurity oversight provisions despite the 10-K’s representation that the Audit Committee oversees cybersecurity risk. Finally, the Incident has revealed a potential inconsistency between the Company’s FY2023 10-K representation that it has implemented multi-factor authentication (</w:t>
      </w:r>
      <w:r>
        <w:t xml:space="preserve">“</w:t>
      </w:r>
      <w:r>
        <w:t xml:space="preserve">MFA</w:t>
      </w:r>
      <w:r>
        <w:t xml:space="preserve">”</w:t>
      </w:r>
      <w:r>
        <w:t xml:space="preserve">) for</w:t>
      </w:r>
      <w:r>
        <w:t xml:space="preserve"> </w:t>
      </w:r>
      <w:r>
        <w:t xml:space="preserve">“</w:t>
      </w:r>
      <w:r>
        <w:t xml:space="preserve">remote access connections</w:t>
      </w:r>
      <w:r>
        <w:t xml:space="preserve">”</w:t>
      </w:r>
      <w:r>
        <w:t xml:space="preserve"> </w:t>
      </w:r>
      <w:r>
        <w:t xml:space="preserve">and the forensic finding that the compromised third-party contractor VPN credential was not MFA-protected — an inconsistency that also implicates a warranty in the Company’s cyber insurance policy application.</w:t>
      </w:r>
    </w:p>
    <w:p>
      <w:pPr>
        <w:pStyle w:val="BodyText"/>
      </w:pPr>
      <w:r>
        <w:t xml:space="preserve">We identify</w:t>
      </w:r>
      <w:r>
        <w:t xml:space="preserve"> </w:t>
      </w:r>
      <w:r>
        <w:rPr>
          <w:b/>
          <w:bCs/>
        </w:rPr>
        <w:t xml:space="preserve">fourteen (14) gaps</w:t>
      </w:r>
      <w:r>
        <w:t xml:space="preserve">, classified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Gap</w:t>
            </w:r>
          </w:p>
        </w:tc>
        <w:tc>
          <w:tcPr/>
          <w:p>
            <w:pPr>
              <w:pStyle w:val="Compact"/>
              <w:jc w:val="left"/>
            </w:pPr>
            <w:r>
              <w:t xml:space="preserve">SEC Rule Implicated</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G-01</w:t>
            </w:r>
          </w:p>
        </w:tc>
        <w:tc>
          <w:tcPr/>
          <w:p>
            <w:pPr>
              <w:pStyle w:val="Compact"/>
              <w:jc w:val="left"/>
            </w:pPr>
            <w:r>
              <w:t xml:space="preserve">No materiality determination conducted</w:t>
            </w:r>
          </w:p>
        </w:tc>
        <w:tc>
          <w:tcPr/>
          <w:p>
            <w:pPr>
              <w:pStyle w:val="Compact"/>
              <w:jc w:val="left"/>
            </w:pPr>
            <w:r>
              <w:t xml:space="preserve">Item 1.05 of Form 8-K</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G-02</w:t>
            </w:r>
          </w:p>
        </w:tc>
        <w:tc>
          <w:tcPr/>
          <w:p>
            <w:pPr>
              <w:pStyle w:val="Compact"/>
              <w:jc w:val="left"/>
            </w:pPr>
            <w:r>
              <w:t xml:space="preserve">No Form 8-K Item 1.05 disclosure filed</w:t>
            </w:r>
          </w:p>
        </w:tc>
        <w:tc>
          <w:tcPr/>
          <w:p>
            <w:pPr>
              <w:pStyle w:val="Compact"/>
              <w:jc w:val="left"/>
            </w:pPr>
            <w:r>
              <w:t xml:space="preserve">Item 1.05; Exchange Act § 13(a)</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G-03</w:t>
            </w:r>
          </w:p>
        </w:tc>
        <w:tc>
          <w:tcPr/>
          <w:p>
            <w:pPr>
              <w:pStyle w:val="Compact"/>
              <w:jc w:val="left"/>
            </w:pPr>
            <w:r>
              <w:t xml:space="preserve">CIRP not integrated with disclosure controls; no mandatory escalation to Legal/CEO/Board</w:t>
            </w:r>
          </w:p>
        </w:tc>
        <w:tc>
          <w:tcPr/>
          <w:p>
            <w:pPr>
              <w:pStyle w:val="Compact"/>
              <w:jc w:val="left"/>
            </w:pPr>
            <w:r>
              <w:t xml:space="preserve">Item 1.05; Item 307 of Reg. S-K; Item 106(c)</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G-04</w:t>
            </w:r>
          </w:p>
        </w:tc>
        <w:tc>
          <w:tcPr/>
          <w:p>
            <w:pPr>
              <w:pStyle w:val="Compact"/>
              <w:jc w:val="left"/>
            </w:pPr>
            <w:r>
              <w:t xml:space="preserve">Delayed Board/Audit Committee notification (Day 15)</w:t>
            </w:r>
          </w:p>
        </w:tc>
        <w:tc>
          <w:tcPr/>
          <w:p>
            <w:pPr>
              <w:pStyle w:val="Compact"/>
              <w:jc w:val="left"/>
            </w:pPr>
            <w:r>
              <w:t xml:space="preserve">Item 106(c); Item 307</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G-05</w:t>
            </w:r>
          </w:p>
        </w:tc>
        <w:tc>
          <w:tcPr/>
          <w:p>
            <w:pPr>
              <w:pStyle w:val="Compact"/>
              <w:jc w:val="left"/>
            </w:pPr>
            <w:r>
              <w:t xml:space="preserve">Audit Committee Charter lacks cybersecurity oversight provisions</w:t>
            </w:r>
          </w:p>
        </w:tc>
        <w:tc>
          <w:tcPr/>
          <w:p>
            <w:pPr>
              <w:pStyle w:val="Compact"/>
              <w:jc w:val="left"/>
            </w:pPr>
            <w:r>
              <w:t xml:space="preserve">Item 106(c)</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G-06</w:t>
            </w:r>
          </w:p>
        </w:tc>
        <w:tc>
          <w:tcPr/>
          <w:p>
            <w:pPr>
              <w:pStyle w:val="Compact"/>
              <w:jc w:val="left"/>
            </w:pPr>
            <w:r>
              <w:t xml:space="preserve">Potential inaccuracy in FY2023 10-K Item 1C (MFA representation)</w:t>
            </w:r>
          </w:p>
        </w:tc>
        <w:tc>
          <w:tcPr/>
          <w:p>
            <w:pPr>
              <w:pStyle w:val="Compact"/>
              <w:jc w:val="left"/>
            </w:pPr>
            <w:r>
              <w:t xml:space="preserve">Item 1C; Rule 10b-5</w:t>
            </w:r>
          </w:p>
        </w:tc>
        <w:tc>
          <w:tcPr/>
          <w:p>
            <w:pPr>
              <w:pStyle w:val="Compact"/>
              <w:jc w:val="left"/>
            </w:pPr>
            <w:r>
              <w:rPr>
                <w:b/>
                <w:bCs/>
              </w:rPr>
              <w:t xml:space="preserve">High</w:t>
            </w:r>
          </w:p>
        </w:tc>
        <w:tc>
          <w:tcPr/>
          <w:p>
            <w:pPr>
              <w:pStyle w:val="Compact"/>
              <w:jc w:val="left"/>
            </w:pPr>
            <w:r>
              <w:t xml:space="preserve">Under review</w:t>
            </w:r>
          </w:p>
        </w:tc>
      </w:tr>
      <w:tr>
        <w:tc>
          <w:tcPr/>
          <w:p>
            <w:pPr>
              <w:pStyle w:val="Compact"/>
              <w:jc w:val="left"/>
            </w:pPr>
            <w:r>
              <w:t xml:space="preserve">G-07</w:t>
            </w:r>
          </w:p>
        </w:tc>
        <w:tc>
          <w:tcPr/>
          <w:p>
            <w:pPr>
              <w:pStyle w:val="Compact"/>
              <w:jc w:val="left"/>
            </w:pPr>
            <w:r>
              <w:t xml:space="preserve">ICFR implications — finance system compromised; independent auditor not notified</w:t>
            </w:r>
          </w:p>
        </w:tc>
        <w:tc>
          <w:tcPr/>
          <w:p>
            <w:pPr>
              <w:pStyle w:val="Compact"/>
              <w:jc w:val="left"/>
            </w:pPr>
            <w:r>
              <w:t xml:space="preserve">SOX §§ 302/404; Item 9A of Form 10-K</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G-08</w:t>
            </w:r>
          </w:p>
        </w:tc>
        <w:tc>
          <w:tcPr/>
          <w:p>
            <w:pPr>
              <w:pStyle w:val="Compact"/>
              <w:jc w:val="left"/>
            </w:pPr>
            <w:r>
              <w:t xml:space="preserve">Customer contract notification breaches (top customers)</w:t>
            </w:r>
          </w:p>
        </w:tc>
        <w:tc>
          <w:tcPr/>
          <w:p>
            <w:pPr>
              <w:pStyle w:val="Compact"/>
              <w:jc w:val="left"/>
            </w:pPr>
            <w:r>
              <w:t xml:space="preserve">Materiality input; Exchange Act § 13(a)</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G-09</w:t>
            </w:r>
          </w:p>
        </w:tc>
        <w:tc>
          <w:tcPr/>
          <w:p>
            <w:pPr>
              <w:pStyle w:val="Compact"/>
              <w:jc w:val="left"/>
            </w:pPr>
            <w:r>
              <w:t xml:space="preserve">State and international (GDPR) breach-notification obligations unaddressed</w:t>
            </w:r>
          </w:p>
        </w:tc>
        <w:tc>
          <w:tcPr/>
          <w:p>
            <w:pPr>
              <w:pStyle w:val="Compact"/>
              <w:jc w:val="left"/>
            </w:pPr>
            <w:r>
              <w:t xml:space="preserve">Materiality input; regulatory exposure</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G-10</w:t>
            </w:r>
          </w:p>
        </w:tc>
        <w:tc>
          <w:tcPr/>
          <w:p>
            <w:pPr>
              <w:pStyle w:val="Compact"/>
              <w:jc w:val="left"/>
            </w:pPr>
            <w:r>
              <w:t xml:space="preserve">Insurance policy application warranty breach (MFA)</w:t>
            </w:r>
          </w:p>
        </w:tc>
        <w:tc>
          <w:tcPr/>
          <w:p>
            <w:pPr>
              <w:pStyle w:val="Compact"/>
              <w:jc w:val="left"/>
            </w:pPr>
            <w:r>
              <w:t xml:space="preserve">Materiality input; financial condition</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G-11</w:t>
            </w:r>
          </w:p>
        </w:tc>
        <w:tc>
          <w:tcPr/>
          <w:p>
            <w:pPr>
              <w:pStyle w:val="Compact"/>
              <w:jc w:val="left"/>
            </w:pPr>
            <w:r>
              <w:t xml:space="preserve">Pending acquisition disclosure considerations not assessed</w:t>
            </w:r>
          </w:p>
        </w:tc>
        <w:tc>
          <w:tcPr/>
          <w:p>
            <w:pPr>
              <w:pStyle w:val="Compact"/>
              <w:jc w:val="left"/>
            </w:pPr>
            <w:r>
              <w:t xml:space="preserve">Item 1.05; Exchange Act § 13(a)</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G-12</w:t>
            </w:r>
          </w:p>
        </w:tc>
        <w:tc>
          <w:tcPr/>
          <w:p>
            <w:pPr>
              <w:pStyle w:val="Compact"/>
              <w:jc w:val="left"/>
            </w:pPr>
            <w:r>
              <w:t xml:space="preserve">CIRP not tested (no tabletop exercises)</w:t>
            </w:r>
          </w:p>
        </w:tc>
        <w:tc>
          <w:tcPr/>
          <w:p>
            <w:pPr>
              <w:pStyle w:val="Compact"/>
              <w:jc w:val="left"/>
            </w:pPr>
            <w:r>
              <w:t xml:space="preserve">Item 106(a)</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G-13</w:t>
            </w:r>
          </w:p>
        </w:tc>
        <w:tc>
          <w:tcPr/>
          <w:p>
            <w:pPr>
              <w:pStyle w:val="Compact"/>
              <w:jc w:val="left"/>
            </w:pPr>
            <w:r>
              <w:t xml:space="preserve">CIRP substantive review overdue (last substantive review June 2022)</w:t>
            </w:r>
          </w:p>
        </w:tc>
        <w:tc>
          <w:tcPr/>
          <w:p>
            <w:pPr>
              <w:pStyle w:val="Compact"/>
              <w:jc w:val="left"/>
            </w:pPr>
            <w:r>
              <w:t xml:space="preserve">Item 106(a)</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G-14</w:t>
            </w:r>
          </w:p>
        </w:tc>
        <w:tc>
          <w:tcPr/>
          <w:p>
            <w:pPr>
              <w:pStyle w:val="Compact"/>
              <w:jc w:val="left"/>
            </w:pPr>
            <w:r>
              <w:t xml:space="preserve">Late insurance notice (73 vs. 72 hours)</w:t>
            </w:r>
          </w:p>
        </w:tc>
        <w:tc>
          <w:tcPr/>
          <w:p>
            <w:pPr>
              <w:pStyle w:val="Compact"/>
              <w:jc w:val="left"/>
            </w:pPr>
            <w:r>
              <w:t xml:space="preserve">Materiality input</w:t>
            </w:r>
          </w:p>
        </w:tc>
        <w:tc>
          <w:tcPr/>
          <w:p>
            <w:pPr>
              <w:pStyle w:val="Compact"/>
              <w:jc w:val="left"/>
            </w:pPr>
            <w:r>
              <w:rPr>
                <w:b/>
                <w:bCs/>
              </w:rPr>
              <w:t xml:space="preserve">Medium</w:t>
            </w:r>
          </w:p>
        </w:tc>
        <w:tc>
          <w:tcPr/>
          <w:p>
            <w:pPr>
              <w:pStyle w:val="Compact"/>
              <w:jc w:val="left"/>
            </w:pPr>
            <w:r>
              <w:t xml:space="preserve">Open</w:t>
            </w:r>
          </w:p>
        </w:tc>
      </w:tr>
    </w:tbl>
    <w:p>
      <w:pPr>
        <w:pStyle w:val="BodyText"/>
      </w:pPr>
      <w:r>
        <w:t xml:space="preserve">A prioritized remediation roadmap is set forth in Section VII. The most urgent actions — convening a disclosure-committee materiality assessment, preparing a draft Form 8-K, and remediating the CIRP escalation and disclosure-controls integration gaps — should be initiated</w:t>
      </w:r>
      <w:r>
        <w:t xml:space="preserve"> </w:t>
      </w:r>
      <w:r>
        <w:rPr>
          <w:b/>
          <w:bCs/>
        </w:rPr>
        <w:t xml:space="preserve">immediately</w:t>
      </w:r>
      <w:r>
        <w:t xml:space="preserve">.</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This analysis is based on a review of the following Company documents and filings:</w:t>
      </w:r>
    </w:p>
    <w:p>
      <w:pPr>
        <w:pStyle w:val="Compact"/>
        <w:numPr>
          <w:ilvl w:val="0"/>
          <w:numId w:val="1001"/>
        </w:numPr>
      </w:pPr>
      <w:r>
        <w:rPr>
          <w:b/>
          <w:bCs/>
        </w:rPr>
        <w:t xml:space="preserve">Form 10-K, Part I, Item 1C (Cybersecurity)</w:t>
      </w:r>
      <w:r>
        <w:t xml:space="preserve"> </w:t>
      </w:r>
      <w:r>
        <w:t xml:space="preserve">for the fiscal year ended December 31, 2023, filed with the SEC on February 28, 2024 (the</w:t>
      </w:r>
      <w:r>
        <w:t xml:space="preserve"> </w:t>
      </w:r>
      <w:r>
        <w:t xml:space="preserve">“</w:t>
      </w:r>
      <w:r>
        <w:t xml:space="preserve">FY2023 10-K</w:t>
      </w:r>
      <w:r>
        <w:t xml:space="preserve">”</w:t>
      </w:r>
      <w:r>
        <w:t xml:space="preserve">).</w:t>
      </w:r>
    </w:p>
    <w:p>
      <w:pPr>
        <w:pStyle w:val="Compact"/>
        <w:numPr>
          <w:ilvl w:val="0"/>
          <w:numId w:val="1001"/>
        </w:numPr>
      </w:pPr>
      <w:r>
        <w:rPr>
          <w:b/>
          <w:bCs/>
        </w:rPr>
        <w:t xml:space="preserve">Charter of the Audit Committee</w:t>
      </w:r>
      <w:r>
        <w:t xml:space="preserve"> </w:t>
      </w:r>
      <w:r>
        <w:t xml:space="preserve">of the Board of Directors, as last amended and restated on March 15, 2021 (the</w:t>
      </w:r>
      <w:r>
        <w:t xml:space="preserve"> </w:t>
      </w:r>
      <w:r>
        <w:t xml:space="preserve">“</w:t>
      </w:r>
      <w:r>
        <w:t xml:space="preserve">Audit Committee Charter</w:t>
      </w:r>
      <w:r>
        <w:t xml:space="preserve">”</w:t>
      </w:r>
      <w:r>
        <w:t xml:space="preserve">).</w:t>
      </w:r>
    </w:p>
    <w:p>
      <w:pPr>
        <w:pStyle w:val="Compact"/>
        <w:numPr>
          <w:ilvl w:val="0"/>
          <w:numId w:val="1001"/>
        </w:numPr>
      </w:pPr>
      <w:r>
        <w:rPr>
          <w:b/>
          <w:bCs/>
        </w:rPr>
        <w:t xml:space="preserve">Cybersecurity Incident Response Plan</w:t>
      </w:r>
      <w:r>
        <w:t xml:space="preserve">, Version 1.0, originally effective June 15, 2022, administratively updated August 14, 2023 (the</w:t>
      </w:r>
      <w:r>
        <w:t xml:space="preserve"> </w:t>
      </w:r>
      <w:r>
        <w:t xml:space="preserve">“</w:t>
      </w:r>
      <w:r>
        <w:t xml:space="preserve">CIRP</w:t>
      </w:r>
      <w:r>
        <w:t xml:space="preserve">”</w:t>
      </w:r>
      <w:r>
        <w:t xml:space="preserve">).</w:t>
      </w:r>
    </w:p>
    <w:p>
      <w:pPr>
        <w:pStyle w:val="Compact"/>
        <w:numPr>
          <w:ilvl w:val="0"/>
          <w:numId w:val="1001"/>
        </w:numPr>
      </w:pPr>
      <w:r>
        <w:rPr>
          <w:b/>
          <w:bCs/>
        </w:rPr>
        <w:t xml:space="preserve">Cybersecurity Incident Status Report</w:t>
      </w:r>
      <w:r>
        <w:t xml:space="preserve">, Incident INC-2024-0047, prepared by the CISO, dated December 5, 2024 (the</w:t>
      </w:r>
      <w:r>
        <w:t xml:space="preserve"> </w:t>
      </w:r>
      <w:r>
        <w:t xml:space="preserve">“</w:t>
      </w:r>
      <w:r>
        <w:t xml:space="preserve">Status Report</w:t>
      </w:r>
      <w:r>
        <w:t xml:space="preserve">”</w:t>
      </w:r>
      <w:r>
        <w:t xml:space="preserve">).</w:t>
      </w:r>
    </w:p>
    <w:p>
      <w:pPr>
        <w:pStyle w:val="Compact"/>
        <w:numPr>
          <w:ilvl w:val="0"/>
          <w:numId w:val="1001"/>
        </w:numPr>
      </w:pPr>
      <w:r>
        <w:rPr>
          <w:b/>
          <w:bCs/>
        </w:rPr>
        <w:t xml:space="preserve">Thorngate Forensic Solutions, Inc. Interim Status Report</w:t>
      </w:r>
      <w:r>
        <w:t xml:space="preserve">, Report No. TFS-2024-IR-0847, dated December 1, 2024 (the</w:t>
      </w:r>
      <w:r>
        <w:t xml:space="preserve"> </w:t>
      </w:r>
      <w:r>
        <w:t xml:space="preserve">“</w:t>
      </w:r>
      <w:r>
        <w:t xml:space="preserve">Thorngate Interim Report</w:t>
      </w:r>
      <w:r>
        <w:t xml:space="preserve">”</w:t>
      </w:r>
      <w:r>
        <w:t xml:space="preserve">).</w:t>
      </w:r>
    </w:p>
    <w:p>
      <w:pPr>
        <w:pStyle w:val="Compact"/>
        <w:numPr>
          <w:ilvl w:val="0"/>
          <w:numId w:val="1001"/>
        </w:numPr>
      </w:pPr>
      <w:r>
        <w:rPr>
          <w:b/>
          <w:bCs/>
        </w:rPr>
        <w:t xml:space="preserve">Extracted Cybersecurity and Data Protection Provisions — Customer Master Agreements</w:t>
      </w:r>
      <w:r>
        <w:t xml:space="preserve">, prepared by the Office of the General Counsel, dated December 5, 2024 (the</w:t>
      </w:r>
      <w:r>
        <w:t xml:space="preserve"> </w:t>
      </w:r>
      <w:r>
        <w:t xml:space="preserve">“</w:t>
      </w:r>
      <w:r>
        <w:t xml:space="preserve">Customer Contract Excerpts</w:t>
      </w:r>
      <w:r>
        <w:t xml:space="preserve">”</w:t>
      </w:r>
      <w:r>
        <w:t xml:space="preserve">).</w:t>
      </w:r>
    </w:p>
    <w:p>
      <w:pPr>
        <w:pStyle w:val="Compact"/>
        <w:numPr>
          <w:ilvl w:val="0"/>
          <w:numId w:val="1001"/>
        </w:numPr>
      </w:pPr>
      <w:r>
        <w:rPr>
          <w:b/>
          <w:bCs/>
        </w:rPr>
        <w:t xml:space="preserve">Email from Priya Raghavan, General Counsel, to Dr. Helen Ostrowski, Audit Committee Chair</w:t>
      </w:r>
      <w:r>
        <w:t xml:space="preserve">, dated December 3, 2024 (the</w:t>
      </w:r>
      <w:r>
        <w:t xml:space="preserve"> </w:t>
      </w:r>
      <w:r>
        <w:t xml:space="preserve">“</w:t>
      </w:r>
      <w:r>
        <w:t xml:space="preserve">GC Email</w:t>
      </w:r>
      <w:r>
        <w:t xml:space="preserve">”</w:t>
      </w:r>
      <w:r>
        <w:t xml:space="preserve">).</w:t>
      </w:r>
    </w:p>
    <w:p>
      <w:pPr>
        <w:pStyle w:val="Compact"/>
        <w:numPr>
          <w:ilvl w:val="0"/>
          <w:numId w:val="1001"/>
        </w:numPr>
      </w:pPr>
      <w:r>
        <w:rPr>
          <w:b/>
          <w:bCs/>
        </w:rPr>
        <w:t xml:space="preserve">Cyber Liability Insurance Policy — Summary of Material Terms</w:t>
      </w:r>
      <w:r>
        <w:t xml:space="preserve">, Policy No. CYB-2024-08871, Ridgeline Insurance Group, prepared March 2024 (the</w:t>
      </w:r>
      <w:r>
        <w:t xml:space="preserve"> </w:t>
      </w:r>
      <w:r>
        <w:t xml:space="preserve">“</w:t>
      </w:r>
      <w:r>
        <w:t xml:space="preserve">Policy Summary</w:t>
      </w:r>
      <w:r>
        <w:t xml:space="preserve">”</w:t>
      </w:r>
      <w:r>
        <w:t xml:space="preserve">).</w:t>
      </w:r>
    </w:p>
    <w:p>
      <w:r>
        <w:pict>
          <v:rect style="width:0;height:1.5pt" o:hralign="center" o:hrstd="t" o:hr="t"/>
        </w:pict>
      </w:r>
    </w:p>
    <w:bookmarkEnd w:id="22"/>
    <w:bookmarkStart w:id="27" w:name="iii.-applicable-regulatory-framework"/>
    <w:p>
      <w:pPr>
        <w:pStyle w:val="Heading2"/>
      </w:pPr>
      <w:r>
        <w:t xml:space="preserve">III. Applicable Regulatory Framework</w:t>
      </w:r>
    </w:p>
    <w:bookmarkStart w:id="23" w:name="X1c69002d0e7f5c646bae5a4f1014ca820bc9c82"/>
    <w:p>
      <w:pPr>
        <w:pStyle w:val="Heading3"/>
      </w:pPr>
      <w:r>
        <w:t xml:space="preserve">A. Item 1.05 of Form 8-K — Material Cybersecurity Incidents</w:t>
      </w:r>
    </w:p>
    <w:p>
      <w:pPr>
        <w:pStyle w:val="FirstParagraph"/>
      </w:pPr>
      <w:r>
        <w:t xml:space="preserve">Effective for cybersecurity incidents discovered on or after December 18, 2023, Item 1.05 of Form 8-K (17 C.F.R. § 249.308) requires a registrant to disclose a material cybersecurity incident by filing a Current Report on Form 8-K</w:t>
      </w:r>
      <w:r>
        <w:t xml:space="preserve"> </w:t>
      </w:r>
      <w:r>
        <w:rPr>
          <w:b/>
          <w:bCs/>
        </w:rPr>
        <w:t xml:space="preserve">within four (4) business days after the registrant determines that a cybersecurity incident is material</w:t>
      </w:r>
      <w:r>
        <w:t xml:space="preserve">. The disclosure must describe:</w:t>
      </w:r>
    </w:p>
    <w:p>
      <w:pPr>
        <w:pStyle w:val="Compact"/>
        <w:numPr>
          <w:ilvl w:val="0"/>
          <w:numId w:val="1002"/>
        </w:numPr>
      </w:pPr>
      <w:r>
        <w:t xml:space="preserve">the</w:t>
      </w:r>
      <w:r>
        <w:t xml:space="preserve"> </w:t>
      </w:r>
      <w:r>
        <w:rPr>
          <w:b/>
          <w:bCs/>
        </w:rPr>
        <w:t xml:space="preserve">material aspects</w:t>
      </w:r>
      <w:r>
        <w:t xml:space="preserve"> </w:t>
      </w:r>
      <w:r>
        <w:t xml:space="preserve">of the</w:t>
      </w:r>
      <w:r>
        <w:t xml:space="preserve"> </w:t>
      </w:r>
      <w:r>
        <w:rPr>
          <w:b/>
          <w:bCs/>
        </w:rPr>
        <w:t xml:space="preserve">nature, scope, and timing</w:t>
      </w:r>
      <w:r>
        <w:t xml:space="preserve"> </w:t>
      </w:r>
      <w:r>
        <w:t xml:space="preserve">of the incident; and</w:t>
      </w:r>
    </w:p>
    <w:p>
      <w:pPr>
        <w:pStyle w:val="Compact"/>
        <w:numPr>
          <w:ilvl w:val="0"/>
          <w:numId w:val="1002"/>
        </w:numPr>
      </w:pPr>
      <w:r>
        <w:t xml:space="preserve">the</w:t>
      </w:r>
      <w:r>
        <w:t xml:space="preserve"> </w:t>
      </w:r>
      <w:r>
        <w:rPr>
          <w:b/>
          <w:bCs/>
        </w:rPr>
        <w:t xml:space="preserve">material impact</w:t>
      </w:r>
      <w:r>
        <w:t xml:space="preserve"> </w:t>
      </w:r>
      <w:r>
        <w:t xml:space="preserve">or</w:t>
      </w:r>
      <w:r>
        <w:t xml:space="preserve"> </w:t>
      </w:r>
      <w:r>
        <w:rPr>
          <w:b/>
          <w:bCs/>
        </w:rPr>
        <w:t xml:space="preserve">reasonably likely material impact</w:t>
      </w:r>
      <w:r>
        <w:t xml:space="preserve"> </w:t>
      </w:r>
      <w:r>
        <w:t xml:space="preserve">of the incident on the registrant, including its financial condition and results of operations.</w:t>
      </w:r>
    </w:p>
    <w:p>
      <w:pPr>
        <w:pStyle w:val="FirstParagraph"/>
      </w:pPr>
      <w:r>
        <w:t xml:space="preserve">If the registrant is unable to determine the impact within the four-business-day window, it must disclose what is known and state that a material impact assessment is ongoing, with subsequent updates provided by means of a further Form 8-K or in a periodic report. The SEC’s adopting release (Release No. 33-11216; 34-97989, July 26, 2023) makes clear that the materiality determination must be made</w:t>
      </w:r>
      <w:r>
        <w:t xml:space="preserve"> </w:t>
      </w:r>
      <w:r>
        <w:rPr>
          <w:b/>
          <w:bCs/>
        </w:rPr>
        <w:t xml:space="preserve">“</w:t>
      </w:r>
      <w:r>
        <w:rPr>
          <w:b/>
          <w:bCs/>
        </w:rPr>
        <w:t xml:space="preserve">without unreasonable delay</w:t>
      </w:r>
      <w:r>
        <w:rPr>
          <w:b/>
          <w:bCs/>
        </w:rPr>
        <w:t xml:space="preserve">”</w:t>
      </w:r>
      <w:r>
        <w:t xml:space="preserve"> </w:t>
      </w:r>
      <w:r>
        <w:t xml:space="preserve">after discovery of the incident and that a registrant</w:t>
      </w:r>
      <w:r>
        <w:t xml:space="preserve"> </w:t>
      </w:r>
      <w:r>
        <w:rPr>
          <w:b/>
          <w:bCs/>
        </w:rPr>
        <w:t xml:space="preserve">should not defer the determination pending completion of a forensic investigation</w:t>
      </w:r>
      <w:r>
        <w:t xml:space="preserve">; rather, it should determine materiality on the basis of information then available and update the disclosure as the investigation progresses.</w:t>
      </w:r>
    </w:p>
    <w:p>
      <w:pPr>
        <w:pStyle w:val="BodyText"/>
      </w:pPr>
      <w:r>
        <w:t xml:space="preserve">The four-business-day clock runs from the date of the</w:t>
      </w:r>
      <w:r>
        <w:t xml:space="preserve"> </w:t>
      </w:r>
      <w:r>
        <w:rPr>
          <w:b/>
          <w:bCs/>
        </w:rPr>
        <w:t xml:space="preserve">materiality determination</w:t>
      </w:r>
      <w:r>
        <w:t xml:space="preserve">, not from the date of discovery. Delayed disclosure is permitted</w:t>
      </w:r>
      <w:r>
        <w:t xml:space="preserve"> </w:t>
      </w:r>
      <w:r>
        <w:rPr>
          <w:b/>
          <w:bCs/>
        </w:rPr>
        <w:t xml:space="preserve">only</w:t>
      </w:r>
      <w:r>
        <w:t xml:space="preserve"> </w:t>
      </w:r>
      <w:r>
        <w:t xml:space="preserve">where the U.S. Attorney General notifies the SEC that disclosure would pose a substantial risk to national security or public safety (Item 1.05(b)). No such notification has been received in this matter.</w:t>
      </w:r>
    </w:p>
    <w:bookmarkEnd w:id="23"/>
    <w:bookmarkStart w:id="24" w:name="X95c41740938eca325751b863e75aa68270f7a69"/>
    <w:p>
      <w:pPr>
        <w:pStyle w:val="Heading3"/>
      </w:pPr>
      <w:r>
        <w:t xml:space="preserve">B. Item 106 of Regulation S-K / Item 1C of Form 10-K — Cybersecurity Risk Management, Strategy, and Governance</w:t>
      </w:r>
    </w:p>
    <w:p>
      <w:pPr>
        <w:pStyle w:val="FirstParagraph"/>
      </w:pPr>
      <w:r>
        <w:t xml:space="preserve">Item 106 of Regulation S-K (17 C.F.R. § 229.106), incorporated into Form 10-K as Item 1C, requires annual disclosure of:</w:t>
      </w:r>
    </w:p>
    <w:p>
      <w:pPr>
        <w:pStyle w:val="Compact"/>
        <w:numPr>
          <w:ilvl w:val="0"/>
          <w:numId w:val="1003"/>
        </w:numPr>
      </w:pPr>
      <w:r>
        <w:rPr>
          <w:b/>
          <w:bCs/>
        </w:rPr>
        <w:t xml:space="preserve">(a) Risk Management and Strategy</w:t>
      </w:r>
      <w:r>
        <w:t xml:space="preserve"> </w:t>
      </w:r>
      <w:r>
        <w:t xml:space="preserve">— the registrant’s processes for assessing, identifying, and managing material risks from cybersecurity threats, and whether such risks have materially affected, or are reasonably likely to materially affect, the registrant; and</w:t>
      </w:r>
    </w:p>
    <w:p>
      <w:pPr>
        <w:pStyle w:val="Compact"/>
        <w:numPr>
          <w:ilvl w:val="0"/>
          <w:numId w:val="1003"/>
        </w:numPr>
      </w:pPr>
      <w:r>
        <w:rPr>
          <w:b/>
          <w:bCs/>
        </w:rPr>
        <w:t xml:space="preserve">(b) Governance</w:t>
      </w:r>
      <w:r>
        <w:t xml:space="preserve"> </w:t>
      </w:r>
      <w:r>
        <w:t xml:space="preserve">— the board of directors’ oversight of cybersecurity risks and management’s role and expertise in assessing and managing material cybersecurity risks.</w:t>
      </w:r>
    </w:p>
    <w:p>
      <w:pPr>
        <w:pStyle w:val="FirstParagraph"/>
      </w:pPr>
      <w:r>
        <w:t xml:space="preserve">Item 106 is effective for annual reports covering fiscal years ending on or after December 15, 2023; the Company’s FY2023 10-K was its first Item 1C filing.</w:t>
      </w:r>
    </w:p>
    <w:bookmarkEnd w:id="24"/>
    <w:bookmarkStart w:id="25" w:name="c.-materiality-standard"/>
    <w:p>
      <w:pPr>
        <w:pStyle w:val="Heading3"/>
      </w:pPr>
      <w:r>
        <w:t xml:space="preserve">C. Materiality Standard</w:t>
      </w:r>
    </w:p>
    <w:p>
      <w:pPr>
        <w:pStyle w:val="FirstParagraph"/>
      </w:pPr>
      <w:r>
        <w:t xml:space="preserve">Materiality for purposes of Item 1.05 and Item 106 is governed by the federal securities-law standard articulated in</w:t>
      </w:r>
      <w:r>
        <w:t xml:space="preserve"> </w:t>
      </w:r>
      <w:r>
        <w:rPr>
          <w:i/>
          <w:iCs/>
        </w:rPr>
        <w:t xml:space="preserve">TSC Industries, Inc. v. Northway, Inc.</w:t>
      </w:r>
      <w:r>
        <w:t xml:space="preserve">, 426 U.S. 438 (1976), and</w:t>
      </w:r>
      <w:r>
        <w:t xml:space="preserve"> </w:t>
      </w:r>
      <w:r>
        <w:rPr>
          <w:i/>
          <w:iCs/>
        </w:rPr>
        <w:t xml:space="preserve">Basic Inc. v. Levinson</w:t>
      </w:r>
      <w:r>
        <w:t xml:space="preserve">, 485 U.S. 224 (1988): information is material if there is a</w:t>
      </w:r>
      <w:r>
        <w:t xml:space="preserve"> </w:t>
      </w:r>
      <w:r>
        <w:rPr>
          <w:b/>
          <w:bCs/>
        </w:rPr>
        <w:t xml:space="preserve">substantial likelihood that a reasonable investor would consider it important</w:t>
      </w:r>
      <w:r>
        <w:t xml:space="preserve"> </w:t>
      </w:r>
      <w:r>
        <w:t xml:space="preserve">or if it would have</w:t>
      </w:r>
      <w:r>
        <w:t xml:space="preserve"> </w:t>
      </w:r>
      <w:r>
        <w:rPr>
          <w:b/>
          <w:bCs/>
        </w:rPr>
        <w:t xml:space="preserve">significantly altered the total mix of information</w:t>
      </w:r>
      <w:r>
        <w:t xml:space="preserve"> </w:t>
      </w:r>
      <w:r>
        <w:t xml:space="preserve">available. Materiality is a</w:t>
      </w:r>
      <w:r>
        <w:t xml:space="preserve"> </w:t>
      </w:r>
      <w:r>
        <w:rPr>
          <w:b/>
          <w:bCs/>
        </w:rPr>
        <w:t xml:space="preserve">mixed question of law and fact</w:t>
      </w:r>
      <w:r>
        <w:t xml:space="preserve"> </w:t>
      </w:r>
      <w:r>
        <w:t xml:space="preserve">requiring assessment of both</w:t>
      </w:r>
      <w:r>
        <w:t xml:space="preserve"> </w:t>
      </w:r>
      <w:r>
        <w:rPr>
          <w:b/>
          <w:bCs/>
        </w:rPr>
        <w:t xml:space="preserve">quantitative</w:t>
      </w:r>
      <w:r>
        <w:t xml:space="preserve"> </w:t>
      </w:r>
      <w:r>
        <w:t xml:space="preserve">and</w:t>
      </w:r>
      <w:r>
        <w:t xml:space="preserve"> </w:t>
      </w:r>
      <w:r>
        <w:rPr>
          <w:b/>
          <w:bCs/>
        </w:rPr>
        <w:t xml:space="preserve">qualitative</w:t>
      </w:r>
      <w:r>
        <w:t xml:space="preserve"> </w:t>
      </w:r>
      <w:r>
        <w:t xml:space="preserve">factors; an item may be material on qualitative grounds even where the quantitative impact is modest.</w:t>
      </w:r>
    </w:p>
    <w:bookmarkEnd w:id="25"/>
    <w:bookmarkStart w:id="26" w:name="X3c23fc6bd96427143319467277a3e60f5b4435a"/>
    <w:p>
      <w:pPr>
        <w:pStyle w:val="Heading3"/>
      </w:pPr>
      <w:r>
        <w:t xml:space="preserve">D. Disclosure Controls and Internal Controls</w:t>
      </w:r>
    </w:p>
    <w:p>
      <w:pPr>
        <w:pStyle w:val="Compact"/>
        <w:numPr>
          <w:ilvl w:val="0"/>
          <w:numId w:val="1004"/>
        </w:numPr>
      </w:pPr>
      <w:r>
        <w:rPr>
          <w:b/>
          <w:bCs/>
        </w:rPr>
        <w:t xml:space="preserve">Item 307 of Regulation S-K</w:t>
      </w:r>
      <w:r>
        <w:t xml:space="preserve"> </w:t>
      </w:r>
      <w:r>
        <w:t xml:space="preserve">and</w:t>
      </w:r>
      <w:r>
        <w:t xml:space="preserve"> </w:t>
      </w:r>
      <w:r>
        <w:rPr>
          <w:b/>
          <w:bCs/>
        </w:rPr>
        <w:t xml:space="preserve">Item 9A of Form 10-K</w:t>
      </w:r>
      <w:r>
        <w:t xml:space="preserve"> </w:t>
      </w:r>
      <w:r>
        <w:t xml:space="preserve">require disclosure of conclusions regarding the effectiveness of disclosure controls and procedures, which must ensure that material information is made known to the registrant’s principal decision-makers on a timely basis.</w:t>
      </w:r>
    </w:p>
    <w:p>
      <w:pPr>
        <w:pStyle w:val="Compact"/>
        <w:numPr>
          <w:ilvl w:val="0"/>
          <w:numId w:val="1004"/>
        </w:numPr>
      </w:pPr>
      <w:r>
        <w:rPr>
          <w:b/>
          <w:bCs/>
        </w:rPr>
        <w:t xml:space="preserve">Sarbanes-Oxley Act Sections 302 and 404</w:t>
      </w:r>
      <w:r>
        <w:t xml:space="preserve"> </w:t>
      </w:r>
      <w:r>
        <w:t xml:space="preserve">require CEO and CFO certifications regarding disclosure controls and internal control over financial reporting (</w:t>
      </w:r>
      <w:r>
        <w:t xml:space="preserve">“</w:t>
      </w:r>
      <w:r>
        <w:t xml:space="preserve">ICFR</w:t>
      </w:r>
      <w:r>
        <w:t xml:space="preserve">”</w:t>
      </w:r>
      <w:r>
        <w:t xml:space="preserve">), respectively.</w:t>
      </w:r>
    </w:p>
    <w:p>
      <w:pPr>
        <w:pStyle w:val="Compact"/>
        <w:numPr>
          <w:ilvl w:val="0"/>
          <w:numId w:val="1004"/>
        </w:numPr>
      </w:pPr>
      <w:r>
        <w:rPr>
          <w:b/>
          <w:bCs/>
        </w:rPr>
        <w:t xml:space="preserve">Section 10(b) of the Exchange Act and Rule 10b-5</w:t>
      </w:r>
      <w:r>
        <w:t xml:space="preserve"> </w:t>
      </w:r>
      <w:r>
        <w:t xml:space="preserve">thereunder prohibit material misstatements or omissions in SEC filings, including in Item 1C disclosures.</w:t>
      </w:r>
    </w:p>
    <w:p>
      <w:r>
        <w:pict>
          <v:rect style="width:0;height:1.5pt" o:hralign="center" o:hrstd="t" o:hr="t"/>
        </w:pict>
      </w:r>
    </w:p>
    <w:bookmarkEnd w:id="26"/>
    <w:bookmarkEnd w:id="27"/>
    <w:bookmarkStart w:id="42" w:name="iv.-gap-analysis"/>
    <w:p>
      <w:pPr>
        <w:pStyle w:val="Heading2"/>
      </w:pPr>
      <w:r>
        <w:t xml:space="preserve">IV. Gap Analysis</w:t>
      </w:r>
    </w:p>
    <w:bookmarkStart w:id="28" w:name="X16e4411c192c50b28eeeade0bb7aeb2f1b7a227"/>
    <w:p>
      <w:pPr>
        <w:pStyle w:val="Heading3"/>
      </w:pPr>
      <w:r>
        <w:t xml:space="preserve">G-01. No Materiality Determination Conducted —</w:t>
      </w:r>
      <w:r>
        <w:t xml:space="preserve"> </w:t>
      </w:r>
      <w:r>
        <w:rPr>
          <w:b/>
          <w:bCs/>
        </w:rPr>
        <w:t xml:space="preserve">Critical</w:t>
      </w:r>
    </w:p>
    <w:p>
      <w:pPr>
        <w:pStyle w:val="FirstParagraph"/>
      </w:pPr>
      <w:r>
        <w:rPr>
          <w:b/>
          <w:bCs/>
        </w:rPr>
        <w:t xml:space="preserve">Facts.</w:t>
      </w:r>
      <w:r>
        <w:t xml:space="preserve"> </w:t>
      </w:r>
      <w:r>
        <w:t xml:space="preserve">The Status Report (Section 5.4) states:</w:t>
      </w:r>
      <w:r>
        <w:t xml:space="preserve"> </w:t>
      </w:r>
      <w:r>
        <w:t xml:space="preserve">“</w:t>
      </w:r>
      <w:r>
        <w:t xml:space="preserve">No formal materiality determination has been conducted.</w:t>
      </w:r>
      <w:r>
        <w:t xml:space="preserve">”</w:t>
      </w:r>
      <w:r>
        <w:t xml:space="preserve"> </w:t>
      </w:r>
      <w:r>
        <w:t xml:space="preserve">The Legal department and outside counsel are</w:t>
      </w:r>
      <w:r>
        <w:t xml:space="preserve"> </w:t>
      </w:r>
      <w:r>
        <w:t xml:space="preserve">“</w:t>
      </w:r>
      <w:r>
        <w:t xml:space="preserve">evaluating disclosure obligations,</w:t>
      </w:r>
      <w:r>
        <w:t xml:space="preserve">”</w:t>
      </w:r>
      <w:r>
        <w:t xml:space="preserve"> </w:t>
      </w:r>
      <w:r>
        <w:t xml:space="preserve">but as of Day 21 no documented materiality assessment has been performed or recorded. The Company appears to be awaiting Thorngate’s preliminary findings report, due December 20, 2024, before proceeding.</w:t>
      </w:r>
    </w:p>
    <w:p>
      <w:pPr>
        <w:pStyle w:val="BodyText"/>
      </w:pPr>
      <w:r>
        <w:rPr>
          <w:b/>
          <w:bCs/>
        </w:rPr>
        <w:t xml:space="preserve">Analysis.</w:t>
      </w:r>
      <w:r>
        <w:t xml:space="preserve"> </w:t>
      </w:r>
      <w:r>
        <w:t xml:space="preserve">Item 1.05 requires the materiality determination to be made</w:t>
      </w:r>
      <w:r>
        <w:t xml:space="preserve"> </w:t>
      </w:r>
      <w:r>
        <w:t xml:space="preserve">“</w:t>
      </w:r>
      <w:r>
        <w:t xml:space="preserve">without unreasonable delay</w:t>
      </w:r>
      <w:r>
        <w:t xml:space="preserve">”</w:t>
      </w:r>
      <w:r>
        <w:t xml:space="preserve"> </w:t>
      </w:r>
      <w:r>
        <w:t xml:space="preserve">after discovery. The SEC has expressly cautioned registrants not to defer the determination until a forensic investigation is complete. Twenty-one days have elapsed without a determination, and the Company’s stated approach of waiting for the December 20 forensic deliverable is inconsistent with the SEC’s expectation. The absence of a contemporaneous, documented materiality analysis is itself a compliance deficiency and creates evidentiary risk in any subsequent enforcement inquiry or shareholder litigation. Moreover, the four-business-day disclosure clock under Item 1.05 cannot begin to run until a materiality determination is made; the failure to make that determination effectively suspends — but does not satisfy — the Company’s disclosure obligation.</w:t>
      </w:r>
    </w:p>
    <w:p>
      <w:pPr>
        <w:pStyle w:val="BodyText"/>
      </w:pPr>
      <w:r>
        <w:rPr>
          <w:b/>
          <w:bCs/>
        </w:rPr>
        <w:t xml:space="preserve">Recommendation.</w:t>
      </w:r>
      <w:r>
        <w:t xml:space="preserve"> </w:t>
      </w:r>
      <w:r>
        <w:t xml:space="preserve">Convene the disclosure committee (or equivalent)</w:t>
      </w:r>
      <w:r>
        <w:t xml:space="preserve"> </w:t>
      </w:r>
      <w:r>
        <w:rPr>
          <w:b/>
          <w:bCs/>
        </w:rPr>
        <w:t xml:space="preserve">immediately</w:t>
      </w:r>
      <w:r>
        <w:t xml:space="preserve">, with outside securities counsel, to conduct and document a formal materiality assessment based on information currently available. The assessment should be memorialized in a written analysis (privileged) reflecting both quantitative and qualitative factors. See Section V.</w:t>
      </w:r>
    </w:p>
    <w:bookmarkEnd w:id="28"/>
    <w:bookmarkStart w:id="29" w:name="X7a4831f155ee9eed1b257a7b1319bd92c4b216a"/>
    <w:p>
      <w:pPr>
        <w:pStyle w:val="Heading3"/>
      </w:pPr>
      <w:r>
        <w:t xml:space="preserve">G-02. No Form 8-K Item 1.05 Disclosure Filed —</w:t>
      </w:r>
      <w:r>
        <w:t xml:space="preserve"> </w:t>
      </w:r>
      <w:r>
        <w:rPr>
          <w:b/>
          <w:bCs/>
        </w:rPr>
        <w:t xml:space="preserve">Critical</w:t>
      </w:r>
    </w:p>
    <w:p>
      <w:pPr>
        <w:pStyle w:val="FirstParagraph"/>
      </w:pPr>
      <w:r>
        <w:rPr>
          <w:b/>
          <w:bCs/>
        </w:rPr>
        <w:t xml:space="preserve">Facts.</w:t>
      </w:r>
      <w:r>
        <w:t xml:space="preserve"> </w:t>
      </w:r>
      <w:r>
        <w:t xml:space="preserve">The Status Report (Section 5.4) confirms that</w:t>
      </w:r>
      <w:r>
        <w:t xml:space="preserve"> </w:t>
      </w:r>
      <w:r>
        <w:t xml:space="preserve">“</w:t>
      </w:r>
      <w:r>
        <w:t xml:space="preserve">[n]o Form 8-K or other public disclosure has been filed with the Securities and Exchange Commission regarding this incident.</w:t>
      </w:r>
      <w:r>
        <w:t xml:space="preserve">”</w:t>
      </w:r>
      <w:r>
        <w:t xml:space="preserve"> </w:t>
      </w:r>
      <w:r>
        <w:t xml:space="preserve">No press release or public statement has been issued (Section 5.7).</w:t>
      </w:r>
    </w:p>
    <w:p>
      <w:pPr>
        <w:pStyle w:val="BodyText"/>
      </w:pPr>
      <w:r>
        <w:rPr>
          <w:b/>
          <w:bCs/>
        </w:rPr>
        <w:t xml:space="preserve">Analysis.</w:t>
      </w:r>
      <w:r>
        <w:t xml:space="preserve"> </w:t>
      </w:r>
      <w:r>
        <w:t xml:space="preserve">If the Incident is determined to be material — and, as discussed in Section V, the qualitative factors strongly support materiality — the Company is obligated to file a Form 8-K under Item 1.05 within four business days of that determination. Because no determination has been made (G-01), the clock has not started; however, the longer the determination is deferred, the greater the risk that the SEC or plaintiffs will view the elapsed time as an unreasonable delay in disclosure. The Company should also consider whether voluntary disclosure under</w:t>
      </w:r>
      <w:r>
        <w:t xml:space="preserve"> </w:t>
      </w:r>
      <w:r>
        <w:rPr>
          <w:b/>
          <w:bCs/>
        </w:rPr>
        <w:t xml:space="preserve">Item 8.01 of Form 8-K</w:t>
      </w:r>
      <w:r>
        <w:t xml:space="preserve"> </w:t>
      </w:r>
      <w:r>
        <w:t xml:space="preserve">is warranted in the interim to manage the disclosure narrative, particularly given the breadth of customer, regulatory, and transactional exposure described below.</w:t>
      </w:r>
    </w:p>
    <w:p>
      <w:pPr>
        <w:pStyle w:val="BodyText"/>
      </w:pPr>
      <w:r>
        <w:rPr>
          <w:b/>
          <w:bCs/>
        </w:rPr>
        <w:t xml:space="preserve">Recommendation.</w:t>
      </w:r>
      <w:r>
        <w:t xml:space="preserve"> </w:t>
      </w:r>
      <w:r>
        <w:t xml:space="preserve">Prepare a draft Form 8-K (Item 1.05) in parallel with the materiality assessment so that disclosure can be made promptly upon a materiality determination. The draft should address the nature, scope, and timing of the Incident and its known and reasonably likely impacts, with an express statement that the impact assessment is ongoing where details remain under investigation.</w:t>
      </w:r>
    </w:p>
    <w:bookmarkEnd w:id="29"/>
    <w:bookmarkStart w:id="30" w:name="X6dfa44c77b21726e8ca2c778d32517aa43b3036"/>
    <w:p>
      <w:pPr>
        <w:pStyle w:val="Heading3"/>
      </w:pPr>
      <w:r>
        <w:t xml:space="preserve">G-03. CIRP Not Integrated with Disclosure Controls; No Mandatory Escalation to Legal, CEO, or Board —</w:t>
      </w:r>
      <w:r>
        <w:t xml:space="preserve"> </w:t>
      </w:r>
      <w:r>
        <w:rPr>
          <w:b/>
          <w:bCs/>
        </w:rPr>
        <w:t xml:space="preserve">Critical</w:t>
      </w:r>
    </w:p>
    <w:p>
      <w:pPr>
        <w:pStyle w:val="FirstParagraph"/>
      </w:pPr>
      <w:r>
        <w:rPr>
          <w:b/>
          <w:bCs/>
        </w:rPr>
        <w:t xml:space="preserve">Facts.</w:t>
      </w:r>
      <w:r>
        <w:t xml:space="preserve"> </w:t>
      </w:r>
      <w:r>
        <w:t xml:space="preserve">The CIRP escalation matrix (Section 10.1) provides only the following mandatory notification chain:</w:t>
      </w:r>
    </w:p>
    <w:p>
      <w:pPr>
        <w:pStyle w:val="Compact"/>
        <w:numPr>
          <w:ilvl w:val="0"/>
          <w:numId w:val="1005"/>
        </w:numPr>
      </w:pPr>
      <w:r>
        <w:rPr>
          <w:b/>
          <w:bCs/>
        </w:rPr>
        <w:t xml:space="preserve">Tier 1 (Low):</w:t>
      </w:r>
      <w:r>
        <w:t xml:space="preserve"> </w:t>
      </w:r>
      <w:r>
        <w:t xml:space="preserve">CISO (awareness only);</w:t>
      </w:r>
    </w:p>
    <w:p>
      <w:pPr>
        <w:pStyle w:val="Compact"/>
        <w:numPr>
          <w:ilvl w:val="0"/>
          <w:numId w:val="1005"/>
        </w:numPr>
      </w:pPr>
      <w:r>
        <w:rPr>
          <w:b/>
          <w:bCs/>
        </w:rPr>
        <w:t xml:space="preserve">Tier 2 (Medium):</w:t>
      </w:r>
      <w:r>
        <w:t xml:space="preserve"> </w:t>
      </w:r>
      <w:r>
        <w:t xml:space="preserve">CISO → CTO (within 4 hours of IRT activation);</w:t>
      </w:r>
    </w:p>
    <w:p>
      <w:pPr>
        <w:pStyle w:val="Compact"/>
        <w:numPr>
          <w:ilvl w:val="0"/>
          <w:numId w:val="1005"/>
        </w:numPr>
      </w:pPr>
      <w:r>
        <w:rPr>
          <w:b/>
          <w:bCs/>
        </w:rPr>
        <w:t xml:space="preserve">Tier 3 (High):</w:t>
      </w:r>
      <w:r>
        <w:t xml:space="preserve"> </w:t>
      </w:r>
      <w:r>
        <w:t xml:space="preserve">CISO → CTO (within 2 hours of IRT activation).</w:t>
      </w:r>
    </w:p>
    <w:p>
      <w:pPr>
        <w:pStyle w:val="FirstParagraph"/>
      </w:pPr>
      <w:r>
        <w:t xml:space="preserve">The General Counsel, the CEO, and the Board/Audit Committee appear</w:t>
      </w:r>
      <w:r>
        <w:t xml:space="preserve"> </w:t>
      </w:r>
      <w:r>
        <w:rPr>
          <w:b/>
          <w:bCs/>
        </w:rPr>
        <w:t xml:space="preserve">only</w:t>
      </w:r>
      <w:r>
        <w:t xml:space="preserve"> </w:t>
      </w:r>
      <w:r>
        <w:t xml:space="preserve">in</w:t>
      </w:r>
      <w:r>
        <w:t xml:space="preserve"> </w:t>
      </w:r>
      <w:r>
        <w:rPr>
          <w:b/>
          <w:bCs/>
        </w:rPr>
        <w:t xml:space="preserve">Appendix B —</w:t>
      </w:r>
      <w:r>
        <w:rPr>
          <w:b/>
          <w:bCs/>
        </w:rPr>
        <w:t xml:space="preserve"> </w:t>
      </w:r>
      <w:r>
        <w:rPr>
          <w:b/>
          <w:bCs/>
        </w:rPr>
        <w:t xml:space="preserve">“</w:t>
      </w:r>
      <w:r>
        <w:rPr>
          <w:b/>
          <w:bCs/>
        </w:rPr>
        <w:t xml:space="preserve">Optional Contacts</w:t>
      </w:r>
      <w:r>
        <w:rPr>
          <w:b/>
          <w:bCs/>
        </w:rPr>
        <w:t xml:space="preserve">”</w:t>
      </w:r>
      <w:r>
        <w:t xml:space="preserve">, to be notified</w:t>
      </w:r>
      <w:r>
        <w:t xml:space="preserve"> </w:t>
      </w:r>
      <w:r>
        <w:t xml:space="preserve">“</w:t>
      </w:r>
      <w:r>
        <w:t xml:space="preserve">at the discretion of the Incident Commander.</w:t>
      </w:r>
      <w:r>
        <w:t xml:space="preserve">”</w:t>
      </w:r>
      <w:r>
        <w:t xml:space="preserve"> </w:t>
      </w:r>
      <w:r>
        <w:t xml:space="preserve">CIRP Section 9.3 expressly states that external communications to</w:t>
      </w:r>
      <w:r>
        <w:t xml:space="preserve"> </w:t>
      </w:r>
      <w:r>
        <w:t xml:space="preserve">“</w:t>
      </w:r>
      <w:r>
        <w:t xml:space="preserve">customers, regulators, media, or the public</w:t>
      </w:r>
      <w:r>
        <w:t xml:space="preserve">”</w:t>
      </w:r>
      <w:r>
        <w:t xml:space="preserve"> </w:t>
      </w:r>
      <w:r>
        <w:t xml:space="preserve">are</w:t>
      </w:r>
      <w:r>
        <w:t xml:space="preserve"> </w:t>
      </w:r>
      <w:r>
        <w:rPr>
          <w:b/>
          <w:bCs/>
        </w:rPr>
        <w:t xml:space="preserve">“</w:t>
      </w:r>
      <w:r>
        <w:rPr>
          <w:b/>
          <w:bCs/>
        </w:rPr>
        <w:t xml:space="preserve">outside the scope of this Plan.</w:t>
      </w:r>
      <w:r>
        <w:rPr>
          <w:b/>
          <w:bCs/>
        </w:rPr>
        <w:t xml:space="preserve">”</w:t>
      </w:r>
      <w:r>
        <w:t xml:space="preserve"> </w:t>
      </w:r>
      <w:r>
        <w:t xml:space="preserve">The CIRP contains no reference to SEC disclosure obligations, materiality assessment, or the Company’s disclosure controls and procedures.</w:t>
      </w:r>
    </w:p>
    <w:p>
      <w:pPr>
        <w:pStyle w:val="BodyText"/>
      </w:pPr>
      <w:r>
        <w:rPr>
          <w:b/>
          <w:bCs/>
        </w:rPr>
        <w:t xml:space="preserve">Analysis.</w:t>
      </w:r>
      <w:r>
        <w:t xml:space="preserve"> </w:t>
      </w:r>
      <w:r>
        <w:t xml:space="preserve">This is the structural root cause of the disclosure delays observed in this Incident. Because the CIRP does not mandate escalation to the General Counsel or the Board, the disclosure decision-makers were not engaged on a timely basis:</w:t>
      </w:r>
    </w:p>
    <w:p>
      <w:pPr>
        <w:pStyle w:val="Compact"/>
        <w:numPr>
          <w:ilvl w:val="0"/>
          <w:numId w:val="1006"/>
        </w:numPr>
      </w:pPr>
      <w:r>
        <w:t xml:space="preserve">The</w:t>
      </w:r>
      <w:r>
        <w:t xml:space="preserve"> </w:t>
      </w:r>
      <w:r>
        <w:rPr>
          <w:b/>
          <w:bCs/>
        </w:rPr>
        <w:t xml:space="preserve">Associate General Counsel</w:t>
      </w:r>
      <w:r>
        <w:t xml:space="preserve"> </w:t>
      </w:r>
      <w:r>
        <w:t xml:space="preserve">learned of the Incident on Day 1 (November 19) only through</w:t>
      </w:r>
      <w:r>
        <w:t xml:space="preserve"> </w:t>
      </w:r>
      <w:r>
        <w:t xml:space="preserve">“</w:t>
      </w:r>
      <w:r>
        <w:t xml:space="preserve">informal communication from an IT colleague.</w:t>
      </w:r>
      <w:r>
        <w:t xml:space="preserve">”</w:t>
      </w:r>
    </w:p>
    <w:p>
      <w:pPr>
        <w:pStyle w:val="Compact"/>
        <w:numPr>
          <w:ilvl w:val="0"/>
          <w:numId w:val="1006"/>
        </w:numPr>
      </w:pPr>
      <w:r>
        <w:t xml:space="preserve">The</w:t>
      </w:r>
      <w:r>
        <w:t xml:space="preserve"> </w:t>
      </w:r>
      <w:r>
        <w:rPr>
          <w:b/>
          <w:bCs/>
        </w:rPr>
        <w:t xml:space="preserve">General Counsel</w:t>
      </w:r>
      <w:r>
        <w:t xml:space="preserve"> </w:t>
      </w:r>
      <w:r>
        <w:t xml:space="preserve">was not informed until Day 2 (November 20, 9:00 AM), and only because she returned from international travel; had she remained abroad, notification could have been further delayed.</w:t>
      </w:r>
    </w:p>
    <w:p>
      <w:pPr>
        <w:pStyle w:val="Compact"/>
        <w:numPr>
          <w:ilvl w:val="0"/>
          <w:numId w:val="1006"/>
        </w:numPr>
      </w:pPr>
      <w:r>
        <w:t xml:space="preserve">The</w:t>
      </w:r>
      <w:r>
        <w:t xml:space="preserve"> </w:t>
      </w:r>
      <w:r>
        <w:rPr>
          <w:b/>
          <w:bCs/>
        </w:rPr>
        <w:t xml:space="preserve">CEO</w:t>
      </w:r>
      <w:r>
        <w:t xml:space="preserve"> </w:t>
      </w:r>
      <w:r>
        <w:t xml:space="preserve">was not briefed until Day 7 (November 25).</w:t>
      </w:r>
    </w:p>
    <w:p>
      <w:pPr>
        <w:pStyle w:val="Compact"/>
        <w:numPr>
          <w:ilvl w:val="0"/>
          <w:numId w:val="1006"/>
        </w:numPr>
      </w:pPr>
      <w:r>
        <w:t xml:space="preserve">The</w:t>
      </w:r>
      <w:r>
        <w:t xml:space="preserve"> </w:t>
      </w:r>
      <w:r>
        <w:rPr>
          <w:b/>
          <w:bCs/>
        </w:rPr>
        <w:t xml:space="preserve">Audit Committee Chair</w:t>
      </w:r>
      <w:r>
        <w:t xml:space="preserve"> </w:t>
      </w:r>
      <w:r>
        <w:t xml:space="preserve">was not notified until Day 15 (December 3).</w:t>
      </w:r>
    </w:p>
    <w:p>
      <w:pPr>
        <w:pStyle w:val="FirstParagraph"/>
      </w:pPr>
      <w:r>
        <w:t xml:space="preserve">A CIRP that excludes regulatory and disclosure considerations from its scope, and that treats legal and Board notification as discretionary, is fundamentally inconsistent with Item 106(c) governance disclosures (which represent that the Board is informed of significant incidents</w:t>
      </w:r>
      <w:r>
        <w:t xml:space="preserve"> </w:t>
      </w:r>
      <w:r>
        <w:t xml:space="preserve">“</w:t>
      </w:r>
      <w:r>
        <w:t xml:space="preserve">in a timely manner</w:t>
      </w:r>
      <w:r>
        <w:t xml:space="preserve">”</w:t>
      </w:r>
      <w:r>
        <w:t xml:space="preserve">) and with the Company’s obligations under Item 307 to maintain disclosure controls that route material information to decision-makers promptly. The CIRP’s design effectively sequesters incident response within the technology function and creates a structural barrier to timely disclosure.</w:t>
      </w:r>
    </w:p>
    <w:p>
      <w:pPr>
        <w:pStyle w:val="BodyText"/>
      </w:pPr>
      <w:r>
        <w:rPr>
          <w:b/>
          <w:bCs/>
        </w:rPr>
        <w:t xml:space="preserve">Recommendation.</w:t>
      </w:r>
      <w:r>
        <w:t xml:space="preserve"> </w:t>
      </w:r>
      <w:r>
        <w:t xml:space="preserve">Amend the CIRP to (i) make notification of the General Counsel</w:t>
      </w:r>
      <w:r>
        <w:t xml:space="preserve"> </w:t>
      </w:r>
      <w:r>
        <w:rPr>
          <w:b/>
          <w:bCs/>
        </w:rPr>
        <w:t xml:space="preserve">mandatory and immediate</w:t>
      </w:r>
      <w:r>
        <w:t xml:space="preserve"> </w:t>
      </w:r>
      <w:r>
        <w:t xml:space="preserve">for any Tier 2 or Tier 3 incident (and for any incident with potential data exfiltration, regulatory, or customer-notification implications); (ii) add mandatory escalation to the CEO and to the Audit Committee Chair (or the full Board, as appropriate) with defined timeframes; (iii) integrate the CIRP with the Company’s disclosure controls and procedures by cross-referencing the disclosure committee and the Item 1.05 materiality/determination process; and (iv) remove or revise Section 9.3 so that external and regulatory communications are governed by a defined protocol coordinated with Legal and the disclosure committee rather than excluded entirely.</w:t>
      </w:r>
    </w:p>
    <w:bookmarkEnd w:id="30"/>
    <w:bookmarkStart w:id="31" w:name="Xccd6cc0c49bfa53c3aa5221ba9496081892dcec"/>
    <w:p>
      <w:pPr>
        <w:pStyle w:val="Heading3"/>
      </w:pPr>
      <w:r>
        <w:t xml:space="preserve">G-04. Delayed Board / Audit Committee Notification (Day 15) —</w:t>
      </w:r>
      <w:r>
        <w:t xml:space="preserve"> </w:t>
      </w:r>
      <w:r>
        <w:rPr>
          <w:b/>
          <w:bCs/>
        </w:rPr>
        <w:t xml:space="preserve">Critical</w:t>
      </w:r>
    </w:p>
    <w:p>
      <w:pPr>
        <w:pStyle w:val="FirstParagraph"/>
      </w:pPr>
      <w:r>
        <w:rPr>
          <w:b/>
          <w:bCs/>
        </w:rPr>
        <w:t xml:space="preserve">Facts.</w:t>
      </w:r>
      <w:r>
        <w:t xml:space="preserve"> </w:t>
      </w:r>
      <w:r>
        <w:t xml:space="preserve">The first Board-level communication regarding the Incident was the GC Email to Audit Committee Chair Dr. Helen Ostrowski on December 3, 2024 — Day 15 after detection. No special meeting of the Audit Committee has been called; the next regularly scheduled meeting is January 22, 2025. The FY2023 10-K (Item 1C) states that</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 of developments that may affect the Company’s operations, financial condition, or public disclosure obligations.</w:t>
      </w:r>
      <w:r>
        <w:t xml:space="preserve">”</w:t>
      </w:r>
    </w:p>
    <w:p>
      <w:pPr>
        <w:pStyle w:val="BodyText"/>
      </w:pPr>
      <w:r>
        <w:rPr>
          <w:b/>
          <w:bCs/>
        </w:rPr>
        <w:t xml:space="preserve">Analysis.</w:t>
      </w:r>
      <w:r>
        <w:t xml:space="preserve"> </w:t>
      </w:r>
      <w:r>
        <w:t xml:space="preserve">A 15-day delay in notifying the Audit Committee Chair of a Tier 3 ransomware event involving confirmed data exfiltration of customer banking information is inconsistent with the</w:t>
      </w:r>
      <w:r>
        <w:t xml:space="preserve"> </w:t>
      </w:r>
      <w:r>
        <w:t xml:space="preserve">“</w:t>
      </w:r>
      <w:r>
        <w:t xml:space="preserve">timely manner</w:t>
      </w:r>
      <w:r>
        <w:t xml:space="preserve">”</w:t>
      </w:r>
      <w:r>
        <w:t xml:space="preserve"> </w:t>
      </w:r>
      <w:r>
        <w:t xml:space="preserve">escalation process described in the Company’s own 10-K. This delay both (a) undermines the accuracy of the Item 106(c) governance disclosure (which describes a timely escalation process that was not followed) and (b) impaired the Board’s ability to discharge its oversight function with respect to a matter carrying significant disclosure, financial, regulatory, and reputational consequences. The Audit Committee’s role in overseeing disclosure controls and financial reporting integrity (including ICFR, implicated here by the compromise of the ERP finance module) makes prompt notification particularly important.</w:t>
      </w:r>
    </w:p>
    <w:p>
      <w:pPr>
        <w:pStyle w:val="BodyText"/>
      </w:pPr>
      <w:r>
        <w:rPr>
          <w:b/>
          <w:bCs/>
        </w:rPr>
        <w:t xml:space="preserve">Recommendation.</w:t>
      </w:r>
      <w:r>
        <w:t xml:space="preserve"> </w:t>
      </w:r>
      <w:r>
        <w:t xml:space="preserve">Notify the full Audit Committee (and, as appropriate, the full Board) immediately. Schedule a special Audit Committee meeting to review the Incident, the materiality assessment, the proposed Form 8-K, ICFR implications, and the remediation plan. Going forward, codify Board/Audit Committee notification timeframes in the CIRP (see G-03) and in the Audit Committee Charter (see G-05).</w:t>
      </w:r>
    </w:p>
    <w:bookmarkEnd w:id="31"/>
    <w:bookmarkStart w:id="32" w:name="X124dfb33a0a66f01c60d635d7a4121578fafc29"/>
    <w:p>
      <w:pPr>
        <w:pStyle w:val="Heading3"/>
      </w:pPr>
      <w:r>
        <w:t xml:space="preserve">G-05. Audit Committee Charter Lacks Cybersecurity Oversight Provisions —</w:t>
      </w:r>
      <w:r>
        <w:t xml:space="preserve"> </w:t>
      </w:r>
      <w:r>
        <w:rPr>
          <w:b/>
          <w:bCs/>
        </w:rPr>
        <w:t xml:space="preserve">High</w:t>
      </w:r>
    </w:p>
    <w:p>
      <w:pPr>
        <w:pStyle w:val="FirstParagraph"/>
      </w:pPr>
      <w:r>
        <w:rPr>
          <w:b/>
          <w:bCs/>
        </w:rPr>
        <w:t xml:space="preserve">Facts.</w:t>
      </w:r>
      <w:r>
        <w:t xml:space="preserve"> </w:t>
      </w:r>
      <w:r>
        <w:t xml:space="preserve">The Audit Committee Charter, last amended March 15, 2021, contains no reference to cybersecurity. Section V.D (</w:t>
      </w:r>
      <w:r>
        <w:t xml:space="preserve">“</w:t>
      </w:r>
      <w:r>
        <w:t xml:space="preserve">Compliance and Risk Management</w:t>
      </w:r>
      <w:r>
        <w:t xml:space="preserve">”</w:t>
      </w:r>
      <w:r>
        <w:t xml:space="preserve">) addresses</w:t>
      </w:r>
      <w:r>
        <w:t xml:space="preserve"> </w:t>
      </w:r>
      <w:r>
        <w:t xml:space="preserve">“</w:t>
      </w:r>
      <w:r>
        <w:t xml:space="preserve">major</w:t>
      </w:r>
      <w:r>
        <w:t xml:space="preserve"> </w:t>
      </w:r>
      <w:r>
        <w:rPr>
          <w:b/>
          <w:bCs/>
        </w:rPr>
        <w:t xml:space="preserve">financial</w:t>
      </w:r>
      <w:r>
        <w:t xml:space="preserve"> </w:t>
      </w:r>
      <w:r>
        <w:t xml:space="preserve">risk exposures</w:t>
      </w:r>
      <w:r>
        <w:t xml:space="preserve">”</w:t>
      </w:r>
      <w:r>
        <w:t xml:space="preserve"> </w:t>
      </w:r>
      <w:r>
        <w:t xml:space="preserve">and does not expressly encompass cybersecurity or enterprise/operational risk. The Charter predates the SEC’s 2023 cybersecurity rules and has not been amended to reflect the oversight role described in the FY2023 10-K Item 1C, which states that</w:t>
      </w:r>
      <w:r>
        <w:t xml:space="preserve"> </w:t>
      </w:r>
      <w:r>
        <w:t xml:space="preserve">“</w:t>
      </w:r>
      <w:r>
        <w:t xml:space="preserve">the Board, acting primarily through its Audit Committee, oversees the Company’s cybersecurity risk management program.</w:t>
      </w:r>
      <w:r>
        <w:t xml:space="preserve">”</w:t>
      </w:r>
    </w:p>
    <w:p>
      <w:pPr>
        <w:pStyle w:val="BodyText"/>
      </w:pPr>
      <w:r>
        <w:rPr>
          <w:b/>
          <w:bCs/>
        </w:rPr>
        <w:t xml:space="preserve">Analysis.</w:t>
      </w:r>
      <w:r>
        <w:t xml:space="preserve"> </w:t>
      </w:r>
      <w:r>
        <w:t xml:space="preserve">While Item 106(c) does not expressly mandate a charter amendment, the SEC’s governance disclosure framework expects that the board’s oversight of cybersecurity risk be reflected in the registrant’s governance documents and practices. The absence of any cybersecurity oversight language in the Charter creates an inconsistency between the Company’s disclosed governance structure and its governing documents, and leaves the Committee’s cybersecurity authority undocumented. This gap is also relevant to the Board’s ability to respond to the current Incident and to future incidents in a manner consistent with its disclosed role.</w:t>
      </w:r>
    </w:p>
    <w:p>
      <w:pPr>
        <w:pStyle w:val="BodyText"/>
      </w:pPr>
      <w:r>
        <w:rPr>
          <w:b/>
          <w:bCs/>
        </w:rPr>
        <w:t xml:space="preserve">Recommendation.</w:t>
      </w:r>
      <w:r>
        <w:t xml:space="preserve"> </w:t>
      </w:r>
      <w:r>
        <w:t xml:space="preserve">Amend the Audit Committee Charter to add an express cybersecurity oversight provision, including: (i) oversight of the cybersecurity risk management program and the CIRP; (ii) receipt of periodic (at least quarterly) cybersecurity reports from management; (iii) oversight of the Company’s processes for assessing materiality of cybersecurity incidents and complying with Item 1.05; and (iv) escalation and reporting responsibilities for significant incidents. The amendment should be approved by the Board and disclosed as appropriate.</w:t>
      </w:r>
    </w:p>
    <w:bookmarkEnd w:id="32"/>
    <w:bookmarkStart w:id="33" w:name="Xba2bae4445ded8fecce01c14f6382628ecb4ea9"/>
    <w:p>
      <w:pPr>
        <w:pStyle w:val="Heading3"/>
      </w:pPr>
      <w:r>
        <w:t xml:space="preserve">G-06. Potential Inaccuracy in FY2023 10-K Item 1C (MFA Representation) —</w:t>
      </w:r>
      <w:r>
        <w:t xml:space="preserve"> </w:t>
      </w:r>
      <w:r>
        <w:rPr>
          <w:b/>
          <w:bCs/>
        </w:rPr>
        <w:t xml:space="preserve">High</w:t>
      </w:r>
    </w:p>
    <w:p>
      <w:pPr>
        <w:pStyle w:val="FirstParagraph"/>
      </w:pPr>
      <w:r>
        <w:rPr>
          <w:b/>
          <w:bCs/>
        </w:rPr>
        <w:t xml:space="preserve">Facts.</w:t>
      </w:r>
      <w:r>
        <w:t xml:space="preserve"> </w:t>
      </w:r>
      <w:r>
        <w:t xml:space="preserve">The FY2023 10-K (Item 1C) states that the Company</w:t>
      </w:r>
      <w:r>
        <w:t xml:space="preserve"> </w:t>
      </w:r>
      <w:r>
        <w:t xml:space="preserve">“</w:t>
      </w:r>
      <w:r>
        <w:t xml:space="preserve">has implemented access management controls, including role-based access controls, privileged access management, and</w:t>
      </w:r>
      <w:r>
        <w:t xml:space="preserve"> </w:t>
      </w:r>
      <w:r>
        <w:rPr>
          <w:b/>
          <w:bCs/>
        </w:rPr>
        <w:t xml:space="preserve">multi-factor authentication for access to critical information systems, remote access connections, and administrative accounts</w:t>
      </w:r>
      <w:r>
        <w:t xml:space="preserve">.</w:t>
      </w:r>
      <w:r>
        <w:t xml:space="preserve">”</w:t>
      </w:r>
      <w:r>
        <w:t xml:space="preserve"> </w:t>
      </w:r>
      <w:r>
        <w:t xml:space="preserve">The Thorngate Interim Report (Section 6.2) states that</w:t>
      </w:r>
      <w:r>
        <w:t xml:space="preserve"> </w:t>
      </w:r>
      <w:r>
        <w:t xml:space="preserve">“</w:t>
      </w:r>
      <w:r>
        <w:t xml:space="preserve">MFA has been enforced on all VPN connections as of November 20, 2024.</w:t>
      </w:r>
      <w:r>
        <w:t xml:space="preserve"> </w:t>
      </w:r>
      <w:r>
        <w:rPr>
          <w:b/>
          <w:bCs/>
        </w:rPr>
        <w:t xml:space="preserve">Prior to this date, MFA was not universally required for third-party contractor VPN access.</w:t>
      </w:r>
      <w:r>
        <w:t xml:space="preserve">”</w:t>
      </w:r>
      <w:r>
        <w:t xml:space="preserve"> </w:t>
      </w:r>
      <w:r>
        <w:t xml:space="preserve">The Status Report (Section 3) confirms that the compromised third-party contractor VPN credential</w:t>
      </w:r>
      <w:r>
        <w:t xml:space="preserve"> </w:t>
      </w:r>
      <w:r>
        <w:t xml:space="preserve">“</w:t>
      </w:r>
      <w:r>
        <w:t xml:space="preserve">was not protected by multi-factor authentication.</w:t>
      </w:r>
      <w:r>
        <w:t xml:space="preserve">”</w:t>
      </w:r>
    </w:p>
    <w:p>
      <w:pPr>
        <w:pStyle w:val="BodyText"/>
      </w:pPr>
      <w:r>
        <w:rPr>
          <w:b/>
          <w:bCs/>
        </w:rPr>
        <w:t xml:space="preserve">Analysis.</w:t>
      </w:r>
      <w:r>
        <w:t xml:space="preserve"> </w:t>
      </w:r>
      <w:r>
        <w:t xml:space="preserve">If third-party contractor VPN access lacked MFA as of the February 28, 2024 filing date of the FY2023 10-K — which the forensic finding suggests was the case — the Company’s Item 1C representation that it had implemented MFA for</w:t>
      </w:r>
      <w:r>
        <w:t xml:space="preserve"> </w:t>
      </w:r>
      <w:r>
        <w:t xml:space="preserve">“</w:t>
      </w:r>
      <w:r>
        <w:t xml:space="preserve">remote access connections</w:t>
      </w:r>
      <w:r>
        <w:t xml:space="preserve">”</w:t>
      </w:r>
      <w:r>
        <w:t xml:space="preserve"> </w:t>
      </w:r>
      <w:r>
        <w:t xml:space="preserve">may have been</w:t>
      </w:r>
      <w:r>
        <w:t xml:space="preserve"> </w:t>
      </w:r>
      <w:r>
        <w:rPr>
          <w:b/>
          <w:bCs/>
        </w:rPr>
        <w:t xml:space="preserve">overstated or inaccurate as filed</w:t>
      </w:r>
      <w:r>
        <w:t xml:space="preserve">. This raises potential concerns under Section 10(b) and Rule 10b-5 (material misstatement/omission) and under the accuracy requirements of Item 106. The materiality of any inaccuracy depends on whether a reasonable investor would have considered the MFA gap important in the context of the overall Item 1C disclosure; given that the absence of MFA on third-party remote access was the precise vector exploited in the Incident, the inconsistency is likely material in retrospect. This issue also intersects with the insurance warranty analysis in G-10.</w:t>
      </w:r>
    </w:p>
    <w:p>
      <w:pPr>
        <w:pStyle w:val="BodyText"/>
      </w:pPr>
      <w:r>
        <w:rPr>
          <w:b/>
          <w:bCs/>
        </w:rPr>
        <w:t xml:space="preserve">Recommendation.</w:t>
      </w:r>
      <w:r>
        <w:t xml:space="preserve"> </w:t>
      </w:r>
      <w:r>
        <w:t xml:space="preserve">Conduct a privileged investigation, with outside counsel, to determine the factual state of MFA deployment on third-party (and all remote) access pathways as of the February 28, 2024 filing date. If the 10-K representation was inaccurate, evaluate whether a corrective disclosure is required (e.g., in the FY2024 10-K Item 1C, and potentially via Form 8-K if the inaccuracy is material). Ensure that the FY2024 10-K Item 1C disclosure accurately describes the Company’s access-management controls as of the filing date, including the remediation undertaken in November 2024.</w:t>
      </w:r>
    </w:p>
    <w:bookmarkEnd w:id="33"/>
    <w:bookmarkStart w:id="34" w:name="X7fdd3afb75450610a63d9f7ee62895bc8100786"/>
    <w:p>
      <w:pPr>
        <w:pStyle w:val="Heading3"/>
      </w:pPr>
      <w:r>
        <w:t xml:space="preserve">G-07. ICFR Implications — Finance System Compromised; Independent Auditor Not Notified —</w:t>
      </w:r>
      <w:r>
        <w:t xml:space="preserve"> </w:t>
      </w:r>
      <w:r>
        <w:rPr>
          <w:b/>
          <w:bCs/>
        </w:rPr>
        <w:t xml:space="preserve">High</w:t>
      </w:r>
    </w:p>
    <w:p>
      <w:pPr>
        <w:pStyle w:val="FirstParagraph"/>
      </w:pPr>
      <w:r>
        <w:rPr>
          <w:b/>
          <w:bCs/>
        </w:rPr>
        <w:t xml:space="preserve">Facts.</w:t>
      </w:r>
      <w:r>
        <w:t xml:space="preserve"> </w:t>
      </w:r>
      <w:r>
        <w:t xml:space="preserve">The ransomware encrypted the ERP</w:t>
      </w:r>
      <w:r>
        <w:t xml:space="preserve"> </w:t>
      </w:r>
      <w:r>
        <w:rPr>
          <w:b/>
          <w:bCs/>
        </w:rPr>
        <w:t xml:space="preserve">finance module</w:t>
      </w:r>
      <w:r>
        <w:t xml:space="preserve"> </w:t>
      </w:r>
      <w:r>
        <w:t xml:space="preserve">(together with the procurement and order management modules), which supports accounts payable, accounts receivable, general ledger, and financial reporting. The Thorngate Interim Report (Section 6.4) states that the ERP modules are</w:t>
      </w:r>
      <w:r>
        <w:t xml:space="preserve"> </w:t>
      </w:r>
      <w:r>
        <w:t xml:space="preserve">“</w:t>
      </w:r>
      <w:r>
        <w:t xml:space="preserve">partially operational,</w:t>
      </w:r>
      <w:r>
        <w:t xml:space="preserve">”</w:t>
      </w:r>
      <w:r>
        <w:t xml:space="preserve"> </w:t>
      </w:r>
      <w:r>
        <w:t xml:space="preserve">that</w:t>
      </w:r>
      <w:r>
        <w:t xml:space="preserve"> </w:t>
      </w:r>
      <w:r>
        <w:t xml:space="preserve">“</w:t>
      </w:r>
      <w:r>
        <w:t xml:space="preserve">data integrity validation is currently ongoing,</w:t>
      </w:r>
      <w:r>
        <w:t xml:space="preserve">”</w:t>
      </w:r>
      <w:r>
        <w:t xml:space="preserve"> </w:t>
      </w:r>
      <w:r>
        <w:t xml:space="preserve">and that</w:t>
      </w:r>
      <w:r>
        <w:t xml:space="preserve"> </w:t>
      </w:r>
      <w:r>
        <w:t xml:space="preserve">“</w:t>
      </w:r>
      <w:r>
        <w:t xml:space="preserve">until data integrity validation is complete, certain ERP functions may produce results that require manual verification.</w:t>
      </w:r>
      <w:r>
        <w:t xml:space="preserve">”</w:t>
      </w:r>
      <w:r>
        <w:t xml:space="preserve"> </w:t>
      </w:r>
      <w:r>
        <w:t xml:space="preserve">The Status Report (Section 5.8) confirms that the independent auditor, Greystone &amp; Associates LLP,</w:t>
      </w:r>
      <w:r>
        <w:t xml:space="preserve"> </w:t>
      </w:r>
      <w:r>
        <w:t xml:space="preserve">“</w:t>
      </w:r>
      <w:r>
        <w:t xml:space="preserve">has not been notified of the incident</w:t>
      </w:r>
      <w:r>
        <w:t xml:space="preserve">”</w:t>
      </w:r>
      <w:r>
        <w:t xml:space="preserve"> </w:t>
      </w:r>
      <w:r>
        <w:t xml:space="preserve">and that the FY2024 audit cycle has not yet commenced.</w:t>
      </w:r>
    </w:p>
    <w:p>
      <w:pPr>
        <w:pStyle w:val="BodyText"/>
      </w:pPr>
      <w:r>
        <w:rPr>
          <w:b/>
          <w:bCs/>
        </w:rPr>
        <w:t xml:space="preserve">Analysis.</w:t>
      </w:r>
      <w:r>
        <w:t xml:space="preserve"> </w:t>
      </w:r>
      <w:r>
        <w:t xml:space="preserve">The compromise and restoration-from-backup of the Company’s core financial accounting system raises potential</w:t>
      </w:r>
      <w:r>
        <w:t xml:space="preserve"> </w:t>
      </w:r>
      <w:r>
        <w:rPr>
          <w:b/>
          <w:bCs/>
        </w:rPr>
        <w:t xml:space="preserve">internal control over financial reporting (ICFR)</w:t>
      </w:r>
      <w:r>
        <w:t xml:space="preserve"> </w:t>
      </w:r>
      <w:r>
        <w:t xml:space="preserve">implications under Sarbanes-Oxley Section 404, including risks to data integrity, the completeness and accuracy of restored financial records, and the design and operating effectiveness of IT general controls. The CEO and CFO certifications under Section 302 for the FY2024 10-K will require conclusions regarding disclosure controls and ICFR that may be affected by this Incident. Failure to notify the independent auditor in a timely manner impairs the auditor’s ability to plan the FY2024 audit, evaluate ICFR, and assess subsequent events, and is inconsistent with the Audit Committee Charter’s framework for auditor communication (Charter Section V.B.6, V.B.8). A control deficiency or material weakness arising from the Incident could itself require disclosure.</w:t>
      </w:r>
    </w:p>
    <w:p>
      <w:pPr>
        <w:pStyle w:val="BodyText"/>
      </w:pPr>
      <w:r>
        <w:rPr>
          <w:b/>
          <w:bCs/>
        </w:rPr>
        <w:t xml:space="preserve">Recommendation.</w:t>
      </w:r>
      <w:r>
        <w:t xml:space="preserve"> </w:t>
      </w:r>
      <w:r>
        <w:t xml:space="preserve">Notify Greystone &amp; Associates LLP promptly. Convene management (CFO, Controller, CISO, IT Infrastructure) to assess ICFR impact, document the assessment, and determine whether a control deficiency or material weakness exists. Coordinate with the auditor on audit-planning implications, including data-integrity testing of restored ERP data. Ensure that the FY2024 10-K disclosures (Items 9A and 1C, and MD&amp;A) accurately reflect any ICFR impact.</w:t>
      </w:r>
    </w:p>
    <w:bookmarkEnd w:id="34"/>
    <w:bookmarkStart w:id="35" w:name="X66e611fab59b322209244f3e4d4333f50f3d3bd"/>
    <w:p>
      <w:pPr>
        <w:pStyle w:val="Heading3"/>
      </w:pPr>
      <w:r>
        <w:t xml:space="preserve">G-08. Customer Contract Notification Breaches (Top Customers) —</w:t>
      </w:r>
      <w:r>
        <w:t xml:space="preserve"> </w:t>
      </w:r>
      <w:r>
        <w:rPr>
          <w:b/>
          <w:bCs/>
        </w:rPr>
        <w:t xml:space="preserve">High</w:t>
      </w:r>
    </w:p>
    <w:p>
      <w:pPr>
        <w:pStyle w:val="FirstParagraph"/>
      </w:pPr>
      <w:r>
        <w:rPr>
          <w:b/>
          <w:bCs/>
        </w:rPr>
        <w:t xml:space="preserve">Facts.</w:t>
      </w:r>
      <w:r>
        <w:t xml:space="preserve"> </w:t>
      </w:r>
      <w:r>
        <w:t xml:space="preserve">The Customer Contract Excerpts identify 48-hour security-incident notification obligations in three top-ten customer agreements, all of which have been breached:</w:t>
      </w:r>
    </w:p>
    <w:p>
      <w:pPr>
        <w:pStyle w:val="Compact"/>
        <w:numPr>
          <w:ilvl w:val="0"/>
          <w:numId w:val="1007"/>
        </w:numPr>
      </w:pPr>
      <w:r>
        <w:rPr>
          <w:b/>
          <w:bCs/>
        </w:rPr>
        <w:t xml:space="preserve">Harmon Defense Solutions (MSA § 9.4):</w:t>
      </w:r>
      <w:r>
        <w:t xml:space="preserve"> </w:t>
      </w:r>
      <w:r>
        <w:t xml:space="preserve">48-hour written notification; failure triggers</w:t>
      </w:r>
      <w:r>
        <w:t xml:space="preserve"> </w:t>
      </w:r>
      <w:r>
        <w:rPr>
          <w:b/>
          <w:bCs/>
        </w:rPr>
        <w:t xml:space="preserve">$500,000 liquidated damages</w:t>
      </w:r>
      <w:r>
        <w:t xml:space="preserve"> </w:t>
      </w:r>
      <w:r>
        <w:t xml:space="preserve">per incident (§ 9.5(a)), a 30-day termination right (§ 9.5(b)), and full indemnification (§ 9.5(c)).</w:t>
      </w:r>
    </w:p>
    <w:p>
      <w:pPr>
        <w:pStyle w:val="Compact"/>
        <w:numPr>
          <w:ilvl w:val="0"/>
          <w:numId w:val="1007"/>
        </w:numPr>
      </w:pPr>
      <w:r>
        <w:rPr>
          <w:b/>
          <w:bCs/>
        </w:rPr>
        <w:t xml:space="preserve">Crestfield Aerospace (GTCP § 12.2):</w:t>
      </w:r>
      <w:r>
        <w:t xml:space="preserve"> </w:t>
      </w:r>
      <w:r>
        <w:t xml:space="preserve">48-hour notification; consequences include</w:t>
      </w:r>
      <w:r>
        <w:t xml:space="preserve"> </w:t>
      </w:r>
      <w:r>
        <w:rPr>
          <w:b/>
          <w:bCs/>
        </w:rPr>
        <w:t xml:space="preserve">immediate termination</w:t>
      </w:r>
      <w:r>
        <w:t xml:space="preserve">,</w:t>
      </w:r>
      <w:r>
        <w:t xml:space="preserve"> </w:t>
      </w:r>
      <w:r>
        <w:rPr>
          <w:b/>
          <w:bCs/>
        </w:rPr>
        <w:t xml:space="preserve">payment suspension</w:t>
      </w:r>
      <w:r>
        <w:t xml:space="preserve"> </w:t>
      </w:r>
      <w:r>
        <w:t xml:space="preserve">pending investigation, a 12-month audit right at Vantage’s expense, and a</w:t>
      </w:r>
      <w:r>
        <w:t xml:space="preserve"> </w:t>
      </w:r>
      <w:r>
        <w:rPr>
          <w:b/>
          <w:bCs/>
        </w:rPr>
        <w:t xml:space="preserve">$10 million</w:t>
      </w:r>
      <w:r>
        <w:t xml:space="preserve"> </w:t>
      </w:r>
      <w:r>
        <w:t xml:space="preserve">cyber-insurance requirement (§ 12.3).</w:t>
      </w:r>
    </w:p>
    <w:p>
      <w:pPr>
        <w:pStyle w:val="Compact"/>
        <w:numPr>
          <w:ilvl w:val="0"/>
          <w:numId w:val="1007"/>
        </w:numPr>
      </w:pPr>
      <w:r>
        <w:rPr>
          <w:b/>
          <w:bCs/>
        </w:rPr>
        <w:t xml:space="preserve">Nexagen Manufacturing (VISA § 7.8):</w:t>
      </w:r>
      <w:r>
        <w:t xml:space="preserve"> </w:t>
      </w:r>
      <w:r>
        <w:t xml:space="preserve">48-hour notification; consequences include 15-day termination (immediate if attributable to a security-standards failure), a</w:t>
      </w:r>
      <w:r>
        <w:t xml:space="preserve"> </w:t>
      </w:r>
      <w:r>
        <w:rPr>
          <w:b/>
          <w:bCs/>
        </w:rPr>
        <w:t xml:space="preserve">24-month future-business exclusion</w:t>
      </w:r>
      <w:r>
        <w:t xml:space="preserve">, and indemnification (§ 7.9).</w:t>
      </w:r>
    </w:p>
    <w:p>
      <w:pPr>
        <w:pStyle w:val="FirstParagraph"/>
      </w:pPr>
      <w:r>
        <w:t xml:space="preserve">The 48-hour deadlines expired no later than November 20, 2024. As of December 5, 2024,</w:t>
      </w:r>
      <w:r>
        <w:t xml:space="preserve"> </w:t>
      </w:r>
      <w:r>
        <w:rPr>
          <w:b/>
          <w:bCs/>
        </w:rPr>
        <w:t xml:space="preserve">no customer notifications have been sent</w:t>
      </w:r>
      <w:r>
        <w:t xml:space="preserve">. These three customers are among the Company’s top ten, which collectively represent approximately</w:t>
      </w:r>
      <w:r>
        <w:t xml:space="preserve"> </w:t>
      </w:r>
      <w:r>
        <w:rPr>
          <w:b/>
          <w:bCs/>
        </w:rPr>
        <w:t xml:space="preserve">38% of total revenue (~$710.6 million of ~$1.87 billion projected FY2024 revenue)</w:t>
      </w:r>
      <w:r>
        <w:t xml:space="preserve">; at least six of the top ten are believed to have records in the exfiltrated dataset.</w:t>
      </w:r>
    </w:p>
    <w:p>
      <w:pPr>
        <w:pStyle w:val="BodyText"/>
      </w:pPr>
      <w:r>
        <w:rPr>
          <w:b/>
          <w:bCs/>
        </w:rPr>
        <w:t xml:space="preserve">Analysis.</w:t>
      </w:r>
      <w:r>
        <w:t xml:space="preserve"> </w:t>
      </w:r>
      <w:r>
        <w:t xml:space="preserve">While customer-contract notification obligations are not, standing alone, SEC requirements, they are</w:t>
      </w:r>
      <w:r>
        <w:t xml:space="preserve"> </w:t>
      </w:r>
      <w:r>
        <w:rPr>
          <w:b/>
          <w:bCs/>
        </w:rPr>
        <w:t xml:space="preserve">materiality inputs</w:t>
      </w:r>
      <w:r>
        <w:t xml:space="preserve"> </w:t>
      </w:r>
      <w:r>
        <w:t xml:space="preserve">of the first order. The potential loss of, or impairment to, relationships generating ~38% of revenue — through liquidated damages, termination, payment suspension, and future-business exclusion — is a qualitative factor that a reasonable investor would likely consider important. The breach of these contractual obligations also generates litigation and indemnity exposure that affects the Company’s financial condition and results of operations, and therefore bears directly on the Item 1.05 impact analysis and on MD&amp;A disclosure in the FY2024 10-K. The delay in customer notification also compounds regulatory exposure (see G-09), as several state breach-notification statutes are triggered by the exposure of customer banking data.</w:t>
      </w:r>
    </w:p>
    <w:p>
      <w:pPr>
        <w:pStyle w:val="BodyText"/>
      </w:pPr>
      <w:r>
        <w:rPr>
          <w:b/>
          <w:bCs/>
        </w:rPr>
        <w:t xml:space="preserve">Recommendation.</w:t>
      </w:r>
      <w:r>
        <w:t xml:space="preserve"> </w:t>
      </w:r>
      <w:r>
        <w:t xml:space="preserve">In coordination with Legal, issue notifications to affected customers as soon as the affected-records scope is sufficiently defined; do not await the December 20 forensic report where notification can be made with appropriate caveats. Assess and quantify potential contractual liability (liquidated damages, termination exposure, payment-suspension impact) for inclusion in the materiality assessment and any Form 8-K. Complete the review of the remaining top-twenty customer contracts (results expected December 10) and extend notification planning accordingly.</w:t>
      </w:r>
    </w:p>
    <w:bookmarkEnd w:id="35"/>
    <w:bookmarkStart w:id="36" w:name="X6676606504eb7c9f6b8239130e52a670a50feb1"/>
    <w:p>
      <w:pPr>
        <w:pStyle w:val="Heading3"/>
      </w:pPr>
      <w:r>
        <w:t xml:space="preserve">G-09. State and International (GDPR) Breach-Notification Obligations Unaddressed —</w:t>
      </w:r>
      <w:r>
        <w:t xml:space="preserve"> </w:t>
      </w:r>
      <w:r>
        <w:rPr>
          <w:b/>
          <w:bCs/>
        </w:rPr>
        <w:t xml:space="preserve">High</w:t>
      </w:r>
    </w:p>
    <w:p>
      <w:pPr>
        <w:pStyle w:val="FirstParagraph"/>
      </w:pPr>
      <w:r>
        <w:rPr>
          <w:b/>
          <w:bCs/>
        </w:rPr>
        <w:t xml:space="preserve">Facts.</w:t>
      </w:r>
      <w:r>
        <w:t xml:space="preserve"> </w:t>
      </w:r>
      <w:r>
        <w:t xml:space="preserve">The Thorngate Interim Report (Section 4.5) confirms that the approximately 4,200 affected customer records include entities domiciled across</w:t>
      </w:r>
      <w:r>
        <w:t xml:space="preserve"> </w:t>
      </w:r>
      <w:r>
        <w:rPr>
          <w:b/>
          <w:bCs/>
        </w:rPr>
        <w:t xml:space="preserve">at least 38 U.S. states</w:t>
      </w:r>
      <w:r>
        <w:t xml:space="preserve"> </w:t>
      </w:r>
      <w:r>
        <w:t xml:space="preserve">and in</w:t>
      </w:r>
      <w:r>
        <w:t xml:space="preserve"> </w:t>
      </w:r>
      <w:r>
        <w:rPr>
          <w:b/>
          <w:bCs/>
        </w:rPr>
        <w:t xml:space="preserve">Germany, Mexico, Canada, and the United Kingdom</w:t>
      </w:r>
      <w:r>
        <w:t xml:space="preserve">. The exfiltrated data includes procurement-contact personally identifiable information (</w:t>
      </w:r>
      <w:r>
        <w:t xml:space="preserve">“</w:t>
      </w:r>
      <w:r>
        <w:t xml:space="preserve">PII</w:t>
      </w:r>
      <w:r>
        <w:t xml:space="preserve">”</w:t>
      </w:r>
      <w:r>
        <w:t xml:space="preserve">) and</w:t>
      </w:r>
      <w:r>
        <w:t xml:space="preserve"> </w:t>
      </w:r>
      <w:r>
        <w:rPr>
          <w:b/>
          <w:bCs/>
        </w:rPr>
        <w:t xml:space="preserve">unencrypted</w:t>
      </w:r>
      <w:r>
        <w:t xml:space="preserve"> </w:t>
      </w:r>
      <w:r>
        <w:t xml:space="preserve">ACH routing and account numbers. The Status Report (Section 5.4) confirms that</w:t>
      </w:r>
      <w:r>
        <w:t xml:space="preserve"> </w:t>
      </w:r>
      <w:r>
        <w:rPr>
          <w:b/>
          <w:bCs/>
        </w:rPr>
        <w:t xml:space="preserve">no notifications have been filed with any state attorney general or state data protection authority</w:t>
      </w:r>
      <w:r>
        <w:t xml:space="preserve">, and no GDPR supervisory-authority notifications are reflected in the record.</w:t>
      </w:r>
    </w:p>
    <w:p>
      <w:pPr>
        <w:pStyle w:val="BodyText"/>
      </w:pPr>
      <w:r>
        <w:rPr>
          <w:b/>
          <w:bCs/>
        </w:rPr>
        <w:t xml:space="preserve">Analysis.</w:t>
      </w:r>
      <w:r>
        <w:t xml:space="preserve"> </w:t>
      </w:r>
      <w:r>
        <w:t xml:space="preserve">The exfiltration of PII and financial-account data across 38+ U.S. jurisdictions triggers a patchwork of state data-breach notification statutes, most of which require notice to affected individuals and to the state attorney general</w:t>
      </w:r>
      <w:r>
        <w:t xml:space="preserve"> </w:t>
      </w:r>
      <w:r>
        <w:t xml:space="preserve">“</w:t>
      </w:r>
      <w:r>
        <w:t xml:space="preserve">without unreasonable delay</w:t>
      </w:r>
      <w:r>
        <w:t xml:space="preserve">”</w:t>
      </w:r>
      <w:r>
        <w:t xml:space="preserve"> </w:t>
      </w:r>
      <w:r>
        <w:t xml:space="preserve">or within defined statutory periods (commonly 30–90 days); several states impose specific obligations for breaches involving financial-account data. The exposure of EU/UK customer PII implicates the</w:t>
      </w:r>
      <w:r>
        <w:t xml:space="preserve"> </w:t>
      </w:r>
      <w:r>
        <w:rPr>
          <w:b/>
          <w:bCs/>
        </w:rPr>
        <w:t xml:space="preserve">EU General Data Protection Regulation (GDPR)</w:t>
      </w:r>
      <w:r>
        <w:t xml:space="preserve"> </w:t>
      </w:r>
      <w:r>
        <w:t xml:space="preserve">and the</w:t>
      </w:r>
      <w:r>
        <w:t xml:space="preserve"> </w:t>
      </w:r>
      <w:r>
        <w:rPr>
          <w:b/>
          <w:bCs/>
        </w:rPr>
        <w:t xml:space="preserve">UK GDPR</w:t>
      </w:r>
      <w:r>
        <w:t xml:space="preserve">, under which notification to the competent supervisory authority is required</w:t>
      </w:r>
      <w:r>
        <w:t xml:space="preserve"> </w:t>
      </w:r>
      <w:r>
        <w:rPr>
          <w:b/>
          <w:bCs/>
        </w:rPr>
        <w:t xml:space="preserve">within 72 hours</w:t>
      </w:r>
      <w:r>
        <w:t xml:space="preserve"> </w:t>
      </w:r>
      <w:r>
        <w:t xml:space="preserve">of becoming aware of a personal data breach (Article 33), unless the breach is unlikely to result in a risk to data subjects — a standard difficult to satisfy where banking data is involved. The 72-hour GDPR window (measured from November 18 detection) has long since expired. Mexico’s Federal Law on the Protection of Personal Data Held by Private Parties (LFPDPPP) imposes additional obligations. GDPR penalties can reach the greater of €20 million or 4% of global annual turnover.</w:t>
      </w:r>
    </w:p>
    <w:p>
      <w:pPr>
        <w:pStyle w:val="BodyText"/>
      </w:pPr>
      <w:r>
        <w:t xml:space="preserve">These obligations are not SEC rules, but the resulting</w:t>
      </w:r>
      <w:r>
        <w:t xml:space="preserve"> </w:t>
      </w:r>
      <w:r>
        <w:rPr>
          <w:b/>
          <w:bCs/>
        </w:rPr>
        <w:t xml:space="preserve">regulatory exposure is a materiality input</w:t>
      </w:r>
      <w:r>
        <w:t xml:space="preserve"> </w:t>
      </w:r>
      <w:r>
        <w:t xml:space="preserve">and, if material, must be reflected in Item 1.05 disclosure and in the FY2024 10-K risk factors and contingencies disclosures. The failure to initiate state and international notifications also creates incremental legal liability that affects the Company’s financial condition.</w:t>
      </w:r>
    </w:p>
    <w:p>
      <w:pPr>
        <w:pStyle w:val="BodyText"/>
      </w:pPr>
      <w:r>
        <w:rPr>
          <w:b/>
          <w:bCs/>
        </w:rPr>
        <w:t xml:space="preserve">Recommendation.</w:t>
      </w:r>
      <w:r>
        <w:t xml:space="preserve"> </w:t>
      </w:r>
      <w:r>
        <w:t xml:space="preserve">Engage privacy counsel immediately to map notification obligations across all affected U.S. states and the EU/UK/Mexico jurisdictions, assess whether the GDPR 72-hour deadline has been breached and the consequences thereof, and initiate notifications on the most expedited available basis. Quantify potential regulatory exposure for the materiality assessment. Note that the Ridgeline policy includes a Regulatory Event Coverage Expansion (Endorsement No. 5) for GDPR/EU DPA proceedings, subject to the Regulatory Defense and Penalties sub-limit of $7.5 million — coordinate with the insurer.</w:t>
      </w:r>
    </w:p>
    <w:bookmarkEnd w:id="36"/>
    <w:bookmarkStart w:id="37" w:name="X91ae58765a9d8e52769727c65c10b07249ee795"/>
    <w:p>
      <w:pPr>
        <w:pStyle w:val="Heading3"/>
      </w:pPr>
      <w:r>
        <w:t xml:space="preserve">G-10. Insurance Policy Application Warranty Breach (MFA) —</w:t>
      </w:r>
      <w:r>
        <w:t xml:space="preserve"> </w:t>
      </w:r>
      <w:r>
        <w:rPr>
          <w:b/>
          <w:bCs/>
        </w:rPr>
        <w:t xml:space="preserve">High</w:t>
      </w:r>
    </w:p>
    <w:p>
      <w:pPr>
        <w:pStyle w:val="FirstParagraph"/>
      </w:pPr>
      <w:r>
        <w:rPr>
          <w:b/>
          <w:bCs/>
        </w:rPr>
        <w:t xml:space="preserve">Facts.</w:t>
      </w:r>
      <w:r>
        <w:t xml:space="preserve"> </w:t>
      </w:r>
      <w:r>
        <w:t xml:space="preserve">The Policy Summary (Section 9) states that the Company’s policy application (dated October 15, 2023) warranted, as a</w:t>
      </w:r>
      <w:r>
        <w:t xml:space="preserve"> </w:t>
      </w:r>
      <w:r>
        <w:rPr>
          <w:b/>
          <w:bCs/>
        </w:rPr>
        <w:t xml:space="preserve">condition of coverage</w:t>
      </w:r>
      <w:r>
        <w:t xml:space="preserve">, that the Company</w:t>
      </w:r>
      <w:r>
        <w:t xml:space="preserve"> </w:t>
      </w:r>
      <w:r>
        <w:t xml:space="preserve">“</w:t>
      </w:r>
      <w:r>
        <w:t xml:space="preserve">employs multi-factor authentication for</w:t>
      </w:r>
      <w:r>
        <w:t xml:space="preserve"> </w:t>
      </w:r>
      <w:r>
        <w:rPr>
          <w:b/>
          <w:bCs/>
        </w:rPr>
        <w:t xml:space="preserve">all remote access</w:t>
      </w:r>
      <w:r>
        <w:t xml:space="preserve"> </w:t>
      </w:r>
      <w:r>
        <w:t xml:space="preserve">to Computer Systems.</w:t>
      </w:r>
      <w:r>
        <w:t xml:space="preserve">”</w:t>
      </w:r>
      <w:r>
        <w:t xml:space="preserve"> </w:t>
      </w:r>
      <w:r>
        <w:t xml:space="preserve">The Summary further states that</w:t>
      </w:r>
      <w:r>
        <w:t xml:space="preserve"> </w:t>
      </w:r>
      <w:r>
        <w:t xml:space="preserve">“</w:t>
      </w:r>
      <w:r>
        <w:t xml:space="preserve">[m]aterial misrepresentations in the Policy Application</w:t>
      </w:r>
      <w:r>
        <w:t xml:space="preserve"> </w:t>
      </w:r>
      <w:r>
        <w:rPr>
          <w:b/>
          <w:bCs/>
        </w:rPr>
        <w:t xml:space="preserve">may void coverage ab initio</w:t>
      </w:r>
      <w:r>
        <w:t xml:space="preserve">.</w:t>
      </w:r>
      <w:r>
        <w:t xml:space="preserve">”</w:t>
      </w:r>
      <w:r>
        <w:t xml:space="preserve"> </w:t>
      </w:r>
      <w:r>
        <w:t xml:space="preserve">The forensic finding that third-party contractor VPN access lacked MFA (Thorngate Interim Report § 6.2) indicates that this warranty may have been</w:t>
      </w:r>
      <w:r>
        <w:t xml:space="preserve"> </w:t>
      </w:r>
      <w:r>
        <w:rPr>
          <w:b/>
          <w:bCs/>
        </w:rPr>
        <w:t xml:space="preserve">breached as of the application date</w:t>
      </w:r>
      <w:r>
        <w:t xml:space="preserve">. Separately, the Policy contains a</w:t>
      </w:r>
      <w:r>
        <w:t xml:space="preserve"> </w:t>
      </w:r>
      <w:r>
        <w:t xml:space="preserve">“</w:t>
      </w:r>
      <w:r>
        <w:t xml:space="preserve">Failure to Maintain Minimum Security Standards</w:t>
      </w:r>
      <w:r>
        <w:t xml:space="preserve">”</w:t>
      </w:r>
      <w:r>
        <w:t xml:space="preserve"> </w:t>
      </w:r>
      <w:r>
        <w:t xml:space="preserve">exclusion (Section 6(i)) for loss arising from the Company’s failure to maintain security controls substantially consistent with those represented in the application, where such failure materially contributed to the Cyber Event.</w:t>
      </w:r>
    </w:p>
    <w:p>
      <w:pPr>
        <w:pStyle w:val="BodyText"/>
      </w:pPr>
      <w:r>
        <w:rPr>
          <w:b/>
          <w:bCs/>
        </w:rPr>
        <w:t xml:space="preserve">Analysis.</w:t>
      </w:r>
      <w:r>
        <w:t xml:space="preserve"> </w:t>
      </w:r>
      <w:r>
        <w:t xml:space="preserve">If the MFA warranty was inaccurate as of October 15, 2023, the insurer may seek to</w:t>
      </w:r>
      <w:r>
        <w:t xml:space="preserve"> </w:t>
      </w:r>
      <w:r>
        <w:rPr>
          <w:b/>
          <w:bCs/>
        </w:rPr>
        <w:t xml:space="preserve">void coverage ab initio</w:t>
      </w:r>
      <w:r>
        <w:t xml:space="preserve"> </w:t>
      </w:r>
      <w:r>
        <w:t xml:space="preserve">or deny coverage under the minimum-security-standards exclusion. The potential loss of insurance recovery is a</w:t>
      </w:r>
      <w:r>
        <w:t xml:space="preserve"> </w:t>
      </w:r>
      <w:r>
        <w:rPr>
          <w:b/>
          <w:bCs/>
        </w:rPr>
        <w:t xml:space="preserve">materiality input</w:t>
      </w:r>
      <w:r>
        <w:t xml:space="preserve">: the Status Report estimates $4.5 million in costs, of which approximately $2.0 million (costs above the $2.5 million self-insured retention) would otherwise be recoverable; if coverage is voided, the Company bears the full loss plus future costs (customer claims, regulatory penalties, litigation). This affects the Company’s financial condition and the Item 1.05 impact analysis. The warranty issue is intertwined with the 10-K accuracy issue in G-06 and should be investigated in parallel.</w:t>
      </w:r>
    </w:p>
    <w:p>
      <w:pPr>
        <w:pStyle w:val="BodyText"/>
      </w:pPr>
      <w:r>
        <w:rPr>
          <w:b/>
          <w:bCs/>
        </w:rPr>
        <w:t xml:space="preserve">Recommendation.</w:t>
      </w:r>
      <w:r>
        <w:t xml:space="preserve"> </w:t>
      </w:r>
      <w:r>
        <w:t xml:space="preserve">Coordinate with coverage counsel to assess the warranty and exclusion exposure, preserve evidence of the MFA deployment state as of the application date, and develop a coverage-position strategy. Do not make statements to the insurer that could prejudice the coverage analysis. Reflect the coverage uncertainty in the materiality assessment and in any Form 8-K impact disclosure (stating that insurance recovery is uncertain and not assured).</w:t>
      </w:r>
    </w:p>
    <w:bookmarkEnd w:id="37"/>
    <w:bookmarkStart w:id="38" w:name="Xd7ad730e34b2f011c1d7cf04f5f4ac5df1e080b"/>
    <w:p>
      <w:pPr>
        <w:pStyle w:val="Heading3"/>
      </w:pPr>
      <w:r>
        <w:t xml:space="preserve">G-11. Pending Acquisition Disclosure Considerations Not Assessed —</w:t>
      </w:r>
      <w:r>
        <w:t xml:space="preserve"> </w:t>
      </w:r>
      <w:r>
        <w:rPr>
          <w:b/>
          <w:bCs/>
        </w:rPr>
        <w:t xml:space="preserve">Medium</w:t>
      </w:r>
    </w:p>
    <w:p>
      <w:pPr>
        <w:pStyle w:val="FirstParagraph"/>
      </w:pPr>
      <w:r>
        <w:rPr>
          <w:b/>
          <w:bCs/>
        </w:rPr>
        <w:t xml:space="preserve">Facts.</w:t>
      </w:r>
      <w:r>
        <w:t xml:space="preserve"> </w:t>
      </w:r>
      <w:r>
        <w:t xml:space="preserve">The Company is in active negotiations for the</w:t>
      </w:r>
      <w:r>
        <w:t xml:space="preserve"> </w:t>
      </w:r>
      <w:r>
        <w:rPr>
          <w:b/>
          <w:bCs/>
        </w:rPr>
        <w:t xml:space="preserve">$425 million</w:t>
      </w:r>
      <w:r>
        <w:t xml:space="preserve"> </w:t>
      </w:r>
      <w:r>
        <w:t xml:space="preserve">acquisition of Kessler Precision Systems GmbH, with Canfield Cromdale Consulting &amp; Co. advising. As of the Status Report date, neither the transaction counterparty nor the financial advisor has been notified of the Incident, and</w:t>
      </w:r>
      <w:r>
        <w:t xml:space="preserve"> </w:t>
      </w:r>
      <w:r>
        <w:t xml:space="preserve">“</w:t>
      </w:r>
      <w:r>
        <w:t xml:space="preserve">[t]he potential impact of this incident on the pending transaction has not been assessed.</w:t>
      </w:r>
      <w:r>
        <w:t xml:space="preserve">”</w:t>
      </w:r>
      <w:r>
        <w:t xml:space="preserve"> </w:t>
      </w:r>
      <w:r>
        <w:t xml:space="preserve">The GC Email flags this as a concern.</w:t>
      </w:r>
    </w:p>
    <w:p>
      <w:pPr>
        <w:pStyle w:val="BodyText"/>
      </w:pPr>
      <w:r>
        <w:rPr>
          <w:b/>
          <w:bCs/>
        </w:rPr>
        <w:t xml:space="preserve">Analysis.</w:t>
      </w:r>
      <w:r>
        <w:t xml:space="preserve"> </w:t>
      </w:r>
      <w:r>
        <w:t xml:space="preserve">A $425 million acquisition is material relative to the Company’s ~$1.87 billion revenue base. The Incident may affect the transaction through (i) potential effects on representations and warranties (including any cyber-incident or data-breach reps provided in the agreement or due-diligence responses), (ii) counterparty confidence and deal timeline, and (iii) potential material adverse effect considerations. If the Company has made disclosure regarding the pending transaction, the Incident’s effect on the deal may itself require disclosure under Item 1.05 or in periodic reports. The failure to assess the intersection of the Incident and the transaction is a gap in the Company’s disclosure analysis.</w:t>
      </w:r>
    </w:p>
    <w:p>
      <w:pPr>
        <w:pStyle w:val="BodyText"/>
      </w:pPr>
      <w:r>
        <w:rPr>
          <w:b/>
          <w:bCs/>
        </w:rPr>
        <w:t xml:space="preserve">Recommendation.</w:t>
      </w:r>
      <w:r>
        <w:t xml:space="preserve"> </w:t>
      </w:r>
      <w:r>
        <w:t xml:space="preserve">Assess, with M&amp;A and securities counsel, the Incident’s potential effect on the Kessler transaction, including review of any representations, disclosure schedules, and due-diligence responses provided to the counterparty. Determine whether disclosure to the counterparty is contractually or legally required, and whether the transactional impact affects the Item 1.05 materiality analysis.</w:t>
      </w:r>
    </w:p>
    <w:bookmarkEnd w:id="38"/>
    <w:bookmarkStart w:id="39" w:name="Xdd734c7cf1bcb67020a165d66526952f7cb76a2"/>
    <w:p>
      <w:pPr>
        <w:pStyle w:val="Heading3"/>
      </w:pPr>
      <w:r>
        <w:t xml:space="preserve">G-12. CIRP Not Tested (No Tabletop Exercises) —</w:t>
      </w:r>
      <w:r>
        <w:t xml:space="preserve"> </w:t>
      </w:r>
      <w:r>
        <w:rPr>
          <w:b/>
          <w:bCs/>
        </w:rPr>
        <w:t xml:space="preserve">Medium</w:t>
      </w:r>
    </w:p>
    <w:p>
      <w:pPr>
        <w:pStyle w:val="FirstParagraph"/>
      </w:pPr>
      <w:r>
        <w:rPr>
          <w:b/>
          <w:bCs/>
        </w:rPr>
        <w:t xml:space="preserve">Facts.</w:t>
      </w:r>
      <w:r>
        <w:t xml:space="preserve"> </w:t>
      </w:r>
      <w:r>
        <w:t xml:space="preserve">The CIRP (Section 1.4 and Section 4.3) expressly states that</w:t>
      </w:r>
      <w:r>
        <w:t xml:space="preserve"> </w:t>
      </w:r>
      <w:r>
        <w:t xml:space="preserve">“</w:t>
      </w:r>
      <w:r>
        <w:t xml:space="preserve">[n]o tabletop exercises or simulation-based tests of this Plan have been conducted</w:t>
      </w:r>
      <w:r>
        <w:t xml:space="preserve">”</w:t>
      </w:r>
      <w:r>
        <w:t xml:space="preserve"> </w:t>
      </w:r>
      <w:r>
        <w:t xml:space="preserve">and that the CISO</w:t>
      </w:r>
      <w:r>
        <w:t xml:space="preserve"> </w:t>
      </w:r>
      <w:r>
        <w:t xml:space="preserve">“</w:t>
      </w:r>
      <w:r>
        <w:t xml:space="preserve">will develop an exercise schedule following initial Plan deployment.</w:t>
      </w:r>
      <w:r>
        <w:t xml:space="preserve">”</w:t>
      </w:r>
      <w:r>
        <w:t xml:space="preserve"> </w:t>
      </w:r>
      <w:r>
        <w:t xml:space="preserve">The FY2023 10-K describes the CIRP as establishing a</w:t>
      </w:r>
      <w:r>
        <w:t xml:space="preserve"> </w:t>
      </w:r>
      <w:r>
        <w:t xml:space="preserve">“</w:t>
      </w:r>
      <w:r>
        <w:t xml:space="preserve">structured incident response framework</w:t>
      </w:r>
      <w:r>
        <w:t xml:space="preserve">”</w:t>
      </w:r>
      <w:r>
        <w:t xml:space="preserve"> </w:t>
      </w:r>
      <w:r>
        <w:t xml:space="preserve">and represents a mature program.</w:t>
      </w:r>
    </w:p>
    <w:p>
      <w:pPr>
        <w:pStyle w:val="BodyText"/>
      </w:pPr>
      <w:r>
        <w:rPr>
          <w:b/>
          <w:bCs/>
        </w:rPr>
        <w:t xml:space="preserve">Analysis.</w:t>
      </w:r>
      <w:r>
        <w:t xml:space="preserve"> </w:t>
      </w:r>
      <w:r>
        <w:t xml:space="preserve">The absence of any testing of the CIRP since its June 2022 adoption is inconsistent with the program maturity implied by the Item 106(a) disclosure and likely contributed to the escalation and disclosure-control breakdowns observed in this Incident (e.g., the discretionary-only legal/Board notification, the exclusion of regulatory communications from scope). While Item 106(a) does not mandate testing, the SEC’s framework expects registrants to describe their risk-management processes accurately; an untested plan should not be described in terms implying proven operational effectiveness.</w:t>
      </w:r>
    </w:p>
    <w:p>
      <w:pPr>
        <w:pStyle w:val="BodyText"/>
      </w:pPr>
      <w:r>
        <w:rPr>
          <w:b/>
          <w:bCs/>
        </w:rPr>
        <w:t xml:space="preserve">Recommendation.</w:t>
      </w:r>
      <w:r>
        <w:t xml:space="preserve"> </w:t>
      </w:r>
      <w:r>
        <w:t xml:space="preserve">Develop and execute a CIRP testing schedule, including at least annual tabletop exercises simulating Tier 3 scenarios with disclosure and regulatory components. Reflect testing activity accurately in future Item 1C disclosures.</w:t>
      </w:r>
    </w:p>
    <w:bookmarkEnd w:id="39"/>
    <w:bookmarkStart w:id="40" w:name="Xfecbbae23d412458554a65b76306734a65049e7"/>
    <w:p>
      <w:pPr>
        <w:pStyle w:val="Heading3"/>
      </w:pPr>
      <w:r>
        <w:t xml:space="preserve">G-13. CIRP Substantive Review Overdue —</w:t>
      </w:r>
      <w:r>
        <w:t xml:space="preserve"> </w:t>
      </w:r>
      <w:r>
        <w:rPr>
          <w:b/>
          <w:bCs/>
        </w:rPr>
        <w:t xml:space="preserve">Medium</w:t>
      </w:r>
    </w:p>
    <w:p>
      <w:pPr>
        <w:pStyle w:val="FirstParagraph"/>
      </w:pPr>
      <w:r>
        <w:rPr>
          <w:b/>
          <w:bCs/>
        </w:rPr>
        <w:t xml:space="preserve">Facts.</w:t>
      </w:r>
      <w:r>
        <w:t xml:space="preserve"> </w:t>
      </w:r>
      <w:r>
        <w:t xml:space="preserve">The CIRP requires annual review by the CISO (Section 1.4). The last</w:t>
      </w:r>
      <w:r>
        <w:t xml:space="preserve"> </w:t>
      </w:r>
      <w:r>
        <w:rPr>
          <w:b/>
          <w:bCs/>
        </w:rPr>
        <w:t xml:space="preserve">substantive</w:t>
      </w:r>
      <w:r>
        <w:t xml:space="preserve"> </w:t>
      </w:r>
      <w:r>
        <w:t xml:space="preserve">review was June 2022; the August 14, 2023 review was</w:t>
      </w:r>
      <w:r>
        <w:t xml:space="preserve"> </w:t>
      </w:r>
      <w:r>
        <w:rPr>
          <w:b/>
          <w:bCs/>
        </w:rPr>
        <w:t xml:space="preserve">administrative only</w:t>
      </w:r>
      <w:r>
        <w:t xml:space="preserve"> </w:t>
      </w:r>
      <w:r>
        <w:t xml:space="preserve">(vendor contact updates), with</w:t>
      </w:r>
      <w:r>
        <w:t xml:space="preserve"> </w:t>
      </w:r>
      <w:r>
        <w:t xml:space="preserve">“</w:t>
      </w:r>
      <w:r>
        <w:t xml:space="preserve">no changes … to the Plan’s procedures, governance structure, classification framework, or communication protocols.</w:t>
      </w:r>
      <w:r>
        <w:t xml:space="preserve">”</w:t>
      </w:r>
      <w:r>
        <w:t xml:space="preserve"> </w:t>
      </w:r>
      <w:r>
        <w:t xml:space="preserve">No substantive review has occurred in over two years.</w:t>
      </w:r>
    </w:p>
    <w:p>
      <w:pPr>
        <w:pStyle w:val="BodyText"/>
      </w:pPr>
      <w:r>
        <w:rPr>
          <w:b/>
          <w:bCs/>
        </w:rPr>
        <w:t xml:space="preserve">Analysis.</w:t>
      </w:r>
      <w:r>
        <w:t xml:space="preserve"> </w:t>
      </w:r>
      <w:r>
        <w:t xml:space="preserve">The Company has not met its own stated annual substantive-review cadence. The CIRP’s substantive provisions — particularly the escalation matrix and communications scope — are outdated relative to the SEC’s 2023 cybersecurity rules (effective after the last substantive review) and to the Company’s current risk profile. This gap bears on the accuracy of Item 106(a) disclosures describing the CIRP.</w:t>
      </w:r>
    </w:p>
    <w:p>
      <w:pPr>
        <w:pStyle w:val="BodyText"/>
      </w:pPr>
      <w:r>
        <w:rPr>
          <w:b/>
          <w:bCs/>
        </w:rPr>
        <w:t xml:space="preserve">Recommendation.</w:t>
      </w:r>
      <w:r>
        <w:t xml:space="preserve"> </w:t>
      </w:r>
      <w:r>
        <w:t xml:space="preserve">Conduct a comprehensive substantive review and update of the CIRP, incorporating the remediation in G-03, alignment with Item 1.05 disclosure processes, and lessons learned from the current Incident. Document the review and re-approval by the CTO.</w:t>
      </w:r>
    </w:p>
    <w:bookmarkEnd w:id="40"/>
    <w:bookmarkStart w:id="41" w:name="X660c5ad9c0d08ab79a47409df2655f9b1f33fcf"/>
    <w:p>
      <w:pPr>
        <w:pStyle w:val="Heading3"/>
      </w:pPr>
      <w:r>
        <w:t xml:space="preserve">G-14. Late Insurance Notice (73 vs. 72 Hours) —</w:t>
      </w:r>
      <w:r>
        <w:t xml:space="preserve"> </w:t>
      </w:r>
      <w:r>
        <w:rPr>
          <w:b/>
          <w:bCs/>
        </w:rPr>
        <w:t xml:space="preserve">Medium</w:t>
      </w:r>
    </w:p>
    <w:p>
      <w:pPr>
        <w:pStyle w:val="FirstParagraph"/>
      </w:pPr>
      <w:r>
        <w:rPr>
          <w:b/>
          <w:bCs/>
        </w:rPr>
        <w:t xml:space="preserve">Facts.</w:t>
      </w:r>
      <w:r>
        <w:t xml:space="preserve"> </w:t>
      </w:r>
      <w:r>
        <w:t xml:space="preserve">Ridgeline was notified on November 21, 2024, approximately</w:t>
      </w:r>
      <w:r>
        <w:t xml:space="preserve"> </w:t>
      </w:r>
      <w:r>
        <w:rPr>
          <w:b/>
          <w:bCs/>
        </w:rPr>
        <w:t xml:space="preserve">73 hours</w:t>
      </w:r>
      <w:r>
        <w:t xml:space="preserve"> </w:t>
      </w:r>
      <w:r>
        <w:t xml:space="preserve">after detection. The Policy requires notice</w:t>
      </w:r>
      <w:r>
        <w:t xml:space="preserve"> </w:t>
      </w:r>
      <w:r>
        <w:t xml:space="preserve">“</w:t>
      </w:r>
      <w:r>
        <w:t xml:space="preserve">in no event later than seventy-two (72) hours after Discovery.</w:t>
      </w:r>
      <w:r>
        <w:t xml:space="preserve">”</w:t>
      </w:r>
      <w:r>
        <w:t xml:space="preserve"> </w:t>
      </w:r>
      <w:r>
        <w:t xml:space="preserve">Ridgeline has</w:t>
      </w:r>
      <w:r>
        <w:t xml:space="preserve"> </w:t>
      </w:r>
      <w:r>
        <w:t xml:space="preserve">“</w:t>
      </w:r>
      <w:r>
        <w:t xml:space="preserve">reserved rights regarding the timeliness of notice</w:t>
      </w:r>
      <w:r>
        <w:t xml:space="preserve">”</w:t>
      </w:r>
      <w:r>
        <w:t xml:space="preserve"> </w:t>
      </w:r>
      <w:r>
        <w:t xml:space="preserve">but has not denied coverage. The Policy’s</w:t>
      </w:r>
      <w:r>
        <w:t xml:space="preserve"> </w:t>
      </w:r>
      <w:r>
        <w:t xml:space="preserve">“</w:t>
      </w:r>
      <w:r>
        <w:t xml:space="preserve">Discovery</w:t>
      </w:r>
      <w:r>
        <w:t xml:space="preserve">”</w:t>
      </w:r>
      <w:r>
        <w:t xml:space="preserve"> </w:t>
      </w:r>
      <w:r>
        <w:t xml:space="preserve">definition is satisfied when any qualifying officer (CISO, CIO, CTO, General Counsel, CFO, or any VP-level officer) first becomes aware — which occurred no later than November 18 (CISO awareness at detection).</w:t>
      </w:r>
    </w:p>
    <w:p>
      <w:pPr>
        <w:pStyle w:val="BodyText"/>
      </w:pPr>
      <w:r>
        <w:rPr>
          <w:b/>
          <w:bCs/>
        </w:rPr>
        <w:t xml:space="preserve">Analysis.</w:t>
      </w:r>
      <w:r>
        <w:t xml:space="preserve"> </w:t>
      </w:r>
      <w:r>
        <w:t xml:space="preserve">The approximately one-hour delay is a technical breach of the notice provision. The Policy applies a</w:t>
      </w:r>
      <w:r>
        <w:t xml:space="preserve"> </w:t>
      </w:r>
      <w:r>
        <w:t xml:space="preserve">“</w:t>
      </w:r>
      <w:r>
        <w:t xml:space="preserve">notice-prejudice</w:t>
      </w:r>
      <w:r>
        <w:t xml:space="preserve">”</w:t>
      </w:r>
      <w:r>
        <w:t xml:space="preserve"> </w:t>
      </w:r>
      <w:r>
        <w:t xml:space="preserve">standard in most jurisdictions (coverage is not voided absent material prejudice), but expressly reserves the insurer’s rights in strict-compliance jurisdictions and generally. While the delay is minor in isolation, it provides the insurer an additional basis to contest coverage and compounds the warranty/exclusion exposure in G-10. The late notice is also a materiality input to the extent it jeopardizes insurance recovery.</w:t>
      </w:r>
    </w:p>
    <w:p>
      <w:pPr>
        <w:pStyle w:val="BodyText"/>
      </w:pPr>
      <w:r>
        <w:rPr>
          <w:b/>
          <w:bCs/>
        </w:rPr>
        <w:t xml:space="preserve">Recommendation.</w:t>
      </w:r>
      <w:r>
        <w:t xml:space="preserve"> </w:t>
      </w:r>
      <w:r>
        <w:t xml:space="preserve">Document the factual basis for the timing of Discovery and notice, and develop the prejudice argument with coverage counsel. Ensure that, going forward, the CIRP mandates insurer notification within the 72-hour window as part of the escalation protocol (see G-03).</w:t>
      </w:r>
    </w:p>
    <w:p>
      <w:r>
        <w:pict>
          <v:rect style="width:0;height:1.5pt" o:hralign="center" o:hrstd="t" o:hr="t"/>
        </w:pict>
      </w:r>
    </w:p>
    <w:bookmarkEnd w:id="41"/>
    <w:bookmarkEnd w:id="42"/>
    <w:bookmarkStart w:id="46" w:name="v.-materiality-assessment-observations"/>
    <w:p>
      <w:pPr>
        <w:pStyle w:val="Heading2"/>
      </w:pPr>
      <w:r>
        <w:t xml:space="preserve">V. Materiality Assessment Observations</w:t>
      </w:r>
    </w:p>
    <w:p>
      <w:pPr>
        <w:pStyle w:val="FirstParagraph"/>
      </w:pPr>
      <w:r>
        <w:t xml:space="preserve">The following observations are provided to inform — not to substitute for — the formal materiality determination that the Company must make with the advice of counsel. Materiality is assessed on both quantitative and qualitative grounds.</w:t>
      </w:r>
    </w:p>
    <w:bookmarkStart w:id="43" w:name="a.-quantitative-factors"/>
    <w:p>
      <w:pPr>
        <w:pStyle w:val="Heading3"/>
      </w:pPr>
      <w:r>
        <w:t xml:space="preserve">A. Quantitative Factors</w:t>
      </w:r>
    </w:p>
    <w:p>
      <w:pPr>
        <w:pStyle w:val="Compact"/>
        <w:numPr>
          <w:ilvl w:val="0"/>
          <w:numId w:val="1008"/>
        </w:numPr>
      </w:pPr>
      <w:r>
        <w:rPr>
          <w:b/>
          <w:bCs/>
        </w:rPr>
        <w:t xml:space="preserve">Estimated incident costs of ~$4.5 million</w:t>
      </w:r>
      <w:r>
        <w:t xml:space="preserve"> </w:t>
      </w:r>
      <w:r>
        <w:t xml:space="preserve">($1.4 million incident response; $2.8 million business disruption; $0.3 million customer-notification preparation), representing approximately</w:t>
      </w:r>
      <w:r>
        <w:t xml:space="preserve"> </w:t>
      </w:r>
      <w:r>
        <w:rPr>
          <w:b/>
          <w:bCs/>
        </w:rPr>
        <w:t xml:space="preserve">1.45% of projected FY2024 EBITDA (~$310 million)</w:t>
      </w:r>
      <w:r>
        <w:t xml:space="preserve">.</w:t>
      </w:r>
    </w:p>
    <w:p>
      <w:pPr>
        <w:pStyle w:val="Compact"/>
        <w:numPr>
          <w:ilvl w:val="0"/>
          <w:numId w:val="1008"/>
        </w:numPr>
      </w:pPr>
      <w:r>
        <w:t xml:space="preserve">Standing alone, the quantitative impact may fall below common quantitative materiality thresholds. However, the estimate is expressly preliminary and excludes customer claims, regulatory penalties, litigation costs, reputational impact, and the potential loss of insurance recovery (G-10). Final costs may be materially higher.</w:t>
      </w:r>
    </w:p>
    <w:bookmarkEnd w:id="43"/>
    <w:bookmarkStart w:id="44" w:name="X969181647b67ae86a7c6b3ea908620b7082e644"/>
    <w:p>
      <w:pPr>
        <w:pStyle w:val="Heading3"/>
      </w:pPr>
      <w:r>
        <w:t xml:space="preserve">B. Qualitative Factors (Strongly Supporting Materiality)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Considerations</w:t>
            </w:r>
          </w:p>
        </w:tc>
      </w:tr>
      <w:tr>
        <w:tc>
          <w:tcPr/>
          <w:p>
            <w:pPr>
              <w:pStyle w:val="Compact"/>
              <w:jc w:val="left"/>
            </w:pPr>
            <w:r>
              <w:rPr>
                <w:b/>
                <w:bCs/>
              </w:rPr>
              <w:t xml:space="preserve">Sensitive data exfiltration</w:t>
            </w:r>
          </w:p>
        </w:tc>
        <w:tc>
          <w:tcPr/>
          <w:p>
            <w:pPr>
              <w:pStyle w:val="Compact"/>
              <w:jc w:val="left"/>
            </w:pPr>
            <w:r>
              <w:t xml:space="preserve">~83 GB exfiltrated, including</w:t>
            </w:r>
            <w:r>
              <w:t xml:space="preserve"> </w:t>
            </w:r>
            <w:r>
              <w:rPr>
                <w:b/>
                <w:bCs/>
              </w:rPr>
              <w:t xml:space="preserve">unencrypted</w:t>
            </w:r>
            <w:r>
              <w:t xml:space="preserve"> </w:t>
            </w:r>
            <w:r>
              <w:t xml:space="preserve">ACH routing and account numbers, procurement-contact PII, and contract pricing for ~4,200 customer records. The unencrypted nature of the banking data elevates downstream-fraud risk.</w:t>
            </w:r>
          </w:p>
        </w:tc>
      </w:tr>
      <w:tr>
        <w:tc>
          <w:tcPr/>
          <w:p>
            <w:pPr>
              <w:pStyle w:val="Compact"/>
              <w:jc w:val="left"/>
            </w:pPr>
            <w:r>
              <w:rPr>
                <w:b/>
                <w:bCs/>
              </w:rPr>
              <w:t xml:space="preserve">Concentration in top customers</w:t>
            </w:r>
          </w:p>
        </w:tc>
        <w:tc>
          <w:tcPr/>
          <w:p>
            <w:pPr>
              <w:pStyle w:val="Compact"/>
              <w:jc w:val="left"/>
            </w:pPr>
            <w:r>
              <w:t xml:space="preserve">At least 6 of the top 10 customers (representing ~38% of revenue, ~$710.6 million) are believed affected. Loss or impairment of these relationships is highly material.</w:t>
            </w:r>
          </w:p>
        </w:tc>
      </w:tr>
      <w:tr>
        <w:tc>
          <w:tcPr/>
          <w:p>
            <w:pPr>
              <w:pStyle w:val="Compact"/>
              <w:jc w:val="left"/>
            </w:pPr>
            <w:r>
              <w:rPr>
                <w:b/>
                <w:bCs/>
              </w:rPr>
              <w:t xml:space="preserve">Contractual breaches and remedies</w:t>
            </w:r>
          </w:p>
        </w:tc>
        <w:tc>
          <w:tcPr/>
          <w:p>
            <w:pPr>
              <w:pStyle w:val="Compact"/>
              <w:jc w:val="left"/>
            </w:pPr>
            <w:r>
              <w:t xml:space="preserve">48-hour notification deadlines breached for Harmon, Crestfield, and Nexagen, exposing the Company to $500,000 liquidated damages (Harmon), immediate termination and payment suspension (Crestfield), and 24-month future-business exclusion (Nexagen).</w:t>
            </w:r>
          </w:p>
        </w:tc>
      </w:tr>
      <w:tr>
        <w:tc>
          <w:tcPr/>
          <w:p>
            <w:pPr>
              <w:pStyle w:val="Compact"/>
              <w:jc w:val="left"/>
            </w:pPr>
            <w:r>
              <w:rPr>
                <w:b/>
                <w:bCs/>
              </w:rPr>
              <w:t xml:space="preserve">Regulatory exposure</w:t>
            </w:r>
          </w:p>
        </w:tc>
        <w:tc>
          <w:tcPr/>
          <w:p>
            <w:pPr>
              <w:pStyle w:val="Compact"/>
              <w:jc w:val="left"/>
            </w:pPr>
            <w:r>
              <w:t xml:space="preserve">Breach-notification obligations across 38+ U.S. states and GDPR/UK GDPR (72-hour authority-notification deadline likely missed), with penalties up to €20 million or 4% of global turnover.</w:t>
            </w:r>
          </w:p>
        </w:tc>
      </w:tr>
      <w:tr>
        <w:tc>
          <w:tcPr/>
          <w:p>
            <w:pPr>
              <w:pStyle w:val="Compact"/>
              <w:jc w:val="left"/>
            </w:pPr>
            <w:r>
              <w:rPr>
                <w:b/>
                <w:bCs/>
              </w:rPr>
              <w:t xml:space="preserve">Core financial-system compromise</w:t>
            </w:r>
          </w:p>
        </w:tc>
        <w:tc>
          <w:tcPr/>
          <w:p>
            <w:pPr>
              <w:pStyle w:val="Compact"/>
              <w:jc w:val="left"/>
            </w:pPr>
            <w:r>
              <w:t xml:space="preserve">Encryption of the ERP finance module implicates ICFR and the integrity of financial reporting; data-integrity validation ongoing.</w:t>
            </w:r>
          </w:p>
        </w:tc>
      </w:tr>
      <w:tr>
        <w:tc>
          <w:tcPr/>
          <w:p>
            <w:pPr>
              <w:pStyle w:val="Compact"/>
              <w:jc w:val="left"/>
            </w:pPr>
            <w:r>
              <w:rPr>
                <w:b/>
                <w:bCs/>
              </w:rPr>
              <w:t xml:space="preserve">Pending material acquisition</w:t>
            </w:r>
          </w:p>
        </w:tc>
        <w:tc>
          <w:tcPr/>
          <w:p>
            <w:pPr>
              <w:pStyle w:val="Compact"/>
              <w:jc w:val="left"/>
            </w:pPr>
            <w:r>
              <w:t xml:space="preserve">Potential effect on the $425 million Kessler transaction (reps/warranties, MAE, timeline, counterparty confidence).</w:t>
            </w:r>
          </w:p>
        </w:tc>
      </w:tr>
      <w:tr>
        <w:tc>
          <w:tcPr/>
          <w:p>
            <w:pPr>
              <w:pStyle w:val="Compact"/>
              <w:jc w:val="left"/>
            </w:pPr>
            <w:r>
              <w:rPr>
                <w:b/>
                <w:bCs/>
              </w:rPr>
              <w:t xml:space="preserve">Insurance coverage at risk</w:t>
            </w:r>
          </w:p>
        </w:tc>
        <w:tc>
          <w:tcPr/>
          <w:p>
            <w:pPr>
              <w:pStyle w:val="Compact"/>
              <w:jc w:val="left"/>
            </w:pPr>
            <w:r>
              <w:t xml:space="preserve">MFA warranty breach and late notice jeopardize recovery of ~$2.0 million above the SIR and potentially the full policy.</w:t>
            </w:r>
          </w:p>
        </w:tc>
      </w:tr>
      <w:tr>
        <w:tc>
          <w:tcPr/>
          <w:p>
            <w:pPr>
              <w:pStyle w:val="Compact"/>
              <w:jc w:val="left"/>
            </w:pPr>
            <w:r>
              <w:rPr>
                <w:b/>
                <w:bCs/>
              </w:rPr>
              <w:t xml:space="preserve">Ransom demand</w:t>
            </w:r>
          </w:p>
        </w:tc>
        <w:tc>
          <w:tcPr/>
          <w:p>
            <w:pPr>
              <w:pStyle w:val="Compact"/>
              <w:jc w:val="left"/>
            </w:pPr>
            <w:r>
              <w:t xml:space="preserve">~$2.03 million demand (not paid), with threatened public disclosure of exfiltrated data.</w:t>
            </w:r>
          </w:p>
        </w:tc>
      </w:tr>
      <w:tr>
        <w:tc>
          <w:tcPr/>
          <w:p>
            <w:pPr>
              <w:pStyle w:val="Compact"/>
              <w:jc w:val="left"/>
            </w:pPr>
            <w:r>
              <w:rPr>
                <w:b/>
                <w:bCs/>
              </w:rPr>
              <w:t xml:space="preserve">Reputational harm</w:t>
            </w:r>
          </w:p>
        </w:tc>
        <w:tc>
          <w:tcPr/>
          <w:p>
            <w:pPr>
              <w:pStyle w:val="Compact"/>
              <w:jc w:val="left"/>
            </w:pPr>
            <w:r>
              <w:t xml:space="preserve">Defense/aerospace customers and competitively sensitive contract pricing among exfiltrated data.</w:t>
            </w:r>
          </w:p>
        </w:tc>
      </w:tr>
    </w:tbl>
    <w:bookmarkEnd w:id="44"/>
    <w:bookmarkStart w:id="45" w:name="c.-conclusion-on-materiality"/>
    <w:p>
      <w:pPr>
        <w:pStyle w:val="Heading3"/>
      </w:pPr>
      <w:r>
        <w:t xml:space="preserve">C. Conclusion on Materiality</w:t>
      </w:r>
    </w:p>
    <w:p>
      <w:pPr>
        <w:pStyle w:val="FirstParagraph"/>
      </w:pPr>
      <w:r>
        <w:t xml:space="preserve">Applying the</w:t>
      </w:r>
      <w:r>
        <w:t xml:space="preserve"> </w:t>
      </w:r>
      <w:r>
        <w:rPr>
          <w:i/>
          <w:iCs/>
        </w:rPr>
        <w:t xml:space="preserve">TSC Industries</w:t>
      </w:r>
      <w:r>
        <w:t xml:space="preserve"> </w:t>
      </w:r>
      <w:r>
        <w:t xml:space="preserve">/</w:t>
      </w:r>
      <w:r>
        <w:t xml:space="preserve"> </w:t>
      </w:r>
      <w:r>
        <w:rPr>
          <w:i/>
          <w:iCs/>
        </w:rPr>
        <w:t xml:space="preserve">Basic</w:t>
      </w:r>
      <w:r>
        <w:t xml:space="preserve"> </w:t>
      </w:r>
      <w:r>
        <w:t xml:space="preserve">standard, the</w:t>
      </w:r>
      <w:r>
        <w:t xml:space="preserve"> </w:t>
      </w:r>
      <w:r>
        <w:rPr>
          <w:b/>
          <w:bCs/>
        </w:rPr>
        <w:t xml:space="preserve">qualitative factors, individually and in combination, are substantial</w:t>
      </w:r>
      <w:r>
        <w:t xml:space="preserve"> </w:t>
      </w:r>
      <w:r>
        <w:t xml:space="preserve">and, in our view,</w:t>
      </w:r>
      <w:r>
        <w:t xml:space="preserve"> </w:t>
      </w:r>
      <w:r>
        <w:rPr>
          <w:b/>
          <w:bCs/>
        </w:rPr>
        <w:t xml:space="preserve">strongly support a determination that the Incident is material</w:t>
      </w:r>
      <w:r>
        <w:t xml:space="preserve">. The convergence of a sensitive-data breach affecting the Company’s largest customers, breached contractual notification obligations with severe remedies, multi-jurisdictional regulatory exposure, compromise of the core financial system, and a pending material acquisition — together with uncertain insurance recovery — would likely</w:t>
      </w:r>
      <w:r>
        <w:t xml:space="preserve"> </w:t>
      </w:r>
      <w:r>
        <w:t xml:space="preserve">“</w:t>
      </w:r>
      <w:r>
        <w:t xml:space="preserve">significantly alter the total mix of information</w:t>
      </w:r>
      <w:r>
        <w:t xml:space="preserve">”</w:t>
      </w:r>
      <w:r>
        <w:t xml:space="preserve"> </w:t>
      </w:r>
      <w:r>
        <w:t xml:space="preserve">available to a reasonable investor. We recommend that the disclosure committee proceed on the working assumption that the Incident is material and prepare the Form 8-K accordingly, while completing the formal determination and documentation.</w:t>
      </w:r>
    </w:p>
    <w:p>
      <w:r>
        <w:pict>
          <v:rect style="width:0;height:1.5pt" o:hralign="center" o:hrstd="t" o:hr="t"/>
        </w:pict>
      </w:r>
    </w:p>
    <w:bookmarkEnd w:id="45"/>
    <w:bookmarkEnd w:id="46"/>
    <w:bookmarkStart w:id="47" w:name="Xd4ec5e729c86b2cee0c10db6c09f930094e0996"/>
    <w:p>
      <w:pPr>
        <w:pStyle w:val="Heading2"/>
      </w:pPr>
      <w:r>
        <w:t xml:space="preserve">VI. Disclosure Vehicle and Content Considerations</w:t>
      </w:r>
    </w:p>
    <w:p>
      <w:pPr>
        <w:pStyle w:val="FirstParagraph"/>
      </w:pPr>
      <w:r>
        <w:t xml:space="preserve">If the Incident is determined to be material, the Form 8-K under Item 1.05 should address, at a minimum:</w:t>
      </w:r>
    </w:p>
    <w:p>
      <w:pPr>
        <w:pStyle w:val="Compact"/>
        <w:numPr>
          <w:ilvl w:val="0"/>
          <w:numId w:val="1009"/>
        </w:numPr>
      </w:pPr>
      <w:r>
        <w:rPr>
          <w:b/>
          <w:bCs/>
        </w:rPr>
        <w:t xml:space="preserve">Nature, scope, and timing</w:t>
      </w:r>
      <w:r>
        <w:t xml:space="preserve"> </w:t>
      </w:r>
      <w:r>
        <w:t xml:space="preserve">— detection on November 18, 2024; LockStar 3.0 ransomware; compromised third-party contractor VPN credential; 347 of ~2,100 endpoints encrypted; ERP finance, procurement, and order management modules affected; ~83 GB of data exfiltrated, including customer banking (ACH) data, procurement-contact PII, and contract pricing for ~4,200 customer records; OT/SCADA systems unaffected.</w:t>
      </w:r>
    </w:p>
    <w:p>
      <w:pPr>
        <w:pStyle w:val="Compact"/>
        <w:numPr>
          <w:ilvl w:val="0"/>
          <w:numId w:val="1009"/>
        </w:numPr>
      </w:pPr>
      <w:r>
        <w:rPr>
          <w:b/>
          <w:bCs/>
        </w:rPr>
        <w:t xml:space="preserve">Material impact / reasonably likely material impact</w:t>
      </w:r>
      <w:r>
        <w:t xml:space="preserve"> </w:t>
      </w:r>
      <w:r>
        <w:t xml:space="preserve">— estimated costs to date (~$4.5 million) and that the assessment is ongoing; business disruption and manual workarounds; customer-notification and regulatory-notification obligations and associated exposure; potential contractual remedies (liquidated damages, termination, payment suspension); ICFR and financial-reporting considerations; insurance recovery uncertainty; potential effect on the pending acquisition.</w:t>
      </w:r>
    </w:p>
    <w:p>
      <w:pPr>
        <w:pStyle w:val="Compact"/>
        <w:numPr>
          <w:ilvl w:val="0"/>
          <w:numId w:val="1009"/>
        </w:numPr>
      </w:pPr>
      <w:r>
        <w:rPr>
          <w:b/>
          <w:bCs/>
        </w:rPr>
        <w:t xml:space="preserve">Ongoing assessment</w:t>
      </w:r>
      <w:r>
        <w:t xml:space="preserve"> </w:t>
      </w:r>
      <w:r>
        <w:t xml:space="preserve">— a statement that the forensic investigation and impact assessment are ongoing and that the Company will provide updates as material developments are determined, whether by further Form 8-K or in periodic reports.</w:t>
      </w:r>
    </w:p>
    <w:p>
      <w:pPr>
        <w:pStyle w:val="Compact"/>
        <w:numPr>
          <w:ilvl w:val="0"/>
          <w:numId w:val="1009"/>
        </w:numPr>
      </w:pPr>
      <w:r>
        <w:rPr>
          <w:b/>
          <w:bCs/>
        </w:rPr>
        <w:t xml:space="preserve">No law-enforcement delay</w:t>
      </w:r>
      <w:r>
        <w:t xml:space="preserve"> </w:t>
      </w:r>
      <w:r>
        <w:t xml:space="preserve">— confirmation that no U.S. Attorney General notification delaying disclosure has been issued (the FBI IC3 contact does not provide a basis for delay under Item 1.05(b)).</w:t>
      </w:r>
    </w:p>
    <w:p>
      <w:pPr>
        <w:pStyle w:val="FirstParagraph"/>
      </w:pPr>
      <w:r>
        <w:t xml:space="preserve">The Company should also evaluate whether the FY2024 10-K (Item 1C, Item 1A Risk Factors, Item 7 MD&amp;A, and Item 9A Controls and Procedures) requires corresponding updates, and whether the FY2023 10-K Item 1C requires correction (see G-06).</w:t>
      </w:r>
    </w:p>
    <w:p>
      <w:r>
        <w:pict>
          <v:rect style="width:0;height:1.5pt" o:hralign="center" o:hrstd="t" o:hr="t"/>
        </w:pict>
      </w:r>
    </w:p>
    <w:bookmarkEnd w:id="47"/>
    <w:bookmarkStart w:id="51" w:name="vii.-prioritized-remediation-roadmap"/>
    <w:p>
      <w:pPr>
        <w:pStyle w:val="Heading2"/>
      </w:pPr>
      <w:r>
        <w:t xml:space="preserve">VII. Prioritized Remediation Roadmap</w:t>
      </w:r>
    </w:p>
    <w:bookmarkStart w:id="48" w:name="immediate-04-business-days"/>
    <w:p>
      <w:pPr>
        <w:pStyle w:val="Heading3"/>
      </w:pPr>
      <w:r>
        <w:t xml:space="preserve">Immediate (0–4 business days)</w:t>
      </w:r>
    </w:p>
    <w:p>
      <w:pPr>
        <w:pStyle w:val="Compact"/>
        <w:numPr>
          <w:ilvl w:val="0"/>
          <w:numId w:val="1010"/>
        </w:numPr>
      </w:pPr>
      <w:r>
        <w:rPr>
          <w:b/>
          <w:bCs/>
        </w:rPr>
        <w:t xml:space="preserve">Convene the disclosure committee</w:t>
      </w:r>
      <w:r>
        <w:t xml:space="preserve"> </w:t>
      </w:r>
      <w:r>
        <w:t xml:space="preserve">with outside securities counsel to conduct and document the formal materiality assessment (G-01). Proceed on the working assumption of materiality.</w:t>
      </w:r>
    </w:p>
    <w:p>
      <w:pPr>
        <w:pStyle w:val="Compact"/>
        <w:numPr>
          <w:ilvl w:val="0"/>
          <w:numId w:val="1010"/>
        </w:numPr>
      </w:pPr>
      <w:r>
        <w:rPr>
          <w:b/>
          <w:bCs/>
        </w:rPr>
        <w:t xml:space="preserve">Prepare and finalize a draft Form 8-K (Item 1.05)</w:t>
      </w:r>
      <w:r>
        <w:t xml:space="preserve"> </w:t>
      </w:r>
      <w:r>
        <w:t xml:space="preserve">for filing upon materiality determination (G-02). Evaluate interim voluntary disclosure under Item 8.01.</w:t>
      </w:r>
    </w:p>
    <w:p>
      <w:pPr>
        <w:pStyle w:val="Compact"/>
        <w:numPr>
          <w:ilvl w:val="0"/>
          <w:numId w:val="1010"/>
        </w:numPr>
      </w:pPr>
      <w:r>
        <w:rPr>
          <w:b/>
          <w:bCs/>
        </w:rPr>
        <w:t xml:space="preserve">Notify the full Audit Committee and, as appropriate, the full Board</w:t>
      </w:r>
      <w:r>
        <w:t xml:space="preserve">; schedule a special Audit Committee meeting (G-04).</w:t>
      </w:r>
    </w:p>
    <w:p>
      <w:pPr>
        <w:pStyle w:val="Compact"/>
        <w:numPr>
          <w:ilvl w:val="0"/>
          <w:numId w:val="1010"/>
        </w:numPr>
      </w:pPr>
      <w:r>
        <w:rPr>
          <w:b/>
          <w:bCs/>
        </w:rPr>
        <w:t xml:space="preserve">Notify the independent auditor (Greystone &amp; Associates LLP)</w:t>
      </w:r>
      <w:r>
        <w:t xml:space="preserve"> </w:t>
      </w:r>
      <w:r>
        <w:t xml:space="preserve">and commence the ICFR impact assessment (G-07).</w:t>
      </w:r>
    </w:p>
    <w:p>
      <w:pPr>
        <w:pStyle w:val="Compact"/>
        <w:numPr>
          <w:ilvl w:val="0"/>
          <w:numId w:val="1010"/>
        </w:numPr>
      </w:pPr>
      <w:r>
        <w:rPr>
          <w:b/>
          <w:bCs/>
        </w:rPr>
        <w:t xml:space="preserve">Initiate customer notifications</w:t>
      </w:r>
      <w:r>
        <w:t xml:space="preserve"> </w:t>
      </w:r>
      <w:r>
        <w:t xml:space="preserve">to Harmon, Crestfield, Nexagen, and other affected top-twenty customers on an expedited basis, with appropriate caveats (G-08).</w:t>
      </w:r>
    </w:p>
    <w:bookmarkEnd w:id="48"/>
    <w:bookmarkStart w:id="49" w:name="short-term-12-weeks"/>
    <w:p>
      <w:pPr>
        <w:pStyle w:val="Heading3"/>
      </w:pPr>
      <w:r>
        <w:t xml:space="preserve">Short-Term (1–2 weeks)</w:t>
      </w:r>
    </w:p>
    <w:p>
      <w:pPr>
        <w:pStyle w:val="Compact"/>
        <w:numPr>
          <w:ilvl w:val="0"/>
          <w:numId w:val="1011"/>
        </w:numPr>
      </w:pPr>
      <w:r>
        <w:rPr>
          <w:b/>
          <w:bCs/>
        </w:rPr>
        <w:t xml:space="preserve">Engage privacy counsel</w:t>
      </w:r>
      <w:r>
        <w:t xml:space="preserve"> </w:t>
      </w:r>
      <w:r>
        <w:t xml:space="preserve">to map and initiate U.S. state, GDPR/UK, and Mexican breach-notification obligations; assess the missed GDPR 72-hour deadline (G-09).</w:t>
      </w:r>
    </w:p>
    <w:p>
      <w:pPr>
        <w:pStyle w:val="Compact"/>
        <w:numPr>
          <w:ilvl w:val="0"/>
          <w:numId w:val="1011"/>
        </w:numPr>
      </w:pPr>
      <w:r>
        <w:rPr>
          <w:b/>
          <w:bCs/>
        </w:rPr>
        <w:t xml:space="preserve">Engage coverage counsel</w:t>
      </w:r>
      <w:r>
        <w:t xml:space="preserve"> </w:t>
      </w:r>
      <w:r>
        <w:t xml:space="preserve">to assess the MFA warranty, minimum-security-standards exclusion, and late-notice issues; develop the coverage position (G-10, G-14).</w:t>
      </w:r>
    </w:p>
    <w:p>
      <w:pPr>
        <w:pStyle w:val="Compact"/>
        <w:numPr>
          <w:ilvl w:val="0"/>
          <w:numId w:val="1011"/>
        </w:numPr>
      </w:pPr>
      <w:r>
        <w:rPr>
          <w:b/>
          <w:bCs/>
        </w:rPr>
        <w:t xml:space="preserve">Assess the Kessler transaction impact</w:t>
      </w:r>
      <w:r>
        <w:t xml:space="preserve"> </w:t>
      </w:r>
      <w:r>
        <w:t xml:space="preserve">with M&amp;A/securities counsel, including review of reps and due-diligence responses (G-11).</w:t>
      </w:r>
    </w:p>
    <w:p>
      <w:pPr>
        <w:pStyle w:val="Compact"/>
        <w:numPr>
          <w:ilvl w:val="0"/>
          <w:numId w:val="1011"/>
        </w:numPr>
      </w:pPr>
      <w:r>
        <w:rPr>
          <w:b/>
          <w:bCs/>
        </w:rPr>
        <w:t xml:space="preserve">Investigate the MFA deployment state as of February 28, 2024</w:t>
      </w:r>
      <w:r>
        <w:t xml:space="preserve"> </w:t>
      </w:r>
      <w:r>
        <w:t xml:space="preserve">(10-K filing date) and October 15, 2023 (policy application date) to evaluate the 10-K accuracy issue (G-06) and warranty issue (G-10).</w:t>
      </w:r>
    </w:p>
    <w:bookmarkEnd w:id="49"/>
    <w:bookmarkStart w:id="50" w:name="medium-term-3090-days"/>
    <w:p>
      <w:pPr>
        <w:pStyle w:val="Heading3"/>
      </w:pPr>
      <w:r>
        <w:t xml:space="preserve">Medium-Term (30–90 days)</w:t>
      </w:r>
    </w:p>
    <w:p>
      <w:pPr>
        <w:pStyle w:val="Compact"/>
        <w:numPr>
          <w:ilvl w:val="0"/>
          <w:numId w:val="1012"/>
        </w:numPr>
      </w:pPr>
      <w:r>
        <w:rPr>
          <w:b/>
          <w:bCs/>
        </w:rPr>
        <w:t xml:space="preserve">Amend the CIRP</w:t>
      </w:r>
      <w:r>
        <w:t xml:space="preserve"> </w:t>
      </w:r>
      <w:r>
        <w:t xml:space="preserve">to mandate immediate General Counsel notification and Board/Audit Committee escalation for Tier 2/3 incidents; integrate with disclosure controls and procedures; revise Section 9.3 to govern (rather than exclude) external/regulatory communications; add insurer-notification and 72-hour compliance steps (G-03, G-14).</w:t>
      </w:r>
    </w:p>
    <w:p>
      <w:pPr>
        <w:pStyle w:val="Compact"/>
        <w:numPr>
          <w:ilvl w:val="0"/>
          <w:numId w:val="1012"/>
        </w:numPr>
      </w:pPr>
      <w:r>
        <w:rPr>
          <w:b/>
          <w:bCs/>
        </w:rPr>
        <w:t xml:space="preserve">Amend the Audit Committee Charter</w:t>
      </w:r>
      <w:r>
        <w:t xml:space="preserve"> </w:t>
      </w:r>
      <w:r>
        <w:t xml:space="preserve">to add express cybersecurity oversight provisions (G-05).</w:t>
      </w:r>
    </w:p>
    <w:p>
      <w:pPr>
        <w:pStyle w:val="Compact"/>
        <w:numPr>
          <w:ilvl w:val="0"/>
          <w:numId w:val="1012"/>
        </w:numPr>
      </w:pPr>
      <w:r>
        <w:rPr>
          <w:b/>
          <w:bCs/>
        </w:rPr>
        <w:t xml:space="preserve">Conduct a comprehensive substantive review of the CIRP</w:t>
      </w:r>
      <w:r>
        <w:t xml:space="preserve"> </w:t>
      </w:r>
      <w:r>
        <w:t xml:space="preserve">and re-approval by the CTO (G-13).</w:t>
      </w:r>
    </w:p>
    <w:p>
      <w:pPr>
        <w:pStyle w:val="Compact"/>
        <w:numPr>
          <w:ilvl w:val="0"/>
          <w:numId w:val="1012"/>
        </w:numPr>
      </w:pPr>
      <w:r>
        <w:rPr>
          <w:b/>
          <w:bCs/>
        </w:rPr>
        <w:t xml:space="preserve">Develop and execute a CIRP testing schedule</w:t>
      </w:r>
      <w:r>
        <w:t xml:space="preserve">, including annual tabletop exercises with disclosure and regulatory components (G-12).</w:t>
      </w:r>
    </w:p>
    <w:p>
      <w:pPr>
        <w:pStyle w:val="Compact"/>
        <w:numPr>
          <w:ilvl w:val="0"/>
          <w:numId w:val="1012"/>
        </w:numPr>
      </w:pPr>
      <w:r>
        <w:rPr>
          <w:b/>
          <w:bCs/>
        </w:rPr>
        <w:t xml:space="preserve">Prepare FY2024 10-K disclosures</w:t>
      </w:r>
      <w:r>
        <w:t xml:space="preserve"> </w:t>
      </w:r>
      <w:r>
        <w:t xml:space="preserve">(Items 1C, 1A, 7, 9A) reflecting the Incident, remediation, and any ICFR impact; evaluate correction of the FY2023 10-K Item 1C if warranted (G-06).</w:t>
      </w:r>
    </w:p>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The Company is facing a material cybersecurity incident that, on the current record, has not been evaluated for SEC disclosure purposes and has not been disclosed. The principal SEC compliance gaps are the</w:t>
      </w:r>
      <w:r>
        <w:t xml:space="preserve"> </w:t>
      </w:r>
      <w:r>
        <w:rPr>
          <w:b/>
          <w:bCs/>
        </w:rPr>
        <w:t xml:space="preserve">absence of a materiality determination</w:t>
      </w:r>
      <w:r>
        <w:t xml:space="preserve"> </w:t>
      </w:r>
      <w:r>
        <w:t xml:space="preserve">(G-01), the</w:t>
      </w:r>
      <w:r>
        <w:t xml:space="preserve"> </w:t>
      </w:r>
      <w:r>
        <w:rPr>
          <w:b/>
          <w:bCs/>
        </w:rPr>
        <w:t xml:space="preserve">absence of a Form 8-K Item 1.05 filing</w:t>
      </w:r>
      <w:r>
        <w:t xml:space="preserve"> </w:t>
      </w:r>
      <w:r>
        <w:t xml:space="preserve">(G-02), and the</w:t>
      </w:r>
      <w:r>
        <w:t xml:space="preserve"> </w:t>
      </w:r>
      <w:r>
        <w:rPr>
          <w:b/>
          <w:bCs/>
        </w:rPr>
        <w:t xml:space="preserve">structural disconnection of the CIRP from the Company’s disclosure controls and governance escalation processes</w:t>
      </w:r>
      <w:r>
        <w:t xml:space="preserve"> </w:t>
      </w:r>
      <w:r>
        <w:t xml:space="preserve">(G-03, G-04), which caused the delayed engagement of the General Counsel, the CEO, and the Audit Committee. These gaps should be remediated immediately, beginning with a documented materiality assessment and preparation of a Form 8-K. The adjacent gaps — Audit Committee Charter deficiencies, potential 10-K inaccuracy regarding MFA, ICFR implications, customer-contract and regulatory notification breaches, insurance coverage exposure, and the pending acquisition — are materiality inputs and independent sources of legal and financial exposure that must be addressed in parallel and reflected in the Company’s disclosure analysis.</w:t>
      </w:r>
    </w:p>
    <w:p>
      <w:pPr>
        <w:pStyle w:val="BodyText"/>
      </w:pPr>
      <w:r>
        <w:t xml:space="preserve">This memorandum is privileged and confidential, prepared at the direction of counsel in anticipation of litigation and for the purpose of providing legal advice. It should not be distributed outside the Office of the General Counsel and the Audit Committee without prior authorization.</w:t>
      </w:r>
    </w:p>
    <w:p>
      <w:r>
        <w:pict>
          <v:rect style="width:0;height:1.5pt" o:hralign="center" o:hrstd="t" o:hr="t"/>
        </w:pict>
      </w:r>
    </w:p>
    <w:p>
      <w:pPr>
        <w:pStyle w:val="FirstParagraph"/>
      </w:pPr>
      <w:r>
        <w:rPr>
          <w:i/>
          <w:iCs/>
        </w:rPr>
        <w:t xml:space="preserve">Respectfully submitted,</w:t>
      </w:r>
    </w:p>
    <w:p>
      <w:pPr>
        <w:pStyle w:val="BodyText"/>
      </w:pPr>
      <w:r>
        <w:rPr>
          <w:b/>
          <w:bCs/>
        </w:rPr>
        <w:t xml:space="preserve">Hollister Marsh LLP</w:t>
      </w:r>
    </w:p>
    <w:p>
      <w:pPr>
        <w:pStyle w:val="BodyText"/>
      </w:pPr>
      <w:r>
        <w:t xml:space="preserve">Jonathan Beckett</w:t>
      </w:r>
      <w:r>
        <w:t xml:space="preserve"> </w:t>
      </w:r>
      <w:r>
        <w:t xml:space="preserve">Lead Partner</w:t>
      </w:r>
      <w:r>
        <w:t xml:space="preserve"> </w:t>
      </w:r>
      <w:r>
        <w:t xml:space="preserve">700 K Street NW, Washington, D.C. 20001</w:t>
      </w:r>
    </w:p>
    <w:p>
      <w:r>
        <w:pict>
          <v:rect style="width:0;height:1.5pt" o:hralign="center" o:hrstd="t" o:hr="t"/>
        </w:pict>
      </w:r>
    </w:p>
    <w:p>
      <w:pPr>
        <w:pStyle w:val="FirstParagraph"/>
      </w:pPr>
      <w:r>
        <w:rPr>
          <w:i/>
          <w:iCs/>
        </w:rPr>
        <w:t xml:space="preserve">PRIVILEGED &amp; CONFIDENTIAL — ATTORNEY-CLIENT PRIVILEGE /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Memorandum — SEC Cybersecurity Disclosure Compliance</dc:title>
  <dc:creator/>
  <cp:keywords/>
  <dcterms:created xsi:type="dcterms:W3CDTF">2026-06-28T18:07:09Z</dcterms:created>
  <dcterms:modified xsi:type="dcterms:W3CDTF">2026-06-28T18:07:09Z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Incident INC-2024-0047 (LockStar 3.0 Ransomware and Data Exfiltration Event of November 18, 2024)</vt:lpwstr>
  </property>
</Properties>
</file>