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58" w:name="gap-analysis-memorandum"/>
    <w:p>
      <w:pPr>
        <w:pStyle w:val="Heading1"/>
      </w:pPr>
      <w:r>
        <w:t xml:space="preserve">GAP ANALYSIS MEMORANDUM</w:t>
      </w:r>
    </w:p>
    <w:bookmarkStart w:id="21" w:name="sec-cybersecurity-disclosure-compliance"/>
    <w:p>
      <w:pPr>
        <w:pStyle w:val="Heading2"/>
      </w:pPr>
      <w:r>
        <w:t xml:space="preserve">SEC Cybersecurity Disclosure Compliance</w:t>
      </w:r>
    </w:p>
    <w:p>
      <w:pPr>
        <w:pStyle w:val="FirstParagraph"/>
      </w:pPr>
      <w:r>
        <w:rPr>
          <w:b/>
          <w:bCs/>
        </w:rPr>
        <w:t xml:space="preserve">To:</w:t>
      </w:r>
      <w:r>
        <w:t xml:space="preserve"> </w:t>
      </w:r>
      <w:r>
        <w:t xml:space="preserve">Priya Raghavan, General Counsel &amp; Corporate Secretary; Dr. Helen Ostrowski, Chair, Audit Committee</w:t>
      </w:r>
      <w:r>
        <w:t xml:space="preserve"> </w:t>
      </w:r>
      <w:r>
        <w:rPr>
          <w:b/>
          <w:bCs/>
        </w:rPr>
        <w:t xml:space="preserve">From:</w:t>
      </w:r>
      <w:r>
        <w:t xml:space="preserve"> </w:t>
      </w:r>
      <w:r>
        <w:t xml:space="preserve">Securities Disclosure &amp; Compliance Counsel</w:t>
      </w:r>
      <w:r>
        <w:t xml:space="preserve"> </w:t>
      </w:r>
      <w:r>
        <w:rPr>
          <w:b/>
          <w:bCs/>
        </w:rPr>
        <w:t xml:space="preserve">Date:</w:t>
      </w:r>
      <w:r>
        <w:t xml:space="preserve"> </w:t>
      </w:r>
      <w:r>
        <w:t xml:space="preserve">December 6, 2024</w:t>
      </w:r>
      <w:r>
        <w:t xml:space="preserve"> </w:t>
      </w:r>
      <w:r>
        <w:rPr>
          <w:b/>
          <w:bCs/>
        </w:rPr>
        <w:t xml:space="preserve">Re:</w:t>
      </w:r>
      <w:r>
        <w:t xml:space="preserve"> </w:t>
      </w:r>
      <w:r>
        <w:t xml:space="preserve">SEC Compliance Gap Analysis — Cybersecurity Incident INC-2024-0047 (Ransomware and Data Exfiltration Detected November 18, 2024)</w:t>
      </w:r>
      <w:r>
        <w:t xml:space="preserve"> </w:t>
      </w:r>
      <w:r>
        <w:rPr>
          <w:b/>
          <w:bCs/>
        </w:rPr>
        <w:t xml:space="preserve">Matter:</w:t>
      </w:r>
      <w:r>
        <w:t xml:space="preserve"> </w:t>
      </w:r>
      <w:r>
        <w:t xml:space="preserve">Vantage Industrial Technologies, Inc. (NASDAQ: VTIQ)</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gaps in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compliance with the disclosure, governance, and risk-management obligations imposed by the U.S. Securities and Exchange Commission (the</w:t>
      </w:r>
      <w:r>
        <w:t xml:space="preserve"> </w:t>
      </w:r>
      <w:r>
        <w:t xml:space="preserve">“</w:t>
      </w:r>
      <w:r>
        <w:t xml:space="preserve">SEC</w:t>
      </w:r>
      <w:r>
        <w:t xml:space="preserve">”</w:t>
      </w:r>
      <w:r>
        <w:t xml:space="preserve">) cybersecurity rules, as applied to the ransomware and data-exfiltration incident detected on November 18, 2024 (Incident INC-2024-0047, the</w:t>
      </w:r>
      <w:r>
        <w:t xml:space="preserve"> </w:t>
      </w:r>
      <w:r>
        <w:t xml:space="preserve">“</w:t>
      </w:r>
      <w:r>
        <w:t xml:space="preserve">Incident</w:t>
      </w:r>
      <w:r>
        <w:t xml:space="preserve">”</w:t>
      </w:r>
      <w:r>
        <w:t xml:space="preserve">). The analysis is based on a review of the Company’s Form 10-K (FY2023) Item 1C disclosure, the Audit Committee Charter, the Cybersecurity Incident Response Plan (the</w:t>
      </w:r>
      <w:r>
        <w:t xml:space="preserve"> </w:t>
      </w:r>
      <w:r>
        <w:t xml:space="preserve">“</w:t>
      </w:r>
      <w:r>
        <w:t xml:space="preserve">CIRP</w:t>
      </w:r>
      <w:r>
        <w:t xml:space="preserve">”</w:t>
      </w:r>
      <w:r>
        <w:t xml:space="preserve">), the Thorngate Forensic Solutions interim report, the CISO incident status report, the General Counsel’s email to the Audit Committee Chair, the cyber insurance policy summary, and extracts of three customer master agreements.</w:t>
      </w:r>
    </w:p>
    <w:p>
      <w:pPr>
        <w:pStyle w:val="BodyText"/>
      </w:pPr>
      <w:r>
        <w:rPr>
          <w:b/>
          <w:bCs/>
        </w:rPr>
        <w:t xml:space="preserve">The central finding is that, as of December 5, 2024 — seventeen (17) days after discovery of the Incident — the Company has conducted no formal materiality determination and filed no Form 8-K under Item 1.05.</w:t>
      </w:r>
      <w:r>
        <w:t xml:space="preserve"> </w:t>
      </w:r>
      <w:r>
        <w:t xml:space="preserve">This is the core SEC compliance failure. The Incident is, in our assessment,</w:t>
      </w:r>
      <w:r>
        <w:t xml:space="preserve"> </w:t>
      </w:r>
      <w:r>
        <w:rPr>
          <w:b/>
          <w:bCs/>
        </w:rPr>
        <w:t xml:space="preserve">material</w:t>
      </w:r>
      <w:r>
        <w:t xml:space="preserve"> </w:t>
      </w:r>
      <w:r>
        <w:t xml:space="preserve">(or at minimum reasonably likely to be material) on qualitative grounds, and the Company’s delay in making the materiality determination is itself a violation of the</w:t>
      </w:r>
      <w:r>
        <w:t xml:space="preserve"> </w:t>
      </w:r>
      <w:r>
        <w:t xml:space="preserve">“</w:t>
      </w:r>
      <w:r>
        <w:t xml:space="preserve">without unreasonable delay</w:t>
      </w:r>
      <w:r>
        <w:t xml:space="preserve">”</w:t>
      </w:r>
      <w:r>
        <w:t xml:space="preserve"> </w:t>
      </w:r>
      <w:r>
        <w:t xml:space="preserve">standard that governs the start of the four-business-day disclosure clock.</w:t>
      </w:r>
    </w:p>
    <w:p>
      <w:pPr>
        <w:pStyle w:val="BodyText"/>
      </w:pPr>
      <w:r>
        <w:t xml:space="preserve">The analysis further identifies thirteen (13) discrete compliance gaps across four domains:</w:t>
      </w:r>
    </w:p>
    <w:p>
      <w:pPr>
        <w:pStyle w:val="Compact"/>
        <w:numPr>
          <w:ilvl w:val="0"/>
          <w:numId w:val="1001"/>
        </w:numPr>
      </w:pPr>
      <w:r>
        <w:rPr>
          <w:b/>
          <w:bCs/>
        </w:rPr>
        <w:t xml:space="preserve">Item 1.05 Form 8-K disclosure</w:t>
      </w:r>
      <w:r>
        <w:t xml:space="preserve"> </w:t>
      </w:r>
      <w:r>
        <w:t xml:space="preserve">— no materiality determination, no 8-K filed, and a disclosure-controls process that failed to escalate the matter to disclosure decision-makers on a timely basis.</w:t>
      </w:r>
    </w:p>
    <w:p>
      <w:pPr>
        <w:pStyle w:val="Compact"/>
        <w:numPr>
          <w:ilvl w:val="0"/>
          <w:numId w:val="1001"/>
        </w:numPr>
      </w:pPr>
      <w:r>
        <w:rPr>
          <w:b/>
          <w:bCs/>
        </w:rPr>
        <w:t xml:space="preserve">Accuracy of prior disclosures</w:t>
      </w:r>
      <w:r>
        <w:t xml:space="preserve"> </w:t>
      </w:r>
      <w:r>
        <w:t xml:space="preserve">— the FY2023 Form 10-K Item 1C representation that the Company maintains multi-factor authentication (</w:t>
      </w:r>
      <w:r>
        <w:t xml:space="preserve">“</w:t>
      </w:r>
      <w:r>
        <w:t xml:space="preserve">MFA</w:t>
      </w:r>
      <w:r>
        <w:t xml:space="preserve">”</w:t>
      </w:r>
      <w:r>
        <w:t xml:space="preserve">) for</w:t>
      </w:r>
      <w:r>
        <w:t xml:space="preserve"> </w:t>
      </w:r>
      <w:r>
        <w:t xml:space="preserve">“</w:t>
      </w:r>
      <w:r>
        <w:t xml:space="preserve">remote access connections</w:t>
      </w:r>
      <w:r>
        <w:t xml:space="preserve">”</w:t>
      </w:r>
      <w:r>
        <w:t xml:space="preserve"> </w:t>
      </w:r>
      <w:r>
        <w:t xml:space="preserve">appears to have been inaccurate as of filing, because third-party contractor VPN access was not MFA-protected. The same inaccuracy appears in the CIRP and in the warranty section of the Company’s cyber insurance policy application, creating potential Rule 10b-5 exposure and a risk that cyber coverage is voided</w:t>
      </w:r>
      <w:r>
        <w:t xml:space="preserve"> </w:t>
      </w:r>
      <w:r>
        <w:rPr>
          <w:i/>
          <w:iCs/>
        </w:rPr>
        <w:t xml:space="preserve">ab initio</w:t>
      </w:r>
      <w:r>
        <w:t xml:space="preserve">.</w:t>
      </w:r>
    </w:p>
    <w:p>
      <w:pPr>
        <w:pStyle w:val="Compact"/>
        <w:numPr>
          <w:ilvl w:val="0"/>
          <w:numId w:val="1001"/>
        </w:numPr>
      </w:pPr>
      <w:r>
        <w:rPr>
          <w:b/>
          <w:bCs/>
        </w:rPr>
        <w:t xml:space="preserve">Governance and incident-response design</w:t>
      </w:r>
      <w:r>
        <w:t xml:space="preserve"> </w:t>
      </w:r>
      <w:r>
        <w:t xml:space="preserve">— the Audit Committee Charter is silent on cybersecurity; the CIRP escalation matrix stops at the Chief Technology Officer and contains no mandatory escalation to the General Counsel, CEO, or Board; the CIRP expressly excludes external communications (including SEC, customer, and regulator notifications) from its scope; and no tabletop exercise has ever been conducted.</w:t>
      </w:r>
    </w:p>
    <w:p>
      <w:pPr>
        <w:pStyle w:val="Compact"/>
        <w:numPr>
          <w:ilvl w:val="0"/>
          <w:numId w:val="1001"/>
        </w:numPr>
      </w:pPr>
      <w:r>
        <w:rPr>
          <w:b/>
          <w:bCs/>
        </w:rPr>
        <w:t xml:space="preserve">Collateral disclosure obligations</w:t>
      </w:r>
      <w:r>
        <w:t xml:space="preserve"> </w:t>
      </w:r>
      <w:r>
        <w:t xml:space="preserve">— breached 48-hour customer notification deadlines (with liquidated damages and termination exposure against customers representing 38% of revenue), unaddressed state breach-notification and GDPR obligations, an undisclosed impact on a pending $425 million acquisition, and a failure to notify the independent auditor of a disruption to financial reporting systems.</w:t>
      </w:r>
    </w:p>
    <w:p>
      <w:pPr>
        <w:pStyle w:val="FirstParagraph"/>
      </w:pPr>
      <w:r>
        <w:t xml:space="preserve">A consolidated risk assessment and a prioritized remediation roadmap are set forth in Sections V and VI.</w:t>
      </w:r>
      <w:r>
        <w:t xml:space="preserve"> </w:t>
      </w:r>
      <w:r>
        <w:rPr>
          <w:b/>
          <w:bCs/>
        </w:rPr>
        <w:t xml:space="preserve">The most urgent actions — convening a materiality determination, preparing and filing a Form 8-K, and correcting the MFA-related disclosure inaccuracy — should be undertaken within four (4) business days.</w:t>
      </w:r>
    </w:p>
    <w:p>
      <w:r>
        <w:pict>
          <v:rect style="width:0;height:1.5pt" o:hralign="center" o:hrstd="t" o:hr="t"/>
        </w:pict>
      </w:r>
    </w:p>
    <w:bookmarkEnd w:id="22"/>
    <w:bookmarkStart w:id="28" w:name="ii.-background-and-factual-overview"/>
    <w:p>
      <w:pPr>
        <w:pStyle w:val="Heading2"/>
      </w:pPr>
      <w:r>
        <w:t xml:space="preserve">II. Background and Factual Overview</w:t>
      </w:r>
    </w:p>
    <w:bookmarkStart w:id="23" w:name="a.-the-incident"/>
    <w:p>
      <w:pPr>
        <w:pStyle w:val="Heading3"/>
      </w:pPr>
      <w:r>
        <w:t xml:space="preserve">A. The Incident</w:t>
      </w:r>
    </w:p>
    <w:p>
      <w:pPr>
        <w:pStyle w:val="FirstParagraph"/>
      </w:pPr>
      <w:r>
        <w:t xml:space="preserve">On November 18, 2024, at approximately 2:17 a.m. EST, Vantage’s Security Operations Center detected anomalous network activity originating from a VPN session authenticated with a credential belonging to a third-party maintenance contractor. Forensic analysis by Thorngate Forensic Solutions, Inc. (</w:t>
      </w:r>
      <w:r>
        <w:t xml:space="preserve">“</w:t>
      </w:r>
      <w:r>
        <w:t xml:space="preserve">Thorngate</w:t>
      </w:r>
      <w:r>
        <w:t xml:space="preserve">”</w:t>
      </w:r>
      <w:r>
        <w:t xml:space="preserve">) subsequently established that the attack was a deliberate two-phase operation:</w:t>
      </w:r>
    </w:p>
    <w:p>
      <w:pPr>
        <w:pStyle w:val="Compact"/>
        <w:numPr>
          <w:ilvl w:val="0"/>
          <w:numId w:val="1002"/>
        </w:numPr>
      </w:pPr>
      <w:r>
        <w:rPr>
          <w:b/>
          <w:bCs/>
        </w:rPr>
        <w:t xml:space="preserve">Phase 1 — Data exfiltration (approx. 1:30 a.m. – 2:15 a.m. EST):</w:t>
      </w:r>
      <w:r>
        <w:t xml:space="preserve"> </w:t>
      </w:r>
      <w:r>
        <w:t xml:space="preserve">Approximately 83 GB of data was exfiltrated to an external IP address</w:t>
      </w:r>
      <w:r>
        <w:t xml:space="preserve"> </w:t>
      </w:r>
      <w:r>
        <w:rPr>
          <w:i/>
          <w:iCs/>
        </w:rPr>
        <w:t xml:space="preserve">before</w:t>
      </w:r>
      <w:r>
        <w:t xml:space="preserve"> </w:t>
      </w:r>
      <w:r>
        <w:t xml:space="preserve">the ransomware payload was deployed, consistent with a double-extortion methodology.</w:t>
      </w:r>
    </w:p>
    <w:p>
      <w:pPr>
        <w:pStyle w:val="Compact"/>
        <w:numPr>
          <w:ilvl w:val="0"/>
          <w:numId w:val="1002"/>
        </w:numPr>
      </w:pPr>
      <w:r>
        <w:rPr>
          <w:b/>
          <w:bCs/>
        </w:rPr>
        <w:t xml:space="preserve">Phase 2 — Ransomware deployment (approx. 2:17 a.m. – 4:45 a.m. EST):</w:t>
      </w:r>
      <w:r>
        <w:t xml:space="preserve"> </w:t>
      </w:r>
      <w:r>
        <w:t xml:space="preserve">The LockStar 3.0 ransomware variant encrypted 347 of the Company’s approximately 2,100 networked endpoints, including the ERP finance, procurement, and order management modules.</w:t>
      </w:r>
    </w:p>
    <w:p>
      <w:pPr>
        <w:pStyle w:val="FirstParagraph"/>
      </w:pPr>
      <w:r>
        <w:t xml:space="preserve">The threat actor’s dwell time is estimated at three to four days (November 14–17, 2024), during which anomalous VPN logins from an IP geolocated to Eastern Europe and internal reconnaissance activity occurred. The ransom demand was 45 Bitcoin (approximately $2,029,500); the Company has not paid and does not intend to pay. Manufacturing operations and OT/SCADA systems were not affected; the air-gapped IT/OT segmentation performed as designed.</w:t>
      </w:r>
    </w:p>
    <w:bookmarkEnd w:id="23"/>
    <w:bookmarkStart w:id="24" w:name="b.-data-exfiltrated"/>
    <w:p>
      <w:pPr>
        <w:pStyle w:val="Heading3"/>
      </w:pPr>
      <w:r>
        <w:t xml:space="preserve">B. Data Exfiltrated</w:t>
      </w:r>
    </w:p>
    <w:p>
      <w:pPr>
        <w:pStyle w:val="FirstParagraph"/>
      </w:pPr>
      <w:r>
        <w:t xml:space="preserve">Thorngate’s December 1, 2024 interim report states with</w:t>
      </w:r>
      <w:r>
        <w:t xml:space="preserve"> </w:t>
      </w:r>
      <w:r>
        <w:t xml:space="preserve">“</w:t>
      </w:r>
      <w:r>
        <w:t xml:space="preserve">high confidence</w:t>
      </w:r>
      <w:r>
        <w:t xml:space="preserve">”</w:t>
      </w:r>
      <w:r>
        <w:t xml:space="preserve"> </w:t>
      </w:r>
      <w:r>
        <w:t xml:space="preserve">that the exfiltrated data includes, for approximately 4,200 corporate customer records:</w:t>
      </w:r>
    </w:p>
    <w:p>
      <w:pPr>
        <w:pStyle w:val="Compact"/>
        <w:numPr>
          <w:ilvl w:val="0"/>
          <w:numId w:val="1003"/>
        </w:numPr>
      </w:pPr>
      <w:r>
        <w:t xml:space="preserve">Customer master records (company names, addresses, primary contacts);</w:t>
      </w:r>
    </w:p>
    <w:p>
      <w:pPr>
        <w:pStyle w:val="Compact"/>
        <w:numPr>
          <w:ilvl w:val="0"/>
          <w:numId w:val="1003"/>
        </w:numPr>
      </w:pPr>
      <w:r>
        <w:t xml:space="preserve">Procurement contact personally identifiable information (</w:t>
      </w:r>
      <w:r>
        <w:t xml:space="preserve">“</w:t>
      </w:r>
      <w:r>
        <w:t xml:space="preserve">PII</w:t>
      </w:r>
      <w:r>
        <w:t xml:space="preserve">”</w:t>
      </w:r>
      <w:r>
        <w:t xml:space="preserve">) (names, emails, direct telephone numbers, job titles);</w:t>
      </w:r>
    </w:p>
    <w:p>
      <w:pPr>
        <w:pStyle w:val="Compact"/>
        <w:numPr>
          <w:ilvl w:val="0"/>
          <w:numId w:val="1003"/>
        </w:numPr>
      </w:pPr>
      <w:r>
        <w:rPr>
          <w:b/>
          <w:bCs/>
        </w:rPr>
        <w:t xml:space="preserve">Customer banking information — ACH routing numbers and account numbers — stored unencrypted (in plaintext) at rest</w:t>
      </w:r>
      <w:r>
        <w:t xml:space="preserve"> </w:t>
      </w:r>
      <w:r>
        <w:t xml:space="preserve">in the ERP accounts receivable module; and</w:t>
      </w:r>
    </w:p>
    <w:p>
      <w:pPr>
        <w:pStyle w:val="Compact"/>
        <w:numPr>
          <w:ilvl w:val="0"/>
          <w:numId w:val="1003"/>
        </w:numPr>
      </w:pPr>
      <w:r>
        <w:t xml:space="preserve">Contract pricing data (negotiated terms, volume discounts, effective dates).</w:t>
      </w:r>
    </w:p>
    <w:p>
      <w:pPr>
        <w:pStyle w:val="FirstParagraph"/>
      </w:pPr>
      <w:r>
        <w:t xml:space="preserve">The affected population includes several of the Company’s largest accounts, including Harmon Defense Solutions, Crestfield Aerospace, and Nexagen Manufacturing. At least six (6) of the Company’s top ten customers (collectively approximately 38% of revenue, or approximately $710.6 million) are believed to have records in the exfiltrated dataset. The affected records span at least 38 U.S. states and customers in Germany, Mexico, Canada, and the United Kingdom.</w:t>
      </w:r>
    </w:p>
    <w:bookmarkEnd w:id="24"/>
    <w:bookmarkStart w:id="25" w:name="c.-root-cause"/>
    <w:p>
      <w:pPr>
        <w:pStyle w:val="Heading3"/>
      </w:pPr>
      <w:r>
        <w:t xml:space="preserve">C. Root Cause</w:t>
      </w:r>
    </w:p>
    <w:p>
      <w:pPr>
        <w:pStyle w:val="FirstParagraph"/>
      </w:pPr>
      <w:r>
        <w:t xml:space="preserve">Thorngate’s preliminary root-cause finding is that the compromised third-party contractor VPN credential</w:t>
      </w:r>
      <w:r>
        <w:t xml:space="preserve"> </w:t>
      </w:r>
      <w:r>
        <w:rPr>
          <w:b/>
          <w:bCs/>
        </w:rPr>
        <w:t xml:space="preserve">was not protected by multi-factor authentication</w:t>
      </w:r>
      <w:r>
        <w:t xml:space="preserve">. MFA was not</w:t>
      </w:r>
      <w:r>
        <w:t xml:space="preserve"> </w:t>
      </w:r>
      <w:r>
        <w:t xml:space="preserve">“</w:t>
      </w:r>
      <w:r>
        <w:t xml:space="preserve">universally required for third-party contractor VPN access</w:t>
      </w:r>
      <w:r>
        <w:t xml:space="preserve">”</w:t>
      </w:r>
      <w:r>
        <w:t xml:space="preserve"> </w:t>
      </w:r>
      <w:r>
        <w:t xml:space="preserve">prior to November 20, 2024, and is being enforced only as a remediation measure after the Incident.</w:t>
      </w:r>
    </w:p>
    <w:bookmarkEnd w:id="25"/>
    <w:bookmarkStart w:id="26" w:name="d.-chronology-of-key-events"/>
    <w:p>
      <w:pPr>
        <w:pStyle w:val="Heading3"/>
      </w:pPr>
      <w:r>
        <w:t xml:space="preserve">D. Chronology of Key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Day</w:t>
            </w:r>
          </w:p>
        </w:tc>
        <w:tc>
          <w:tcPr/>
          <w:p>
            <w:pPr>
              <w:pStyle w:val="Compact"/>
              <w:jc w:val="left"/>
            </w:pPr>
            <w:r>
              <w:t xml:space="preserve">Event</w:t>
            </w:r>
          </w:p>
        </w:tc>
      </w:tr>
      <w:tr>
        <w:tc>
          <w:tcPr/>
          <w:p>
            <w:pPr>
              <w:pStyle w:val="Compact"/>
              <w:jc w:val="left"/>
            </w:pPr>
            <w:r>
              <w:t xml:space="preserve">Nov 18, 2024</w:t>
            </w:r>
          </w:p>
        </w:tc>
        <w:tc>
          <w:tcPr/>
          <w:p>
            <w:pPr>
              <w:pStyle w:val="Compact"/>
              <w:jc w:val="left"/>
            </w:pPr>
            <w:r>
              <w:t xml:space="preserve">Day 0</w:t>
            </w:r>
          </w:p>
        </w:tc>
        <w:tc>
          <w:tcPr/>
          <w:p>
            <w:pPr>
              <w:pStyle w:val="Compact"/>
              <w:jc w:val="left"/>
            </w:pPr>
            <w:r>
              <w:t xml:space="preserve">SOC detection (2:17 a.m.); ransomware deployment (4:45 a.m.); IRT activated Tier 3 (5:00 a.m.); CTO verbally informed (11:00 a.m.)</w:t>
            </w:r>
          </w:p>
        </w:tc>
      </w:tr>
      <w:tr>
        <w:tc>
          <w:tcPr/>
          <w:p>
            <w:pPr>
              <w:pStyle w:val="Compact"/>
              <w:jc w:val="left"/>
            </w:pPr>
            <w:r>
              <w:t xml:space="preserve">Nov 19, 2024</w:t>
            </w:r>
          </w:p>
        </w:tc>
        <w:tc>
          <w:tcPr/>
          <w:p>
            <w:pPr>
              <w:pStyle w:val="Compact"/>
              <w:jc w:val="left"/>
            </w:pPr>
            <w:r>
              <w:t xml:space="preserve">Day 1</w:t>
            </w:r>
          </w:p>
        </w:tc>
        <w:tc>
          <w:tcPr/>
          <w:p>
            <w:pPr>
              <w:pStyle w:val="Compact"/>
              <w:jc w:val="left"/>
            </w:pPr>
            <w:r>
              <w:t xml:space="preserve">Thorngate retained; Associate General Counsel learns informally;</w:t>
            </w:r>
            <w:r>
              <w:t xml:space="preserve"> </w:t>
            </w:r>
            <w:r>
              <w:rPr>
                <w:b/>
                <w:bCs/>
              </w:rPr>
              <w:t xml:space="preserve">General Counsel traveling internationally — not informed</w:t>
            </w:r>
          </w:p>
        </w:tc>
      </w:tr>
      <w:tr>
        <w:tc>
          <w:tcPr/>
          <w:p>
            <w:pPr>
              <w:pStyle w:val="Compact"/>
              <w:jc w:val="left"/>
            </w:pPr>
            <w:r>
              <w:t xml:space="preserve">Nov 20, 2024</w:t>
            </w:r>
          </w:p>
        </w:tc>
        <w:tc>
          <w:tcPr/>
          <w:p>
            <w:pPr>
              <w:pStyle w:val="Compact"/>
              <w:jc w:val="left"/>
            </w:pPr>
            <w:r>
              <w:t xml:space="preserve">Day 2</w:t>
            </w:r>
          </w:p>
        </w:tc>
        <w:tc>
          <w:tcPr/>
          <w:p>
            <w:pPr>
              <w:pStyle w:val="Compact"/>
              <w:jc w:val="left"/>
            </w:pPr>
            <w:r>
              <w:t xml:space="preserve">General Counsel informed upon return; FBI IC3 contacted; Hollister Marsh LLP engaged</w:t>
            </w:r>
          </w:p>
        </w:tc>
      </w:tr>
      <w:tr>
        <w:tc>
          <w:tcPr/>
          <w:p>
            <w:pPr>
              <w:pStyle w:val="Compact"/>
              <w:jc w:val="left"/>
            </w:pPr>
            <w:r>
              <w:t xml:space="preserve">Nov 21, 2024</w:t>
            </w:r>
          </w:p>
        </w:tc>
        <w:tc>
          <w:tcPr/>
          <w:p>
            <w:pPr>
              <w:pStyle w:val="Compact"/>
              <w:jc w:val="left"/>
            </w:pPr>
            <w:r>
              <w:t xml:space="preserve">Day 3</w:t>
            </w:r>
          </w:p>
        </w:tc>
        <w:tc>
          <w:tcPr/>
          <w:p>
            <w:pPr>
              <w:pStyle w:val="Compact"/>
              <w:jc w:val="left"/>
            </w:pPr>
            <w:r>
              <w:t xml:space="preserve">Ridgeline Insurance notified (~73 hours post-discovery; policy requires 72 hours) — insurer reserves rights</w:t>
            </w:r>
          </w:p>
        </w:tc>
      </w:tr>
      <w:tr>
        <w:tc>
          <w:tcPr/>
          <w:p>
            <w:pPr>
              <w:pStyle w:val="Compact"/>
              <w:jc w:val="left"/>
            </w:pPr>
            <w:r>
              <w:t xml:space="preserve">Nov 25, 2024</w:t>
            </w:r>
          </w:p>
        </w:tc>
        <w:tc>
          <w:tcPr/>
          <w:p>
            <w:pPr>
              <w:pStyle w:val="Compact"/>
              <w:jc w:val="left"/>
            </w:pPr>
            <w:r>
              <w:t xml:space="preserve">Day 7</w:t>
            </w:r>
          </w:p>
        </w:tc>
        <w:tc>
          <w:tcPr/>
          <w:p>
            <w:pPr>
              <w:pStyle w:val="Compact"/>
              <w:jc w:val="left"/>
            </w:pPr>
            <w:r>
              <w:t xml:space="preserve">CEO briefed</w:t>
            </w:r>
          </w:p>
        </w:tc>
      </w:tr>
      <w:tr>
        <w:tc>
          <w:tcPr/>
          <w:p>
            <w:pPr>
              <w:pStyle w:val="Compact"/>
              <w:jc w:val="left"/>
            </w:pPr>
            <w:r>
              <w:t xml:space="preserve">Dec 1, 2024</w:t>
            </w:r>
          </w:p>
        </w:tc>
        <w:tc>
          <w:tcPr/>
          <w:p>
            <w:pPr>
              <w:pStyle w:val="Compact"/>
              <w:jc w:val="left"/>
            </w:pPr>
            <w:r>
              <w:t xml:space="preserve">Day 13</w:t>
            </w:r>
          </w:p>
        </w:tc>
        <w:tc>
          <w:tcPr/>
          <w:p>
            <w:pPr>
              <w:pStyle w:val="Compact"/>
              <w:jc w:val="left"/>
            </w:pPr>
            <w:r>
              <w:t xml:space="preserve">Thorngate interim report confirms customer banking data exfiltrated</w:t>
            </w:r>
          </w:p>
        </w:tc>
      </w:tr>
      <w:tr>
        <w:tc>
          <w:tcPr/>
          <w:p>
            <w:pPr>
              <w:pStyle w:val="Compact"/>
              <w:jc w:val="left"/>
            </w:pPr>
            <w:r>
              <w:t xml:space="preserve">Dec 3, 2024</w:t>
            </w:r>
          </w:p>
        </w:tc>
        <w:tc>
          <w:tcPr/>
          <w:p>
            <w:pPr>
              <w:pStyle w:val="Compact"/>
              <w:jc w:val="left"/>
            </w:pPr>
            <w:r>
              <w:t xml:space="preserve">Day 15</w:t>
            </w:r>
          </w:p>
        </w:tc>
        <w:tc>
          <w:tcPr/>
          <w:p>
            <w:pPr>
              <w:pStyle w:val="Compact"/>
              <w:jc w:val="left"/>
            </w:pPr>
            <w:r>
              <w:rPr>
                <w:b/>
                <w:bCs/>
              </w:rPr>
              <w:t xml:space="preserve">Audit Committee Chair first notified by email — first Board-level communication</w:t>
            </w:r>
          </w:p>
        </w:tc>
      </w:tr>
      <w:tr>
        <w:tc>
          <w:tcPr/>
          <w:p>
            <w:pPr>
              <w:pStyle w:val="Compact"/>
              <w:jc w:val="left"/>
            </w:pPr>
            <w:r>
              <w:t xml:space="preserve">Dec 5, 2024</w:t>
            </w:r>
          </w:p>
        </w:tc>
        <w:tc>
          <w:tcPr/>
          <w:p>
            <w:pPr>
              <w:pStyle w:val="Compact"/>
              <w:jc w:val="left"/>
            </w:pPr>
            <w:r>
              <w:t xml:space="preserve">Day 17</w:t>
            </w:r>
          </w:p>
        </w:tc>
        <w:tc>
          <w:tcPr/>
          <w:p>
            <w:pPr>
              <w:pStyle w:val="Compact"/>
              <w:jc w:val="left"/>
            </w:pPr>
            <w:r>
              <w:t xml:space="preserve">CISO status report;</w:t>
            </w:r>
            <w:r>
              <w:t xml:space="preserve"> </w:t>
            </w:r>
            <w:r>
              <w:rPr>
                <w:b/>
                <w:bCs/>
              </w:rPr>
              <w:t xml:space="preserve">no Form 8-K filed; no materiality determination conducted; no customer, state, or GDPR notifications issued</w:t>
            </w:r>
          </w:p>
        </w:tc>
      </w:tr>
      <w:tr>
        <w:tc>
          <w:tcPr/>
          <w:p>
            <w:pPr>
              <w:pStyle w:val="Compact"/>
              <w:jc w:val="left"/>
            </w:pPr>
            <w:r>
              <w:t xml:space="preserve">Jan 22, 2025</w:t>
            </w:r>
          </w:p>
        </w:tc>
        <w:tc>
          <w:tcPr/>
          <w:p>
            <w:pPr>
              <w:pStyle w:val="Compact"/>
              <w:jc w:val="left"/>
            </w:pPr>
            <w:r>
              <w:t xml:space="preserve">—</w:t>
            </w:r>
          </w:p>
        </w:tc>
        <w:tc>
          <w:tcPr/>
          <w:p>
            <w:pPr>
              <w:pStyle w:val="Compact"/>
              <w:jc w:val="left"/>
            </w:pPr>
            <w:r>
              <w:t xml:space="preserve">Next regularly scheduled Audit Committee meeting</w:t>
            </w:r>
          </w:p>
        </w:tc>
      </w:tr>
    </w:tbl>
    <w:bookmarkEnd w:id="26"/>
    <w:bookmarkStart w:id="27" w:name="e.-financial-impact-preliminary"/>
    <w:p>
      <w:pPr>
        <w:pStyle w:val="Heading3"/>
      </w:pPr>
      <w:r>
        <w:t xml:space="preserve">E. Financial Impact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Incident response costs</w:t>
            </w:r>
          </w:p>
        </w:tc>
        <w:tc>
          <w:tcPr/>
          <w:p>
            <w:pPr>
              <w:pStyle w:val="Compact"/>
              <w:jc w:val="left"/>
            </w:pPr>
            <w:r>
              <w:t xml:space="preserve">$1,400,000</w:t>
            </w:r>
          </w:p>
        </w:tc>
      </w:tr>
      <w:tr>
        <w:tc>
          <w:tcPr/>
          <w:p>
            <w:pPr>
              <w:pStyle w:val="Compact"/>
              <w:jc w:val="left"/>
            </w:pPr>
            <w:r>
              <w:t xml:space="preserve">Business disruption costs</w:t>
            </w:r>
          </w:p>
        </w:tc>
        <w:tc>
          <w:tcPr/>
          <w:p>
            <w:pPr>
              <w:pStyle w:val="Compact"/>
              <w:jc w:val="left"/>
            </w:pPr>
            <w:r>
              <w:t xml:space="preserve">$2,800,000</w:t>
            </w:r>
          </w:p>
        </w:tc>
      </w:tr>
      <w:tr>
        <w:tc>
          <w:tcPr/>
          <w:p>
            <w:pPr>
              <w:pStyle w:val="Compact"/>
              <w:jc w:val="left"/>
            </w:pPr>
            <w:r>
              <w:t xml:space="preserve">Customer notification preparation costs</w:t>
            </w:r>
          </w:p>
        </w:tc>
        <w:tc>
          <w:tcPr/>
          <w:p>
            <w:pPr>
              <w:pStyle w:val="Compact"/>
              <w:jc w:val="left"/>
            </w:pPr>
            <w:r>
              <w:t xml:space="preserve">$300,000</w:t>
            </w:r>
          </w:p>
        </w:tc>
      </w:tr>
      <w:tr>
        <w:tc>
          <w:tcPr/>
          <w:p>
            <w:pPr>
              <w:pStyle w:val="Compact"/>
              <w:jc w:val="left"/>
            </w:pPr>
            <w:r>
              <w:rPr>
                <w:b/>
                <w:bCs/>
              </w:rPr>
              <w:t xml:space="preserve">Total estimated costs (as of Dec 5, 2024)</w:t>
            </w:r>
          </w:p>
        </w:tc>
        <w:tc>
          <w:tcPr/>
          <w:p>
            <w:pPr>
              <w:pStyle w:val="Compact"/>
              <w:jc w:val="left"/>
            </w:pPr>
            <w:r>
              <w:rPr>
                <w:b/>
                <w:bCs/>
              </w:rPr>
              <w:t xml:space="preserve">$4,500,000</w:t>
            </w:r>
          </w:p>
        </w:tc>
      </w:tr>
    </w:tbl>
    <w:p>
      <w:pPr>
        <w:pStyle w:val="BodyText"/>
      </w:pPr>
      <w:r>
        <w:t xml:space="preserve">The $4.5 million estimate represents approximately 1.45% of projected FY2024 EBITDA (~$310 million). The status report expressly cautions that final costs</w:t>
      </w:r>
      <w:r>
        <w:t xml:space="preserve"> </w:t>
      </w:r>
      <w:r>
        <w:t xml:space="preserve">“</w:t>
      </w:r>
      <w:r>
        <w:t xml:space="preserve">may be materially higher</w:t>
      </w:r>
      <w:r>
        <w:t xml:space="preserve">”</w:t>
      </w:r>
      <w:r>
        <w:t xml:space="preserve"> </w:t>
      </w:r>
      <w:r>
        <w:t xml:space="preserve">and exclude potential customer claims, regulatory penalties, litigation, and reputational impact. Cyber insurance (Policy No. CYB-2024-08871) carries a $15 million aggregate limit and a $2.5 million self-insured retention, implying approximately $2.0 million of recoverable coverage — which is itself at risk due to late notice and a potential policy-application warranty breach (see Gap 10).</w:t>
      </w:r>
    </w:p>
    <w:p>
      <w:r>
        <w:pict>
          <v:rect style="width:0;height:1.5pt" o:hralign="center" o:hrstd="t" o:hr="t"/>
        </w:pict>
      </w:r>
    </w:p>
    <w:bookmarkEnd w:id="27"/>
    <w:bookmarkEnd w:id="28"/>
    <w:bookmarkStart w:id="34" w:name="iii.-applicable-sec-regulatory-framework"/>
    <w:p>
      <w:pPr>
        <w:pStyle w:val="Heading2"/>
      </w:pPr>
      <w:r>
        <w:t xml:space="preserve">III. Applicable SEC Regulatory Framework</w:t>
      </w:r>
    </w:p>
    <w:bookmarkStart w:id="29" w:name="X451e81181685f46dc028238adac6415512b0c58"/>
    <w:p>
      <w:pPr>
        <w:pStyle w:val="Heading3"/>
      </w:pPr>
      <w:r>
        <w:t xml:space="preserve">A. Item 1.05 of Form 8-K — Material Cybersecurity Incident Disclosure</w:t>
      </w:r>
    </w:p>
    <w:p>
      <w:pPr>
        <w:pStyle w:val="FirstParagraph"/>
      </w:pPr>
      <w:r>
        <w:t xml:space="preserve">Effective for incidents discovered on or after December 18, 2023, Item 1.05 of Form 8-K (17 CFR 249.308) requires a registrant, upon determining that a cybersecurity incident is</w:t>
      </w:r>
      <w:r>
        <w:t xml:space="preserve"> </w:t>
      </w:r>
      <w:r>
        <w:rPr>
          <w:b/>
          <w:bCs/>
        </w:rPr>
        <w:t xml:space="preserve">material</w:t>
      </w:r>
      <w:r>
        <w:t xml:space="preserve">, to disclose the incident on Form 8-K</w:t>
      </w:r>
      <w:r>
        <w:t xml:space="preserve"> </w:t>
      </w:r>
      <w:r>
        <w:rPr>
          <w:b/>
          <w:bCs/>
        </w:rPr>
        <w:t xml:space="preserve">within four (4) business days</w:t>
      </w:r>
      <w:r>
        <w:t xml:space="preserve"> </w:t>
      </w:r>
      <w:r>
        <w:t xml:space="preserve">after the registrant determines the incident is material. The disclosure must describe the material aspects of (i) the nature, scope, and timing of the incident, and (ii) the material impact or reasonably likely material impact on the registrant, including its operations and financial condition.</w:t>
      </w:r>
    </w:p>
    <w:p>
      <w:pPr>
        <w:pStyle w:val="BodyText"/>
      </w:pPr>
      <w:r>
        <w:t xml:space="preserve">Two features of the rule are decisive here:</w:t>
      </w:r>
    </w:p>
    <w:p>
      <w:pPr>
        <w:pStyle w:val="Compact"/>
        <w:numPr>
          <w:ilvl w:val="0"/>
          <w:numId w:val="1004"/>
        </w:numPr>
      </w:pPr>
      <w:r>
        <w:rPr>
          <w:b/>
          <w:bCs/>
        </w:rPr>
        <w:t xml:space="preserve">The four-business-day clock starts at materiality</w:t>
      </w:r>
      <w:r>
        <w:rPr>
          <w:b/>
          <w:bCs/>
        </w:rPr>
        <w:t xml:space="preserve"> </w:t>
      </w:r>
      <w:r>
        <w:rPr>
          <w:b/>
          <w:bCs/>
          <w:i/>
          <w:iCs/>
        </w:rPr>
        <w:t xml:space="preserve">determination</w:t>
      </w:r>
      <w:r>
        <w:rPr>
          <w:b/>
          <w:bCs/>
        </w:rPr>
        <w:t xml:space="preserve">, not at discovery.</w:t>
      </w:r>
      <w:r>
        <w:t xml:space="preserve"> </w:t>
      </w:r>
      <w:r>
        <w:t xml:space="preserve">However, the SEC’s adopting release (Release Nos. 33-11216; 34-97989) requires that the materiality determination be made</w:t>
      </w:r>
      <w:r>
        <w:t xml:space="preserve"> </w:t>
      </w:r>
      <w:r>
        <w:rPr>
          <w:b/>
          <w:bCs/>
        </w:rPr>
        <w:t xml:space="preserve">“</w:t>
      </w:r>
      <w:r>
        <w:rPr>
          <w:b/>
          <w:bCs/>
        </w:rPr>
        <w:t xml:space="preserve">without unreasonable delay</w:t>
      </w:r>
      <w:r>
        <w:rPr>
          <w:b/>
          <w:bCs/>
        </w:rPr>
        <w:t xml:space="preserve">”</w:t>
      </w:r>
      <w:r>
        <w:t xml:space="preserve"> </w:t>
      </w:r>
      <w:r>
        <w:t xml:space="preserve">after discovery of the incident. The SEC expressly warned registrants against using a delayed materiality determination as a device to postpone disclosure.</w:t>
      </w:r>
    </w:p>
    <w:p>
      <w:pPr>
        <w:pStyle w:val="Compact"/>
        <w:numPr>
          <w:ilvl w:val="0"/>
          <w:numId w:val="1004"/>
        </w:numPr>
      </w:pPr>
      <w:r>
        <w:rPr>
          <w:b/>
          <w:bCs/>
        </w:rPr>
        <w:t xml:space="preserve">The only permitted delay</w:t>
      </w:r>
      <w:r>
        <w:t xml:space="preserve"> </w:t>
      </w:r>
      <w:r>
        <w:t xml:space="preserve">arises where the U.S. Attorney General determines that immediate disclosure would pose a substantial risk to national security or public safety (Item 1.05(c)). No such determination has been made or requested here; the FBI IC3 contact does not trigger this exception, and the status report confirms that no law-enforcement request to delay disclosure has been received.</w:t>
      </w:r>
    </w:p>
    <w:p>
      <w:pPr>
        <w:pStyle w:val="FirstParagraph"/>
      </w:pPr>
      <w:r>
        <w:t xml:space="preserve">Where the incident is determined to be material but its full scope is not yet known, the registrant must disclose what is known and may update the disclosure by amendment as additional information becomes available.</w:t>
      </w:r>
    </w:p>
    <w:bookmarkEnd w:id="29"/>
    <w:bookmarkStart w:id="30" w:name="Xada20ee5a156495ca5c5026a352f81849dce189"/>
    <w:p>
      <w:pPr>
        <w:pStyle w:val="Heading3"/>
      </w:pPr>
      <w:r>
        <w:t xml:space="preserve">B. Item 106 of Regulation S-K / Item 1C of Form 10-K</w:t>
      </w:r>
    </w:p>
    <w:p>
      <w:pPr>
        <w:pStyle w:val="FirstParagraph"/>
      </w:pPr>
      <w:r>
        <w:t xml:space="preserve">Item 106 of Regulation S-K (17 CFR 229.106), disclosed in Item 1C of Form 10-K, requires annual disclosure of (a) the registrant’s processes for assessing, identifying, and managing material risks from cybersecurity threats, including whether and how such risks have materially affected, or are reasonably likely to materially affect, the Company (including prior cybersecurity incidents), and (b) the Board’s oversight of cybersecurity risk and management’s role and expertise. The Company’s FY2023 Form 10-K (filed February 28, 2024) contains an Item 1C disclosure that will require substantive revision in the FY2024 Form 10-K to address the Incident.</w:t>
      </w:r>
    </w:p>
    <w:bookmarkEnd w:id="30"/>
    <w:bookmarkStart w:id="31" w:name="c.-materiality-standard"/>
    <w:p>
      <w:pPr>
        <w:pStyle w:val="Heading3"/>
      </w:pPr>
      <w:r>
        <w:t xml:space="preserve">C. Materiality Standard</w:t>
      </w:r>
    </w:p>
    <w:p>
      <w:pPr>
        <w:pStyle w:val="FirstParagraph"/>
      </w:pPr>
      <w:r>
        <w:t xml:space="preserve">Materiality is assessed under the standard of</w:t>
      </w:r>
      <w:r>
        <w:t xml:space="preserve"> </w:t>
      </w:r>
      <w:r>
        <w:rPr>
          <w:i/>
          <w:iCs/>
        </w:rPr>
        <w:t xml:space="preserve">TSC Industries, Inc. v. Northway, Inc.</w:t>
      </w:r>
      <w:r>
        <w:t xml:space="preserve"> </w:t>
      </w:r>
      <w:r>
        <w:t xml:space="preserve">and</w:t>
      </w:r>
      <w:r>
        <w:t xml:space="preserve"> </w:t>
      </w:r>
      <w:r>
        <w:rPr>
          <w:i/>
          <w:iCs/>
        </w:rPr>
        <w:t xml:space="preserve">Basic Inc. v. Levinson</w:t>
      </w:r>
      <w:r>
        <w:t xml:space="preserve">, considering both</w:t>
      </w:r>
      <w:r>
        <w:t xml:space="preserve"> </w:t>
      </w:r>
      <w:r>
        <w:rPr>
          <w:b/>
          <w:bCs/>
        </w:rPr>
        <w:t xml:space="preserve">quantitative</w:t>
      </w:r>
      <w:r>
        <w:t xml:space="preserve"> </w:t>
      </w:r>
      <w:r>
        <w:t xml:space="preserve">and</w:t>
      </w:r>
      <w:r>
        <w:t xml:space="preserve"> </w:t>
      </w:r>
      <w:r>
        <w:rPr>
          <w:b/>
          <w:bCs/>
        </w:rPr>
        <w:t xml:space="preserve">qualitative</w:t>
      </w:r>
      <w:r>
        <w:t xml:space="preserve"> </w:t>
      </w:r>
      <w:r>
        <w:t xml:space="preserve">factors. Qualitative factors — including the nature of the compromised data, the identity of affected parties, contractual and regulatory consequences, reputational impact, and effects on pending transactions — may render an incident material even where the quantitative financial impact is modest.</w:t>
      </w:r>
    </w:p>
    <w:bookmarkEnd w:id="31"/>
    <w:bookmarkStart w:id="32" w:name="Xa29695083d589adbb8d5b8c789175782c3e40d8"/>
    <w:p>
      <w:pPr>
        <w:pStyle w:val="Heading3"/>
      </w:pPr>
      <w:r>
        <w:t xml:space="preserve">D. Disclosure Controls and Procedures; Internal Control Over Financial Reporting</w:t>
      </w:r>
    </w:p>
    <w:p>
      <w:pPr>
        <w:pStyle w:val="FirstParagraph"/>
      </w:pPr>
      <w:r>
        <w:t xml:space="preserve">Section 13(a) of the Exchange Act and Rules 13a-15(a) and 13a-15(c) require registrants to maintain disclosure controls and procedures designed to ensure that information required to be disclosed is recorded, processed, summarized, and reported within the required periods, and that such information is accumulated and communicated to management to allow timely decisions regarding required disclosure. Sarbanes-Oxley Sections 302 and 906 impose CEO/CFO certification obligations, and Section 404 requires an assessment of internal control over financial reporting (</w:t>
      </w:r>
      <w:r>
        <w:t xml:space="preserve">“</w:t>
      </w:r>
      <w:r>
        <w:t xml:space="preserve">ICFR</w:t>
      </w:r>
      <w:r>
        <w:t xml:space="preserve">”</w:t>
      </w:r>
      <w:r>
        <w:t xml:space="preserve">). A failure to escalate a material cybersecurity event to disclosure decision-makers on a timely basis is evidence of a disclosure-controls deficiency, and a disruption to financial reporting systems (here, the ERP finance module) may implicate ICFR.</w:t>
      </w:r>
    </w:p>
    <w:bookmarkEnd w:id="32"/>
    <w:bookmarkStart w:id="33" w:name="X1462e61c7a1f43c6a9b5cda94408a32b1befd92"/>
    <w:p>
      <w:pPr>
        <w:pStyle w:val="Heading3"/>
      </w:pPr>
      <w:r>
        <w:t xml:space="preserve">E. Anti-Fraud and Periodic-Reporting Obligations</w:t>
      </w:r>
    </w:p>
    <w:p>
      <w:pPr>
        <w:pStyle w:val="FirstParagraph"/>
      </w:pPr>
      <w:r>
        <w:t xml:space="preserve">Section 10(b) of the Exchange Act and Rule 10b-5 prohibit material misstatements or omissions in connection with the purchase or sale of securities. Section 13(a) imposes an affirmative obligation to file required periodic and current reports. A materially inaccurate cybersecurity disclosure in a filed report (e.g., an overstatement of access-management controls) creates Rule 10b-5 exposure, and the obligation to correct a prior material misstatement may arise independently of the Item 1.05 four-business-day clock.</w:t>
      </w:r>
    </w:p>
    <w:p>
      <w:r>
        <w:pict>
          <v:rect style="width:0;height:1.5pt" o:hralign="center" o:hrstd="t" o:hr="t"/>
        </w:pict>
      </w:r>
    </w:p>
    <w:bookmarkEnd w:id="33"/>
    <w:bookmarkEnd w:id="34"/>
    <w:bookmarkStart w:id="48" w:name="iv.-gap-analysis"/>
    <w:p>
      <w:pPr>
        <w:pStyle w:val="Heading2"/>
      </w:pPr>
      <w:r>
        <w:t xml:space="preserve">IV. Gap Analysis</w:t>
      </w:r>
    </w:p>
    <w:bookmarkStart w:id="35" w:name="Xdbfc455153d627ec15c0b0757ba25390685de93"/>
    <w:p>
      <w:pPr>
        <w:pStyle w:val="Heading3"/>
      </w:pPr>
      <w:r>
        <w:t xml:space="preserve">Gap 1 — No Materiality Determination; No Form 8-K Filed (Item 1.05)</w:t>
      </w:r>
    </w:p>
    <w:p>
      <w:pPr>
        <w:pStyle w:val="FirstParagraph"/>
      </w:pPr>
      <w:r>
        <w:rPr>
          <w:b/>
          <w:bCs/>
        </w:rPr>
        <w:t xml:space="preserve">Finding.</w:t>
      </w:r>
      <w:r>
        <w:t xml:space="preserve"> </w:t>
      </w:r>
      <w:r>
        <w:t xml:space="preserve">As of December 5, 2024 (Day 17), the CISO incident status report states that</w:t>
      </w:r>
      <w:r>
        <w:t xml:space="preserve"> </w:t>
      </w:r>
      <w:r>
        <w:t xml:space="preserve">“</w:t>
      </w:r>
      <w:r>
        <w:t xml:space="preserve">no formal materiality determination has been conducted</w:t>
      </w:r>
      <w:r>
        <w:t xml:space="preserve">”</w:t>
      </w:r>
      <w:r>
        <w:t xml:space="preserve"> </w:t>
      </w:r>
      <w:r>
        <w:t xml:space="preserve">and</w:t>
      </w:r>
      <w:r>
        <w:t xml:space="preserve"> </w:t>
      </w:r>
      <w:r>
        <w:t xml:space="preserve">“</w:t>
      </w:r>
      <w:r>
        <w:t xml:space="preserve">no Form 8-K or other public disclosure has been filed with the Securities and Exchange Commission regarding this incident.</w:t>
      </w:r>
      <w:r>
        <w:t xml:space="preserve">”</w:t>
      </w:r>
    </w:p>
    <w:p>
      <w:pPr>
        <w:pStyle w:val="BodyText"/>
      </w:pPr>
      <w:r>
        <w:rPr>
          <w:b/>
          <w:bCs/>
        </w:rPr>
        <w:t xml:space="preserve">Analysis.</w:t>
      </w:r>
      <w:r>
        <w:t xml:space="preserve"> </w:t>
      </w:r>
      <w:r>
        <w:t xml:space="preserve">This is the central SEC compliance failure. Item 1.05 requires a materiality determination</w:t>
      </w:r>
      <w:r>
        <w:t xml:space="preserve"> </w:t>
      </w:r>
      <w:r>
        <w:t xml:space="preserve">“</w:t>
      </w:r>
      <w:r>
        <w:t xml:space="preserve">without unreasonable delay</w:t>
      </w:r>
      <w:r>
        <w:t xml:space="preserve">”</w:t>
      </w:r>
      <w:r>
        <w:t xml:space="preserve"> </w:t>
      </w:r>
      <w:r>
        <w:t xml:space="preserve">after discovery, followed by a Form 8-K within four business days of that determination. Seventeen days have elapsed with no determination. The four-business-day clock has not started because the Company has not made the threshold determination — but the</w:t>
      </w:r>
      <w:r>
        <w:t xml:space="preserve"> </w:t>
      </w:r>
      <w:r>
        <w:t xml:space="preserve">“</w:t>
      </w:r>
      <w:r>
        <w:t xml:space="preserve">without unreasonable delay</w:t>
      </w:r>
      <w:r>
        <w:t xml:space="preserve">”</w:t>
      </w:r>
      <w:r>
        <w:t xml:space="preserve"> </w:t>
      </w:r>
      <w:r>
        <w:t xml:space="preserve">obligation has been running since November 18 and is, in our view, already breached given the severity of the Incident (Tier 3; confirmed exfiltration of unencrypted customer banking data; impact on top customers and a pending acquisition). The Company cannot rely on the absence of a formal determination to defer disclosure; doing so is precisely the practice the SEC’s adopting release proscribes.</w:t>
      </w:r>
    </w:p>
    <w:p>
      <w:pPr>
        <w:pStyle w:val="BodyText"/>
      </w:pPr>
      <w:r>
        <w:rPr>
          <w:b/>
          <w:bCs/>
        </w:rPr>
        <w:t xml:space="preserve">Severity: Critical.</w:t>
      </w:r>
    </w:p>
    <w:bookmarkEnd w:id="35"/>
    <w:bookmarkStart w:id="36" w:name="Xdc3f16802b2e95e83278ddd9360171b0de48d38"/>
    <w:p>
      <w:pPr>
        <w:pStyle w:val="Heading3"/>
      </w:pPr>
      <w:r>
        <w:t xml:space="preserve">Gap 2 — The Incident Is, in Our Assessment, Material</w:t>
      </w:r>
    </w:p>
    <w:p>
      <w:pPr>
        <w:pStyle w:val="FirstParagraph"/>
      </w:pPr>
      <w:r>
        <w:rPr>
          <w:b/>
          <w:bCs/>
        </w:rPr>
        <w:t xml:space="preserve">Finding.</w:t>
      </w:r>
      <w:r>
        <w:t xml:space="preserve"> </w:t>
      </w:r>
      <w:r>
        <w:t xml:space="preserve">No materiality analysis has been documented. Based on the available facts, the Incident is material (or, at minimum, reasonably likely to be material), principally on qualitative grounds.</w:t>
      </w:r>
    </w:p>
    <w:p>
      <w:pPr>
        <w:pStyle w:val="BodyText"/>
      </w:pPr>
      <w:r>
        <w:rPr>
          <w:b/>
          <w:bCs/>
        </w:rPr>
        <w:t xml:space="preserve">Analysis — Quantitative factors.</w:t>
      </w:r>
      <w:r>
        <w:t xml:space="preserve"> </w:t>
      </w:r>
      <w:r>
        <w:t xml:space="preserve">The $4.5 million preliminary cost estimate is approximately 1.45% of projected EBITDA and approximately 0.24% of projected revenue — modest on a pure quantitative basis. However, the estimate is expressly preliminary and excludes customer claims, regulatory penalties, litigation, and reputational impact, all of which are reasonably foreseeable here. Insurance recovery of approximately $2.0 million is itself uncertain (see Gap 10).</w:t>
      </w:r>
    </w:p>
    <w:p>
      <w:pPr>
        <w:pStyle w:val="BodyText"/>
      </w:pPr>
      <w:r>
        <w:rPr>
          <w:b/>
          <w:bCs/>
        </w:rPr>
        <w:t xml:space="preserve">Analysis — Qualitative factors (strongly indicative of materiality):</w:t>
      </w:r>
    </w:p>
    <w:p>
      <w:pPr>
        <w:pStyle w:val="Compact"/>
        <w:numPr>
          <w:ilvl w:val="0"/>
          <w:numId w:val="1005"/>
        </w:numPr>
      </w:pPr>
      <w:r>
        <w:rPr>
          <w:b/>
          <w:bCs/>
        </w:rPr>
        <w:t xml:space="preserve">Nature of compromised data.</w:t>
      </w:r>
      <w:r>
        <w:t xml:space="preserve"> </w:t>
      </w:r>
      <w:r>
        <w:t xml:space="preserve">Unencrypted ACH routing and account numbers for approximately 4,200 customer accounts create a direct risk of unauthorized electronic fund transfers and identity fraud — a high-severity data category.</w:t>
      </w:r>
    </w:p>
    <w:p>
      <w:pPr>
        <w:pStyle w:val="Compact"/>
        <w:numPr>
          <w:ilvl w:val="0"/>
          <w:numId w:val="1005"/>
        </w:numPr>
      </w:pPr>
      <w:r>
        <w:rPr>
          <w:b/>
          <w:bCs/>
        </w:rPr>
        <w:t xml:space="preserve">Identity of affected parties.</w:t>
      </w:r>
      <w:r>
        <w:t xml:space="preserve"> </w:t>
      </w:r>
      <w:r>
        <w:t xml:space="preserve">The affected population includes at least six of the Company’s top ten customers, which represent approximately 38% of revenue (~$710.6 million). Loss of, or claims by, these customers would be quantitatively material on any measure.</w:t>
      </w:r>
    </w:p>
    <w:p>
      <w:pPr>
        <w:pStyle w:val="Compact"/>
        <w:numPr>
          <w:ilvl w:val="0"/>
          <w:numId w:val="1005"/>
        </w:numPr>
      </w:pPr>
      <w:r>
        <w:rPr>
          <w:b/>
          <w:bCs/>
        </w:rPr>
        <w:t xml:space="preserve">Contractual consequences.</w:t>
      </w:r>
      <w:r>
        <w:t xml:space="preserve"> </w:t>
      </w:r>
      <w:r>
        <w:t xml:space="preserve">48-hour customer notification deadlines under at least three top-customer contracts have been missed, triggering liquidated damages (Harmon: $500,000 per incident), immediate and 15/30-day termination rights, payment-suspension rights, 12-month audit rights, and 24-month future-business exclusions (see Gap 9). These are material contractual breaches with revenue-concentration consequences.</w:t>
      </w:r>
    </w:p>
    <w:p>
      <w:pPr>
        <w:pStyle w:val="Compact"/>
        <w:numPr>
          <w:ilvl w:val="0"/>
          <w:numId w:val="1005"/>
        </w:numPr>
      </w:pPr>
      <w:r>
        <w:rPr>
          <w:b/>
          <w:bCs/>
        </w:rPr>
        <w:t xml:space="preserve">Regulatory exposure.</w:t>
      </w:r>
      <w:r>
        <w:t xml:space="preserve"> </w:t>
      </w:r>
      <w:r>
        <w:t xml:space="preserve">The affected records span at least 38 U.S. states (triggering multiple state breach-notification statutes) and customers in Germany, the United Kingdom, Canada, and Mexico (triggering GDPR and other non-U.S. notification obligations) (see Gap 11).</w:t>
      </w:r>
    </w:p>
    <w:p>
      <w:pPr>
        <w:pStyle w:val="Compact"/>
        <w:numPr>
          <w:ilvl w:val="0"/>
          <w:numId w:val="1005"/>
        </w:numPr>
      </w:pPr>
      <w:r>
        <w:rPr>
          <w:b/>
          <w:bCs/>
        </w:rPr>
        <w:t xml:space="preserve">Pending acquisition.</w:t>
      </w:r>
      <w:r>
        <w:t xml:space="preserve"> </w:t>
      </w:r>
      <w:r>
        <w:t xml:space="preserve">The Incident may affect the pending $425 million acquisition of Kessler Precision Systems GmbH — a transaction large enough to be material on a standalone basis (see Gap 12).</w:t>
      </w:r>
    </w:p>
    <w:p>
      <w:pPr>
        <w:pStyle w:val="Compact"/>
        <w:numPr>
          <w:ilvl w:val="0"/>
          <w:numId w:val="1005"/>
        </w:numPr>
      </w:pPr>
      <w:r>
        <w:rPr>
          <w:b/>
          <w:bCs/>
        </w:rPr>
        <w:t xml:space="preserve">Reputational and operational impact.</w:t>
      </w:r>
      <w:r>
        <w:t xml:space="preserve"> </w:t>
      </w:r>
      <w:r>
        <w:t xml:space="preserve">Encryption of the ERP finance, procurement, and order management modules disrupted core operations for over two weeks and required manual workarounds.</w:t>
      </w:r>
    </w:p>
    <w:p>
      <w:pPr>
        <w:pStyle w:val="Compact"/>
        <w:numPr>
          <w:ilvl w:val="0"/>
          <w:numId w:val="1005"/>
        </w:numPr>
      </w:pPr>
      <w:r>
        <w:rPr>
          <w:b/>
          <w:bCs/>
        </w:rPr>
        <w:t xml:space="preserve">Disclosure-accuracy overlay.</w:t>
      </w:r>
      <w:r>
        <w:t xml:space="preserve"> </w:t>
      </w:r>
      <w:r>
        <w:t xml:space="preserve">The Incident exposed an inaccuracy in the Company’s prior MFA disclosure (see Gap 3), compounding the need for prompt corrective disclosure.</w:t>
      </w:r>
    </w:p>
    <w:p>
      <w:pPr>
        <w:pStyle w:val="FirstParagraph"/>
      </w:pPr>
      <w:r>
        <w:rPr>
          <w:b/>
          <w:bCs/>
        </w:rPr>
        <w:t xml:space="preserve">Conclusion.</w:t>
      </w:r>
      <w:r>
        <w:t xml:space="preserve"> </w:t>
      </w:r>
      <w:r>
        <w:t xml:space="preserve">A reasonable issuer, applying the qualitative materiality factors the SEC has emphasized, would conclude that the Incident is material. The Company should make and document that determination immediately.</w:t>
      </w:r>
    </w:p>
    <w:p>
      <w:pPr>
        <w:pStyle w:val="BodyText"/>
      </w:pPr>
      <w:r>
        <w:rPr>
          <w:b/>
          <w:bCs/>
        </w:rPr>
        <w:t xml:space="preserve">Severity: Critical.</w:t>
      </w:r>
    </w:p>
    <w:bookmarkEnd w:id="36"/>
    <w:bookmarkStart w:id="37" w:name="X9d9e0f959b6304135f64b5f144f022ef3a49ccb"/>
    <w:p>
      <w:pPr>
        <w:pStyle w:val="Heading3"/>
      </w:pPr>
      <w:r>
        <w:t xml:space="preserve">Gap 3 — Inaccuracy in FY2023 Form 10-K Item 1C (MFA Representation)</w:t>
      </w:r>
    </w:p>
    <w:p>
      <w:pPr>
        <w:pStyle w:val="FirstParagraph"/>
      </w:pPr>
      <w:r>
        <w:rPr>
          <w:b/>
          <w:bCs/>
        </w:rPr>
        <w:t xml:space="preserve">Finding.</w:t>
      </w:r>
      <w:r>
        <w:t xml:space="preserve"> </w:t>
      </w:r>
      <w:r>
        <w:t xml:space="preserve">The FY2023 Form 10-K Item 1C states:</w:t>
      </w:r>
      <w:r>
        <w:t xml:space="preserve"> </w:t>
      </w:r>
      <w:r>
        <w:rPr>
          <w:i/>
          <w:iCs/>
        </w:rPr>
        <w:t xml:space="preserve">“</w:t>
      </w:r>
      <w:r>
        <w:rPr>
          <w:i/>
          <w:iCs/>
        </w:rPr>
        <w:t xml:space="preserve">The Company has implemented access management controls, including role-based access controls, privileged access management, and multi-factor authentication for access to critical information systems, remote access connections, and administrative accounts.</w:t>
      </w:r>
      <w:r>
        <w:rPr>
          <w:i/>
          <w:iCs/>
        </w:rPr>
        <w:t xml:space="preserve">”</w:t>
      </w:r>
      <w:r>
        <w:t xml:space="preserve"> </w:t>
      </w:r>
      <w:r>
        <w:t xml:space="preserve">The CIRP (Section 4.1(d)) similarly states that</w:t>
      </w:r>
      <w:r>
        <w:t xml:space="preserve"> </w:t>
      </w:r>
      <w:r>
        <w:t xml:space="preserve">“</w:t>
      </w:r>
      <w:r>
        <w:t xml:space="preserve">Multi-factor authentication (MFA) is required for all VPN connections,</w:t>
      </w:r>
      <w:r>
        <w:t xml:space="preserve">”</w:t>
      </w:r>
      <w:r>
        <w:t xml:space="preserve"> </w:t>
      </w:r>
      <w:r>
        <w:t xml:space="preserve">including for</w:t>
      </w:r>
      <w:r>
        <w:t xml:space="preserve"> </w:t>
      </w:r>
      <w:r>
        <w:t xml:space="preserve">“</w:t>
      </w:r>
      <w:r>
        <w:t xml:space="preserve">authorized third-party contractors.</w:t>
      </w:r>
      <w:r>
        <w:t xml:space="preserve">”</w:t>
      </w:r>
      <w:r>
        <w:t xml:space="preserve"> </w:t>
      </w:r>
      <w:r>
        <w:t xml:space="preserve">Thorngate’s interim report and the CISO status report establish that, as of the Incident, the compromised third-party contractor VPN credential</w:t>
      </w:r>
      <w:r>
        <w:t xml:space="preserve"> </w:t>
      </w:r>
      <w:r>
        <w:rPr>
          <w:b/>
          <w:bCs/>
        </w:rPr>
        <w:t xml:space="preserve">was not MFA-protected</w:t>
      </w:r>
      <w:r>
        <w:t xml:space="preserve">, and that</w:t>
      </w:r>
      <w:r>
        <w:t xml:space="preserve"> </w:t>
      </w:r>
      <w:r>
        <w:t xml:space="preserve">“</w:t>
      </w:r>
      <w:r>
        <w:t xml:space="preserve">MFA was not universally required for third-party contractor VPN access</w:t>
      </w:r>
      <w:r>
        <w:t xml:space="preserve">”</w:t>
      </w:r>
      <w:r>
        <w:t xml:space="preserve"> </w:t>
      </w:r>
      <w:r>
        <w:t xml:space="preserve">prior to November 20, 2024.</w:t>
      </w:r>
    </w:p>
    <w:p>
      <w:pPr>
        <w:pStyle w:val="BodyText"/>
      </w:pPr>
      <w:r>
        <w:rPr>
          <w:b/>
          <w:bCs/>
        </w:rPr>
        <w:t xml:space="preserve">Analysis.</w:t>
      </w:r>
      <w:r>
        <w:t xml:space="preserve"> </w:t>
      </w:r>
      <w:r>
        <w:t xml:space="preserve">The Form 10-K was filed February 28, 2024, and the policy period began January 1, 2024. If third-party contractor VPN access was not MFA-protected during that period — which the forensic record indicates — then the Item 1C representation that MFA is implemented for</w:t>
      </w:r>
      <w:r>
        <w:t xml:space="preserve"> </w:t>
      </w:r>
      <w:r>
        <w:t xml:space="preserve">“</w:t>
      </w:r>
      <w:r>
        <w:t xml:space="preserve">remote access connections</w:t>
      </w:r>
      <w:r>
        <w:t xml:space="preserve">”</w:t>
      </w:r>
      <w:r>
        <w:t xml:space="preserve"> </w:t>
      </w:r>
      <w:r>
        <w:t xml:space="preserve">was inaccurate as of filing, and the CIRP’s statement that MFA is</w:t>
      </w:r>
      <w:r>
        <w:t xml:space="preserve"> </w:t>
      </w:r>
      <w:r>
        <w:t xml:space="preserve">“</w:t>
      </w:r>
      <w:r>
        <w:t xml:space="preserve">required for all VPN connections</w:t>
      </w:r>
      <w:r>
        <w:t xml:space="preserve">”</w:t>
      </w:r>
      <w:r>
        <w:t xml:space="preserve"> </w:t>
      </w:r>
      <w:r>
        <w:t xml:space="preserve">was inaccurate as of the August 2023 review. This creates three distinct exposures:</w:t>
      </w:r>
    </w:p>
    <w:p>
      <w:pPr>
        <w:pStyle w:val="Compact"/>
        <w:numPr>
          <w:ilvl w:val="0"/>
          <w:numId w:val="1006"/>
        </w:numPr>
      </w:pPr>
      <w:r>
        <w:rPr>
          <w:b/>
          <w:bCs/>
        </w:rPr>
        <w:t xml:space="preserve">Rule 10b-5 / Section 10(b).</w:t>
      </w:r>
      <w:r>
        <w:t xml:space="preserve"> </w:t>
      </w:r>
      <w:r>
        <w:t xml:space="preserve">A material misstatement in a filed report. Whether the MFA inaccuracy is</w:t>
      </w:r>
      <w:r>
        <w:t xml:space="preserve"> </w:t>
      </w:r>
      <w:r>
        <w:t xml:space="preserve">“</w:t>
      </w:r>
      <w:r>
        <w:t xml:space="preserve">material</w:t>
      </w:r>
      <w:r>
        <w:t xml:space="preserve">”</w:t>
      </w:r>
      <w:r>
        <w:t xml:space="preserve"> </w:t>
      </w:r>
      <w:r>
        <w:t xml:space="preserve">depends on whether a reasonable investor would view the absence of MFA on third-party VPN as significantly altering the total mix of information; given that the absence was the root cause of a material incident, a strong argument exists that it is.</w:t>
      </w:r>
    </w:p>
    <w:p>
      <w:pPr>
        <w:pStyle w:val="Compact"/>
        <w:numPr>
          <w:ilvl w:val="0"/>
          <w:numId w:val="1006"/>
        </w:numPr>
      </w:pPr>
      <w:r>
        <w:rPr>
          <w:b/>
          <w:bCs/>
        </w:rPr>
        <w:t xml:space="preserve">Duty to correct.</w:t>
      </w:r>
      <w:r>
        <w:t xml:space="preserve"> </w:t>
      </w:r>
      <w:r>
        <w:t xml:space="preserve">Even setting aside Item 1.05, the Company may have an independent obligation to correct the prior misstatement, which reinforces the urgency of current disclosure.</w:t>
      </w:r>
    </w:p>
    <w:p>
      <w:pPr>
        <w:pStyle w:val="Compact"/>
        <w:numPr>
          <w:ilvl w:val="0"/>
          <w:numId w:val="1006"/>
        </w:numPr>
      </w:pPr>
      <w:r>
        <w:rPr>
          <w:b/>
          <w:bCs/>
        </w:rPr>
        <w:t xml:space="preserve">Insurance warranty breach.</w:t>
      </w:r>
      <w:r>
        <w:t xml:space="preserve"> </w:t>
      </w:r>
      <w:r>
        <w:t xml:space="preserve">The cyber policy application (dated October 15, 2023) warranted that the Company</w:t>
      </w:r>
      <w:r>
        <w:t xml:space="preserve"> </w:t>
      </w:r>
      <w:r>
        <w:t xml:space="preserve">“</w:t>
      </w:r>
      <w:r>
        <w:t xml:space="preserve">employs multi-factor authentication for all remote access to Computer Systems.</w:t>
      </w:r>
      <w:r>
        <w:t xml:space="preserve">”</w:t>
      </w:r>
      <w:r>
        <w:t xml:space="preserve"> </w:t>
      </w:r>
      <w:r>
        <w:t xml:space="preserve">The MFA gap is a potential material misrepresentation that, under the policy terms,</w:t>
      </w:r>
      <w:r>
        <w:t xml:space="preserve"> </w:t>
      </w:r>
      <w:r>
        <w:t xml:space="preserve">“</w:t>
      </w:r>
      <w:r>
        <w:t xml:space="preserve">may void coverage</w:t>
      </w:r>
      <w:r>
        <w:t xml:space="preserve"> </w:t>
      </w:r>
      <w:r>
        <w:rPr>
          <w:i/>
          <w:iCs/>
        </w:rPr>
        <w:t xml:space="preserve">ab initio</w:t>
      </w:r>
      <w:r>
        <w:t xml:space="preserve">”</w:t>
      </w:r>
      <w:r>
        <w:t xml:space="preserve"> </w:t>
      </w:r>
      <w:r>
        <w:t xml:space="preserve">(see Gap 10).</w:t>
      </w:r>
    </w:p>
    <w:p>
      <w:pPr>
        <w:pStyle w:val="FirstParagraph"/>
      </w:pPr>
      <w:r>
        <w:t xml:space="preserve">The Item 1C disclosure also describes the CIRP as</w:t>
      </w:r>
      <w:r>
        <w:t xml:space="preserve"> </w:t>
      </w:r>
      <w:r>
        <w:t xml:space="preserve">“</w:t>
      </w:r>
      <w:r>
        <w:t xml:space="preserve">most recently reviewed in August 2023.</w:t>
      </w:r>
      <w:r>
        <w:t xml:space="preserve">”</w:t>
      </w:r>
      <w:r>
        <w:t xml:space="preserve"> </w:t>
      </w:r>
      <w:r>
        <w:t xml:space="preserve">While technically accurate, the August 2023 review was administrative only (vendor contact updates); the CIRP has not been substantively reviewed since June 2022, and the 10-K does not disclose that no tabletop exercise has ever been conducted. These omissions paint a more favorable picture of program maturity than the underlying record supports.</w:t>
      </w:r>
    </w:p>
    <w:p>
      <w:pPr>
        <w:pStyle w:val="BodyText"/>
      </w:pPr>
      <w:r>
        <w:rPr>
          <w:b/>
          <w:bCs/>
        </w:rPr>
        <w:t xml:space="preserve">Severity: High.</w:t>
      </w:r>
    </w:p>
    <w:bookmarkEnd w:id="37"/>
    <w:bookmarkStart w:id="38" w:name="Xc4f75aa51978293182c50467b8cb73f191c725e"/>
    <w:p>
      <w:pPr>
        <w:pStyle w:val="Heading3"/>
      </w:pPr>
      <w:r>
        <w:t xml:space="preserve">Gap 4 — Audit Committee Charter Is Silent on Cybersecurity Oversight</w:t>
      </w:r>
    </w:p>
    <w:p>
      <w:pPr>
        <w:pStyle w:val="FirstParagraph"/>
      </w:pPr>
      <w:r>
        <w:rPr>
          <w:b/>
          <w:bCs/>
        </w:rPr>
        <w:t xml:space="preserve">Finding.</w:t>
      </w:r>
      <w:r>
        <w:t xml:space="preserve"> </w:t>
      </w:r>
      <w:r>
        <w:t xml:space="preserve">The Audit Committee Charter (last amended and restated March 15, 2021) enumerates the Committee’s duties across six categories — Financial Reporting Oversight; Independent Auditor Oversight; Internal Audit Oversight; Compliance and Risk Management; Related Party Transactions; and Other Responsibilities.</w:t>
      </w:r>
      <w:r>
        <w:t xml:space="preserve"> </w:t>
      </w:r>
      <w:r>
        <w:rPr>
          <w:b/>
          <w:bCs/>
        </w:rPr>
        <w:t xml:space="preserve">No provision assigns cybersecurity oversight to the Audit Committee or to any committee of the Board.</w:t>
      </w:r>
      <w:r>
        <w:t xml:space="preserve"> </w:t>
      </w:r>
      <w:r>
        <w:t xml:space="preserve">The</w:t>
      </w:r>
      <w:r>
        <w:t xml:space="preserve"> </w:t>
      </w:r>
      <w:r>
        <w:t xml:space="preserve">“</w:t>
      </w:r>
      <w:r>
        <w:t xml:space="preserve">Compliance and Risk Management</w:t>
      </w:r>
      <w:r>
        <w:t xml:space="preserve">”</w:t>
      </w:r>
      <w:r>
        <w:t xml:space="preserve"> </w:t>
      </w:r>
      <w:r>
        <w:t xml:space="preserve">section (Section V.D) is limited to</w:t>
      </w:r>
      <w:r>
        <w:t xml:space="preserve"> </w:t>
      </w:r>
      <w:r>
        <w:t xml:space="preserve">“</w:t>
      </w:r>
      <w:r>
        <w:t xml:space="preserve">major</w:t>
      </w:r>
      <w:r>
        <w:t xml:space="preserve"> </w:t>
      </w:r>
      <w:r>
        <w:rPr>
          <w:i/>
          <w:iCs/>
        </w:rPr>
        <w:t xml:space="preserve">financial</w:t>
      </w:r>
      <w:r>
        <w:t xml:space="preserve"> </w:t>
      </w:r>
      <w:r>
        <w:t xml:space="preserve">risk exposures</w:t>
      </w:r>
      <w:r>
        <w:t xml:space="preserve">”</w:t>
      </w:r>
      <w:r>
        <w:t xml:space="preserve"> </w:t>
      </w:r>
      <w:r>
        <w:t xml:space="preserve">and financial-reporting compliance.</w:t>
      </w:r>
    </w:p>
    <w:p>
      <w:pPr>
        <w:pStyle w:val="BodyText"/>
      </w:pPr>
      <w:r>
        <w:rPr>
          <w:b/>
          <w:bCs/>
        </w:rPr>
        <w:t xml:space="preserve">Analysis.</w:t>
      </w:r>
      <w:r>
        <w:t xml:space="preserve"> </w:t>
      </w:r>
      <w:r>
        <w:t xml:space="preserve">The FY2023 Form 10-K Item 1C states that</w:t>
      </w:r>
      <w:r>
        <w:t xml:space="preserve"> </w:t>
      </w:r>
      <w:r>
        <w:t xml:space="preserve">“</w:t>
      </w:r>
      <w:r>
        <w:t xml:space="preserve">the Board of Directors, acting primarily through its Audit Committee, oversees the Company’s cybersecurity risk management program</w:t>
      </w:r>
      <w:r>
        <w:t xml:space="preserve">”</w:t>
      </w:r>
      <w:r>
        <w:t xml:space="preserve"> </w:t>
      </w:r>
      <w:r>
        <w:t xml:space="preserve">and that</w:t>
      </w:r>
      <w:r>
        <w:t xml:space="preserve"> </w:t>
      </w:r>
      <w:r>
        <w:t xml:space="preserve">“</w:t>
      </w:r>
      <w:r>
        <w:t xml:space="preserve">the Audit Committee receives quarterly updates.</w:t>
      </w:r>
      <w:r>
        <w:t xml:space="preserve">”</w:t>
      </w:r>
      <w:r>
        <w:t xml:space="preserve"> </w:t>
      </w:r>
      <w:r>
        <w:t xml:space="preserve">There is a direct conflict between this disclosed governance structure and the Audit Committee Charter, which contains no such mandate. Under Item 106(b), a registrant must describe the Board’s (and any committee’s) oversight of cybersecurity risk. A charter that does not actually delegate cybersecurity oversight — while the 10-K represents that the Audit Committee exercises it — is a governance-disclosure gap and a structural weakness that contributed to the delayed Board notification (the Audit Committee Chair was not informed until Day 15). The Charter has not been amended since March 15, 2021 — more than two years before the SEC cybersecurity rules were adopted and before the Company’s own Item 1C disclosure was drafted.</w:t>
      </w:r>
    </w:p>
    <w:p>
      <w:pPr>
        <w:pStyle w:val="BodyText"/>
      </w:pPr>
      <w:r>
        <w:rPr>
          <w:b/>
          <w:bCs/>
        </w:rPr>
        <w:t xml:space="preserve">Severity: High.</w:t>
      </w:r>
    </w:p>
    <w:bookmarkEnd w:id="38"/>
    <w:bookmarkStart w:id="39" w:name="X01529e338effd04de9089465354db1bd38c405a"/>
    <w:p>
      <w:pPr>
        <w:pStyle w:val="Heading3"/>
      </w:pPr>
      <w:r>
        <w:t xml:space="preserve">Gap 5 — CIRP Escalation Matrix Stops at the CTO; No Mandatory Escalation to General Counsel, CEO, or Board</w:t>
      </w:r>
    </w:p>
    <w:p>
      <w:pPr>
        <w:pStyle w:val="FirstParagraph"/>
      </w:pPr>
      <w:r>
        <w:rPr>
          <w:b/>
          <w:bCs/>
        </w:rPr>
        <w:t xml:space="preserve">Finding.</w:t>
      </w:r>
      <w:r>
        <w:t xml:space="preserve"> </w:t>
      </w:r>
      <w:r>
        <w:t xml:space="preserve">The CIRP escalation matrix (Section 10.1) provides that Tier 2 and Tier 3 incidents escalate only from the CISO to the Chief Technology Officer (Lauren Hessler). The matrix contains</w:t>
      </w:r>
      <w:r>
        <w:t xml:space="preserve"> </w:t>
      </w:r>
      <w:r>
        <w:rPr>
          <w:b/>
          <w:bCs/>
        </w:rPr>
        <w:t xml:space="preserve">no mandatory notification of the General Counsel, the CEO, the Audit Committee, or the full Board</w:t>
      </w:r>
      <w:r>
        <w:t xml:space="preserve"> </w:t>
      </w:r>
      <w:r>
        <w:t xml:space="preserve">for any severity tier. The General Counsel, Associate General Counsel, outside counsel, the CEO, and the cyber insurer appear only in Appendix B as</w:t>
      </w:r>
      <w:r>
        <w:t xml:space="preserve"> </w:t>
      </w:r>
      <w:r>
        <w:t xml:space="preserve">“</w:t>
      </w:r>
      <w:r>
        <w:t xml:space="preserve">optional contacts</w:t>
      </w:r>
      <w:r>
        <w:t xml:space="preserve">”</w:t>
      </w:r>
      <w:r>
        <w:t xml:space="preserve"> </w:t>
      </w:r>
      <w:r>
        <w:t xml:space="preserve">whose notification is</w:t>
      </w:r>
      <w:r>
        <w:t xml:space="preserve"> </w:t>
      </w:r>
      <w:r>
        <w:t xml:space="preserve">“</w:t>
      </w:r>
      <w:r>
        <w:t xml:space="preserve">at the discretion</w:t>
      </w:r>
      <w:r>
        <w:t xml:space="preserve">”</w:t>
      </w:r>
      <w:r>
        <w:t xml:space="preserve"> </w:t>
      </w:r>
      <w:r>
        <w:t xml:space="preserve">of the Incident Commander or the CTO. The CIRP further provides (Section 10.2) that any escalation beyond the CTO is</w:t>
      </w:r>
      <w:r>
        <w:t xml:space="preserve"> </w:t>
      </w:r>
      <w:r>
        <w:t xml:space="preserve">“</w:t>
      </w:r>
      <w:r>
        <w:t xml:space="preserve">at the CTO’s sole discretion.</w:t>
      </w:r>
      <w:r>
        <w:t xml:space="preserve">”</w:t>
      </w:r>
    </w:p>
    <w:p>
      <w:pPr>
        <w:pStyle w:val="BodyText"/>
      </w:pPr>
      <w:r>
        <w:rPr>
          <w:b/>
          <w:bCs/>
        </w:rPr>
        <w:t xml:space="preserve">Analysis.</w:t>
      </w:r>
      <w:r>
        <w:t xml:space="preserve"> </w:t>
      </w:r>
      <w:r>
        <w:t xml:space="preserve">This design is incompatible with the Company’s SEC disclosure obligations. A Tier 3 incident involving confirmed exfiltration of customer banking data necessarily triggers disclosure-analysis obligations that require the immediate involvement of the General Counsel and disclosure counsel, and timely notification of the CEO and the Audit Committee. The CIRP’s discretionary-only escalation to legal counsel is the proximate cause of several downstream failures documented in the record: the General Counsel was not informed until Day 2 (she was traveling and the CIRP imposed no duty to notify her); the CEO was not briefed until Day 7; and the Audit Committee Chair was not notified until Day 15. The Item 1C disclosure’s representation that the Company’s</w:t>
      </w:r>
      <w:r>
        <w:t xml:space="preserve"> </w:t>
      </w:r>
      <w:r>
        <w:t xml:space="preserve">“</w:t>
      </w:r>
      <w:r>
        <w:t xml:space="preserve">processes provide for escalation to the Board of Directors and, as appropriate, the Audit Committee, to ensure that the Board is informed in a timely manner</w:t>
      </w:r>
      <w:r>
        <w:t xml:space="preserve">”</w:t>
      </w:r>
      <w:r>
        <w:t xml:space="preserve"> </w:t>
      </w:r>
      <w:r>
        <w:t xml:space="preserve">is not borne out by the CIRP as written or as operated.</w:t>
      </w:r>
    </w:p>
    <w:p>
      <w:pPr>
        <w:pStyle w:val="BodyText"/>
      </w:pPr>
      <w:r>
        <w:rPr>
          <w:b/>
          <w:bCs/>
        </w:rPr>
        <w:t xml:space="preserve">Severity: High.</w:t>
      </w:r>
    </w:p>
    <w:bookmarkEnd w:id="39"/>
    <w:bookmarkStart w:id="40" w:name="X73be73eac54e7556672f30e3cae11228768a6ec"/>
    <w:p>
      <w:pPr>
        <w:pStyle w:val="Heading3"/>
      </w:pPr>
      <w:r>
        <w:t xml:space="preserve">Gap 6 — CIRP Expressly Excludes External Communications (SEC, Customer, and Regulator Notifications) From Its Scope</w:t>
      </w:r>
    </w:p>
    <w:p>
      <w:pPr>
        <w:pStyle w:val="FirstParagraph"/>
      </w:pPr>
      <w:r>
        <w:rPr>
          <w:b/>
          <w:bCs/>
        </w:rPr>
        <w:t xml:space="preserve">Finding.</w:t>
      </w:r>
      <w:r>
        <w:t xml:space="preserve"> </w:t>
      </w:r>
      <w:r>
        <w:t xml:space="preserve">CIRP Section 9.3 states:</w:t>
      </w:r>
      <w:r>
        <w:t xml:space="preserve"> </w:t>
      </w:r>
      <w:r>
        <w:rPr>
          <w:i/>
          <w:iCs/>
        </w:rPr>
        <w:t xml:space="preserve">“</w:t>
      </w:r>
      <w:r>
        <w:rPr>
          <w:i/>
          <w:iCs/>
        </w:rPr>
        <w:t xml:space="preserve">External communications regarding cybersecurity incidents — including communications to customers, regulators, media, or the public — are outside the scope of this Plan.</w:t>
      </w:r>
      <w:r>
        <w:rPr>
          <w:i/>
          <w:iCs/>
        </w:rPr>
        <w:t xml:space="preserve">”</w:t>
      </w:r>
      <w:r>
        <w:t xml:space="preserve"> </w:t>
      </w:r>
      <w:r>
        <w:t xml:space="preserve">The Plan governs only</w:t>
      </w:r>
      <w:r>
        <w:t xml:space="preserve"> </w:t>
      </w:r>
      <w:r>
        <w:t xml:space="preserve">“</w:t>
      </w:r>
      <w:r>
        <w:t xml:space="preserve">the technical detection, containment, eradication, and recovery lifecycle.</w:t>
      </w:r>
      <w:r>
        <w:t xml:space="preserve">”</w:t>
      </w:r>
      <w:r>
        <w:t xml:space="preserve"> </w:t>
      </w:r>
      <w:r>
        <w:t xml:space="preserve">Involvement of the corporate communications team is left to the</w:t>
      </w:r>
      <w:r>
        <w:t xml:space="preserve"> </w:t>
      </w:r>
      <w:r>
        <w:t xml:space="preserve">“</w:t>
      </w:r>
      <w:r>
        <w:t xml:space="preserve">professional judgment</w:t>
      </w:r>
      <w:r>
        <w:t xml:space="preserve">”</w:t>
      </w:r>
      <w:r>
        <w:t xml:space="preserve"> </w:t>
      </w:r>
      <w:r>
        <w:t xml:space="preserve">of the Incident Commander.</w:t>
      </w:r>
    </w:p>
    <w:p>
      <w:pPr>
        <w:pStyle w:val="BodyText"/>
      </w:pPr>
      <w:r>
        <w:rPr>
          <w:b/>
          <w:bCs/>
        </w:rPr>
        <w:t xml:space="preserve">Analysis.</w:t>
      </w:r>
      <w:r>
        <w:t xml:space="preserve"> </w:t>
      </w:r>
      <w:r>
        <w:t xml:space="preserve">By excluding the SEC disclosure decision, customer contractual notifications, and state/GDPR regulator notifications from the incident-response framework, the CIRP creates a structural void at precisely the point where the Company’s most consequential legal obligations arise. There is no documented procedure connecting incident severity or data-compromise findings to (i) the Item 1.05 materiality determination, (ii) customer-contract notification clocks, or (iii) state and non-U.S. breach-notification deadlines. This void is a primary contributor to the missed customer notification deadlines (Gap 9) and the absence of any state or GDPR notifications (Gap 11). The CIRP should be revised to integrate disclosure and notification workstreams as mandatory, time-bound components of the response, owned jointly by the Incident Commander and the General Counsel.</w:t>
      </w:r>
    </w:p>
    <w:p>
      <w:pPr>
        <w:pStyle w:val="BodyText"/>
      </w:pPr>
      <w:r>
        <w:rPr>
          <w:b/>
          <w:bCs/>
        </w:rPr>
        <w:t xml:space="preserve">Severity: High.</w:t>
      </w:r>
    </w:p>
    <w:bookmarkEnd w:id="40"/>
    <w:bookmarkStart w:id="41" w:name="X0a8039c1202083921a91c77b734f4ae580bb574"/>
    <w:p>
      <w:pPr>
        <w:pStyle w:val="Heading3"/>
      </w:pPr>
      <w:r>
        <w:t xml:space="preserve">Gap 7 — CIRP Severity Classification Is Technical Only; No Disclosure, Legal, or Business-Impact Trigger</w:t>
      </w:r>
    </w:p>
    <w:p>
      <w:pPr>
        <w:pStyle w:val="FirstParagraph"/>
      </w:pPr>
      <w:r>
        <w:rPr>
          <w:b/>
          <w:bCs/>
        </w:rPr>
        <w:t xml:space="preserve">Finding.</w:t>
      </w:r>
      <w:r>
        <w:t xml:space="preserve"> </w:t>
      </w:r>
      <w:r>
        <w:t xml:space="preserve">The CIRP severity matrix (Section 3.2) classifies incidents solely on technical criteria — endpoint count, system downtime, data exfiltration, ransomware deployment, and credential compromise. The Plan states that</w:t>
      </w:r>
      <w:r>
        <w:t xml:space="preserve"> </w:t>
      </w:r>
      <w:r>
        <w:t xml:space="preserve">“</w:t>
      </w:r>
      <w:r>
        <w:t xml:space="preserve">severity classification is determined by the Incident Commander based solely on the technical criteria set forth above.</w:t>
      </w:r>
      <w:r>
        <w:t xml:space="preserve">”</w:t>
      </w:r>
    </w:p>
    <w:p>
      <w:pPr>
        <w:pStyle w:val="BodyText"/>
      </w:pPr>
      <w:r>
        <w:rPr>
          <w:b/>
          <w:bCs/>
        </w:rPr>
        <w:t xml:space="preserve">Analysis.</w:t>
      </w:r>
      <w:r>
        <w:t xml:space="preserve"> </w:t>
      </w:r>
      <w:r>
        <w:t xml:space="preserve">A classification framework that ignores legal, regulatory, disclosure, customer-relationship, and business-impact dimensions will systematically under-prioritize incidents that are technically contained but legally material. Here, the Incident was correctly classified Tier 3 on technical grounds, but the classification did not — and by design could not — trigger a materiality assessment, a customer-notification workflow, or a regulator-notification workflow. The SEC rules require disclosure decisions to be driven by materiality, not by technical severity alone. The severity framework should be augmented with a parallel</w:t>
      </w:r>
      <w:r>
        <w:t xml:space="preserve"> </w:t>
      </w:r>
      <w:r>
        <w:t xml:space="preserve">“</w:t>
      </w:r>
      <w:r>
        <w:t xml:space="preserve">disclosure impact</w:t>
      </w:r>
      <w:r>
        <w:t xml:space="preserve">”</w:t>
      </w:r>
      <w:r>
        <w:t xml:space="preserve"> </w:t>
      </w:r>
      <w:r>
        <w:t xml:space="preserve">assessment that is mandatory whenever data compromise is suspected or confirmed.</w:t>
      </w:r>
    </w:p>
    <w:p>
      <w:pPr>
        <w:pStyle w:val="BodyText"/>
      </w:pPr>
      <w:r>
        <w:rPr>
          <w:b/>
          <w:bCs/>
        </w:rPr>
        <w:t xml:space="preserve">Severity: Medium-High.</w:t>
      </w:r>
    </w:p>
    <w:bookmarkEnd w:id="41"/>
    <w:bookmarkStart w:id="42" w:name="Xd6ddabcc857761ee0ecd1d498d7fe1e11c08deb"/>
    <w:p>
      <w:pPr>
        <w:pStyle w:val="Heading3"/>
      </w:pPr>
      <w:r>
        <w:t xml:space="preserve">Gap 8 — No Tabletop Exercises; CIRP Substantively Stale</w:t>
      </w:r>
    </w:p>
    <w:p>
      <w:pPr>
        <w:pStyle w:val="FirstParagraph"/>
      </w:pPr>
      <w:r>
        <w:rPr>
          <w:b/>
          <w:bCs/>
        </w:rPr>
        <w:t xml:space="preserve">Finding.</w:t>
      </w:r>
      <w:r>
        <w:t xml:space="preserve"> </w:t>
      </w:r>
      <w:r>
        <w:t xml:space="preserve">The CIRP acknowledges (Sections 1.4 and 4.3) that</w:t>
      </w:r>
      <w:r>
        <w:t xml:space="preserve"> </w:t>
      </w:r>
      <w:r>
        <w:t xml:space="preserve">“</w:t>
      </w:r>
      <w:r>
        <w:t xml:space="preserve">no tabletop exercises or simulation-based tests of this Plan have been conducted</w:t>
      </w:r>
      <w:r>
        <w:t xml:space="preserve">”</w:t>
      </w:r>
      <w:r>
        <w:t xml:space="preserve"> </w:t>
      </w:r>
      <w:r>
        <w:t xml:space="preserve">and that</w:t>
      </w:r>
      <w:r>
        <w:t xml:space="preserve"> </w:t>
      </w:r>
      <w:r>
        <w:t xml:space="preserve">“</w:t>
      </w:r>
      <w:r>
        <w:t xml:space="preserve">no tabletop exercises have been scheduled.</w:t>
      </w:r>
      <w:r>
        <w:t xml:space="preserve">”</w:t>
      </w:r>
      <w:r>
        <w:t xml:space="preserve"> </w:t>
      </w:r>
      <w:r>
        <w:t xml:space="preserve">The CIRP’s last substantive review was June 2022; the August 14, 2023 review was administrative only (vendor contact information). The Plan’s own governance section (Section 1.4) requires annual review.</w:t>
      </w:r>
    </w:p>
    <w:p>
      <w:pPr>
        <w:pStyle w:val="BodyText"/>
      </w:pPr>
      <w:r>
        <w:rPr>
          <w:b/>
          <w:bCs/>
        </w:rPr>
        <w:t xml:space="preserve">Analysis.</w:t>
      </w:r>
      <w:r>
        <w:t xml:space="preserve"> </w:t>
      </w:r>
      <w:r>
        <w:t xml:space="preserve">The CIRP is approximately two and a half years past its last substantive review and has never been tested. The Item 1C disclosure describes an</w:t>
      </w:r>
      <w:r>
        <w:t xml:space="preserve"> </w:t>
      </w:r>
      <w:r>
        <w:t xml:space="preserve">“</w:t>
      </w:r>
      <w:r>
        <w:t xml:space="preserve">adaptive</w:t>
      </w:r>
      <w:r>
        <w:t xml:space="preserve">”</w:t>
      </w:r>
      <w:r>
        <w:t xml:space="preserve"> </w:t>
      </w:r>
      <w:r>
        <w:t xml:space="preserve">program that is</w:t>
      </w:r>
      <w:r>
        <w:t xml:space="preserve"> </w:t>
      </w:r>
      <w:r>
        <w:t xml:space="preserve">“</w:t>
      </w:r>
      <w:r>
        <w:t xml:space="preserve">periodically reviewed and updated,</w:t>
      </w:r>
      <w:r>
        <w:t xml:space="preserve">”</w:t>
      </w:r>
      <w:r>
        <w:t xml:space="preserve"> </w:t>
      </w:r>
      <w:r>
        <w:t xml:space="preserve">but does not disclose the absence of testing. The operational gaps manifested in this Incident — discretionary-only legal escalation, exclusion of external communications, and a 15-day delay in Board notification — are precisely the kinds of failures that tabletop exercises are designed to surface. The absence of testing is both a program-maturity weakness and a disclosure-accuracy issue for the FY2024 Item 1C.</w:t>
      </w:r>
    </w:p>
    <w:p>
      <w:pPr>
        <w:pStyle w:val="BodyText"/>
      </w:pPr>
      <w:r>
        <w:rPr>
          <w:b/>
          <w:bCs/>
        </w:rPr>
        <w:t xml:space="preserve">Severity: Medium-High.</w:t>
      </w:r>
    </w:p>
    <w:bookmarkEnd w:id="42"/>
    <w:bookmarkStart w:id="43" w:name="Xe8f4939f1f46c7d900c311e2941125fe283d57c"/>
    <w:p>
      <w:pPr>
        <w:pStyle w:val="Heading3"/>
      </w:pPr>
      <w:r>
        <w:t xml:space="preserve">Gap 9 — Breached Customer Notification Deadlines (Material Contractual Exposure With SEC Implications)</w:t>
      </w:r>
    </w:p>
    <w:p>
      <w:pPr>
        <w:pStyle w:val="FirstParagraph"/>
      </w:pPr>
      <w:r>
        <w:rPr>
          <w:b/>
          <w:bCs/>
        </w:rPr>
        <w:t xml:space="preserve">Finding.</w:t>
      </w:r>
      <w:r>
        <w:t xml:space="preserve"> </w:t>
      </w:r>
      <w:r>
        <w:t xml:space="preserve">Three top-customer contracts impose 48-hour notification obligations from discovery of a security incident affecting customer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Notification Deadline</w:t>
            </w:r>
          </w:p>
        </w:tc>
        <w:tc>
          <w:tcPr/>
          <w:p>
            <w:pPr>
              <w:pStyle w:val="Compact"/>
              <w:jc w:val="left"/>
            </w:pPr>
            <w:r>
              <w:t xml:space="preserve">Key Remedies for Non-Compliance</w:t>
            </w:r>
          </w:p>
        </w:tc>
      </w:tr>
      <w:tr>
        <w:tc>
          <w:tcPr/>
          <w:p>
            <w:pPr>
              <w:pStyle w:val="Compact"/>
              <w:jc w:val="left"/>
            </w:pPr>
            <w:r>
              <w:t xml:space="preserve">Harmon Defense Solutions (MSA §9.4–9.5)</w:t>
            </w:r>
          </w:p>
        </w:tc>
        <w:tc>
          <w:tcPr/>
          <w:p>
            <w:pPr>
              <w:pStyle w:val="Compact"/>
              <w:jc w:val="left"/>
            </w:pPr>
            <w:r>
              <w:t xml:space="preserve">48 hours from discovery</w:t>
            </w:r>
          </w:p>
        </w:tc>
        <w:tc>
          <w:tcPr/>
          <w:p>
            <w:pPr>
              <w:pStyle w:val="Compact"/>
              <w:jc w:val="left"/>
            </w:pPr>
            <w:r>
              <w:t xml:space="preserve">$500,000 liquidated damages per incident; 30-day termination right; full indemnity (incl. regulatory and credit-monitoring costs); 3-year survival</w:t>
            </w:r>
          </w:p>
        </w:tc>
      </w:tr>
      <w:tr>
        <w:tc>
          <w:tcPr/>
          <w:p>
            <w:pPr>
              <w:pStyle w:val="Compact"/>
              <w:jc w:val="left"/>
            </w:pPr>
            <w:r>
              <w:t xml:space="preserve">Crestfield Aerospace (GTCP §12.2–12.3)</w:t>
            </w:r>
          </w:p>
        </w:tc>
        <w:tc>
          <w:tcPr/>
          <w:p>
            <w:pPr>
              <w:pStyle w:val="Compact"/>
              <w:jc w:val="left"/>
            </w:pPr>
            <w:r>
              <w:t xml:space="preserve">48 hours from discovery</w:t>
            </w:r>
          </w:p>
        </w:tc>
        <w:tc>
          <w:tcPr/>
          <w:p>
            <w:pPr>
              <w:pStyle w:val="Compact"/>
              <w:jc w:val="left"/>
            </w:pPr>
            <w:r>
              <w:t xml:space="preserve">Immediate termination; payment suspension pending investigation; 12-month audit right at Vantage’s expense; $10M minimum insurance requirement</w:t>
            </w:r>
          </w:p>
        </w:tc>
      </w:tr>
      <w:tr>
        <w:tc>
          <w:tcPr/>
          <w:p>
            <w:pPr>
              <w:pStyle w:val="Compact"/>
              <w:jc w:val="left"/>
            </w:pPr>
            <w:r>
              <w:t xml:space="preserve">Nexagen Manufacturing (VISA §7.8–7.9)</w:t>
            </w:r>
          </w:p>
        </w:tc>
        <w:tc>
          <w:tcPr/>
          <w:p>
            <w:pPr>
              <w:pStyle w:val="Compact"/>
              <w:jc w:val="left"/>
            </w:pPr>
            <w:r>
              <w:t xml:space="preserve">48 hours from discovery or suspicion</w:t>
            </w:r>
          </w:p>
        </w:tc>
        <w:tc>
          <w:tcPr/>
          <w:p>
            <w:pPr>
              <w:pStyle w:val="Compact"/>
              <w:jc w:val="left"/>
            </w:pPr>
            <w:r>
              <w:t xml:space="preserve">15-day termination (immediate if security-standards failure); 24-month future-business exclusion; full indemnity incl. regulatory costs</w:t>
            </w:r>
          </w:p>
        </w:tc>
      </w:tr>
    </w:tbl>
    <w:p>
      <w:pPr>
        <w:pStyle w:val="BodyText"/>
      </w:pPr>
      <w:r>
        <w:t xml:space="preserve">The Associate General Counsel’s December 5, 2024 memorandum confirms that</w:t>
      </w:r>
      <w:r>
        <w:t xml:space="preserve"> </w:t>
      </w:r>
      <w:r>
        <w:rPr>
          <w:b/>
          <w:bCs/>
        </w:rPr>
        <w:t xml:space="preserve">no notifications have been sent to any of these customers</w:t>
      </w:r>
      <w:r>
        <w:t xml:space="preserve"> </w:t>
      </w:r>
      <w:r>
        <w:t xml:space="preserve">and that the 48-hour deadline</w:t>
      </w:r>
      <w:r>
        <w:t xml:space="preserve"> </w:t>
      </w:r>
      <w:r>
        <w:t xml:space="preserve">“</w:t>
      </w:r>
      <w:r>
        <w:t xml:space="preserve">expired no later than November 20, 2024.</w:t>
      </w:r>
      <w:r>
        <w:t xml:space="preserve">”</w:t>
      </w:r>
      <w:r>
        <w:t xml:space="preserve"> </w:t>
      </w:r>
      <w:r>
        <w:t xml:space="preserve">Under the Nexagen VISA,</w:t>
      </w:r>
      <w:r>
        <w:t xml:space="preserve"> </w:t>
      </w:r>
      <w:r>
        <w:t xml:space="preserve">“</w:t>
      </w:r>
      <w:r>
        <w:t xml:space="preserve">discovery</w:t>
      </w:r>
      <w:r>
        <w:t xml:space="preserve">”</w:t>
      </w:r>
      <w:r>
        <w:t xml:space="preserve"> </w:t>
      </w:r>
      <w:r>
        <w:t xml:space="preserve">is deemed to occur when any employee first knows or reasonably should know of the breach — i.e., November 18, 2024.</w:t>
      </w:r>
    </w:p>
    <w:p>
      <w:pPr>
        <w:pStyle w:val="BodyText"/>
      </w:pPr>
      <w:r>
        <w:rPr>
          <w:b/>
          <w:bCs/>
        </w:rPr>
        <w:t xml:space="preserve">Analysis.</w:t>
      </w:r>
      <w:r>
        <w:t xml:space="preserve"> </w:t>
      </w:r>
      <w:r>
        <w:t xml:space="preserve">These are material contractual breaches with customers representing a substantial portion of revenue. The consequences — liquidated damages, termination rights, payment suspension, audit rights, and future-business exclusion — are themselves reasonably likely to have a material impact on the Company’s business and results of operations, and therefore constitute information that must be evaluated for SEC disclosure independent of the underlying Incident. The missed deadlines also illustrate the consequence of Gap 6 (external communications excluded from the CIRP). From an SEC perspective, the potential loss of, or material claims by, top-ten customers is a material qualitative factor that reinforces the materiality conclusion in Gap 2.</w:t>
      </w:r>
    </w:p>
    <w:p>
      <w:pPr>
        <w:pStyle w:val="BodyText"/>
      </w:pPr>
      <w:r>
        <w:rPr>
          <w:b/>
          <w:bCs/>
        </w:rPr>
        <w:t xml:space="preserve">Severity: High.</w:t>
      </w:r>
    </w:p>
    <w:bookmarkEnd w:id="43"/>
    <w:bookmarkStart w:id="44" w:name="X10344859d1331fccffe54572906e4bf53c159c8"/>
    <w:p>
      <w:pPr>
        <w:pStyle w:val="Heading3"/>
      </w:pPr>
      <w:r>
        <w:t xml:space="preserve">Gap 10 — Cyber Insurance Coverage at Risk (Policy Application Warranty, Late Notice, and Exclusions)</w:t>
      </w:r>
    </w:p>
    <w:p>
      <w:pPr>
        <w:pStyle w:val="FirstParagraph"/>
      </w:pPr>
      <w:r>
        <w:rPr>
          <w:b/>
          <w:bCs/>
        </w:rPr>
        <w:t xml:space="preserve">Finding.</w:t>
      </w:r>
      <w:r>
        <w:t xml:space="preserve"> </w:t>
      </w:r>
      <w:r>
        <w:t xml:space="preserve">Three distinct coverage risks arise under Policy No. CYB-2024-08871 (Ridgeline Insurance Group):</w:t>
      </w:r>
    </w:p>
    <w:p>
      <w:pPr>
        <w:pStyle w:val="Compact"/>
        <w:numPr>
          <w:ilvl w:val="0"/>
          <w:numId w:val="1007"/>
        </w:numPr>
      </w:pPr>
      <w:r>
        <w:rPr>
          <w:b/>
          <w:bCs/>
        </w:rPr>
        <w:t xml:space="preserve">Policy application warranty breach.</w:t>
      </w:r>
      <w:r>
        <w:t xml:space="preserve"> </w:t>
      </w:r>
      <w:r>
        <w:t xml:space="preserve">The application (October 15, 2023) warranted that the Company</w:t>
      </w:r>
      <w:r>
        <w:t xml:space="preserve"> </w:t>
      </w:r>
      <w:r>
        <w:t xml:space="preserve">“</w:t>
      </w:r>
      <w:r>
        <w:t xml:space="preserve">employs multi-factor authentication for all remote access to Computer Systems.</w:t>
      </w:r>
      <w:r>
        <w:t xml:space="preserve">”</w:t>
      </w:r>
      <w:r>
        <w:t xml:space="preserve"> </w:t>
      </w:r>
      <w:r>
        <w:t xml:space="preserve">The forensic record establishes that third-party contractor VPN was not MFA-protected. Under Section 9 of the policy summary,</w:t>
      </w:r>
      <w:r>
        <w:t xml:space="preserve"> </w:t>
      </w:r>
      <w:r>
        <w:t xml:space="preserve">“</w:t>
      </w:r>
      <w:r>
        <w:t xml:space="preserve">[m]aterial misrepresentations in the Policy Application may void coverage</w:t>
      </w:r>
      <w:r>
        <w:t xml:space="preserve"> </w:t>
      </w:r>
      <w:r>
        <w:rPr>
          <w:i/>
          <w:iCs/>
        </w:rPr>
        <w:t xml:space="preserve">ab initio</w:t>
      </w:r>
      <w:r>
        <w:t xml:space="preserve">.</w:t>
      </w:r>
      <w:r>
        <w:t xml:space="preserve">”</w:t>
      </w:r>
      <w:r>
        <w:t xml:space="preserve"> </w:t>
      </w:r>
      <w:r>
        <w:t xml:space="preserve">This is the most serious coverage risk: if the warranty is found breached, the entire $4.5 million (and growing) loss may be uninsured.</w:t>
      </w:r>
    </w:p>
    <w:p>
      <w:pPr>
        <w:pStyle w:val="Compact"/>
        <w:numPr>
          <w:ilvl w:val="0"/>
          <w:numId w:val="1007"/>
        </w:numPr>
      </w:pPr>
      <w:r>
        <w:rPr>
          <w:b/>
          <w:bCs/>
        </w:rPr>
        <w:t xml:space="preserve">Late notice.</w:t>
      </w:r>
      <w:r>
        <w:t xml:space="preserve"> </w:t>
      </w:r>
      <w:r>
        <w:t xml:space="preserve">Ridgeline was notified at approximately 73 hours post-discovery; the policy requires notice within 72 hours. Ridgeline has reserved rights on timeliness. Under the policy’s notice-prejudice framework, the insurer may deny or limit coverage if it can demonstrate material prejudice; in strict-compliance jurisdictions, late notice may be a condition precedent. The approximately $2.0 million of recoverable coverage above the $2.5 million SIR is at risk.</w:t>
      </w:r>
    </w:p>
    <w:p>
      <w:pPr>
        <w:pStyle w:val="Compact"/>
        <w:numPr>
          <w:ilvl w:val="0"/>
          <w:numId w:val="1007"/>
        </w:numPr>
      </w:pPr>
      <w:r>
        <w:rPr>
          <w:b/>
          <w:bCs/>
        </w:rPr>
        <w:t xml:space="preserve">Contractual-liability exclusion.</w:t>
      </w:r>
      <w:r>
        <w:t xml:space="preserve"> </w:t>
      </w:r>
      <w:r>
        <w:t xml:space="preserve">Section 6(g) excludes loss</w:t>
      </w:r>
      <w:r>
        <w:t xml:space="preserve"> </w:t>
      </w:r>
      <w:r>
        <w:t xml:space="preserve">“</w:t>
      </w:r>
      <w:r>
        <w:t xml:space="preserve">arising from breach of contract, unless the Named Insured would have been liable in the absence of such contract,</w:t>
      </w:r>
      <w:r>
        <w:t xml:space="preserve">”</w:t>
      </w:r>
      <w:r>
        <w:t xml:space="preserve"> </w:t>
      </w:r>
      <w:r>
        <w:t xml:space="preserve">and provides that</w:t>
      </w:r>
      <w:r>
        <w:t xml:space="preserve"> </w:t>
      </w:r>
      <w:r>
        <w:t xml:space="preserve">“</w:t>
      </w:r>
      <w:r>
        <w:t xml:space="preserve">liability arising solely from breach of contractual notification or indemnification clauses — where no independent tort liability exists — may be excluded.</w:t>
      </w:r>
      <w:r>
        <w:t xml:space="preserve">”</w:t>
      </w:r>
      <w:r>
        <w:t xml:space="preserve"> </w:t>
      </w:r>
      <w:r>
        <w:t xml:space="preserve">The Harmon liquidated damages and the Crestfield/Nexagen termination and indemnity consequences may fall within this exclusion and be uninsured.</w:t>
      </w:r>
    </w:p>
    <w:p>
      <w:pPr>
        <w:pStyle w:val="Compact"/>
        <w:numPr>
          <w:ilvl w:val="0"/>
          <w:numId w:val="1007"/>
        </w:numPr>
      </w:pPr>
      <w:r>
        <w:rPr>
          <w:b/>
          <w:bCs/>
        </w:rPr>
        <w:t xml:space="preserve">Consent-to-incur-costs.</w:t>
      </w:r>
      <w:r>
        <w:t xml:space="preserve"> </w:t>
      </w:r>
      <w:r>
        <w:t xml:space="preserve">Section 7.2 requires the insurer’s prior written consent for first-party losses exceeding $50,000 individually or $150,000 in the aggregate (with a 48-hour emergency-notice exception). The Company incurred $1.4 million in incident response costs; the record does not establish whether consent was obtained for costs beyond the pre-approved Thorngate engagement.</w:t>
      </w:r>
    </w:p>
    <w:p>
      <w:pPr>
        <w:pStyle w:val="FirstParagraph"/>
      </w:pPr>
      <w:r>
        <w:rPr>
          <w:b/>
          <w:bCs/>
        </w:rPr>
        <w:t xml:space="preserve">Analysis.</w:t>
      </w:r>
      <w:r>
        <w:t xml:space="preserve"> </w:t>
      </w:r>
      <w:r>
        <w:t xml:space="preserve">The insurance recovery assumptions embedded in the $4.5 million financial impact estimate (approximately $2.0 million recoverable) are materially uncertain. The warranty-breach risk, in particular, could convert a partially insured loss into a fully uninsured one — a contingency that itself bears on materiality and on the adequacy of the financial-impact disclosure. The Company should promptly obtain a coverage-position letter from coverage counsel and should not represent insurance recovery as assured in any disclosure.</w:t>
      </w:r>
    </w:p>
    <w:p>
      <w:pPr>
        <w:pStyle w:val="BodyText"/>
      </w:pPr>
      <w:r>
        <w:rPr>
          <w:b/>
          <w:bCs/>
        </w:rPr>
        <w:t xml:space="preserve">Severity: High.</w:t>
      </w:r>
    </w:p>
    <w:bookmarkEnd w:id="44"/>
    <w:bookmarkStart w:id="45" w:name="X004b4dc519962dede9307660ecc6ed62474526c"/>
    <w:p>
      <w:pPr>
        <w:pStyle w:val="Heading3"/>
      </w:pPr>
      <w:r>
        <w:t xml:space="preserve">Gap 11 — No State Breach-Notification or GDPR Notifications</w:t>
      </w:r>
    </w:p>
    <w:p>
      <w:pPr>
        <w:pStyle w:val="FirstParagraph"/>
      </w:pPr>
      <w:r>
        <w:rPr>
          <w:b/>
          <w:bCs/>
        </w:rPr>
        <w:t xml:space="preserve">Finding.</w:t>
      </w:r>
      <w:r>
        <w:t xml:space="preserve"> </w:t>
      </w:r>
      <w:r>
        <w:t xml:space="preserve">The status report confirms that</w:t>
      </w:r>
      <w:r>
        <w:t xml:space="preserve"> </w:t>
      </w:r>
      <w:r>
        <w:t xml:space="preserve">“</w:t>
      </w:r>
      <w:r>
        <w:t xml:space="preserve">no notifications have been filed with any state attorney general or state data protection authority regarding the incident.</w:t>
      </w:r>
      <w:r>
        <w:t xml:space="preserve">”</w:t>
      </w:r>
      <w:r>
        <w:t xml:space="preserve"> </w:t>
      </w:r>
      <w:r>
        <w:t xml:space="preserve">The exfiltrated data includes PII (procurement contacts) and financial-account data (ACH routing and account numbers) for records spanning at least 38 U.S. states and customers in Germany, the United Kingdom, Canada, and Mexico.</w:t>
      </w:r>
    </w:p>
    <w:p>
      <w:pPr>
        <w:pStyle w:val="BodyText"/>
      </w:pPr>
      <w:r>
        <w:rPr>
          <w:b/>
          <w:bCs/>
        </w:rPr>
        <w:t xml:space="preserve">Analysis.</w:t>
      </w:r>
      <w:r>
        <w:t xml:space="preserve"> </w:t>
      </w:r>
      <w:r>
        <w:t xml:space="preserve">All 50 U.S. states have data-breach-notification statutes, most requiring notification to affected individuals and/or state regulators</w:t>
      </w:r>
      <w:r>
        <w:t xml:space="preserve"> </w:t>
      </w:r>
      <w:r>
        <w:t xml:space="preserve">“</w:t>
      </w:r>
      <w:r>
        <w:t xml:space="preserve">without unreasonable delay</w:t>
      </w:r>
      <w:r>
        <w:t xml:space="preserve">”</w:t>
      </w:r>
      <w:r>
        <w:t xml:space="preserve"> </w:t>
      </w:r>
      <w:r>
        <w:t xml:space="preserve">or within defined windows (commonly 30–60 days); several (e.g., California, New York) impose specific content and timing requirements and attorney-general notification for breaches exceeding defined thresholds. The exfiltration of ACH routing and account numbers constitutes a</w:t>
      </w:r>
      <w:r>
        <w:t xml:space="preserve"> </w:t>
      </w:r>
      <w:r>
        <w:t xml:space="preserve">“</w:t>
      </w:r>
      <w:r>
        <w:t xml:space="preserve">breach</w:t>
      </w:r>
      <w:r>
        <w:t xml:space="preserve">”</w:t>
      </w:r>
      <w:r>
        <w:t xml:space="preserve"> </w:t>
      </w:r>
      <w:r>
        <w:t xml:space="preserve">of</w:t>
      </w:r>
      <w:r>
        <w:t xml:space="preserve"> </w:t>
      </w:r>
      <w:r>
        <w:t xml:space="preserve">“</w:t>
      </w:r>
      <w:r>
        <w:t xml:space="preserve">personal information</w:t>
      </w:r>
      <w:r>
        <w:t xml:space="preserve">”</w:t>
      </w:r>
      <w:r>
        <w:t xml:space="preserve"> </w:t>
      </w:r>
      <w:r>
        <w:t xml:space="preserve">under the majority of state statutes. For EU/UK customer PII, the GDPR (and UK GDPR) requires notification to the competent supervisory authority within 72 hours of becoming aware of a personal-data breach posing a risk to the rights and freedoms of individuals — a deadline that has long since elapsed. These regulatory obligations are independent of, and cumulative with, the SEC disclosure obligation. Failure to comply creates regulatory-penalty exposure (covered, if at all, only up to the $7.5 million regulatory sub-limit and subject to the warranty/exclusion issues in Gap 10) and is itself a qualitative materiality factor. The Company should immediately engage privacy counsel to map and execute the notification obligations across affected jurisdictions.</w:t>
      </w:r>
    </w:p>
    <w:p>
      <w:pPr>
        <w:pStyle w:val="BodyText"/>
      </w:pPr>
      <w:r>
        <w:rPr>
          <w:b/>
          <w:bCs/>
        </w:rPr>
        <w:t xml:space="preserve">Severity: High.</w:t>
      </w:r>
    </w:p>
    <w:bookmarkEnd w:id="45"/>
    <w:bookmarkStart w:id="46" w:name="X24a6e34b4d23b4241bf780101751dcd711acc30"/>
    <w:p>
      <w:pPr>
        <w:pStyle w:val="Heading3"/>
      </w:pPr>
      <w:r>
        <w:t xml:space="preserve">Gap 12 — Undisclosed Impact on Pending $425 Million Kessler Acquisition</w:t>
      </w:r>
    </w:p>
    <w:p>
      <w:pPr>
        <w:pStyle w:val="FirstParagraph"/>
      </w:pPr>
      <w:r>
        <w:rPr>
          <w:b/>
          <w:bCs/>
        </w:rPr>
        <w:t xml:space="preserve">Finding.</w:t>
      </w:r>
      <w:r>
        <w:t xml:space="preserve"> </w:t>
      </w:r>
      <w:r>
        <w:t xml:space="preserve">The Company is in active negotiations for the $425 million acquisition of Kessler Precision Systems GmbH, with Canfield Cromdale Consulting &amp; Co. advising. As of the status report,</w:t>
      </w:r>
      <w:r>
        <w:t xml:space="preserve"> </w:t>
      </w:r>
      <w:r>
        <w:rPr>
          <w:b/>
          <w:bCs/>
        </w:rPr>
        <w:t xml:space="preserve">neither the acquisition counterparty nor the financial advisor has been notified of the Incident</w:t>
      </w:r>
      <w:r>
        <w:t xml:space="preserve">, and</w:t>
      </w:r>
      <w:r>
        <w:t xml:space="preserve"> </w:t>
      </w:r>
      <w:r>
        <w:t xml:space="preserve">“</w:t>
      </w:r>
      <w:r>
        <w:t xml:space="preserve">the potential impact of this cybersecurity incident on the pending acquisition … has not been evaluated.</w:t>
      </w:r>
      <w:r>
        <w:t xml:space="preserve">”</w:t>
      </w:r>
    </w:p>
    <w:p>
      <w:pPr>
        <w:pStyle w:val="BodyText"/>
      </w:pPr>
      <w:r>
        <w:rPr>
          <w:b/>
          <w:bCs/>
        </w:rPr>
        <w:t xml:space="preserve">Analysis.</w:t>
      </w:r>
      <w:r>
        <w:t xml:space="preserve"> </w:t>
      </w:r>
      <w:r>
        <w:t xml:space="preserve">A $425 million acquisition is material on a standalone basis. The Incident may affect the transaction through (i) representations and warranties and the accuracy of disclosure schedules, (ii) counterparty confidence and financing, (iii) deal timeline, and (iv) any proxy statement or registration statement filed in connection with the transaction, which must not contain a material misstatement or omission. The failure to evaluate, and to consider disclosing, the Incident’s effect on a pending material acquisition is a disclosure-controls gap and a potential Section 10(b)/Section 13(a) exposure. The matter should be assessed immediately with transaction counsel and disclosed if material.</w:t>
      </w:r>
    </w:p>
    <w:p>
      <w:pPr>
        <w:pStyle w:val="BodyText"/>
      </w:pPr>
      <w:r>
        <w:rPr>
          <w:b/>
          <w:bCs/>
        </w:rPr>
        <w:t xml:space="preserve">Severity: High.</w:t>
      </w:r>
    </w:p>
    <w:bookmarkEnd w:id="46"/>
    <w:bookmarkStart w:id="47" w:name="X63362250c25dd0a9b236386bf2629c935900390"/>
    <w:p>
      <w:pPr>
        <w:pStyle w:val="Heading3"/>
      </w:pPr>
      <w:r>
        <w:t xml:space="preserve">Gap 13 — Independent Auditor Not Notified; ICFR and Disclosure-Controls Implications</w:t>
      </w:r>
    </w:p>
    <w:p>
      <w:pPr>
        <w:pStyle w:val="FirstParagraph"/>
      </w:pPr>
      <w:r>
        <w:rPr>
          <w:b/>
          <w:bCs/>
        </w:rPr>
        <w:t xml:space="preserve">Finding.</w:t>
      </w:r>
      <w:r>
        <w:t xml:space="preserve"> </w:t>
      </w:r>
      <w:r>
        <w:t xml:space="preserve">The independent auditor, Greystone &amp; Associates LLP,</w:t>
      </w:r>
      <w:r>
        <w:t xml:space="preserve"> </w:t>
      </w:r>
      <w:r>
        <w:t xml:space="preserve">“</w:t>
      </w:r>
      <w:r>
        <w:t xml:space="preserve">has not been notified of the incident.</w:t>
      </w:r>
      <w:r>
        <w:t xml:space="preserve">”</w:t>
      </w:r>
      <w:r>
        <w:t xml:space="preserve"> </w:t>
      </w:r>
      <w:r>
        <w:t xml:space="preserve">The FY2024 audit cycle has not commenced. The Incident encrypted and required restoration of the ERP finance, procurement, and order management modules — systems central to financial reporting — and required manual workaround processes for over two weeks.</w:t>
      </w:r>
    </w:p>
    <w:p>
      <w:pPr>
        <w:pStyle w:val="BodyText"/>
      </w:pPr>
      <w:r>
        <w:rPr>
          <w:b/>
          <w:bCs/>
        </w:rPr>
        <w:t xml:space="preserve">Analysis.</w:t>
      </w:r>
      <w:r>
        <w:t xml:space="preserve"> </w:t>
      </w:r>
      <w:r>
        <w:t xml:space="preserve">The disruption to financial-reporting systems implicates ICFR and disclosure controls and procedures. The Company must evaluate, for the FY2024 Form 10-K (and any interim report), whether the Incident and the manual-workaround period constitute a significant deficiency or material weakness in ICFR, and whether disclosure controls and procedures were effective during the period — conclusions that must be reflected in the CEO/CFO certifications under SOX Sections 302 and 906. The independent auditor should be informed promptly so that it can plan audit procedures around the affected systems and the restoration. The delayed and discretionary escalation documented in this Incident (General Counsel not informed until Day 2; CEO until Day 7; Audit Committee until Day 15; no materiality determination by Day 17) is itself evidence that disclosure controls and procedures were not designed or operating effectively to ensure timely disclosure decisions, and should be evaluated as a potential reportable deficiency.</w:t>
      </w:r>
    </w:p>
    <w:p>
      <w:pPr>
        <w:pStyle w:val="BodyText"/>
      </w:pPr>
      <w:r>
        <w:rPr>
          <w:b/>
          <w:bCs/>
        </w:rPr>
        <w:t xml:space="preserve">Severity: Medium-High.</w:t>
      </w:r>
    </w:p>
    <w:p>
      <w:r>
        <w:pict>
          <v:rect style="width:0;height:1.5pt" o:hralign="center" o:hrstd="t" o:hr="t"/>
        </w:pict>
      </w:r>
    </w:p>
    <w:bookmarkEnd w:id="47"/>
    <w:bookmarkEnd w:id="48"/>
    <w:bookmarkStart w:id="49" w:name="v.-consolidated-risk-assessment"/>
    <w:p>
      <w:pPr>
        <w:pStyle w:val="Heading2"/>
      </w:pPr>
      <w:r>
        <w:t xml:space="preserve">V. Consolidated Risk Assessment</w:t>
      </w:r>
    </w:p>
    <w:p>
      <w:pPr>
        <w:pStyle w:val="FirstParagraph"/>
      </w:pPr>
      <w:r>
        <w:t xml:space="preserve">The following table ranks the identified gaps by severity and urgency, considering (a) the likelihood and magnitude of SEC enforcement or liability exposure, (b) the proximity of any statutory or contractual deadline, and (c) the ease of remediation.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Domain</w:t>
            </w:r>
          </w:p>
        </w:tc>
        <w:tc>
          <w:tcPr/>
          <w:p>
            <w:pPr>
              <w:pStyle w:val="Compact"/>
              <w:jc w:val="left"/>
            </w:pPr>
            <w:r>
              <w:t xml:space="preserve">Severity</w:t>
            </w:r>
          </w:p>
        </w:tc>
        <w:tc>
          <w:tcPr/>
          <w:p>
            <w:pPr>
              <w:pStyle w:val="Compact"/>
              <w:jc w:val="left"/>
            </w:pPr>
            <w:r>
              <w:t xml:space="preserve">Urgency</w:t>
            </w:r>
          </w:p>
        </w:tc>
        <w:tc>
          <w:tcPr/>
          <w:p>
            <w:pPr>
              <w:pStyle w:val="Compact"/>
              <w:jc w:val="left"/>
            </w:pPr>
            <w:r>
              <w:t xml:space="preserve">Deadline Pressure</w:t>
            </w:r>
          </w:p>
        </w:tc>
      </w:tr>
      <w:tr>
        <w:tc>
          <w:tcPr/>
          <w:p>
            <w:pPr>
              <w:pStyle w:val="Compact"/>
              <w:jc w:val="left"/>
            </w:pPr>
            <w:r>
              <w:t xml:space="preserve">1</w:t>
            </w:r>
          </w:p>
        </w:tc>
        <w:tc>
          <w:tcPr/>
          <w:p>
            <w:pPr>
              <w:pStyle w:val="Compact"/>
              <w:jc w:val="left"/>
            </w:pPr>
            <w:r>
              <w:t xml:space="preserve">No materiality determination; no Form 8-K filed</w:t>
            </w:r>
          </w:p>
        </w:tc>
        <w:tc>
          <w:tcPr/>
          <w:p>
            <w:pPr>
              <w:pStyle w:val="Compact"/>
              <w:jc w:val="left"/>
            </w:pPr>
            <w:r>
              <w:t xml:space="preserve">Item 1.05 disclosure</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w:t>
            </w:r>
            <w:r>
              <w:t xml:space="preserve">Without unreasonable delay</w:t>
            </w:r>
            <w:r>
              <w:t xml:space="preserve">”</w:t>
            </w:r>
            <w:r>
              <w:t xml:space="preserve"> </w:t>
            </w:r>
            <w:r>
              <w:t xml:space="preserve">already running; 4 business days once determined</w:t>
            </w:r>
          </w:p>
        </w:tc>
      </w:tr>
      <w:tr>
        <w:tc>
          <w:tcPr/>
          <w:p>
            <w:pPr>
              <w:pStyle w:val="Compact"/>
              <w:jc w:val="left"/>
            </w:pPr>
            <w:r>
              <w:t xml:space="preserve">2</w:t>
            </w:r>
          </w:p>
        </w:tc>
        <w:tc>
          <w:tcPr/>
          <w:p>
            <w:pPr>
              <w:pStyle w:val="Compact"/>
              <w:jc w:val="left"/>
            </w:pPr>
            <w:r>
              <w:t xml:space="preserve">Incident is material (qualitative analysis)</w:t>
            </w:r>
          </w:p>
        </w:tc>
        <w:tc>
          <w:tcPr/>
          <w:p>
            <w:pPr>
              <w:pStyle w:val="Compact"/>
              <w:jc w:val="left"/>
            </w:pPr>
            <w:r>
              <w:t xml:space="preserve">Materiality</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Drives Gap 1</w:t>
            </w:r>
          </w:p>
        </w:tc>
      </w:tr>
      <w:tr>
        <w:tc>
          <w:tcPr/>
          <w:p>
            <w:pPr>
              <w:pStyle w:val="Compact"/>
              <w:jc w:val="left"/>
            </w:pPr>
            <w:r>
              <w:t xml:space="preserve">3</w:t>
            </w:r>
          </w:p>
        </w:tc>
        <w:tc>
          <w:tcPr/>
          <w:p>
            <w:pPr>
              <w:pStyle w:val="Compact"/>
              <w:jc w:val="left"/>
            </w:pPr>
            <w:r>
              <w:t xml:space="preserve">Inaccurate MFA representation in 10-K Item 1C / CIRP / policy application</w:t>
            </w:r>
          </w:p>
        </w:tc>
        <w:tc>
          <w:tcPr/>
          <w:p>
            <w:pPr>
              <w:pStyle w:val="Compact"/>
              <w:jc w:val="left"/>
            </w:pPr>
            <w:r>
              <w:t xml:space="preserve">Disclosure accuracy / Rule 10b-5 / insurance</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Duty to correct; coverage-void risk</w:t>
            </w:r>
          </w:p>
        </w:tc>
      </w:tr>
      <w:tr>
        <w:tc>
          <w:tcPr/>
          <w:p>
            <w:pPr>
              <w:pStyle w:val="Compact"/>
              <w:jc w:val="left"/>
            </w:pPr>
            <w:r>
              <w:t xml:space="preserve">9</w:t>
            </w:r>
          </w:p>
        </w:tc>
        <w:tc>
          <w:tcPr/>
          <w:p>
            <w:pPr>
              <w:pStyle w:val="Compact"/>
              <w:jc w:val="left"/>
            </w:pPr>
            <w:r>
              <w:t xml:space="preserve">Missed 48-hour customer notification deadlines</w:t>
            </w:r>
          </w:p>
        </w:tc>
        <w:tc>
          <w:tcPr/>
          <w:p>
            <w:pPr>
              <w:pStyle w:val="Compact"/>
              <w:jc w:val="left"/>
            </w:pPr>
            <w:r>
              <w:t xml:space="preserve">Contractual / disclosure</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Deadlines already expired; LDs and termination accruing</w:t>
            </w:r>
          </w:p>
        </w:tc>
      </w:tr>
      <w:tr>
        <w:tc>
          <w:tcPr/>
          <w:p>
            <w:pPr>
              <w:pStyle w:val="Compact"/>
              <w:jc w:val="left"/>
            </w:pPr>
            <w:r>
              <w:t xml:space="preserve">11</w:t>
            </w:r>
          </w:p>
        </w:tc>
        <w:tc>
          <w:tcPr/>
          <w:p>
            <w:pPr>
              <w:pStyle w:val="Compact"/>
              <w:jc w:val="left"/>
            </w:pPr>
            <w:r>
              <w:t xml:space="preserve">No state / GDPR breach notifications</w:t>
            </w:r>
          </w:p>
        </w:tc>
        <w:tc>
          <w:tcPr/>
          <w:p>
            <w:pPr>
              <w:pStyle w:val="Compact"/>
              <w:jc w:val="left"/>
            </w:pPr>
            <w:r>
              <w:t xml:space="preserve">Regulatory</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Statutory clocks running (GDPR 72-hr elapsed)</w:t>
            </w:r>
          </w:p>
        </w:tc>
      </w:tr>
      <w:tr>
        <w:tc>
          <w:tcPr/>
          <w:p>
            <w:pPr>
              <w:pStyle w:val="Compact"/>
              <w:jc w:val="left"/>
            </w:pPr>
            <w:r>
              <w:t xml:space="preserve">12</w:t>
            </w:r>
          </w:p>
        </w:tc>
        <w:tc>
          <w:tcPr/>
          <w:p>
            <w:pPr>
              <w:pStyle w:val="Compact"/>
              <w:jc w:val="left"/>
            </w:pPr>
            <w:r>
              <w:t xml:space="preserve">Undisclosed impact on $425M Kessler acquisition</w:t>
            </w:r>
          </w:p>
        </w:tc>
        <w:tc>
          <w:tcPr/>
          <w:p>
            <w:pPr>
              <w:pStyle w:val="Compact"/>
              <w:jc w:val="left"/>
            </w:pPr>
            <w:r>
              <w:t xml:space="preserve">Disclosure / M&amp;A</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Transaction-dependent</w:t>
            </w:r>
          </w:p>
        </w:tc>
      </w:tr>
      <w:tr>
        <w:tc>
          <w:tcPr/>
          <w:p>
            <w:pPr>
              <w:pStyle w:val="Compact"/>
              <w:jc w:val="left"/>
            </w:pPr>
            <w:r>
              <w:t xml:space="preserve">10</w:t>
            </w:r>
          </w:p>
        </w:tc>
        <w:tc>
          <w:tcPr/>
          <w:p>
            <w:pPr>
              <w:pStyle w:val="Compact"/>
              <w:jc w:val="left"/>
            </w:pPr>
            <w:r>
              <w:t xml:space="preserve">Insurance coverage at risk (warranty, late notice, exclusions)</w:t>
            </w:r>
          </w:p>
        </w:tc>
        <w:tc>
          <w:tcPr/>
          <w:p>
            <w:pPr>
              <w:pStyle w:val="Compact"/>
              <w:jc w:val="left"/>
            </w:pPr>
            <w:r>
              <w:t xml:space="preserve">Insurance / financial impact</w:t>
            </w:r>
          </w:p>
        </w:tc>
        <w:tc>
          <w:tcPr/>
          <w:p>
            <w:pPr>
              <w:pStyle w:val="Compact"/>
              <w:jc w:val="left"/>
            </w:pPr>
            <w:r>
              <w:t xml:space="preserve">High</w:t>
            </w:r>
          </w:p>
        </w:tc>
        <w:tc>
          <w:tcPr/>
          <w:p>
            <w:pPr>
              <w:pStyle w:val="Compact"/>
              <w:jc w:val="left"/>
            </w:pPr>
            <w:r>
              <w:t xml:space="preserve">Near-term</w:t>
            </w:r>
          </w:p>
        </w:tc>
        <w:tc>
          <w:tcPr/>
          <w:p>
            <w:pPr>
              <w:pStyle w:val="Compact"/>
              <w:jc w:val="left"/>
            </w:pPr>
            <w:r>
              <w:t xml:space="preserve">Coverage-position letter needed before disclosure</w:t>
            </w:r>
          </w:p>
        </w:tc>
      </w:tr>
      <w:tr>
        <w:tc>
          <w:tcPr/>
          <w:p>
            <w:pPr>
              <w:pStyle w:val="Compact"/>
              <w:jc w:val="left"/>
            </w:pPr>
            <w:r>
              <w:t xml:space="preserve">4</w:t>
            </w:r>
          </w:p>
        </w:tc>
        <w:tc>
          <w:tcPr/>
          <w:p>
            <w:pPr>
              <w:pStyle w:val="Compact"/>
              <w:jc w:val="left"/>
            </w:pPr>
            <w:r>
              <w:t xml:space="preserve">Audit Committee Charter silent on cybersecurity</w:t>
            </w:r>
          </w:p>
        </w:tc>
        <w:tc>
          <w:tcPr/>
          <w:p>
            <w:pPr>
              <w:pStyle w:val="Compact"/>
              <w:jc w:val="left"/>
            </w:pPr>
            <w:r>
              <w:t xml:space="preserve">Governance</w:t>
            </w:r>
          </w:p>
        </w:tc>
        <w:tc>
          <w:tcPr/>
          <w:p>
            <w:pPr>
              <w:pStyle w:val="Compact"/>
              <w:jc w:val="left"/>
            </w:pPr>
            <w:r>
              <w:t xml:space="preserve">High</w:t>
            </w:r>
          </w:p>
        </w:tc>
        <w:tc>
          <w:tcPr/>
          <w:p>
            <w:pPr>
              <w:pStyle w:val="Compact"/>
              <w:jc w:val="left"/>
            </w:pPr>
            <w:r>
              <w:t xml:space="preserve">Near-term</w:t>
            </w:r>
          </w:p>
        </w:tc>
        <w:tc>
          <w:tcPr/>
          <w:p>
            <w:pPr>
              <w:pStyle w:val="Compact"/>
              <w:jc w:val="left"/>
            </w:pPr>
            <w:r>
              <w:t xml:space="preserve">Charter amendment</w:t>
            </w:r>
          </w:p>
        </w:tc>
      </w:tr>
      <w:tr>
        <w:tc>
          <w:tcPr/>
          <w:p>
            <w:pPr>
              <w:pStyle w:val="Compact"/>
              <w:jc w:val="left"/>
            </w:pPr>
            <w:r>
              <w:t xml:space="preserve">5</w:t>
            </w:r>
          </w:p>
        </w:tc>
        <w:tc>
          <w:tcPr/>
          <w:p>
            <w:pPr>
              <w:pStyle w:val="Compact"/>
              <w:jc w:val="left"/>
            </w:pPr>
            <w:r>
              <w:t xml:space="preserve">CIRP escalation stops at CTO; no mandatory Legal/Board escalation</w:t>
            </w:r>
          </w:p>
        </w:tc>
        <w:tc>
          <w:tcPr/>
          <w:p>
            <w:pPr>
              <w:pStyle w:val="Compact"/>
              <w:jc w:val="left"/>
            </w:pPr>
            <w:r>
              <w:t xml:space="preserve">Governance / IR design</w:t>
            </w:r>
          </w:p>
        </w:tc>
        <w:tc>
          <w:tcPr/>
          <w:p>
            <w:pPr>
              <w:pStyle w:val="Compact"/>
              <w:jc w:val="left"/>
            </w:pPr>
            <w:r>
              <w:t xml:space="preserve">High</w:t>
            </w:r>
          </w:p>
        </w:tc>
        <w:tc>
          <w:tcPr/>
          <w:p>
            <w:pPr>
              <w:pStyle w:val="Compact"/>
              <w:jc w:val="left"/>
            </w:pPr>
            <w:r>
              <w:t xml:space="preserve">Near-term</w:t>
            </w:r>
          </w:p>
        </w:tc>
        <w:tc>
          <w:tcPr/>
          <w:p>
            <w:pPr>
              <w:pStyle w:val="Compact"/>
              <w:jc w:val="left"/>
            </w:pPr>
            <w:r>
              <w:t xml:space="preserve">CIRP revision</w:t>
            </w:r>
          </w:p>
        </w:tc>
      </w:tr>
      <w:tr>
        <w:tc>
          <w:tcPr/>
          <w:p>
            <w:pPr>
              <w:pStyle w:val="Compact"/>
              <w:jc w:val="left"/>
            </w:pPr>
            <w:r>
              <w:t xml:space="preserve">6</w:t>
            </w:r>
          </w:p>
        </w:tc>
        <w:tc>
          <w:tcPr/>
          <w:p>
            <w:pPr>
              <w:pStyle w:val="Compact"/>
              <w:jc w:val="left"/>
            </w:pPr>
            <w:r>
              <w:t xml:space="preserve">CIRP excludes external communications</w:t>
            </w:r>
          </w:p>
        </w:tc>
        <w:tc>
          <w:tcPr/>
          <w:p>
            <w:pPr>
              <w:pStyle w:val="Compact"/>
              <w:jc w:val="left"/>
            </w:pPr>
            <w:r>
              <w:t xml:space="preserve">IR design</w:t>
            </w:r>
          </w:p>
        </w:tc>
        <w:tc>
          <w:tcPr/>
          <w:p>
            <w:pPr>
              <w:pStyle w:val="Compact"/>
              <w:jc w:val="left"/>
            </w:pPr>
            <w:r>
              <w:t xml:space="preserve">High</w:t>
            </w:r>
          </w:p>
        </w:tc>
        <w:tc>
          <w:tcPr/>
          <w:p>
            <w:pPr>
              <w:pStyle w:val="Compact"/>
              <w:jc w:val="left"/>
            </w:pPr>
            <w:r>
              <w:t xml:space="preserve">Near-term</w:t>
            </w:r>
          </w:p>
        </w:tc>
        <w:tc>
          <w:tcPr/>
          <w:p>
            <w:pPr>
              <w:pStyle w:val="Compact"/>
              <w:jc w:val="left"/>
            </w:pPr>
            <w:r>
              <w:t xml:space="preserve">CIRP revision</w:t>
            </w:r>
          </w:p>
        </w:tc>
      </w:tr>
      <w:tr>
        <w:tc>
          <w:tcPr/>
          <w:p>
            <w:pPr>
              <w:pStyle w:val="Compact"/>
              <w:jc w:val="left"/>
            </w:pPr>
            <w:r>
              <w:t xml:space="preserve">13</w:t>
            </w:r>
          </w:p>
        </w:tc>
        <w:tc>
          <w:tcPr/>
          <w:p>
            <w:pPr>
              <w:pStyle w:val="Compact"/>
              <w:jc w:val="left"/>
            </w:pPr>
            <w:r>
              <w:t xml:space="preserve">Auditor not notified; ICFR / disclosure-controls impact</w:t>
            </w:r>
          </w:p>
        </w:tc>
        <w:tc>
          <w:tcPr/>
          <w:p>
            <w:pPr>
              <w:pStyle w:val="Compact"/>
              <w:jc w:val="left"/>
            </w:pPr>
            <w:r>
              <w:t xml:space="preserve">Financial reporting</w:t>
            </w:r>
          </w:p>
        </w:tc>
        <w:tc>
          <w:tcPr/>
          <w:p>
            <w:pPr>
              <w:pStyle w:val="Compact"/>
              <w:jc w:val="left"/>
            </w:pPr>
            <w:r>
              <w:t xml:space="preserve">Medium-High</w:t>
            </w:r>
          </w:p>
        </w:tc>
        <w:tc>
          <w:tcPr/>
          <w:p>
            <w:pPr>
              <w:pStyle w:val="Compact"/>
              <w:jc w:val="left"/>
            </w:pPr>
            <w:r>
              <w:t xml:space="preserve">Near-term</w:t>
            </w:r>
          </w:p>
        </w:tc>
        <w:tc>
          <w:tcPr/>
          <w:p>
            <w:pPr>
              <w:pStyle w:val="Compact"/>
              <w:jc w:val="left"/>
            </w:pPr>
            <w:r>
              <w:t xml:space="preserve">Before FY2024 audit</w:t>
            </w:r>
          </w:p>
        </w:tc>
      </w:tr>
      <w:tr>
        <w:tc>
          <w:tcPr/>
          <w:p>
            <w:pPr>
              <w:pStyle w:val="Compact"/>
              <w:jc w:val="left"/>
            </w:pPr>
            <w:r>
              <w:t xml:space="preserve">7</w:t>
            </w:r>
          </w:p>
        </w:tc>
        <w:tc>
          <w:tcPr/>
          <w:p>
            <w:pPr>
              <w:pStyle w:val="Compact"/>
              <w:jc w:val="left"/>
            </w:pPr>
            <w:r>
              <w:t xml:space="preserve">CIRP severity classification is technical only</w:t>
            </w:r>
          </w:p>
        </w:tc>
        <w:tc>
          <w:tcPr/>
          <w:p>
            <w:pPr>
              <w:pStyle w:val="Compact"/>
              <w:jc w:val="left"/>
            </w:pPr>
            <w:r>
              <w:t xml:space="preserve">IR design</w:t>
            </w:r>
          </w:p>
        </w:tc>
        <w:tc>
          <w:tcPr/>
          <w:p>
            <w:pPr>
              <w:pStyle w:val="Compact"/>
              <w:jc w:val="left"/>
            </w:pPr>
            <w:r>
              <w:t xml:space="preserve">Medium-High</w:t>
            </w:r>
          </w:p>
        </w:tc>
        <w:tc>
          <w:tcPr/>
          <w:p>
            <w:pPr>
              <w:pStyle w:val="Compact"/>
              <w:jc w:val="left"/>
            </w:pPr>
            <w:r>
              <w:t xml:space="preserve">Longer-term</w:t>
            </w:r>
          </w:p>
        </w:tc>
        <w:tc>
          <w:tcPr/>
          <w:p>
            <w:pPr>
              <w:pStyle w:val="Compact"/>
              <w:jc w:val="left"/>
            </w:pPr>
            <w:r>
              <w:t xml:space="preserve">CIRP revision</w:t>
            </w:r>
          </w:p>
        </w:tc>
      </w:tr>
      <w:tr>
        <w:tc>
          <w:tcPr/>
          <w:p>
            <w:pPr>
              <w:pStyle w:val="Compact"/>
              <w:jc w:val="left"/>
            </w:pPr>
            <w:r>
              <w:t xml:space="preserve">8</w:t>
            </w:r>
          </w:p>
        </w:tc>
        <w:tc>
          <w:tcPr/>
          <w:p>
            <w:pPr>
              <w:pStyle w:val="Compact"/>
              <w:jc w:val="left"/>
            </w:pPr>
            <w:r>
              <w:t xml:space="preserve">No tabletop exercises; CIRP substantively stale</w:t>
            </w:r>
          </w:p>
        </w:tc>
        <w:tc>
          <w:tcPr/>
          <w:p>
            <w:pPr>
              <w:pStyle w:val="Compact"/>
              <w:jc w:val="left"/>
            </w:pPr>
            <w:r>
              <w:t xml:space="preserve">Program maturity / disclosure</w:t>
            </w:r>
          </w:p>
        </w:tc>
        <w:tc>
          <w:tcPr/>
          <w:p>
            <w:pPr>
              <w:pStyle w:val="Compact"/>
              <w:jc w:val="left"/>
            </w:pPr>
            <w:r>
              <w:t xml:space="preserve">Medium-High</w:t>
            </w:r>
          </w:p>
        </w:tc>
        <w:tc>
          <w:tcPr/>
          <w:p>
            <w:pPr>
              <w:pStyle w:val="Compact"/>
              <w:jc w:val="left"/>
            </w:pPr>
            <w:r>
              <w:t xml:space="preserve">Longer-term</w:t>
            </w:r>
          </w:p>
        </w:tc>
        <w:tc>
          <w:tcPr/>
          <w:p>
            <w:pPr>
              <w:pStyle w:val="Compact"/>
              <w:jc w:val="left"/>
            </w:pPr>
            <w:r>
              <w:t xml:space="preserve">Annual review + exercise schedule</w:t>
            </w:r>
          </w:p>
        </w:tc>
      </w:tr>
    </w:tbl>
    <w:p>
      <w:r>
        <w:pict>
          <v:rect style="width:0;height:1.5pt" o:hralign="center" o:hrstd="t" o:hr="t"/>
        </w:pict>
      </w:r>
    </w:p>
    <w:bookmarkEnd w:id="49"/>
    <w:bookmarkStart w:id="53" w:name="vi.-recommended-remediation-actions"/>
    <w:p>
      <w:pPr>
        <w:pStyle w:val="Heading2"/>
      </w:pPr>
      <w:r>
        <w:t xml:space="preserve">VI. Recommended Remediation Actions</w:t>
      </w:r>
    </w:p>
    <w:bookmarkStart w:id="50" w:name="X4eb82c494a7e40c797dd477e72170e4103d5ac9"/>
    <w:p>
      <w:pPr>
        <w:pStyle w:val="Heading3"/>
      </w:pPr>
      <w:r>
        <w:t xml:space="preserve">A. Immediate Actions (Within 4 Business Days)</w:t>
      </w:r>
    </w:p>
    <w:p>
      <w:pPr>
        <w:numPr>
          <w:ilvl w:val="0"/>
          <w:numId w:val="1008"/>
        </w:numPr>
      </w:pPr>
      <w:r>
        <w:rPr>
          <w:b/>
          <w:bCs/>
        </w:rPr>
        <w:t xml:space="preserve">Convene a materiality determination.</w:t>
      </w:r>
      <w:r>
        <w:t xml:space="preserve"> </w:t>
      </w:r>
      <w:r>
        <w:t xml:space="preserve">The General Counsel, together with disclosure counsel (Hollister Marsh LLP), the CFO, the CISO, and the CTO, should convene immediately to make and</w:t>
      </w:r>
      <w:r>
        <w:t xml:space="preserve"> </w:t>
      </w:r>
      <w:r>
        <w:rPr>
          <w:b/>
          <w:bCs/>
        </w:rPr>
        <w:t xml:space="preserve">document</w:t>
      </w:r>
      <w:r>
        <w:t xml:space="preserve"> </w:t>
      </w:r>
      <w:r>
        <w:t xml:space="preserve">a formal materiality determination. Based on the analysis in Gap 2, we expect the determination to be that the Incident is material. The determination, the factors considered, and the date of determination should be recorded in writing (with privilege protections) to establish the start of the four-business-day clock.</w:t>
      </w:r>
    </w:p>
    <w:p>
      <w:pPr>
        <w:numPr>
          <w:ilvl w:val="0"/>
          <w:numId w:val="1008"/>
        </w:numPr>
      </w:pPr>
      <w:r>
        <w:rPr>
          <w:b/>
          <w:bCs/>
        </w:rPr>
        <w:t xml:space="preserve">Prepare and file a Form 8-K under Item 1.05.</w:t>
      </w:r>
      <w:r>
        <w:t xml:space="preserve"> </w:t>
      </w:r>
      <w:r>
        <w:t xml:space="preserve">Within four business days of the materiality determination, file a Form 8-K disclosing the material aspects of the nature, scope, and timing of the Incident and the material or reasonably likely material impact on the Company’s operations and financial condition. Disclose what is known; plan to amend as Thorngate’s December 20 preliminary findings and subsequent scope refinements become available. Coordinate with the FBI to confirm no national-security delay applies (none is expected).</w:t>
      </w:r>
    </w:p>
    <w:p>
      <w:pPr>
        <w:numPr>
          <w:ilvl w:val="0"/>
          <w:numId w:val="1008"/>
        </w:numPr>
      </w:pPr>
      <w:r>
        <w:rPr>
          <w:b/>
          <w:bCs/>
        </w:rPr>
        <w:t xml:space="preserve">Correct the MFA disclosure inaccuracy.</w:t>
      </w:r>
      <w:r>
        <w:t xml:space="preserve"> </w:t>
      </w:r>
      <w:r>
        <w:t xml:space="preserve">Evaluate, with disclosure counsel, whether the FY2023 Form 10-K Item 1C MFA representation requires correction and whether the correction should be made in the Item 1.05 8-K, a separate 8-K, or the FY2024 Form 10-K. Do not repeat the inaccurate representation in any new filing. This also protects against Rule 10b-5 exposure and supports the insurance-coverage position.</w:t>
      </w:r>
    </w:p>
    <w:p>
      <w:pPr>
        <w:numPr>
          <w:ilvl w:val="0"/>
          <w:numId w:val="1008"/>
        </w:numPr>
      </w:pPr>
      <w:r>
        <w:rPr>
          <w:b/>
          <w:bCs/>
        </w:rPr>
        <w:t xml:space="preserve">Issue customer notifications.</w:t>
      </w:r>
      <w:r>
        <w:t xml:space="preserve"> </w:t>
      </w:r>
      <w:r>
        <w:t xml:space="preserve">Immediately issue notifications to Harmon Defense Solutions, Crestfield Aerospace, Nexagen Manufacturing, and all other customers whose data is confirmed or reasonably believed affected, acknowledging that the 48-hour contractual deadlines have passed and that the Company is now providing notice as promptly as practicable. Coordinate content with privacy counsel to satisfy both contractual and state-law notification requirements in a single communication where possible. Document the notification timing and content for the liquidated-damages and termination analyses.</w:t>
      </w:r>
    </w:p>
    <w:p>
      <w:pPr>
        <w:numPr>
          <w:ilvl w:val="0"/>
          <w:numId w:val="1008"/>
        </w:numPr>
      </w:pPr>
      <w:r>
        <w:rPr>
          <w:b/>
          <w:bCs/>
        </w:rPr>
        <w:t xml:space="preserve">Initiate state and GDPR notifications.</w:t>
      </w:r>
      <w:r>
        <w:t xml:space="preserve"> </w:t>
      </w:r>
      <w:r>
        <w:t xml:space="preserve">Engage privacy counsel to map notification obligations across the affected jurisdictions (at least 38 U.S. states; Germany, UK, Canada, Mexico) and begin filings. Prioritize jurisdictions with the shortest statutory windows and attorney-general notification thresholds.</w:t>
      </w:r>
    </w:p>
    <w:p>
      <w:pPr>
        <w:numPr>
          <w:ilvl w:val="0"/>
          <w:numId w:val="1008"/>
        </w:numPr>
      </w:pPr>
      <w:r>
        <w:rPr>
          <w:b/>
          <w:bCs/>
        </w:rPr>
        <w:t xml:space="preserve">Notify the independent auditor.</w:t>
      </w:r>
      <w:r>
        <w:t xml:space="preserve"> </w:t>
      </w:r>
      <w:r>
        <w:t xml:space="preserve">Inform Greystone &amp; Associates LLP of the Incident, the affected financial-reporting systems, the restoration status, and the manual-workaround period, and begin the ICFR and disclosure-controls impact assessment.</w:t>
      </w:r>
    </w:p>
    <w:p>
      <w:pPr>
        <w:numPr>
          <w:ilvl w:val="0"/>
          <w:numId w:val="1008"/>
        </w:numPr>
      </w:pPr>
      <w:r>
        <w:rPr>
          <w:b/>
          <w:bCs/>
        </w:rPr>
        <w:t xml:space="preserve">Assess the Kessler acquisition impact.</w:t>
      </w:r>
      <w:r>
        <w:t xml:space="preserve"> </w:t>
      </w:r>
      <w:r>
        <w:t xml:space="preserve">Convene transaction counsel and the financial advisor to evaluate the Incident’s effect on the pending acquisition and determine whether disclosure to the counterparty and in any transaction documents is required.</w:t>
      </w:r>
    </w:p>
    <w:bookmarkEnd w:id="50"/>
    <w:bookmarkStart w:id="51" w:name="b.-near-term-actions-12-weeks"/>
    <w:p>
      <w:pPr>
        <w:pStyle w:val="Heading3"/>
      </w:pPr>
      <w:r>
        <w:t xml:space="preserve">B. Near-Term Actions (1–2 Weeks)</w:t>
      </w:r>
    </w:p>
    <w:p>
      <w:pPr>
        <w:numPr>
          <w:ilvl w:val="0"/>
          <w:numId w:val="1009"/>
        </w:numPr>
      </w:pPr>
      <w:r>
        <w:rPr>
          <w:b/>
          <w:bCs/>
        </w:rPr>
        <w:t xml:space="preserve">Obtain a coverage-position letter.</w:t>
      </w:r>
      <w:r>
        <w:t xml:space="preserve"> </w:t>
      </w:r>
      <w:r>
        <w:t xml:space="preserve">Engage coverage counsel to address the policy-application warranty issue, the late-notice reservation of rights, the contractual-liability exclusion, and consent-to-incur-costs compliance. Do not represent insurance recovery as assured in any public disclosure until the coverage position is clarified.</w:t>
      </w:r>
    </w:p>
    <w:p>
      <w:pPr>
        <w:numPr>
          <w:ilvl w:val="0"/>
          <w:numId w:val="1009"/>
        </w:numPr>
      </w:pPr>
      <w:r>
        <w:rPr>
          <w:b/>
          <w:bCs/>
        </w:rPr>
        <w:t xml:space="preserve">Amend the Audit Committee Charter.</w:t>
      </w:r>
      <w:r>
        <w:t xml:space="preserve"> </w:t>
      </w:r>
      <w:r>
        <w:t xml:space="preserve">Add an explicit cybersecurity-oversight provision delegating to the Audit Committee responsibility for oversight of the cybersecurity risk-management program, incident-response readiness, and the materiality/disclosure process for cybersecurity incidents. Align the Charter with the Item 1C governance disclosure.</w:t>
      </w:r>
    </w:p>
    <w:p>
      <w:pPr>
        <w:numPr>
          <w:ilvl w:val="0"/>
          <w:numId w:val="1009"/>
        </w:numPr>
      </w:pPr>
      <w:r>
        <w:rPr>
          <w:b/>
          <w:bCs/>
        </w:rPr>
        <w:t xml:space="preserve">Revise the CIRP escalation matrix.</w:t>
      </w:r>
      <w:r>
        <w:t xml:space="preserve"> </w:t>
      </w:r>
      <w:r>
        <w:t xml:space="preserve">Make notification of the General Counsel mandatory (not discretionary) for any Tier 2 or Tier 3 incident and for any incident involving suspected or confirmed data compromise. Add mandatory notification of the CEO and the Audit Committee Chair within defined timeframes (e.g., 24 hours for Tier 3). Add the disclosure-committee / materiality-determination process as a mandatory workstream.</w:t>
      </w:r>
    </w:p>
    <w:p>
      <w:pPr>
        <w:numPr>
          <w:ilvl w:val="0"/>
          <w:numId w:val="1009"/>
        </w:numPr>
      </w:pPr>
      <w:r>
        <w:rPr>
          <w:b/>
          <w:bCs/>
        </w:rPr>
        <w:t xml:space="preserve">Bring external communications within the CIRP.</w:t>
      </w:r>
      <w:r>
        <w:t xml:space="preserve"> </w:t>
      </w:r>
      <w:r>
        <w:t xml:space="preserve">Revise CIRP Section 9.3 to incorporate SEC disclosure, customer notification, and regulator notification as governed, time-bound workstreams owned jointly by the Incident Commander and the General Counsel, with defined hand-offs and decision rights.</w:t>
      </w:r>
    </w:p>
    <w:p>
      <w:pPr>
        <w:numPr>
          <w:ilvl w:val="0"/>
          <w:numId w:val="1009"/>
        </w:numPr>
      </w:pPr>
      <w:r>
        <w:rPr>
          <w:b/>
          <w:bCs/>
        </w:rPr>
        <w:t xml:space="preserve">Call a special Audit Committee meeting.</w:t>
      </w:r>
      <w:r>
        <w:t xml:space="preserve"> </w:t>
      </w:r>
      <w:r>
        <w:t xml:space="preserve">Do not wait until the January 22, 2025 regularly scheduled meeting. Convene a special session to review the Incident, the materiality determination, the 8-K, the customer and regulatory notification status, the insurance position, and the Kessler-transaction assessment.</w:t>
      </w:r>
    </w:p>
    <w:bookmarkEnd w:id="51"/>
    <w:bookmarkStart w:id="52" w:name="c.-longer-term-actions-3090-days"/>
    <w:p>
      <w:pPr>
        <w:pStyle w:val="Heading3"/>
      </w:pPr>
      <w:r>
        <w:t xml:space="preserve">C. Longer-Term Actions (30–90 Days)</w:t>
      </w:r>
    </w:p>
    <w:p>
      <w:pPr>
        <w:numPr>
          <w:ilvl w:val="0"/>
          <w:numId w:val="1010"/>
        </w:numPr>
      </w:pPr>
      <w:r>
        <w:rPr>
          <w:b/>
          <w:bCs/>
        </w:rPr>
        <w:t xml:space="preserve">Augment the severity-classification framework.</w:t>
      </w:r>
      <w:r>
        <w:t xml:space="preserve"> </w:t>
      </w:r>
      <w:r>
        <w:t xml:space="preserve">Add a parallel</w:t>
      </w:r>
      <w:r>
        <w:t xml:space="preserve"> </w:t>
      </w:r>
      <w:r>
        <w:t xml:space="preserve">“</w:t>
      </w:r>
      <w:r>
        <w:t xml:space="preserve">disclosure impact</w:t>
      </w:r>
      <w:r>
        <w:t xml:space="preserve">”</w:t>
      </w:r>
      <w:r>
        <w:t xml:space="preserve"> </w:t>
      </w:r>
      <w:r>
        <w:t xml:space="preserve">assessment to the CIRP severity matrix that is mandatory whenever data compromise is suspected or confirmed, triggering the materiality-determination and notification workflows regardless of technical severity.</w:t>
      </w:r>
    </w:p>
    <w:p>
      <w:pPr>
        <w:numPr>
          <w:ilvl w:val="0"/>
          <w:numId w:val="1010"/>
        </w:numPr>
      </w:pPr>
      <w:r>
        <w:rPr>
          <w:b/>
          <w:bCs/>
        </w:rPr>
        <w:t xml:space="preserve">Conduct a tabletop exercise.</w:t>
      </w:r>
      <w:r>
        <w:t xml:space="preserve"> </w:t>
      </w:r>
      <w:r>
        <w:t xml:space="preserve">Schedule and conduct a tabletop exercise simulating a material cybersecurity incident, including the disclosure, customer-notification, and regulator-notification workstreams, with Audit Committee participation. Document lessons learned and update the CIRP.</w:t>
      </w:r>
    </w:p>
    <w:p>
      <w:pPr>
        <w:numPr>
          <w:ilvl w:val="0"/>
          <w:numId w:val="1010"/>
        </w:numPr>
      </w:pPr>
      <w:r>
        <w:rPr>
          <w:b/>
          <w:bCs/>
        </w:rPr>
        <w:t xml:space="preserve">Complete the substantive CIRP review.</w:t>
      </w:r>
      <w:r>
        <w:t xml:space="preserve"> </w:t>
      </w:r>
      <w:r>
        <w:t xml:space="preserve">Conduct the overdue substantive annual review of the CIRP (last substantive review June 2022), incorporating the revisions above, and re-approve through the CTO with Audit Committee awareness.</w:t>
      </w:r>
    </w:p>
    <w:p>
      <w:pPr>
        <w:numPr>
          <w:ilvl w:val="0"/>
          <w:numId w:val="1010"/>
        </w:numPr>
      </w:pPr>
      <w:r>
        <w:rPr>
          <w:b/>
          <w:bCs/>
        </w:rPr>
        <w:t xml:space="preserve">Implement encryption at rest for sensitive data.</w:t>
      </w:r>
      <w:r>
        <w:t xml:space="preserve"> </w:t>
      </w:r>
      <w:r>
        <w:t xml:space="preserve">Act on Thorngate’s recommendation to encrypt ACH routing/account numbers and other sensitive customer data at rest in the ERP system, and remediate the third-party access-management deficiencies (MFA, credential review, monitoring).</w:t>
      </w:r>
    </w:p>
    <w:p>
      <w:pPr>
        <w:numPr>
          <w:ilvl w:val="0"/>
          <w:numId w:val="1010"/>
        </w:numPr>
      </w:pPr>
      <w:r>
        <w:rPr>
          <w:b/>
          <w:bCs/>
        </w:rPr>
        <w:t xml:space="preserve">Prepare the FY2024 Form 10-K Item 1C revision.</w:t>
      </w:r>
      <w:r>
        <w:t xml:space="preserve"> </w:t>
      </w:r>
      <w:r>
        <w:t xml:space="preserve">Plan a comprehensive revision of Item 1C for the FY2024 Form 10-K that (i) discloses the Incident as a prior cybersecurity incident materially affecting, or reasonably likely to materially affect, the Company; (ii) corrects the MFA and program-maturity representations; (iii) describes the revised governance and escalation structure; and (iv) accurately characterizes the CIRP testing status.</w:t>
      </w:r>
    </w:p>
    <w:p>
      <w:pPr>
        <w:numPr>
          <w:ilvl w:val="0"/>
          <w:numId w:val="1010"/>
        </w:numPr>
      </w:pPr>
      <w:r>
        <w:rPr>
          <w:b/>
          <w:bCs/>
        </w:rPr>
        <w:t xml:space="preserve">Evaluate disclosure-controls deficiency.</w:t>
      </w:r>
      <w:r>
        <w:t xml:space="preserve"> </w:t>
      </w:r>
      <w:r>
        <w:t xml:space="preserve">Assess whether the escalation and materiality-determination failures constitute a reportable disclosure-controls deficiency or ICFR material weakness for purposes of the FY2024 CEO/CFO certifications, and document the remediation.</w:t>
      </w:r>
    </w:p>
    <w:p>
      <w:r>
        <w:pict>
          <v:rect style="width:0;height:1.5pt" o:hralign="center" o:hrstd="t" o:hr="t"/>
        </w:pict>
      </w:r>
    </w:p>
    <w:bookmarkEnd w:id="52"/>
    <w:bookmarkEnd w:id="53"/>
    <w:bookmarkStart w:id="54" w:name="vii.-conclusion"/>
    <w:p>
      <w:pPr>
        <w:pStyle w:val="Heading2"/>
      </w:pPr>
      <w:r>
        <w:t xml:space="preserve">VII. Conclusion</w:t>
      </w:r>
    </w:p>
    <w:p>
      <w:pPr>
        <w:pStyle w:val="FirstParagraph"/>
      </w:pPr>
      <w:r>
        <w:t xml:space="preserve">The Company is, as of the date of this memorandum, in</w:t>
      </w:r>
      <w:r>
        <w:t xml:space="preserve"> </w:t>
      </w:r>
      <w:r>
        <w:rPr>
          <w:b/>
          <w:bCs/>
        </w:rPr>
        <w:t xml:space="preserve">non-compliance with Item 1.05 of Form 8-K</w:t>
      </w:r>
      <w:r>
        <w:t xml:space="preserve">: no materiality determination has been made and no Form 8-K has been filed seventeen days after discovery of a cybersecurity incident that is, in our assessment, material on qualitative grounds. The</w:t>
      </w:r>
      <w:r>
        <w:t xml:space="preserve"> </w:t>
      </w:r>
      <w:r>
        <w:t xml:space="preserve">“</w:t>
      </w:r>
      <w:r>
        <w:t xml:space="preserve">without unreasonable delay</w:t>
      </w:r>
      <w:r>
        <w:t xml:space="preserve">”</w:t>
      </w:r>
      <w:r>
        <w:t xml:space="preserve"> </w:t>
      </w:r>
      <w:r>
        <w:t xml:space="preserve">obligation has been running since November 18, 2024, and the Company should make and document a materiality determination immediately and file a Form 8-K within four business days thereafter.</w:t>
      </w:r>
    </w:p>
    <w:p>
      <w:pPr>
        <w:pStyle w:val="BodyText"/>
      </w:pPr>
      <w:r>
        <w:t xml:space="preserve">The compliance gaps extend beyond the 8-K itself. The Incident has exposed an inaccuracy in the Company’s prior MFA disclosure that creates Rule 10b-5 exposure and jeopardizes cyber-insurance coverage; a governance structure in which the Audit Committee Charter does not actually delegate cybersecurity oversight; an incident-response plan whose escalation and external-communication design failed to route a material event to disclosure decision-makers on a timely basis; and a set of collateral obligations — customer-contract notifications, state and GDPR breach notifications, the pending $425 million acquisition, and the independent-auditor/ICFR interface — that remain unaddressed and that independently reinforce the need for prompt, accurate disclosure.</w:t>
      </w:r>
    </w:p>
    <w:p>
      <w:pPr>
        <w:pStyle w:val="BodyText"/>
      </w:pPr>
      <w:r>
        <w:t xml:space="preserve">The remediation roadmap in Section VI is prioritized to address the critical and high-severity gaps first. The single most important step is to convene the materiality determination today; nearly every other action flows from that decision and from the Form 8-K that must follow it.</w:t>
      </w:r>
    </w:p>
    <w:p>
      <w:pPr>
        <w:pStyle w:val="BodyText"/>
      </w:pPr>
      <w:r>
        <w:t xml:space="preserve">This memorandum is privileged and confidential, prepared at the direction of counsel in anticipation of litigation and for the purpose of providing legal advice. It should not be distributed outside the Office of the General Counsel and the Audit Committee without prior authorization.</w:t>
      </w:r>
    </w:p>
    <w:p>
      <w:r>
        <w:pict>
          <v:rect style="width:0;height:1.5pt" o:hralign="center" o:hrstd="t" o:hr="t"/>
        </w:pict>
      </w:r>
    </w:p>
    <w:bookmarkEnd w:id="54"/>
    <w:bookmarkStart w:id="55" w:name="Xf2e527036366ee2c62efc6fea3dcdbd0b70cef5"/>
    <w:p>
      <w:pPr>
        <w:pStyle w:val="Heading2"/>
      </w:pPr>
      <w:r>
        <w:t xml:space="preserve">Appendix A — Detailed Chronology of the Incident and Response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Time (EST)</w:t>
            </w:r>
          </w:p>
        </w:tc>
        <w:tc>
          <w:tcPr/>
          <w:p>
            <w:pPr>
              <w:pStyle w:val="Compact"/>
              <w:jc w:val="left"/>
            </w:pPr>
            <w:r>
              <w:t xml:space="preserve">Event</w:t>
            </w:r>
          </w:p>
        </w:tc>
        <w:tc>
          <w:tcPr/>
          <w:p>
            <w:pPr>
              <w:pStyle w:val="Compact"/>
              <w:jc w:val="left"/>
            </w:pPr>
            <w:r>
              <w:t xml:space="preserve">Responsible Party</w:t>
            </w:r>
          </w:p>
        </w:tc>
      </w:tr>
      <w:tr>
        <w:tc>
          <w:tcPr/>
          <w:p>
            <w:pPr>
              <w:pStyle w:val="Compact"/>
              <w:jc w:val="left"/>
            </w:pPr>
            <w:r>
              <w:t xml:space="preserve">Nov 14–17, 2024</w:t>
            </w:r>
          </w:p>
        </w:tc>
        <w:tc>
          <w:tcPr/>
          <w:p>
            <w:pPr>
              <w:pStyle w:val="Compact"/>
              <w:jc w:val="left"/>
            </w:pPr>
            <w:r>
              <w:t xml:space="preserve">Anomalous VPN logins from Eastern Europe IP; internal reconnaissance (dwell time ~3–4 days)</w:t>
            </w:r>
          </w:p>
        </w:tc>
        <w:tc>
          <w:tcPr/>
          <w:p>
            <w:pPr>
              <w:pStyle w:val="Compact"/>
              <w:jc w:val="left"/>
            </w:pPr>
            <w:r>
              <w:t xml:space="preserve">Threat Actor</w:t>
            </w:r>
          </w:p>
        </w:tc>
      </w:tr>
      <w:tr>
        <w:tc>
          <w:tcPr/>
          <w:p>
            <w:pPr>
              <w:pStyle w:val="Compact"/>
              <w:jc w:val="left"/>
            </w:pPr>
            <w:r>
              <w:t xml:space="preserve">Nov 18, ~1:30–2:15 a.m.</w:t>
            </w:r>
          </w:p>
        </w:tc>
        <w:tc>
          <w:tcPr/>
          <w:p>
            <w:pPr>
              <w:pStyle w:val="Compact"/>
              <w:jc w:val="left"/>
            </w:pPr>
            <w:r>
              <w:t xml:space="preserve">~83 GB data exfiltrated to external IP (Phase 1)</w:t>
            </w:r>
          </w:p>
        </w:tc>
        <w:tc>
          <w:tcPr/>
          <w:p>
            <w:pPr>
              <w:pStyle w:val="Compact"/>
              <w:jc w:val="left"/>
            </w:pPr>
            <w:r>
              <w:t xml:space="preserve">Threat Actor</w:t>
            </w:r>
          </w:p>
        </w:tc>
      </w:tr>
      <w:tr>
        <w:tc>
          <w:tcPr/>
          <w:p>
            <w:pPr>
              <w:pStyle w:val="Compact"/>
              <w:jc w:val="left"/>
            </w:pPr>
            <w:r>
              <w:t xml:space="preserve">Nov 18, 2:17 a.m.</w:t>
            </w:r>
          </w:p>
        </w:tc>
        <w:tc>
          <w:tcPr/>
          <w:p>
            <w:pPr>
              <w:pStyle w:val="Compact"/>
              <w:jc w:val="left"/>
            </w:pPr>
            <w:r>
              <w:t xml:space="preserve">SOC detects anomalous network activity</w:t>
            </w:r>
          </w:p>
        </w:tc>
        <w:tc>
          <w:tcPr/>
          <w:p>
            <w:pPr>
              <w:pStyle w:val="Compact"/>
              <w:jc w:val="left"/>
            </w:pPr>
            <w:r>
              <w:t xml:space="preserve">SOC / IT Security</w:t>
            </w:r>
          </w:p>
        </w:tc>
      </w:tr>
      <w:tr>
        <w:tc>
          <w:tcPr/>
          <w:p>
            <w:pPr>
              <w:pStyle w:val="Compact"/>
              <w:jc w:val="left"/>
            </w:pPr>
            <w:r>
              <w:t xml:space="preserve">Nov 18, ~2:17–4:45 a.m.</w:t>
            </w:r>
          </w:p>
        </w:tc>
        <w:tc>
          <w:tcPr/>
          <w:p>
            <w:pPr>
              <w:pStyle w:val="Compact"/>
              <w:jc w:val="left"/>
            </w:pPr>
            <w:r>
              <w:t xml:space="preserve">LockStar 3.0 ransomware deployed across 347 endpoints (Phase 2)</w:t>
            </w:r>
          </w:p>
        </w:tc>
        <w:tc>
          <w:tcPr/>
          <w:p>
            <w:pPr>
              <w:pStyle w:val="Compact"/>
              <w:jc w:val="left"/>
            </w:pPr>
            <w:r>
              <w:t xml:space="preserve">Threat Actor</w:t>
            </w:r>
          </w:p>
        </w:tc>
      </w:tr>
      <w:tr>
        <w:tc>
          <w:tcPr/>
          <w:p>
            <w:pPr>
              <w:pStyle w:val="Compact"/>
              <w:jc w:val="left"/>
            </w:pPr>
            <w:r>
              <w:t xml:space="preserve">Nov 18, 4:50 a.m.</w:t>
            </w:r>
          </w:p>
        </w:tc>
        <w:tc>
          <w:tcPr/>
          <w:p>
            <w:pPr>
              <w:pStyle w:val="Compact"/>
              <w:jc w:val="left"/>
            </w:pPr>
            <w:r>
              <w:t xml:space="preserve">Ransom note discovered (45 BTC; ~$2,029,500)</w:t>
            </w:r>
          </w:p>
        </w:tc>
        <w:tc>
          <w:tcPr/>
          <w:p>
            <w:pPr>
              <w:pStyle w:val="Compact"/>
              <w:jc w:val="left"/>
            </w:pPr>
            <w:r>
              <w:t xml:space="preserve">IT Security</w:t>
            </w:r>
          </w:p>
        </w:tc>
      </w:tr>
      <w:tr>
        <w:tc>
          <w:tcPr/>
          <w:p>
            <w:pPr>
              <w:pStyle w:val="Compact"/>
              <w:jc w:val="left"/>
            </w:pPr>
            <w:r>
              <w:t xml:space="preserve">Nov 18, 5:00 a.m.</w:t>
            </w:r>
          </w:p>
        </w:tc>
        <w:tc>
          <w:tcPr/>
          <w:p>
            <w:pPr>
              <w:pStyle w:val="Compact"/>
              <w:jc w:val="left"/>
            </w:pPr>
            <w:r>
              <w:t xml:space="preserve">IRT activated, Tier 3 classification</w:t>
            </w:r>
          </w:p>
        </w:tc>
        <w:tc>
          <w:tcPr/>
          <w:p>
            <w:pPr>
              <w:pStyle w:val="Compact"/>
              <w:jc w:val="left"/>
            </w:pPr>
            <w:r>
              <w:t xml:space="preserve">Derek Fong (CISO)</w:t>
            </w:r>
          </w:p>
        </w:tc>
      </w:tr>
      <w:tr>
        <w:tc>
          <w:tcPr/>
          <w:p>
            <w:pPr>
              <w:pStyle w:val="Compact"/>
              <w:jc w:val="left"/>
            </w:pPr>
            <w:r>
              <w:t xml:space="preserve">Nov 18, 5:15 a.m.</w:t>
            </w:r>
          </w:p>
        </w:tc>
        <w:tc>
          <w:tcPr/>
          <w:p>
            <w:pPr>
              <w:pStyle w:val="Compact"/>
              <w:jc w:val="left"/>
            </w:pPr>
            <w:r>
              <w:t xml:space="preserve">Compromised VPN credential disabled; all third-party VPN suspended</w:t>
            </w:r>
          </w:p>
        </w:tc>
        <w:tc>
          <w:tcPr/>
          <w:p>
            <w:pPr>
              <w:pStyle w:val="Compact"/>
              <w:jc w:val="left"/>
            </w:pPr>
            <w:r>
              <w:t xml:space="preserve">IT Security</w:t>
            </w:r>
          </w:p>
        </w:tc>
      </w:tr>
      <w:tr>
        <w:tc>
          <w:tcPr/>
          <w:p>
            <w:pPr>
              <w:pStyle w:val="Compact"/>
              <w:jc w:val="left"/>
            </w:pPr>
            <w:r>
              <w:t xml:space="preserve">Nov 18, 7:00 a.m.</w:t>
            </w:r>
          </w:p>
        </w:tc>
        <w:tc>
          <w:tcPr/>
          <w:p>
            <w:pPr>
              <w:pStyle w:val="Compact"/>
              <w:jc w:val="left"/>
            </w:pPr>
            <w:r>
              <w:t xml:space="preserve">Network segmentation of affected ERP segments</w:t>
            </w:r>
          </w:p>
        </w:tc>
        <w:tc>
          <w:tcPr/>
          <w:p>
            <w:pPr>
              <w:pStyle w:val="Compact"/>
              <w:jc w:val="left"/>
            </w:pPr>
            <w:r>
              <w:t xml:space="preserve">IT Infrastructure</w:t>
            </w:r>
          </w:p>
        </w:tc>
      </w:tr>
      <w:tr>
        <w:tc>
          <w:tcPr/>
          <w:p>
            <w:pPr>
              <w:pStyle w:val="Compact"/>
              <w:jc w:val="left"/>
            </w:pPr>
            <w:r>
              <w:t xml:space="preserve">Nov 18, 11:00 a.m.</w:t>
            </w:r>
          </w:p>
        </w:tc>
        <w:tc>
          <w:tcPr/>
          <w:p>
            <w:pPr>
              <w:pStyle w:val="Compact"/>
              <w:jc w:val="left"/>
            </w:pPr>
            <w:r>
              <w:t xml:space="preserve">CTO verbally informed</w:t>
            </w:r>
          </w:p>
        </w:tc>
        <w:tc>
          <w:tcPr/>
          <w:p>
            <w:pPr>
              <w:pStyle w:val="Compact"/>
              <w:jc w:val="left"/>
            </w:pPr>
            <w:r>
              <w:t xml:space="preserve">Derek Fong (CISO)</w:t>
            </w:r>
          </w:p>
        </w:tc>
      </w:tr>
      <w:tr>
        <w:tc>
          <w:tcPr/>
          <w:p>
            <w:pPr>
              <w:pStyle w:val="Compact"/>
              <w:jc w:val="left"/>
            </w:pPr>
            <w:r>
              <w:t xml:space="preserve">Nov 19</w:t>
            </w:r>
          </w:p>
        </w:tc>
        <w:tc>
          <w:tcPr/>
          <w:p>
            <w:pPr>
              <w:pStyle w:val="Compact"/>
              <w:jc w:val="left"/>
            </w:pPr>
            <w:r>
              <w:t xml:space="preserve">Thorngate retained (60-day engagement; prelim. findings due Dec 20); Assoc. GC learns informally;</w:t>
            </w:r>
            <w:r>
              <w:t xml:space="preserve"> </w:t>
            </w:r>
            <w:r>
              <w:rPr>
                <w:b/>
                <w:bCs/>
              </w:rPr>
              <w:t xml:space="preserve">GC not informed (traveling)</w:t>
            </w:r>
          </w:p>
        </w:tc>
        <w:tc>
          <w:tcPr/>
          <w:p>
            <w:pPr>
              <w:pStyle w:val="Compact"/>
              <w:jc w:val="left"/>
            </w:pPr>
            <w:r>
              <w:t xml:space="preserve">CISO / IT</w:t>
            </w:r>
          </w:p>
        </w:tc>
      </w:tr>
      <w:tr>
        <w:tc>
          <w:tcPr/>
          <w:p>
            <w:pPr>
              <w:pStyle w:val="Compact"/>
              <w:jc w:val="left"/>
            </w:pPr>
            <w:r>
              <w:t xml:space="preserve">Nov 20</w:t>
            </w:r>
          </w:p>
        </w:tc>
        <w:tc>
          <w:tcPr/>
          <w:p>
            <w:pPr>
              <w:pStyle w:val="Compact"/>
              <w:jc w:val="left"/>
            </w:pPr>
            <w:r>
              <w:t xml:space="preserve">GC informed upon return; FBI IC3 contacted; Hollister Marsh LLP engaged</w:t>
            </w:r>
          </w:p>
        </w:tc>
        <w:tc>
          <w:tcPr/>
          <w:p>
            <w:pPr>
              <w:pStyle w:val="Compact"/>
              <w:jc w:val="left"/>
            </w:pPr>
            <w:r>
              <w:t xml:space="preserve">Priya Raghavan (GC)</w:t>
            </w:r>
          </w:p>
        </w:tc>
      </w:tr>
      <w:tr>
        <w:tc>
          <w:tcPr/>
          <w:p>
            <w:pPr>
              <w:pStyle w:val="Compact"/>
              <w:jc w:val="left"/>
            </w:pPr>
            <w:r>
              <w:t xml:space="preserve">Nov 21</w:t>
            </w:r>
          </w:p>
        </w:tc>
        <w:tc>
          <w:tcPr/>
          <w:p>
            <w:pPr>
              <w:pStyle w:val="Compact"/>
              <w:jc w:val="left"/>
            </w:pPr>
            <w:r>
              <w:t xml:space="preserve">Ridgeline Insurance notified (~73 hrs; policy requires 72) — rights reserved</w:t>
            </w:r>
          </w:p>
        </w:tc>
        <w:tc>
          <w:tcPr/>
          <w:p>
            <w:pPr>
              <w:pStyle w:val="Compact"/>
              <w:jc w:val="left"/>
            </w:pPr>
            <w:r>
              <w:t xml:space="preserve">GC / IRT</w:t>
            </w:r>
          </w:p>
        </w:tc>
      </w:tr>
      <w:tr>
        <w:tc>
          <w:tcPr/>
          <w:p>
            <w:pPr>
              <w:pStyle w:val="Compact"/>
              <w:jc w:val="left"/>
            </w:pPr>
            <w:r>
              <w:t xml:space="preserve">Nov 25</w:t>
            </w:r>
          </w:p>
        </w:tc>
        <w:tc>
          <w:tcPr/>
          <w:p>
            <w:pPr>
              <w:pStyle w:val="Compact"/>
              <w:jc w:val="left"/>
            </w:pPr>
            <w:r>
              <w:t xml:space="preserve">CEO briefed (Day 7)</w:t>
            </w:r>
          </w:p>
        </w:tc>
        <w:tc>
          <w:tcPr/>
          <w:p>
            <w:pPr>
              <w:pStyle w:val="Compact"/>
              <w:jc w:val="left"/>
            </w:pPr>
            <w:r>
              <w:t xml:space="preserve">CISO / CTO</w:t>
            </w:r>
          </w:p>
        </w:tc>
      </w:tr>
      <w:tr>
        <w:tc>
          <w:tcPr/>
          <w:p>
            <w:pPr>
              <w:pStyle w:val="Compact"/>
              <w:jc w:val="left"/>
            </w:pPr>
            <w:r>
              <w:t xml:space="preserve">Dec 1</w:t>
            </w:r>
          </w:p>
        </w:tc>
        <w:tc>
          <w:tcPr/>
          <w:p>
            <w:pPr>
              <w:pStyle w:val="Compact"/>
              <w:jc w:val="left"/>
            </w:pPr>
            <w:r>
              <w:t xml:space="preserve">Thorngate interim report: customer banking data (ACH), PII, pricing exfiltrated (high confidence)</w:t>
            </w:r>
          </w:p>
        </w:tc>
        <w:tc>
          <w:tcPr/>
          <w:p>
            <w:pPr>
              <w:pStyle w:val="Compact"/>
              <w:jc w:val="left"/>
            </w:pPr>
            <w:r>
              <w:t xml:space="preserve">Thorngate</w:t>
            </w:r>
          </w:p>
        </w:tc>
      </w:tr>
      <w:tr>
        <w:tc>
          <w:tcPr/>
          <w:p>
            <w:pPr>
              <w:pStyle w:val="Compact"/>
              <w:jc w:val="left"/>
            </w:pPr>
            <w:r>
              <w:t xml:space="preserve">Dec 3</w:t>
            </w:r>
          </w:p>
        </w:tc>
        <w:tc>
          <w:tcPr/>
          <w:p>
            <w:pPr>
              <w:pStyle w:val="Compact"/>
              <w:jc w:val="left"/>
            </w:pPr>
            <w:r>
              <w:t xml:space="preserve">Audit Committee Chair emailed — first Board-level notice (Day 15)</w:t>
            </w:r>
          </w:p>
        </w:tc>
        <w:tc>
          <w:tcPr/>
          <w:p>
            <w:pPr>
              <w:pStyle w:val="Compact"/>
              <w:jc w:val="left"/>
            </w:pPr>
            <w:r>
              <w:t xml:space="preserve">Priya Raghavan (GC)</w:t>
            </w:r>
          </w:p>
        </w:tc>
      </w:tr>
      <w:tr>
        <w:tc>
          <w:tcPr/>
          <w:p>
            <w:pPr>
              <w:pStyle w:val="Compact"/>
              <w:jc w:val="left"/>
            </w:pPr>
            <w:r>
              <w:t xml:space="preserve">Dec 5</w:t>
            </w:r>
          </w:p>
        </w:tc>
        <w:tc>
          <w:tcPr/>
          <w:p>
            <w:pPr>
              <w:pStyle w:val="Compact"/>
              <w:jc w:val="left"/>
            </w:pPr>
            <w:r>
              <w:t xml:space="preserve">CISO status report; no 8-K; no materiality determination; no customer/state/GDPR notices</w:t>
            </w:r>
          </w:p>
        </w:tc>
        <w:tc>
          <w:tcPr/>
          <w:p>
            <w:pPr>
              <w:pStyle w:val="Compact"/>
              <w:jc w:val="left"/>
            </w:pPr>
            <w:r>
              <w:t xml:space="preserve">CISO</w:t>
            </w:r>
          </w:p>
        </w:tc>
      </w:tr>
      <w:tr>
        <w:tc>
          <w:tcPr/>
          <w:p>
            <w:pPr>
              <w:pStyle w:val="Compact"/>
              <w:jc w:val="left"/>
            </w:pPr>
            <w:r>
              <w:t xml:space="preserve">Dec 20 (expected)</w:t>
            </w:r>
          </w:p>
        </w:tc>
        <w:tc>
          <w:tcPr/>
          <w:p>
            <w:pPr>
              <w:pStyle w:val="Compact"/>
              <w:jc w:val="left"/>
            </w:pPr>
            <w:r>
              <w:t xml:space="preserve">Thorngate preliminary findings report</w:t>
            </w:r>
          </w:p>
        </w:tc>
        <w:tc>
          <w:tcPr/>
          <w:p>
            <w:pPr>
              <w:pStyle w:val="Compact"/>
              <w:jc w:val="left"/>
            </w:pPr>
            <w:r>
              <w:t xml:space="preserve">Thorngate</w:t>
            </w:r>
          </w:p>
        </w:tc>
      </w:tr>
      <w:tr>
        <w:tc>
          <w:tcPr/>
          <w:p>
            <w:pPr>
              <w:pStyle w:val="Compact"/>
              <w:jc w:val="left"/>
            </w:pPr>
            <w:r>
              <w:t xml:space="preserve">Jan 22, 2025</w:t>
            </w:r>
          </w:p>
        </w:tc>
        <w:tc>
          <w:tcPr/>
          <w:p>
            <w:pPr>
              <w:pStyle w:val="Compact"/>
              <w:jc w:val="left"/>
            </w:pPr>
            <w:r>
              <w:t xml:space="preserve">Next regularly scheduled Audit Committee meeting</w:t>
            </w:r>
          </w:p>
        </w:tc>
        <w:tc>
          <w:tcPr/>
          <w:p>
            <w:pPr>
              <w:pStyle w:val="Compact"/>
              <w:jc w:val="left"/>
            </w:pPr>
            <w:r>
              <w:t xml:space="preserve">Audit Committee</w:t>
            </w:r>
          </w:p>
        </w:tc>
      </w:tr>
    </w:tbl>
    <w:bookmarkEnd w:id="55"/>
    <w:bookmarkStart w:id="56" w:name="X4fbdbc444645b88a49237daf054dfda5da9a20b"/>
    <w:p>
      <w:pPr>
        <w:pStyle w:val="Heading2"/>
      </w:pPr>
      <w:r>
        <w:t xml:space="preserve">Appendix B — Customer Contract Notification Obligations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Harmon Defense Solutions (§9.4–9.5)</w:t>
            </w:r>
          </w:p>
        </w:tc>
        <w:tc>
          <w:tcPr/>
          <w:p>
            <w:pPr>
              <w:pStyle w:val="Compact"/>
              <w:jc w:val="left"/>
            </w:pPr>
            <w:r>
              <w:t xml:space="preserve">Crestfield Aerospace (§12.2–12.3)</w:t>
            </w:r>
          </w:p>
        </w:tc>
        <w:tc>
          <w:tcPr/>
          <w:p>
            <w:pPr>
              <w:pStyle w:val="Compact"/>
              <w:jc w:val="left"/>
            </w:pPr>
            <w:r>
              <w:t xml:space="preserve">Nexagen Manufacturing (§7.8–7.9)</w:t>
            </w:r>
          </w:p>
        </w:tc>
      </w:tr>
      <w:tr>
        <w:tc>
          <w:tcPr/>
          <w:p>
            <w:pPr>
              <w:pStyle w:val="Compact"/>
              <w:jc w:val="left"/>
            </w:pPr>
            <w:r>
              <w:t xml:space="preserve">Notification deadline</w:t>
            </w:r>
          </w:p>
        </w:tc>
        <w:tc>
          <w:tcPr/>
          <w:p>
            <w:pPr>
              <w:pStyle w:val="Compact"/>
              <w:jc w:val="left"/>
            </w:pPr>
            <w:r>
              <w:t xml:space="preserve">48 hours from discovery</w:t>
            </w:r>
          </w:p>
        </w:tc>
        <w:tc>
          <w:tcPr/>
          <w:p>
            <w:pPr>
              <w:pStyle w:val="Compact"/>
              <w:jc w:val="left"/>
            </w:pPr>
            <w:r>
              <w:t xml:space="preserve">48 hours from discovery</w:t>
            </w:r>
          </w:p>
        </w:tc>
        <w:tc>
          <w:tcPr/>
          <w:p>
            <w:pPr>
              <w:pStyle w:val="Compact"/>
              <w:jc w:val="left"/>
            </w:pPr>
            <w:r>
              <w:t xml:space="preserve">48 hours from discovery or suspicion</w:t>
            </w:r>
          </w:p>
        </w:tc>
      </w:tr>
      <w:tr>
        <w:tc>
          <w:tcPr/>
          <w:p>
            <w:pPr>
              <w:pStyle w:val="Compact"/>
              <w:jc w:val="left"/>
            </w:pPr>
            <w:r>
              <w:t xml:space="preserve">Notification trigger</w:t>
            </w:r>
          </w:p>
        </w:tc>
        <w:tc>
          <w:tcPr/>
          <w:p>
            <w:pPr>
              <w:pStyle w:val="Compact"/>
              <w:jc w:val="left"/>
            </w:pPr>
            <w:r>
              <w:t xml:space="preserve">Security Incident affecting Harmon Data</w:t>
            </w:r>
          </w:p>
        </w:tc>
        <w:tc>
          <w:tcPr/>
          <w:p>
            <w:pPr>
              <w:pStyle w:val="Compact"/>
              <w:jc w:val="left"/>
            </w:pPr>
            <w:r>
              <w:t xml:space="preserve">Cybersecurity Event affecting Crestfield Confidential Information</w:t>
            </w:r>
          </w:p>
        </w:tc>
        <w:tc>
          <w:tcPr/>
          <w:p>
            <w:pPr>
              <w:pStyle w:val="Compact"/>
              <w:jc w:val="left"/>
            </w:pPr>
            <w:r>
              <w:t xml:space="preserve">Confirmed or suspected Security Breach</w:t>
            </w:r>
          </w:p>
        </w:tc>
      </w:tr>
      <w:tr>
        <w:tc>
          <w:tcPr/>
          <w:p>
            <w:pPr>
              <w:pStyle w:val="Compact"/>
              <w:jc w:val="left"/>
            </w:pPr>
            <w:r>
              <w:t xml:space="preserve">Liquidated damages</w:t>
            </w:r>
          </w:p>
        </w:tc>
        <w:tc>
          <w:tcPr/>
          <w:p>
            <w:pPr>
              <w:pStyle w:val="Compact"/>
              <w:jc w:val="left"/>
            </w:pPr>
            <w:r>
              <w:t xml:space="preserve">$500,000 per incident</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Termination right</w:t>
            </w:r>
          </w:p>
        </w:tc>
        <w:tc>
          <w:tcPr/>
          <w:p>
            <w:pPr>
              <w:pStyle w:val="Compact"/>
              <w:jc w:val="left"/>
            </w:pPr>
            <w:r>
              <w:t xml:space="preserve">30 days’ notice</w:t>
            </w:r>
          </w:p>
        </w:tc>
        <w:tc>
          <w:tcPr/>
          <w:p>
            <w:pPr>
              <w:pStyle w:val="Compact"/>
              <w:jc w:val="left"/>
            </w:pPr>
            <w:r>
              <w:t xml:space="preserve">Immediate</w:t>
            </w:r>
          </w:p>
        </w:tc>
        <w:tc>
          <w:tcPr/>
          <w:p>
            <w:pPr>
              <w:pStyle w:val="Compact"/>
              <w:jc w:val="left"/>
            </w:pPr>
            <w:r>
              <w:t xml:space="preserve">15 days (immediate if security-standards failure)</w:t>
            </w:r>
          </w:p>
        </w:tc>
      </w:tr>
      <w:tr>
        <w:tc>
          <w:tcPr/>
          <w:p>
            <w:pPr>
              <w:pStyle w:val="Compact"/>
              <w:jc w:val="left"/>
            </w:pPr>
            <w:r>
              <w:t xml:space="preserve">Payment suspension</w:t>
            </w:r>
          </w:p>
        </w:tc>
        <w:tc>
          <w:tcPr/>
          <w:p>
            <w:pPr>
              <w:pStyle w:val="Compact"/>
              <w:jc w:val="left"/>
            </w:pPr>
            <w:r>
              <w:t xml:space="preserve">Not specified</w:t>
            </w:r>
          </w:p>
        </w:tc>
        <w:tc>
          <w:tcPr/>
          <w:p>
            <w:pPr>
              <w:pStyle w:val="Compact"/>
              <w:jc w:val="left"/>
            </w:pPr>
            <w:r>
              <w:t xml:space="preserve">Yes, pending investigation</w:t>
            </w:r>
          </w:p>
        </w:tc>
        <w:tc>
          <w:tcPr/>
          <w:p>
            <w:pPr>
              <w:pStyle w:val="Compact"/>
              <w:jc w:val="left"/>
            </w:pPr>
            <w:r>
              <w:t xml:space="preserve">Not specified</w:t>
            </w:r>
          </w:p>
        </w:tc>
      </w:tr>
      <w:tr>
        <w:tc>
          <w:tcPr/>
          <w:p>
            <w:pPr>
              <w:pStyle w:val="Compact"/>
              <w:jc w:val="left"/>
            </w:pPr>
            <w:r>
              <w:t xml:space="preserve">Audit right</w:t>
            </w:r>
          </w:p>
        </w:tc>
        <w:tc>
          <w:tcPr/>
          <w:p>
            <w:pPr>
              <w:pStyle w:val="Compact"/>
              <w:jc w:val="left"/>
            </w:pPr>
            <w:r>
              <w:t xml:space="preserve">Not specified</w:t>
            </w:r>
          </w:p>
        </w:tc>
        <w:tc>
          <w:tcPr/>
          <w:p>
            <w:pPr>
              <w:pStyle w:val="Compact"/>
              <w:jc w:val="left"/>
            </w:pPr>
            <w:r>
              <w:t xml:space="preserve">12 months post-incident, at Vantage’s expense</w:t>
            </w:r>
          </w:p>
        </w:tc>
        <w:tc>
          <w:tcPr/>
          <w:p>
            <w:pPr>
              <w:pStyle w:val="Compact"/>
              <w:jc w:val="left"/>
            </w:pPr>
            <w:r>
              <w:t xml:space="preserve">Not specified</w:t>
            </w:r>
          </w:p>
        </w:tc>
      </w:tr>
      <w:tr>
        <w:tc>
          <w:tcPr/>
          <w:p>
            <w:pPr>
              <w:pStyle w:val="Compact"/>
              <w:jc w:val="left"/>
            </w:pPr>
            <w:r>
              <w:t xml:space="preserve">Forensic report sharing</w:t>
            </w:r>
          </w:p>
        </w:tc>
        <w:tc>
          <w:tcPr/>
          <w:p>
            <w:pPr>
              <w:pStyle w:val="Compact"/>
              <w:jc w:val="left"/>
            </w:pPr>
            <w:r>
              <w:t xml:space="preserve">Not specified</w:t>
            </w:r>
          </w:p>
        </w:tc>
        <w:tc>
          <w:tcPr/>
          <w:p>
            <w:pPr>
              <w:pStyle w:val="Compact"/>
              <w:jc w:val="left"/>
            </w:pPr>
            <w:r>
              <w:t xml:space="preserve">Required within 30 days of investigation conclusion</w:t>
            </w:r>
          </w:p>
        </w:tc>
        <w:tc>
          <w:tcPr/>
          <w:p>
            <w:pPr>
              <w:pStyle w:val="Compact"/>
              <w:jc w:val="left"/>
            </w:pPr>
            <w:r>
              <w:t xml:space="preserve">Preliminary within 5 business days; final within 60 days</w:t>
            </w:r>
          </w:p>
        </w:tc>
      </w:tr>
      <w:tr>
        <w:tc>
          <w:tcPr/>
          <w:p>
            <w:pPr>
              <w:pStyle w:val="Compact"/>
              <w:jc w:val="left"/>
            </w:pPr>
            <w:r>
              <w:t xml:space="preserve">Future-business exclusion</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Up to 24 months</w:t>
            </w:r>
          </w:p>
        </w:tc>
      </w:tr>
      <w:tr>
        <w:tc>
          <w:tcPr/>
          <w:p>
            <w:pPr>
              <w:pStyle w:val="Compact"/>
              <w:jc w:val="left"/>
            </w:pPr>
            <w:r>
              <w:t xml:space="preserve">Insurance requirement</w:t>
            </w:r>
          </w:p>
        </w:tc>
        <w:tc>
          <w:tcPr/>
          <w:p>
            <w:pPr>
              <w:pStyle w:val="Compact"/>
              <w:jc w:val="left"/>
            </w:pPr>
            <w:r>
              <w:t xml:space="preserve">Not specified</w:t>
            </w:r>
          </w:p>
        </w:tc>
        <w:tc>
          <w:tcPr/>
          <w:p>
            <w:pPr>
              <w:pStyle w:val="Compact"/>
              <w:jc w:val="left"/>
            </w:pPr>
            <w:r>
              <w:t xml:space="preserve">$10M minimum per occurrence</w:t>
            </w:r>
          </w:p>
        </w:tc>
        <w:tc>
          <w:tcPr/>
          <w:p>
            <w:pPr>
              <w:pStyle w:val="Compact"/>
              <w:jc w:val="left"/>
            </w:pPr>
            <w:r>
              <w:t xml:space="preserve">Not specified</w:t>
            </w:r>
          </w:p>
        </w:tc>
      </w:tr>
      <w:tr>
        <w:tc>
          <w:tcPr/>
          <w:p>
            <w:pPr>
              <w:pStyle w:val="Compact"/>
              <w:jc w:val="left"/>
            </w:pPr>
            <w:r>
              <w:t xml:space="preserve">Indemnification</w:t>
            </w:r>
          </w:p>
        </w:tc>
        <w:tc>
          <w:tcPr/>
          <w:p>
            <w:pPr>
              <w:pStyle w:val="Compact"/>
              <w:jc w:val="left"/>
            </w:pPr>
            <w:r>
              <w:t xml:space="preserve">Full defense + indemnity (incl. regulatory &amp; credit monitoring)</w:t>
            </w:r>
          </w:p>
        </w:tc>
        <w:tc>
          <w:tcPr/>
          <w:p>
            <w:pPr>
              <w:pStyle w:val="Compact"/>
              <w:jc w:val="left"/>
            </w:pPr>
            <w:r>
              <w:t xml:space="preserve">Full defense + indemnity + credit monitoring</w:t>
            </w:r>
          </w:p>
        </w:tc>
        <w:tc>
          <w:tcPr/>
          <w:p>
            <w:pPr>
              <w:pStyle w:val="Compact"/>
              <w:jc w:val="left"/>
            </w:pPr>
            <w:r>
              <w:t xml:space="preserve">Full indemnity + regulatory compliance costs</w:t>
            </w:r>
          </w:p>
        </w:tc>
      </w:tr>
      <w:tr>
        <w:tc>
          <w:tcPr/>
          <w:p>
            <w:pPr>
              <w:pStyle w:val="Compact"/>
              <w:jc w:val="left"/>
            </w:pPr>
            <w:r>
              <w:rPr>
                <w:b/>
                <w:bCs/>
              </w:rPr>
              <w:t xml:space="preserve">Status as of Dec 5, 2024</w:t>
            </w:r>
          </w:p>
        </w:tc>
        <w:tc>
          <w:tcPr/>
          <w:p>
            <w:pPr>
              <w:pStyle w:val="Compact"/>
              <w:jc w:val="left"/>
            </w:pPr>
            <w:r>
              <w:rPr>
                <w:b/>
                <w:bCs/>
              </w:rPr>
              <w:t xml:space="preserve">Not notified; deadline expired ≤ Nov 20</w:t>
            </w:r>
          </w:p>
        </w:tc>
        <w:tc>
          <w:tcPr/>
          <w:p>
            <w:pPr>
              <w:pStyle w:val="Compact"/>
              <w:jc w:val="left"/>
            </w:pPr>
            <w:r>
              <w:rPr>
                <w:b/>
                <w:bCs/>
              </w:rPr>
              <w:t xml:space="preserve">Not notified; deadline expired ≤ Nov 20</w:t>
            </w:r>
          </w:p>
        </w:tc>
        <w:tc>
          <w:tcPr/>
          <w:p>
            <w:pPr>
              <w:pStyle w:val="Compact"/>
              <w:jc w:val="left"/>
            </w:pPr>
            <w:r>
              <w:rPr>
                <w:b/>
                <w:bCs/>
              </w:rPr>
              <w:t xml:space="preserve">Not notified; deadline expired ≤ Nov 20</w:t>
            </w:r>
          </w:p>
        </w:tc>
      </w:tr>
    </w:tbl>
    <w:bookmarkEnd w:id="56"/>
    <w:bookmarkStart w:id="57" w:name="appendix-c-documents-reviewed"/>
    <w:p>
      <w:pPr>
        <w:pStyle w:val="Heading2"/>
      </w:pPr>
      <w:r>
        <w:t xml:space="preserve">Appendix C — Documents Reviewed</w:t>
      </w:r>
    </w:p>
    <w:p>
      <w:pPr>
        <w:pStyle w:val="Compact"/>
        <w:numPr>
          <w:ilvl w:val="0"/>
          <w:numId w:val="1011"/>
        </w:numPr>
      </w:pPr>
      <w:r>
        <w:t xml:space="preserve">Vantage Industrial Technologies, Inc., Form 10-K (FY2023), Part I, Item 1C — Cybersecurity (filed February 28, 2024).</w:t>
      </w:r>
    </w:p>
    <w:p>
      <w:pPr>
        <w:pStyle w:val="Compact"/>
        <w:numPr>
          <w:ilvl w:val="0"/>
          <w:numId w:val="1011"/>
        </w:numPr>
      </w:pPr>
      <w:r>
        <w:t xml:space="preserve">Charter of the Audit Committee of the Board of Directors (as last amended and restated March 15, 2021).</w:t>
      </w:r>
    </w:p>
    <w:p>
      <w:pPr>
        <w:pStyle w:val="Compact"/>
        <w:numPr>
          <w:ilvl w:val="0"/>
          <w:numId w:val="1011"/>
        </w:numPr>
      </w:pPr>
      <w:r>
        <w:t xml:space="preserve">Cybersecurity Incident Response Plan, Version 1.0 (original effective date June 15, 2022; administrative review August 14, 2023).</w:t>
      </w:r>
    </w:p>
    <w:p>
      <w:pPr>
        <w:pStyle w:val="Compact"/>
        <w:numPr>
          <w:ilvl w:val="0"/>
          <w:numId w:val="1011"/>
        </w:numPr>
      </w:pPr>
      <w:r>
        <w:t xml:space="preserve">Thorngate Forensic Solutions, Inc., Interim Status Report, Report No. TFS-2024-IR-0847 (December 1, 2024).</w:t>
      </w:r>
    </w:p>
    <w:p>
      <w:pPr>
        <w:pStyle w:val="Compact"/>
        <w:numPr>
          <w:ilvl w:val="0"/>
          <w:numId w:val="1011"/>
        </w:numPr>
      </w:pPr>
      <w:r>
        <w:t xml:space="preserve">Cybersecurity Incident Status Report, Incident INC-2024-0047 (December 5, 2024).</w:t>
      </w:r>
    </w:p>
    <w:p>
      <w:pPr>
        <w:pStyle w:val="Compact"/>
        <w:numPr>
          <w:ilvl w:val="0"/>
          <w:numId w:val="1011"/>
        </w:numPr>
      </w:pPr>
      <w:r>
        <w:t xml:space="preserve">Email from Priya Raghavan, General Counsel, to Dr. Helen Ostrowski, Audit Committee Chair (December 3, 2024).</w:t>
      </w:r>
    </w:p>
    <w:p>
      <w:pPr>
        <w:pStyle w:val="Compact"/>
        <w:numPr>
          <w:ilvl w:val="0"/>
          <w:numId w:val="1011"/>
        </w:numPr>
      </w:pPr>
      <w:r>
        <w:t xml:space="preserve">Ridgeline Insurance Group, Cyber Liability Insurance Policy Summary of Material Terms, Policy No. CYB-2024-08871 (March 2024).</w:t>
      </w:r>
    </w:p>
    <w:p>
      <w:pPr>
        <w:pStyle w:val="Compact"/>
        <w:numPr>
          <w:ilvl w:val="0"/>
          <w:numId w:val="1011"/>
        </w:numPr>
      </w:pPr>
      <w:r>
        <w:t xml:space="preserve">Extracted Cybersecurity and Data Protection Provisions — Customer Master Agreements (Harmon Defense Solutions, Crestfield Aerospace, Nexagen Manufacturing), prepared by the Office of the General Counsel (December 5, 2024).</w:t>
      </w:r>
    </w:p>
    <w:p>
      <w:r>
        <w:pict>
          <v:rect style="width:0;height:1.5pt" o:hralign="center" o:hrstd="t" o:hr="t"/>
        </w:pict>
      </w:r>
    </w:p>
    <w:p>
      <w:pPr>
        <w:pStyle w:val="FirstParagraph"/>
      </w:pPr>
      <w:r>
        <w:rPr>
          <w:i/>
          <w:iCs/>
        </w:rPr>
        <w:t xml:space="preserve">PRIVILEGED &amp; CONFIDENTIAL — ATTORNEY-CLIENT PRIVILEGE / ATTORNEY WORK PRODUCT. Prepared at the direction of counsel in anticipation of litigation and for the purpose of providing legal advice. Do not distribute outside the Office of the General Counsel and the Audit Committee without prior authorization.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2026-06-29T00:34:57Z</dcterms:created>
  <dcterms:modified xsi:type="dcterms:W3CDTF">2026-06-29T00:34:57Z</dcterms:modified>
</cp:coreProperties>
</file>

<file path=docProps/custom.xml><?xml version="1.0" encoding="utf-8"?>
<Properties xmlns="http://schemas.openxmlformats.org/officeDocument/2006/custom-properties" xmlns:vt="http://schemas.openxmlformats.org/officeDocument/2006/docPropsVTypes"/>
</file>