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artwell-cabot-llp"/>
    <w:p>
      <w:pPr>
        <w:pStyle w:val="Heading1"/>
      </w:pPr>
      <w:r>
        <w:t xml:space="preserve">HARTWELL &amp; CABOT LLP</w:t>
      </w:r>
    </w:p>
    <w:bookmarkStart w:id="20" w:name="attorneys-at-law"/>
    <w:p>
      <w:pPr>
        <w:pStyle w:val="Heading2"/>
      </w:pPr>
      <w:r>
        <w:t xml:space="preserve">Attorneys at Law</w:t>
      </w:r>
    </w:p>
    <w:p>
      <w:pPr>
        <w:pStyle w:val="FirstParagraph"/>
      </w:pPr>
      <w:r>
        <w:rPr>
          <w:b/>
          <w:bCs/>
        </w:rPr>
        <w:t xml:space="preserve">One Gateway Center, Suite 2400, Newark, New Jersey 07102 | Tel (973) 555-8100</w:t>
      </w:r>
      <w:r>
        <w:t xml:space="preserve"> </w:t>
      </w:r>
      <w:r>
        <w:rPr>
          <w:b/>
          <w:bCs/>
        </w:rPr>
        <w:t xml:space="preserve">225 Franklin Street, 18th Floor, Boston, Massachusetts 02110 | Tel (617) 555-4200</w:t>
      </w:r>
    </w:p>
    <w:p>
      <w:r>
        <w:pict>
          <v:rect style="width:0;height:1.5pt" o:hralign="center" o:hrstd="t" o:hr="t"/>
        </w:pict>
      </w:r>
    </w:p>
    <w:p>
      <w:pPr>
        <w:pStyle w:val="FirstParagraph"/>
      </w:pPr>
      <w:r>
        <w:rPr>
          <w:b/>
          <w:bCs/>
        </w:rPr>
        <w:t xml:space="preserve">PRIVILEGED &amp; CONFIDENTIAL | ATTORNEY-CLIENT COMMUNICATION | ATTORNEY WORK PRODUCT</w:t>
      </w:r>
    </w:p>
    <w:p>
      <w:pPr>
        <w:pStyle w:val="BodyText"/>
      </w:pPr>
      <w:r>
        <w:t xml:space="preserve">Prepared at the request of, and for the purpose of rendering legal advice to, Rebecca Thorsen, SVP &amp; General Counsel, Vantage Logistics Group, Inc. Distribution is limited to authorized personnel. Do not forward to third-party vendors (including PinnacleHR Solutions, Inc. and Keystone Benefit Administrators) without first consulting Hartwell &amp; Cabot LLP; non-privileged summaries may be prepared for vendor distribution upon request.</w:t>
      </w:r>
    </w:p>
    <w:p>
      <w:r>
        <w:pict>
          <v:rect style="width:0;height:1.5pt" o:hralign="center" o:hrstd="t" o:hr="t"/>
        </w:pict>
      </w:r>
    </w:p>
    <w:bookmarkEnd w:id="20"/>
    <w:bookmarkEnd w:id="21"/>
    <w:bookmarkStart w:id="58"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Rebecca Thorsen, Esq., Senior Vice President &amp; General Counsel, Vantage Logistics Group, Inc.</w:t>
            </w:r>
          </w:p>
        </w:tc>
      </w:tr>
      <w:tr>
        <w:tc>
          <w:tcPr/>
          <w:p>
            <w:pPr>
              <w:pStyle w:val="Compact"/>
              <w:jc w:val="left"/>
            </w:pPr>
            <w:r>
              <w:rPr>
                <w:b/>
                <w:bCs/>
              </w:rPr>
              <w:t xml:space="preserve">FROM:</w:t>
            </w:r>
          </w:p>
        </w:tc>
        <w:tc>
          <w:tcPr/>
          <w:p>
            <w:pPr>
              <w:pStyle w:val="Compact"/>
              <w:jc w:val="left"/>
            </w:pPr>
            <w:r>
              <w:t xml:space="preserve">Daniel Ikeda, Senior Associate; Catherine Ng, Partner (supervising)</w:t>
            </w:r>
          </w:p>
        </w:tc>
      </w:tr>
      <w:tr>
        <w:tc>
          <w:tcPr/>
          <w:p>
            <w:pPr>
              <w:pStyle w:val="Compact"/>
              <w:jc w:val="left"/>
            </w:pPr>
            <w:r>
              <w:rPr>
                <w:b/>
                <w:bCs/>
              </w:rPr>
              <w:t xml:space="preserve">DATE:</w:t>
            </w:r>
          </w:p>
        </w:tc>
        <w:tc>
          <w:tcPr/>
          <w:p>
            <w:pPr>
              <w:pStyle w:val="Compact"/>
              <w:jc w:val="left"/>
            </w:pPr>
            <w:r>
              <w:t xml:space="preserve">May 19, 2025</w:t>
            </w:r>
          </w:p>
        </w:tc>
      </w:tr>
      <w:tr>
        <w:tc>
          <w:tcPr/>
          <w:p>
            <w:pPr>
              <w:pStyle w:val="Compact"/>
              <w:jc w:val="left"/>
            </w:pPr>
            <w:r>
              <w:rPr>
                <w:b/>
                <w:bCs/>
              </w:rPr>
              <w:t xml:space="preserve">RE:</w:t>
            </w:r>
          </w:p>
        </w:tc>
        <w:tc>
          <w:tcPr/>
          <w:p>
            <w:pPr>
              <w:pStyle w:val="Compact"/>
              <w:jc w:val="left"/>
            </w:pPr>
            <w:r>
              <w:t xml:space="preserve">Multi-State Paid Leave Compliance Review — Gap Analysis and Prioritized Remediation Plan (Seven Jurisdictions)</w:t>
            </w:r>
          </w:p>
        </w:tc>
      </w:tr>
      <w:tr>
        <w:tc>
          <w:tcPr/>
          <w:p>
            <w:pPr>
              <w:pStyle w:val="Compact"/>
              <w:jc w:val="left"/>
            </w:pPr>
            <w:r>
              <w:rPr>
                <w:b/>
                <w:bCs/>
              </w:rPr>
              <w:t xml:space="preserve">MATTER:</w:t>
            </w:r>
          </w:p>
        </w:tc>
        <w:tc>
          <w:tcPr/>
          <w:p>
            <w:pPr>
              <w:pStyle w:val="Compact"/>
              <w:jc w:val="left"/>
            </w:pPr>
            <w:r>
              <w:t xml:space="preserve">Vantage Logistics Group, Inc. — Multi-State Paid Leave Compliance Review (Engagement Letter dated April 14, 2025)</w:t>
            </w:r>
          </w:p>
        </w:tc>
      </w:tr>
    </w:tbl>
    <w:p>
      <w:r>
        <w:pict>
          <v:rect style="width:0;height:1.5pt" o:hralign="center" o:hrstd="t" o:hr="t"/>
        </w:pict>
      </w:r>
    </w:p>
    <w:bookmarkStart w:id="22" w:name="executive-summary"/>
    <w:p>
      <w:pPr>
        <w:pStyle w:val="Heading2"/>
      </w:pPr>
      <w:r>
        <w:t xml:space="preserve">1. Executive Summary</w:t>
      </w:r>
    </w:p>
    <w:p>
      <w:pPr>
        <w:pStyle w:val="FirstParagraph"/>
      </w:pPr>
      <w:r>
        <w:t xml:space="preserve">Hartwell &amp; Cabot LLP (</w:t>
      </w:r>
      <w:r>
        <w:t xml:space="preserve">“</w:t>
      </w:r>
      <w:r>
        <w:t xml:space="preserve">H&amp;C</w:t>
      </w:r>
      <w:r>
        <w:t xml:space="preserve">”</w:t>
      </w:r>
      <w:r>
        <w:t xml:space="preserve">) has completed the multi-state paid leave compliance review of Vantage Logistics Group,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across the seven jurisdictions in which the Company operates or plans to operate: New Jersey, New York, and Connecticut (current operations), and Massachusetts, Colorado, Oregon, and Washington (planned expansion). This memorandum accompanies the</w:t>
      </w:r>
      <w:r>
        <w:t xml:space="preserve"> </w:t>
      </w:r>
      <w:r>
        <w:rPr>
          <w:i/>
          <w:iCs/>
        </w:rPr>
        <w:t xml:space="preserve">Multi-State Compliance Matrix</w:t>
      </w:r>
      <w:r>
        <w:t xml:space="preserve"> </w:t>
      </w:r>
      <w:r>
        <w:t xml:space="preserve">(separate spreadsheet deliverable) and sets forth (i) all material compliance deficiencies identified, categorized by severity; (ii) the legal and operational risk associated with each; and (iii) a prioritized remediation plan with action items, responsible parties, and deadlines calibrated to the Company’s facility opening schedule and the July 1, 2025 target date for a revised Employee Handbook.</w:t>
      </w:r>
    </w:p>
    <w:p>
      <w:pPr>
        <w:pStyle w:val="BodyText"/>
      </w:pPr>
      <w:r>
        <w:t xml:space="preserve">The review identifies a substantial number of deficiencies. The accompanying compliance matrix records</w:t>
      </w:r>
      <w:r>
        <w:t xml:space="preserve"> </w:t>
      </w:r>
      <w:r>
        <w:rPr>
          <w:b/>
          <w:bCs/>
        </w:rPr>
        <w:t xml:space="preserve">130 red (non-compliant) indicators, 28 yellow (at-risk) indicators, and 38 green (compliant) indicators</w:t>
      </w:r>
      <w:r>
        <w:t xml:space="preserve"> </w:t>
      </w:r>
      <w:r>
        <w:t xml:space="preserve">across the seven jurisdictions and five compliance dimensions. The concentration of red indicators is heaviest in the four expansion states (Massachusetts, Colorado, Oregon, and Washington), driven principally by the Company’s failure to register with any expansion-state paid leave program and by the structural inadequacy of the Company’s self-funded paid family leave benefit.</w:t>
      </w:r>
    </w:p>
    <w:p>
      <w:pPr>
        <w:pStyle w:val="BodyText"/>
      </w:pPr>
      <w:r>
        <w:t xml:space="preserve">Five deficiencies are categorized as</w:t>
      </w:r>
      <w:r>
        <w:t xml:space="preserve"> </w:t>
      </w:r>
      <w:r>
        <w:rPr>
          <w:b/>
          <w:bCs/>
        </w:rPr>
        <w:t xml:space="preserve">Critical</w:t>
      </w:r>
      <w:r>
        <w:t xml:space="preserve"> </w:t>
      </w:r>
      <w:r>
        <w:t xml:space="preserve">— meaning active legal exposure, an imminent regulatory deadline at risk, or a deficiency that has already resulted in regulatory action. The most urgent is the</w:t>
      </w:r>
      <w:r>
        <w:t xml:space="preserve"> </w:t>
      </w:r>
      <w:r>
        <w:rPr>
          <w:b/>
          <w:bCs/>
        </w:rPr>
        <w:t xml:space="preserve">Colorado FAMLI registration obligation</w:t>
      </w:r>
      <w:r>
        <w:t xml:space="preserve">, which may already be overdue as a result of three remote employees hired in Colorado in April 2025 ahead of the November 1, 2025 facility opening. The</w:t>
      </w:r>
      <w:r>
        <w:t xml:space="preserve"> </w:t>
      </w:r>
      <w:r>
        <w:rPr>
          <w:b/>
          <w:bCs/>
        </w:rPr>
        <w:t xml:space="preserve">Massachusetts PFML registration</w:t>
      </w:r>
      <w:r>
        <w:t xml:space="preserve"> </w:t>
      </w:r>
      <w:r>
        <w:t xml:space="preserve">is on a critical path: factoring PinnacleHR Solutions’ six-to-eight-week configuration lead time, registration must be completed no later than approximately</w:t>
      </w:r>
      <w:r>
        <w:t xml:space="preserve"> </w:t>
      </w:r>
      <w:r>
        <w:rPr>
          <w:b/>
          <w:bCs/>
        </w:rPr>
        <w:t xml:space="preserve">June 1, 2025</w:t>
      </w:r>
      <w:r>
        <w:t xml:space="preserve"> </w:t>
      </w:r>
      <w:r>
        <w:t xml:space="preserve">to ensure withholding is operational by the August 1, 2025 facility opening. The pending</w:t>
      </w:r>
      <w:r>
        <w:t xml:space="preserve"> </w:t>
      </w:r>
      <w:r>
        <w:rPr>
          <w:b/>
          <w:bCs/>
        </w:rPr>
        <w:t xml:space="preserve">New Jersey DOL complaint</w:t>
      </w:r>
      <w:r>
        <w:t xml:space="preserve"> </w:t>
      </w:r>
      <w:r>
        <w:t xml:space="preserve">(</w:t>
      </w:r>
      <w:r>
        <w:rPr>
          <w:i/>
          <w:iCs/>
        </w:rPr>
        <w:t xml:space="preserve">Carla Muñoz v. Vantage Logistics Group, Inc.</w:t>
      </w:r>
      <w:r>
        <w:t xml:space="preserve">, Case No. NJ-ESL-2025-04117) reflects an active, already-filed enforcement matter arising from the Company’s unduly narrow definition of</w:t>
      </w:r>
      <w:r>
        <w:t xml:space="preserve"> </w:t>
      </w:r>
      <w:r>
        <w:t xml:space="preserve">“</w:t>
      </w:r>
      <w:r>
        <w:t xml:space="preserve">family member</w:t>
      </w:r>
      <w:r>
        <w:t xml:space="preserve">”</w:t>
      </w:r>
      <w:r>
        <w:t xml:space="preserve"> </w:t>
      </w:r>
      <w:r>
        <w:t xml:space="preserve">in its paid sick leave policy. Two further critical deficiencies are structural: the</w:t>
      </w:r>
      <w:r>
        <w:t xml:space="preserve"> </w:t>
      </w:r>
      <w:r>
        <w:rPr>
          <w:b/>
          <w:bCs/>
        </w:rPr>
        <w:t xml:space="preserve">self-funded paid family leave benefit falls below the statutory minimum in all seven jurisdictions</w:t>
      </w:r>
      <w:r>
        <w:t xml:space="preserve"> </w:t>
      </w:r>
      <w:r>
        <w:t xml:space="preserve">and has never been approved as a private plan in any state, and the Company</w:t>
      </w:r>
      <w:r>
        <w:t xml:space="preserve"> </w:t>
      </w:r>
      <w:r>
        <w:rPr>
          <w:b/>
          <w:bCs/>
        </w:rPr>
        <w:t xml:space="preserve">provides no paid medical leave for an employee’s own serious health condition</w:t>
      </w:r>
      <w:r>
        <w:t xml:space="preserve"> </w:t>
      </w:r>
      <w:r>
        <w:t xml:space="preserve">while simultaneously misdirecting employees who inquire about such leave to a voluntary, employee-paid short-term disability plan rather than to the state programs into which those employees are already contributing.</w:t>
      </w:r>
    </w:p>
    <w:p>
      <w:pPr>
        <w:pStyle w:val="BodyText"/>
      </w:pPr>
      <w:r>
        <w:t xml:space="preserve">Ten deficiencies are categorized as</w:t>
      </w:r>
      <w:r>
        <w:t xml:space="preserve"> </w:t>
      </w:r>
      <w:r>
        <w:rPr>
          <w:b/>
          <w:bCs/>
        </w:rPr>
        <w:t xml:space="preserve">High</w:t>
      </w:r>
      <w:r>
        <w:t xml:space="preserve">, and seven as</w:t>
      </w:r>
      <w:r>
        <w:t xml:space="preserve"> </w:t>
      </w:r>
      <w:r>
        <w:rPr>
          <w:b/>
          <w:bCs/>
        </w:rPr>
        <w:t xml:space="preserve">Moderate</w:t>
      </w:r>
      <w:r>
        <w:t xml:space="preserve">. The High deficiencies cluster around the Company’s paid sick leave policy, which was designed around a single national template and fails to satisfy the accrual-rate, cap, waiting-period, carryover, covered-use, and family-member requirements of most or all of the seven jurisdictions. The Moderate deficiencies concern recordkeeping, workplace postings, and policy-staleness issues that do not present immediate enforcement risk but will compound as the Company scales.</w:t>
      </w:r>
    </w:p>
    <w:p>
      <w:pPr>
        <w:pStyle w:val="BodyText"/>
      </w:pPr>
      <w:r>
        <w:t xml:space="preserve">H&amp;C’s overarching recommendation is that the Company</w:t>
      </w:r>
      <w:r>
        <w:t xml:space="preserve"> </w:t>
      </w:r>
      <w:r>
        <w:rPr>
          <w:b/>
          <w:bCs/>
        </w:rPr>
        <w:t xml:space="preserve">cease treating its self-funded paid family leave benefit as a substitute for state programs</w:t>
      </w:r>
      <w:r>
        <w:t xml:space="preserve"> </w:t>
      </w:r>
      <w:r>
        <w:t xml:space="preserve">and instead participate in the state-administered programs in all seven jurisdictions (mandatory in Colorado), while either enhancing the self-funded benefit to serve as a clearly-labeled supplemental top-up or discontinuing it to eliminate employee confusion and dual-coverage risk. Concurrently, the Company must</w:t>
      </w:r>
      <w:r>
        <w:t xml:space="preserve"> </w:t>
      </w:r>
      <w:r>
        <w:rPr>
          <w:b/>
          <w:bCs/>
        </w:rPr>
        <w:t xml:space="preserve">immediately initiate state program registrations</w:t>
      </w:r>
      <w:r>
        <w:t xml:space="preserve"> </w:t>
      </w:r>
      <w:r>
        <w:t xml:space="preserve">in Massachusetts and Colorado,</w:t>
      </w:r>
      <w:r>
        <w:t xml:space="preserve"> </w:t>
      </w:r>
      <w:r>
        <w:rPr>
          <w:b/>
          <w:bCs/>
        </w:rPr>
        <w:t xml:space="preserve">redraft the paid sick leave and PTO policies</w:t>
      </w:r>
      <w:r>
        <w:t xml:space="preserve"> </w:t>
      </w:r>
      <w:r>
        <w:t xml:space="preserve">to satisfy the most protective state requirements (or to provide state-specific addenda), and</w:t>
      </w:r>
      <w:r>
        <w:t xml:space="preserve"> </w:t>
      </w:r>
      <w:r>
        <w:rPr>
          <w:b/>
          <w:bCs/>
        </w:rPr>
        <w:t xml:space="preserve">replace the manual spreadsheet leave-tracking system</w:t>
      </w:r>
      <w:r>
        <w:t xml:space="preserve"> </w:t>
      </w:r>
      <w:r>
        <w:t xml:space="preserve">with a dedicated leave management platform before the Oregon and Washington facilities open.</w:t>
      </w:r>
    </w:p>
    <w:p>
      <w:r>
        <w:pict>
          <v:rect style="width:0;height:1.5pt" o:hralign="center" o:hrstd="t" o:hr="t"/>
        </w:pict>
      </w:r>
    </w:p>
    <w:bookmarkEnd w:id="22"/>
    <w:bookmarkStart w:id="23" w:name="background-and-scope"/>
    <w:p>
      <w:pPr>
        <w:pStyle w:val="Heading2"/>
      </w:pPr>
      <w:r>
        <w:t xml:space="preserve">2. Background and Scope</w:t>
      </w:r>
    </w:p>
    <w:p>
      <w:pPr>
        <w:pStyle w:val="FirstParagraph"/>
      </w:pPr>
      <w:r>
        <w:t xml:space="preserve">Vantage is a Delaware corporation with its principal office in Edison, New Jersey, operating a freight brokerage, warehousing, and last-mile delivery business. The Company currently employs approximately 2,140 employees across New Jersey (890), New York (680), and Connecticut (570), with annual payroll of approximately $112.4 million. The Company is expanding into four additional states — Massachusetts (Worcester, opening August 1, 2025; 130 projected employees), Colorado (Aurora, opening November 1, 2025; 95 projected employees), Oregon (Tigard, opening February 1, 2026; 110 projected employees), and Washington (Kent, opening May 1, 2026; 85 projected employees) — adding approximately 420 employees and $23.6 million in annual payroll, for a projected total of approximately 2,560 employees and $136.0 million in payroll.</w:t>
      </w:r>
    </w:p>
    <w:p>
      <w:pPr>
        <w:pStyle w:val="BodyText"/>
      </w:pPr>
      <w:r>
        <w:t xml:space="preserve">The Company’s operative leave policies are set forth in Section 6 of the Employee Handbook, last revised</w:t>
      </w:r>
      <w:r>
        <w:t xml:space="preserve"> </w:t>
      </w:r>
      <w:r>
        <w:rPr>
          <w:b/>
          <w:bCs/>
        </w:rPr>
        <w:t xml:space="preserve">January 15, 2022</w:t>
      </w:r>
      <w:r>
        <w:t xml:space="preserve"> </w:t>
      </w:r>
      <w:r>
        <w:t xml:space="preserve">— more than three years before the date of this memorandum and before the enactment or amendment of several of the statutes reviewed herein. The Company self-funds a paid family leave benefit (50% of average weekly wage, capped at $850 per week, for up to eight weeks, for bonding and family caregiving only) and provides no employer-funded paid medical leave for an employee’s own serious health condition. Payroll, including state-mandated leave-program withholdings for New Jersey, New York, and Connecticut, is administered by PinnacleHR Solutions, Inc. (</w:t>
      </w:r>
      <w:r>
        <w:t xml:space="preserve">“</w:t>
      </w:r>
      <w:r>
        <w:t xml:space="preserve">PinnacleHR</w:t>
      </w:r>
      <w:r>
        <w:t xml:space="preserve">”</w:t>
      </w:r>
      <w:r>
        <w:t xml:space="preserve">). Leave accruals and usage are tracked manually in Excel spreadsheets maintained by two HR coordinators.</w:t>
      </w:r>
    </w:p>
    <w:p>
      <w:pPr>
        <w:pStyle w:val="BodyText"/>
      </w:pPr>
      <w:r>
        <w:t xml:space="preserve">This review was conducted pursuant to the engagement letter dated April 14, 2025. As agreed, the review excludes (a) representation in the pending NJ DOL complaint (handled under a separate engagement); (b) federal FMLA compliance; (c) local or municipal paid leave ordinances; (d) drafting of the revised Handbook; and (e) vendor contract negotiation. The analysis is based on statutes, regulations, and agency guidance in effect as of May 19, 2025, and relies on the accuracy of information and representations provided by the Company and PinnacleHR. State paid leave law is a rapidly evolving area; H&amp;C recommends periodic re-review, particularly as each expansion phase is completed.</w:t>
      </w:r>
    </w:p>
    <w:p>
      <w:r>
        <w:pict>
          <v:rect style="width:0;height:1.5pt" o:hralign="center" o:hrstd="t" o:hr="t"/>
        </w:pict>
      </w:r>
    </w:p>
    <w:bookmarkEnd w:id="23"/>
    <w:bookmarkStart w:id="24" w:name="methodology-and-compliance-framework"/>
    <w:p>
      <w:pPr>
        <w:pStyle w:val="Heading2"/>
      </w:pPr>
      <w:r>
        <w:t xml:space="preserve">3. Methodology and Compliance Framework</w:t>
      </w:r>
    </w:p>
    <w:p>
      <w:pPr>
        <w:pStyle w:val="FirstParagraph"/>
      </w:pPr>
      <w:r>
        <w:t xml:space="preserve">H&amp;C compared the Company’s current leave policies (as written in the Handbook and as implemented in practice, as documented in the internal email thread of March 10–17, 2025, the PinnacleHR withholding summary dated April 10, 2025, and the sample leave-tracking spreadsheets) against the statutory and regulatory requirements of each of the seven jurisdictions across five dimensions: Paid Sick Leave; Paid Family Leave; Paid Medical Leave; Employer Obligations (registration, contributions, withholding, recordkeeping, posting); and PTO/Vacation Payout on Separation. The detailed comparison, with statutory citations and color-coded gap indicators, appears in the accompanying</w:t>
      </w:r>
      <w:r>
        <w:t xml:space="preserve"> </w:t>
      </w:r>
      <w:r>
        <w:rPr>
          <w:i/>
          <w:iCs/>
        </w:rPr>
        <w:t xml:space="preserve">Multi-State Compliance Matrix</w:t>
      </w:r>
      <w:r>
        <w:t xml:space="preserve">.</w:t>
      </w:r>
    </w:p>
    <w:p>
      <w:pPr>
        <w:pStyle w:val="BodyText"/>
      </w:pPr>
      <w:r>
        <w:t xml:space="preserve">Each deficiency in this memorandum is categorized by severity using the framework set forth in the engagement letter:</w:t>
      </w:r>
    </w:p>
    <w:p>
      <w:pPr>
        <w:pStyle w:val="Compact"/>
        <w:numPr>
          <w:ilvl w:val="0"/>
          <w:numId w:val="1001"/>
        </w:numPr>
      </w:pPr>
      <w:r>
        <w:rPr>
          <w:b/>
          <w:bCs/>
        </w:rPr>
        <w:t xml:space="preserve">Critical</w:t>
      </w:r>
      <w:r>
        <w:t xml:space="preserve"> </w:t>
      </w:r>
      <w:r>
        <w:t xml:space="preserve">— Active legal exposure exists, an imminent regulatory deadline is at risk, or the deficiency has already resulted in, or is likely to imminently result in, regulatory action, penalties, or litigation.</w:t>
      </w:r>
    </w:p>
    <w:p>
      <w:pPr>
        <w:pStyle w:val="Compact"/>
        <w:numPr>
          <w:ilvl w:val="0"/>
          <w:numId w:val="1001"/>
        </w:numPr>
      </w:pPr>
      <w:r>
        <w:rPr>
          <w:b/>
          <w:bCs/>
        </w:rPr>
        <w:t xml:space="preserve">High</w:t>
      </w:r>
      <w:r>
        <w:t xml:space="preserve"> </w:t>
      </w:r>
      <w:r>
        <w:t xml:space="preserve">— Non-compliance is likely to result in enforcement action, monetary penalties, or employee claims if not remediated before operations commence in the applicable jurisdiction or within the near term.</w:t>
      </w:r>
    </w:p>
    <w:p>
      <w:pPr>
        <w:pStyle w:val="Compact"/>
        <w:numPr>
          <w:ilvl w:val="0"/>
          <w:numId w:val="1001"/>
        </w:numPr>
      </w:pPr>
      <w:r>
        <w:rPr>
          <w:b/>
          <w:bCs/>
        </w:rPr>
        <w:t xml:space="preserve">Moderate</w:t>
      </w:r>
      <w:r>
        <w:t xml:space="preserve"> </w:t>
      </w:r>
      <w:r>
        <w:t xml:space="preserve">— Technical non-compliance, best-practice gaps, or policy ambiguities that may not give rise to immediate enforcement but expose the Company to risk over time or in the event of a complaint or audit.</w:t>
      </w:r>
    </w:p>
    <w:p>
      <w:r>
        <w:pict>
          <v:rect style="width:0;height:1.5pt" o:hralign="center" o:hrstd="t" o:hr="t"/>
        </w:pict>
      </w:r>
    </w:p>
    <w:bookmarkEnd w:id="24"/>
    <w:bookmarkStart w:id="30" w:name="critical-deficiencies"/>
    <w:p>
      <w:pPr>
        <w:pStyle w:val="Heading2"/>
      </w:pPr>
      <w:r>
        <w:t xml:space="preserve">4. Critical Deficiencies</w:t>
      </w:r>
    </w:p>
    <w:bookmarkStart w:id="25" w:name="X3b14cc48d09f97c0e70faaa7a6e4339b677d4b9"/>
    <w:p>
      <w:pPr>
        <w:pStyle w:val="Heading3"/>
      </w:pPr>
      <w:r>
        <w:t xml:space="preserve">C-1. Colorado FAMLI Registration — Obligation Likely Already Triggered by April 2025 Remote Hires</w:t>
      </w:r>
    </w:p>
    <w:p>
      <w:pPr>
        <w:pStyle w:val="FirstParagraph"/>
      </w:pPr>
      <w:r>
        <w:rPr>
          <w:b/>
          <w:bCs/>
        </w:rPr>
        <w:t xml:space="preserve">Deficiency.</w:t>
      </w:r>
      <w:r>
        <w:t xml:space="preserve"> </w:t>
      </w:r>
      <w:r>
        <w:t xml:space="preserve">As of the date of this memorandum, the Company has not registered with the Colorado Family and Medical Leave Insurance (</w:t>
      </w:r>
      <w:r>
        <w:t xml:space="preserve">“</w:t>
      </w:r>
      <w:r>
        <w:t xml:space="preserve">FAMLI</w:t>
      </w:r>
      <w:r>
        <w:t xml:space="preserve">”</w:t>
      </w:r>
      <w:r>
        <w:t xml:space="preserve">) program administered by the Colorado Division of Family and Medical Leave Insurance. The Company has hired three remote employees in Colorado — a regional operations manager and two logistics coordinators — who began working from their homes in the Aurora and Denver metropolitan area in April 2025, approximately seven months before the Aurora facility is scheduled to open on November 1, 2025.</w:t>
      </w:r>
    </w:p>
    <w:p>
      <w:pPr>
        <w:pStyle w:val="BodyText"/>
      </w:pPr>
      <w:r>
        <w:rPr>
          <w:b/>
          <w:bCs/>
        </w:rPr>
        <w:t xml:space="preserve">Legal basis.</w:t>
      </w:r>
      <w:r>
        <w:t xml:space="preserve"> </w:t>
      </w:r>
      <w:r>
        <w:t xml:space="preserve">Colorado FAMLI (C.R.S. § 8-13.3-501</w:t>
      </w:r>
      <w:r>
        <w:t xml:space="preserve"> </w:t>
      </w:r>
      <w:r>
        <w:rPr>
          <w:i/>
          <w:iCs/>
        </w:rPr>
        <w:t xml:space="preserve">et seq.</w:t>
      </w:r>
      <w:r>
        <w:t xml:space="preserve">) requires employer registration and premium remittance. The registration and contribution obligation attaches to employers with respect to wages paid to employees who perform work in Colorado; the obligation is not contingent on the existence of a physical facility in the state. Premiums (0.90% of wages, split 0.45% employee / 0.45% employer for employers with 10 or more employees) must be remitted on Colorado wages from the date those wages are first paid. The Colorado Healthy Families and Workplaces Act (</w:t>
      </w:r>
      <w:r>
        <w:t xml:space="preserve">“</w:t>
      </w:r>
      <w:r>
        <w:t xml:space="preserve">HFWA,</w:t>
      </w:r>
      <w:r>
        <w:t xml:space="preserve">”</w:t>
      </w:r>
      <w:r>
        <w:t xml:space="preserve"> </w:t>
      </w:r>
      <w:r>
        <w:t xml:space="preserve">C.R.S. § 8-13.3-401</w:t>
      </w:r>
      <w:r>
        <w:t xml:space="preserve"> </w:t>
      </w:r>
      <w:r>
        <w:rPr>
          <w:i/>
          <w:iCs/>
        </w:rPr>
        <w:t xml:space="preserve">et seq.</w:t>
      </w:r>
      <w:r>
        <w:t xml:space="preserve">) likewise requires covered employers to provide paid sick leave from the first day of employment.</w:t>
      </w:r>
    </w:p>
    <w:p>
      <w:pPr>
        <w:pStyle w:val="BodyText"/>
      </w:pPr>
      <w:r>
        <w:rPr>
          <w:b/>
          <w:bCs/>
        </w:rPr>
        <w:t xml:space="preserve">Risk.</w:t>
      </w:r>
      <w:r>
        <w:t xml:space="preserve"> </w:t>
      </w:r>
      <w:r>
        <w:t xml:space="preserve">If the FAMLI registration obligation is triggered by the first payment of Colorado wages — which H&amp;C views as the better-supported interpretation — the Company has been non-compliant since April 2025 and is accruing unpaid premium obligations and potential penalties with each payroll cycle. Even under the more favorable interpretation that registration is tied to the November 1, 2025 facility opening, the PinnacleHR six-to-eight-week configuration lead time requires registration to be completed no later than approximately mid-August 2025. The three remote employees are also entitled to HFWA paid sick leave (1 hour per 30 hours worked, up to 48 hours per year, usable immediately with no waiting period) from their first day of work — a benefit the Company’s current policy does not provide on the required terms. This is the single most urgent registration item in this review.</w:t>
      </w:r>
    </w:p>
    <w:p>
      <w:pPr>
        <w:pStyle w:val="BodyText"/>
      </w:pPr>
      <w:r>
        <w:rPr>
          <w:b/>
          <w:bCs/>
        </w:rPr>
        <w:t xml:space="preserve">Recommendation.</w:t>
      </w:r>
      <w:r>
        <w:t xml:space="preserve"> </w:t>
      </w:r>
      <w:r>
        <w:t xml:space="preserve">The Company should (i) immediately confirm with H&amp;C the FAMLI registration trigger date and, if the obligation has already attached, initiate registration and begin remitting premiums (and address any back premiums) without delay; (ii) provide the three remote employees with HFWA-compliant paid sick leave terms pending the Handbook revision; and (iii) provide PinnacleHR with registration confirmation no later than mid-August 2025 to ensure withholding is operational by November 1, 2025. H&amp;C is available to assist with the registration filing and to advise on back-premium exposure.</w:t>
      </w:r>
    </w:p>
    <w:bookmarkEnd w:id="25"/>
    <w:bookmarkStart w:id="26" w:name="X4efede2a745fa2a4ac9bedc35919929da1dbb9a"/>
    <w:p>
      <w:pPr>
        <w:pStyle w:val="Heading3"/>
      </w:pPr>
      <w:r>
        <w:t xml:space="preserve">C-2. Massachusetts PFML Registration — Critical Path to August 1, 2025 Opening</w:t>
      </w:r>
    </w:p>
    <w:p>
      <w:pPr>
        <w:pStyle w:val="FirstParagraph"/>
      </w:pPr>
      <w:r>
        <w:rPr>
          <w:b/>
          <w:bCs/>
        </w:rPr>
        <w:t xml:space="preserve">Deficiency.</w:t>
      </w:r>
      <w:r>
        <w:t xml:space="preserve"> </w:t>
      </w:r>
      <w:r>
        <w:t xml:space="preserve">The Company has not registered with the Massachusetts Paid Family and Medical Leave (</w:t>
      </w:r>
      <w:r>
        <w:t xml:space="preserve">“</w:t>
      </w:r>
      <w:r>
        <w:t xml:space="preserve">PFML</w:t>
      </w:r>
      <w:r>
        <w:t xml:space="preserve">”</w:t>
      </w:r>
      <w:r>
        <w:t xml:space="preserve">) program administered by the Massachusetts Department of Family and Medical Leave (</w:t>
      </w:r>
      <w:r>
        <w:t xml:space="preserve">“</w:t>
      </w:r>
      <w:r>
        <w:t xml:space="preserve">DFML</w:t>
      </w:r>
      <w:r>
        <w:t xml:space="preserve">”</w:t>
      </w:r>
      <w:r>
        <w:t xml:space="preserve">). The Worcester facility is scheduled to open on August 1, 2025.</w:t>
      </w:r>
    </w:p>
    <w:p>
      <w:pPr>
        <w:pStyle w:val="BodyText"/>
      </w:pPr>
      <w:r>
        <w:rPr>
          <w:b/>
          <w:bCs/>
        </w:rPr>
        <w:t xml:space="preserve">Legal basis.</w:t>
      </w:r>
      <w:r>
        <w:t xml:space="preserve"> </w:t>
      </w:r>
      <w:r>
        <w:t xml:space="preserve">M.G.L. c. 175M requires employer registration and contribution remittance from the first day any covered individual performs work in Massachusetts. The total contribution rate is 0.88% of eligible wages (employee share approximately 0.318%; employer share approximately 0.562% for employers with 25 or more covered individuals). MA PFML covers both family leave (up to 12 weeks) and the employee’s own medical leave (up to 20 weeks), with combined caps of 26 weeks, at a blended wage-replacement rate of 80% of AWW up to 50% of the state average weekly wage (</w:t>
      </w:r>
      <w:r>
        <w:t xml:space="preserve">“</w:t>
      </w:r>
      <w:r>
        <w:t xml:space="preserve">SAWW</w:t>
      </w:r>
      <w:r>
        <w:t xml:space="preserve">”</w:t>
      </w:r>
      <w:r>
        <w:t xml:space="preserve">) and 50% above that threshold, capped at approximately $1,170.64 per week (2025). Massachusetts Earned Sick Time (M.G.L. c. 149 § 148C) likewise applies from the first day of operations.</w:t>
      </w:r>
    </w:p>
    <w:p>
      <w:pPr>
        <w:pStyle w:val="BodyText"/>
      </w:pPr>
      <w:r>
        <w:rPr>
          <w:b/>
          <w:bCs/>
        </w:rPr>
        <w:t xml:space="preserve">Risk.</w:t>
      </w:r>
      <w:r>
        <w:t xml:space="preserve"> </w:t>
      </w:r>
      <w:r>
        <w:t xml:space="preserve">Factoring PinnacleHR’s six-to-eight-week configuration lead time, registration must be completed no later than approximately</w:t>
      </w:r>
      <w:r>
        <w:t xml:space="preserve"> </w:t>
      </w:r>
      <w:r>
        <w:rPr>
          <w:b/>
          <w:bCs/>
        </w:rPr>
        <w:t xml:space="preserve">June 1, 2025</w:t>
      </w:r>
      <w:r>
        <w:t xml:space="preserve"> </w:t>
      </w:r>
      <w:r>
        <w:t xml:space="preserve">to ensure withholding is operational on the facility’s opening day. Any delay will cascade into a delay in PinnacleHR’s configuration, resulting in the Company operating in Massachusetts without proper withholding in place on August 1, 2025 — exposing the Company to unpaid contributions, penalties, and the inability to provide PFML benefits to Massachusetts employees from day one. The window between the date of this memorandum and the June 1, 2025 deadline is approximately two weeks.</w:t>
      </w:r>
    </w:p>
    <w:p>
      <w:pPr>
        <w:pStyle w:val="BodyText"/>
      </w:pPr>
      <w:r>
        <w:rPr>
          <w:b/>
          <w:bCs/>
        </w:rPr>
        <w:t xml:space="preserve">Recommendation.</w:t>
      </w:r>
      <w:r>
        <w:t xml:space="preserve"> </w:t>
      </w:r>
      <w:r>
        <w:t xml:space="preserve">The Company should initiate MA PFML registration with DFML</w:t>
      </w:r>
      <w:r>
        <w:t xml:space="preserve"> </w:t>
      </w:r>
      <w:r>
        <w:rPr>
          <w:b/>
          <w:bCs/>
        </w:rPr>
        <w:t xml:space="preserve">immediately</w:t>
      </w:r>
      <w:r>
        <w:t xml:space="preserve"> </w:t>
      </w:r>
      <w:r>
        <w:t xml:space="preserve">and target completion no later than June 1, 2025. H&amp;C recommends treating this as the highest-priority administrative action item. The Company should also confirm whether it will participate in the state program or pursue a private-plan exemption (the latter requiring DFML approval and a benefit meeting or exceeding the statutory level — which the current self-funded plan does not, see C-4).</w:t>
      </w:r>
    </w:p>
    <w:bookmarkEnd w:id="26"/>
    <w:bookmarkStart w:id="27" w:name="X37da7907e01d44dd76b9d827d5a74bee1b5e801"/>
    <w:p>
      <w:pPr>
        <w:pStyle w:val="Heading3"/>
      </w:pPr>
      <w:r>
        <w:t xml:space="preserve">C-3. New Jersey DOL Complaint — Unduly Narrow</w:t>
      </w:r>
      <w:r>
        <w:t xml:space="preserve"> </w:t>
      </w:r>
      <w:r>
        <w:t xml:space="preserve">“</w:t>
      </w:r>
      <w:r>
        <w:t xml:space="preserve">Family Member</w:t>
      </w:r>
      <w:r>
        <w:t xml:space="preserve">”</w:t>
      </w:r>
      <w:r>
        <w:t xml:space="preserve"> </w:t>
      </w:r>
      <w:r>
        <w:t xml:space="preserve">Definition (Active Enforcement)</w:t>
      </w:r>
    </w:p>
    <w:p>
      <w:pPr>
        <w:pStyle w:val="FirstParagraph"/>
      </w:pPr>
      <w:r>
        <w:rPr>
          <w:b/>
          <w:bCs/>
        </w:rPr>
        <w:t xml:space="preserve">Deficiency.</w:t>
      </w:r>
      <w:r>
        <w:t xml:space="preserve"> </w:t>
      </w:r>
      <w:r>
        <w:t xml:space="preserve">The Company’s Paid Sick Leave policy (Handbook §6.2.6) defines</w:t>
      </w:r>
      <w:r>
        <w:t xml:space="preserve"> </w:t>
      </w:r>
      <w:r>
        <w:t xml:space="preserve">“</w:t>
      </w:r>
      <w:r>
        <w:t xml:space="preserve">family member</w:t>
      </w:r>
      <w:r>
        <w:t xml:space="preserve">”</w:t>
      </w:r>
      <w:r>
        <w:t xml:space="preserve"> </w:t>
      </w:r>
      <w:r>
        <w:t xml:space="preserve">as the employee’s spouse, child, and parent only. This definition is narrower than the New Jersey Earned Sick Leave Act (</w:t>
      </w:r>
      <w:r>
        <w:t xml:space="preserve">“</w:t>
      </w:r>
      <w:r>
        <w:t xml:space="preserve">NJ ESL,</w:t>
      </w:r>
      <w:r>
        <w:t xml:space="preserve">”</w:t>
      </w:r>
      <w:r>
        <w:t xml:space="preserve"> </w:t>
      </w:r>
      <w:r>
        <w:t xml:space="preserve">N.J.S.A. 34:11D-1</w:t>
      </w:r>
      <w:r>
        <w:t xml:space="preserve"> </w:t>
      </w:r>
      <w:r>
        <w:rPr>
          <w:i/>
          <w:iCs/>
        </w:rPr>
        <w:t xml:space="preserve">et seq.</w:t>
      </w:r>
      <w:r>
        <w:t xml:space="preserve">) and is the subject of a pending complaint before the New Jersey Department of Labor and Workforce Development, Case No. NJ-ESL-2025-04117,</w:t>
      </w:r>
      <w:r>
        <w:t xml:space="preserve"> </w:t>
      </w:r>
      <w:r>
        <w:rPr>
          <w:i/>
          <w:iCs/>
        </w:rPr>
        <w:t xml:space="preserve">Carla Muñoz v. Vantage Logistics Group, Inc.</w:t>
      </w:r>
      <w:r>
        <w:t xml:space="preserve">, received February 3, 2025. The complaint alleges that the Company denied Ms. Muñoz the use of accrued sick leave to care for her domestic partner’s child.</w:t>
      </w:r>
    </w:p>
    <w:p>
      <w:pPr>
        <w:pStyle w:val="BodyText"/>
      </w:pPr>
      <w:r>
        <w:rPr>
          <w:b/>
          <w:bCs/>
        </w:rPr>
        <w:t xml:space="preserve">Legal basis.</w:t>
      </w:r>
      <w:r>
        <w:t xml:space="preserve"> </w:t>
      </w:r>
      <w:r>
        <w:t xml:space="preserve">N.J.S.A. 34:11D-1 defines</w:t>
      </w:r>
      <w:r>
        <w:t xml:space="preserve"> </w:t>
      </w:r>
      <w:r>
        <w:t xml:space="preserve">“</w:t>
      </w:r>
      <w:r>
        <w:t xml:space="preserve">family member</w:t>
      </w:r>
      <w:r>
        <w:t xml:space="preserve">”</w:t>
      </w:r>
      <w:r>
        <w:t xml:space="preserve"> </w:t>
      </w:r>
      <w:r>
        <w:t xml:space="preserve">broadly to include the employee’s child, parent, spouse, domestic partner, civil-union partner, grandparent, grandchild, sibling, the child or parent of a domestic or civil-union partner, any other individual related to the employee by blood, and any individual whose close association with the employee is the equivalent of a family relationship. The Company’s policy excludes each of these additional categories. Separately, the policy’s enumeration of covered uses (§6.2.5) is limited to the employee’s own illness, medical appointment, and work injury, and omits the care of family members, preventive care, absences related to domestic or sexual violence, public-health-emergency closures, and school-related functions — all of which are required covered uses under N.J.S.A. 34:11D-3.</w:t>
      </w:r>
    </w:p>
    <w:p>
      <w:pPr>
        <w:pStyle w:val="BodyText"/>
      </w:pPr>
      <w:r>
        <w:rPr>
          <w:b/>
          <w:bCs/>
        </w:rPr>
        <w:t xml:space="preserve">Risk.</w:t>
      </w:r>
      <w:r>
        <w:t xml:space="preserve"> </w:t>
      </w:r>
      <w:r>
        <w:t xml:space="preserve">The matter is already in active enforcement before the NJ DOL, which may impose fines, administrative penalties, and orders of restitution under N.J.S.A. 34:11D-7, and has reserved the right to conduct a broader investigation of the Company’s sick leave practices. The same narrow definition and use limitations render the policy non-compliant in all seven jurisdictions reviewed (the family-member and covered-use definitions in New York, Connecticut, Massachusetts, Colorado, Oregon, and Washington are comparably broad). The deficiency is therefore not isolated to New Jersey; it is a company-wide policy defect that exposes the Company to similar complaints in every state of operation.</w:t>
      </w:r>
    </w:p>
    <w:p>
      <w:pPr>
        <w:pStyle w:val="BodyText"/>
      </w:pPr>
      <w:r>
        <w:rPr>
          <w:b/>
          <w:bCs/>
        </w:rPr>
        <w:t xml:space="preserve">Recommendation.</w:t>
      </w:r>
      <w:r>
        <w:t xml:space="preserve"> </w:t>
      </w:r>
      <w:r>
        <w:t xml:space="preserve">The Company should expand the</w:t>
      </w:r>
      <w:r>
        <w:t xml:space="preserve"> </w:t>
      </w:r>
      <w:r>
        <w:t xml:space="preserve">“</w:t>
      </w:r>
      <w:r>
        <w:t xml:space="preserve">family member</w:t>
      </w:r>
      <w:r>
        <w:t xml:space="preserve">”</w:t>
      </w:r>
      <w:r>
        <w:t xml:space="preserve"> </w:t>
      </w:r>
      <w:r>
        <w:t xml:space="preserve">definition and the enumerated covered uses in the revised Handbook to satisfy the broadest applicable state standard (which will achieve compliance in all seven jurisdictions). H&amp;C notes that the Company’s February 21, 2025 response to the NJ DOL represented that policy revisions would be completed by July 1, 2025; that timeline should be honored. Resolution of the Muñoz complaint itself is handled under the separate February 15, 2025 engagement; however, the compliance findings here inform the Company’s response posture (see Section 8).</w:t>
      </w:r>
    </w:p>
    <w:bookmarkEnd w:id="27"/>
    <w:bookmarkStart w:id="28" w:name="Xa8c6d1573f9ce2a681431f2601507af532b3bcb"/>
    <w:p>
      <w:pPr>
        <w:pStyle w:val="Heading3"/>
      </w:pPr>
      <w:r>
        <w:t xml:space="preserve">C-4. Self-Funded Paid Family Leave Benefit Below Statutory Minimums in All Seven Jurisdictions; No Private-Plan Approval</w:t>
      </w:r>
    </w:p>
    <w:p>
      <w:pPr>
        <w:pStyle w:val="FirstParagraph"/>
      </w:pPr>
      <w:r>
        <w:rPr>
          <w:b/>
          <w:bCs/>
        </w:rPr>
        <w:t xml:space="preserve">Deficiency.</w:t>
      </w:r>
      <w:r>
        <w:t xml:space="preserve"> </w:t>
      </w:r>
      <w:r>
        <w:t xml:space="preserve">The Company’s self-funded paid family leave benefit (Handbook §6.3) provides 50% of the employee’s average weekly wage, capped at $850 per week, for up to eight weeks, for bonding and family caregiving only. The Company has represented that this benefit is</w:t>
      </w:r>
      <w:r>
        <w:t xml:space="preserve"> </w:t>
      </w:r>
      <w:r>
        <w:t xml:space="preserve">“</w:t>
      </w:r>
      <w:r>
        <w:t xml:space="preserve">intended to satisfy any applicable state mandate for paid family leave</w:t>
      </w:r>
      <w:r>
        <w:t xml:space="preserve">”</w:t>
      </w:r>
      <w:r>
        <w:t xml:space="preserve"> </w:t>
      </w:r>
      <w:r>
        <w:t xml:space="preserve">(§6.3.7) and that the Company</w:t>
      </w:r>
      <w:r>
        <w:t xml:space="preserve"> </w:t>
      </w:r>
      <w:r>
        <w:t xml:space="preserve">“</w:t>
      </w:r>
      <w:r>
        <w:t xml:space="preserve">does not participate in state paid family leave insurance programs</w:t>
      </w:r>
      <w:r>
        <w:t xml:space="preserve">”</w:t>
      </w:r>
      <w:r>
        <w:t xml:space="preserve"> </w:t>
      </w:r>
      <w:r>
        <w:t xml:space="preserve">(§6.3.1). The Company has</w:t>
      </w:r>
      <w:r>
        <w:t xml:space="preserve"> </w:t>
      </w:r>
      <w:r>
        <w:rPr>
          <w:b/>
          <w:bCs/>
        </w:rPr>
        <w:t xml:space="preserve">not filed a private-plan or voluntary-plan application in any jurisdiction</w:t>
      </w:r>
      <w:r>
        <w:t xml:space="preserve">, and the benefit falls below the statutory level in every state on each of rate, weekly cap, and duration: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Statutory Rate</w:t>
            </w:r>
          </w:p>
        </w:tc>
        <w:tc>
          <w:tcPr/>
          <w:p>
            <w:pPr>
              <w:pStyle w:val="Compact"/>
              <w:jc w:val="left"/>
            </w:pPr>
            <w:r>
              <w:t xml:space="preserve">Statutory Weekly Cap</w:t>
            </w:r>
          </w:p>
        </w:tc>
        <w:tc>
          <w:tcPr/>
          <w:p>
            <w:pPr>
              <w:pStyle w:val="Compact"/>
              <w:jc w:val="left"/>
            </w:pPr>
            <w:r>
              <w:t xml:space="preserve">Statutory Duration</w:t>
            </w:r>
          </w:p>
        </w:tc>
        <w:tc>
          <w:tcPr/>
          <w:p>
            <w:pPr>
              <w:pStyle w:val="Compact"/>
              <w:jc w:val="left"/>
            </w:pPr>
            <w:r>
              <w:t xml:space="preserve">Self-Funded Plan</w:t>
            </w:r>
          </w:p>
        </w:tc>
      </w:tr>
      <w:tr>
        <w:tc>
          <w:tcPr/>
          <w:p>
            <w:pPr>
              <w:pStyle w:val="Compact"/>
              <w:jc w:val="left"/>
            </w:pPr>
            <w:r>
              <w:t xml:space="preserve">NJ FLI</w:t>
            </w:r>
          </w:p>
        </w:tc>
        <w:tc>
          <w:tcPr/>
          <w:p>
            <w:pPr>
              <w:pStyle w:val="Compact"/>
              <w:jc w:val="left"/>
            </w:pPr>
            <w:r>
              <w:t xml:space="preserve">85% AWW</w:t>
            </w:r>
          </w:p>
        </w:tc>
        <w:tc>
          <w:tcPr/>
          <w:p>
            <w:pPr>
              <w:pStyle w:val="Compact"/>
              <w:jc w:val="left"/>
            </w:pPr>
            <w:r>
              <w:t xml:space="preserve">~$1,129</w:t>
            </w:r>
          </w:p>
        </w:tc>
        <w:tc>
          <w:tcPr/>
          <w:p>
            <w:pPr>
              <w:pStyle w:val="Compact"/>
              <w:jc w:val="left"/>
            </w:pPr>
            <w:r>
              <w:t xml:space="preserve">12 wks</w:t>
            </w:r>
          </w:p>
        </w:tc>
        <w:tc>
          <w:tcPr/>
          <w:p>
            <w:pPr>
              <w:pStyle w:val="Compact"/>
              <w:jc w:val="left"/>
            </w:pPr>
            <w:r>
              <w:t xml:space="preserve">Below on all three</w:t>
            </w:r>
          </w:p>
        </w:tc>
      </w:tr>
      <w:tr>
        <w:tc>
          <w:tcPr/>
          <w:p>
            <w:pPr>
              <w:pStyle w:val="Compact"/>
              <w:jc w:val="left"/>
            </w:pPr>
            <w:r>
              <w:t xml:space="preserve">NY PFL</w:t>
            </w:r>
          </w:p>
        </w:tc>
        <w:tc>
          <w:tcPr/>
          <w:p>
            <w:pPr>
              <w:pStyle w:val="Compact"/>
              <w:jc w:val="left"/>
            </w:pPr>
            <w:r>
              <w:t xml:space="preserve">67% AWW</w:t>
            </w:r>
          </w:p>
        </w:tc>
        <w:tc>
          <w:tcPr/>
          <w:p>
            <w:pPr>
              <w:pStyle w:val="Compact"/>
              <w:jc w:val="left"/>
            </w:pPr>
            <w:r>
              <w:t xml:space="preserve">$1,177.32</w:t>
            </w:r>
          </w:p>
        </w:tc>
        <w:tc>
          <w:tcPr/>
          <w:p>
            <w:pPr>
              <w:pStyle w:val="Compact"/>
              <w:jc w:val="left"/>
            </w:pPr>
            <w:r>
              <w:t xml:space="preserve">12 wks</w:t>
            </w:r>
          </w:p>
        </w:tc>
        <w:tc>
          <w:tcPr/>
          <w:p>
            <w:pPr>
              <w:pStyle w:val="Compact"/>
              <w:jc w:val="left"/>
            </w:pPr>
            <w:r>
              <w:t xml:space="preserve">Below on all three</w:t>
            </w:r>
          </w:p>
        </w:tc>
      </w:tr>
      <w:tr>
        <w:tc>
          <w:tcPr/>
          <w:p>
            <w:pPr>
              <w:pStyle w:val="Compact"/>
              <w:jc w:val="left"/>
            </w:pPr>
            <w:r>
              <w:t xml:space="preserve">CT PL</w:t>
            </w:r>
          </w:p>
        </w:tc>
        <w:tc>
          <w:tcPr/>
          <w:p>
            <w:pPr>
              <w:pStyle w:val="Compact"/>
              <w:jc w:val="left"/>
            </w:pPr>
            <w:r>
              <w:t xml:space="preserve">95%/60% tiered</w:t>
            </w:r>
          </w:p>
        </w:tc>
        <w:tc>
          <w:tcPr/>
          <w:p>
            <w:pPr>
              <w:pStyle w:val="Compact"/>
              <w:jc w:val="left"/>
            </w:pPr>
            <w:r>
              <w:t xml:space="preserve">~$941</w:t>
            </w:r>
          </w:p>
        </w:tc>
        <w:tc>
          <w:tcPr/>
          <w:p>
            <w:pPr>
              <w:pStyle w:val="Compact"/>
              <w:jc w:val="left"/>
            </w:pPr>
            <w:r>
              <w:t xml:space="preserve">12 wks (+2 preg.)</w:t>
            </w:r>
          </w:p>
        </w:tc>
        <w:tc>
          <w:tcPr/>
          <w:p>
            <w:pPr>
              <w:pStyle w:val="Compact"/>
              <w:jc w:val="left"/>
            </w:pPr>
            <w:r>
              <w:t xml:space="preserve">Below on all three</w:t>
            </w:r>
          </w:p>
        </w:tc>
      </w:tr>
      <w:tr>
        <w:tc>
          <w:tcPr/>
          <w:p>
            <w:pPr>
              <w:pStyle w:val="Compact"/>
              <w:jc w:val="left"/>
            </w:pPr>
            <w:r>
              <w:t xml:space="preserve">MA PFML</w:t>
            </w:r>
          </w:p>
        </w:tc>
        <w:tc>
          <w:tcPr/>
          <w:p>
            <w:pPr>
              <w:pStyle w:val="Compact"/>
              <w:jc w:val="left"/>
            </w:pPr>
            <w:r>
              <w:t xml:space="preserve">80%/50% tiered</w:t>
            </w:r>
          </w:p>
        </w:tc>
        <w:tc>
          <w:tcPr/>
          <w:p>
            <w:pPr>
              <w:pStyle w:val="Compact"/>
              <w:jc w:val="left"/>
            </w:pPr>
            <w:r>
              <w:t xml:space="preserve">~$1,170.64</w:t>
            </w:r>
          </w:p>
        </w:tc>
        <w:tc>
          <w:tcPr/>
          <w:p>
            <w:pPr>
              <w:pStyle w:val="Compact"/>
              <w:jc w:val="left"/>
            </w:pPr>
            <w:r>
              <w:t xml:space="preserve">12 wks family</w:t>
            </w:r>
          </w:p>
        </w:tc>
        <w:tc>
          <w:tcPr/>
          <w:p>
            <w:pPr>
              <w:pStyle w:val="Compact"/>
              <w:jc w:val="left"/>
            </w:pPr>
            <w:r>
              <w:t xml:space="preserve">Below on all three</w:t>
            </w:r>
          </w:p>
        </w:tc>
      </w:tr>
      <w:tr>
        <w:tc>
          <w:tcPr/>
          <w:p>
            <w:pPr>
              <w:pStyle w:val="Compact"/>
              <w:jc w:val="left"/>
            </w:pPr>
            <w:r>
              <w:t xml:space="preserve">CO FAMLI</w:t>
            </w:r>
          </w:p>
        </w:tc>
        <w:tc>
          <w:tcPr/>
          <w:p>
            <w:pPr>
              <w:pStyle w:val="Compact"/>
              <w:jc w:val="left"/>
            </w:pPr>
            <w:r>
              <w:t xml:space="preserve">90%/50% tiered</w:t>
            </w:r>
          </w:p>
        </w:tc>
        <w:tc>
          <w:tcPr/>
          <w:p>
            <w:pPr>
              <w:pStyle w:val="Compact"/>
              <w:jc w:val="left"/>
            </w:pPr>
            <w:r>
              <w:t xml:space="preserve">~$1,100</w:t>
            </w:r>
          </w:p>
        </w:tc>
        <w:tc>
          <w:tcPr/>
          <w:p>
            <w:pPr>
              <w:pStyle w:val="Compact"/>
              <w:jc w:val="left"/>
            </w:pPr>
            <w:r>
              <w:t xml:space="preserve">12 wks (+4 preg.)</w:t>
            </w:r>
          </w:p>
        </w:tc>
        <w:tc>
          <w:tcPr/>
          <w:p>
            <w:pPr>
              <w:pStyle w:val="Compact"/>
              <w:jc w:val="left"/>
            </w:pPr>
            <w:r>
              <w:t xml:space="preserve">Below;</w:t>
            </w:r>
            <w:r>
              <w:t xml:space="preserve"> </w:t>
            </w:r>
            <w:r>
              <w:rPr>
                <w:b/>
                <w:bCs/>
              </w:rPr>
              <w:t xml:space="preserve">no opt-out available</w:t>
            </w:r>
          </w:p>
        </w:tc>
      </w:tr>
      <w:tr>
        <w:tc>
          <w:tcPr/>
          <w:p>
            <w:pPr>
              <w:pStyle w:val="Compact"/>
              <w:jc w:val="left"/>
            </w:pPr>
            <w:r>
              <w:t xml:space="preserve">PLO</w:t>
            </w:r>
          </w:p>
        </w:tc>
        <w:tc>
          <w:tcPr/>
          <w:p>
            <w:pPr>
              <w:pStyle w:val="Compact"/>
              <w:jc w:val="left"/>
            </w:pPr>
            <w:r>
              <w:t xml:space="preserve">100%/50% tiered</w:t>
            </w:r>
          </w:p>
        </w:tc>
        <w:tc>
          <w:tcPr/>
          <w:p>
            <w:pPr>
              <w:pStyle w:val="Compact"/>
              <w:jc w:val="left"/>
            </w:pPr>
            <w:r>
              <w:t xml:space="preserve">~$1,523.63</w:t>
            </w:r>
          </w:p>
        </w:tc>
        <w:tc>
          <w:tcPr/>
          <w:p>
            <w:pPr>
              <w:pStyle w:val="Compact"/>
              <w:jc w:val="left"/>
            </w:pPr>
            <w:r>
              <w:t xml:space="preserve">12 wks (+2 preg.)</w:t>
            </w:r>
          </w:p>
        </w:tc>
        <w:tc>
          <w:tcPr/>
          <w:p>
            <w:pPr>
              <w:pStyle w:val="Compact"/>
              <w:jc w:val="left"/>
            </w:pPr>
            <w:r>
              <w:t xml:space="preserve">Below on all three</w:t>
            </w:r>
          </w:p>
        </w:tc>
      </w:tr>
      <w:tr>
        <w:tc>
          <w:tcPr/>
          <w:p>
            <w:pPr>
              <w:pStyle w:val="Compact"/>
              <w:jc w:val="left"/>
            </w:pPr>
            <w:r>
              <w:t xml:space="preserve">WA PFML</w:t>
            </w:r>
          </w:p>
        </w:tc>
        <w:tc>
          <w:tcPr/>
          <w:p>
            <w:pPr>
              <w:pStyle w:val="Compact"/>
              <w:jc w:val="left"/>
            </w:pPr>
            <w:r>
              <w:t xml:space="preserve">90%/50% tiered</w:t>
            </w:r>
          </w:p>
        </w:tc>
        <w:tc>
          <w:tcPr/>
          <w:p>
            <w:pPr>
              <w:pStyle w:val="Compact"/>
              <w:jc w:val="left"/>
            </w:pPr>
            <w:r>
              <w:t xml:space="preserve">~$1,526</w:t>
            </w:r>
          </w:p>
        </w:tc>
        <w:tc>
          <w:tcPr/>
          <w:p>
            <w:pPr>
              <w:pStyle w:val="Compact"/>
              <w:jc w:val="left"/>
            </w:pPr>
            <w:r>
              <w:t xml:space="preserve">12 wks family</w:t>
            </w:r>
          </w:p>
        </w:tc>
        <w:tc>
          <w:tcPr/>
          <w:p>
            <w:pPr>
              <w:pStyle w:val="Compact"/>
              <w:jc w:val="left"/>
            </w:pPr>
            <w:r>
              <w:t xml:space="preserve">Below on all three</w:t>
            </w:r>
          </w:p>
        </w:tc>
      </w:tr>
    </w:tbl>
    <w:p>
      <w:pPr>
        <w:pStyle w:val="BodyText"/>
      </w:pPr>
      <w:r>
        <w:rPr>
          <w:b/>
          <w:bCs/>
        </w:rPr>
        <w:t xml:space="preserve">Legal basis.</w:t>
      </w:r>
      <w:r>
        <w:t xml:space="preserve"> </w:t>
      </w:r>
      <w:r>
        <w:t xml:space="preserve">Each of the seven jurisdictions administers a mandatory state paid leave program. Six (NJ, NY, CT, MA, OR, WA) permit an employer to substitute an approved private or voluntary plan, but only where the plan is formally approved by the administering agency and provides benefits that meet or exceed the state program in</w:t>
      </w:r>
      <w:r>
        <w:t xml:space="preserve"> </w:t>
      </w:r>
      <w:r>
        <w:rPr>
          <w:b/>
          <w:bCs/>
        </w:rPr>
        <w:t xml:space="preserve">all respects</w:t>
      </w:r>
      <w:r>
        <w:t xml:space="preserve"> </w:t>
      </w:r>
      <w:r>
        <w:t xml:space="preserve">— wage-replacement rate, weekly cap, duration, covered leave types, and eligibility. Colorado FAMLI does</w:t>
      </w:r>
      <w:r>
        <w:t xml:space="preserve"> </w:t>
      </w:r>
      <w:r>
        <w:rPr>
          <w:b/>
          <w:bCs/>
        </w:rPr>
        <w:t xml:space="preserve">not</w:t>
      </w:r>
      <w:r>
        <w:t xml:space="preserve"> </w:t>
      </w:r>
      <w:r>
        <w:t xml:space="preserve">permit private-employer opt-out (the opt-out is limited to local government employers); private employers must participate in the state program. Because the Company has filed no private-plan application anywhere, and because the self-funded benefit is below the statutory minimum in every state, the self-funded plan does</w:t>
      </w:r>
      <w:r>
        <w:t xml:space="preserve"> </w:t>
      </w:r>
      <w:r>
        <w:rPr>
          <w:b/>
          <w:bCs/>
        </w:rPr>
        <w:t xml:space="preserve">not</w:t>
      </w:r>
      <w:r>
        <w:t xml:space="preserve"> </w:t>
      </w:r>
      <w:r>
        <w:t xml:space="preserve">lawfully substitute for any state program. Employees therefore retain their full statutory entitlements under each state program, and the Company’s representation in §6.3.7 that the self-funded benefit</w:t>
      </w:r>
      <w:r>
        <w:t xml:space="preserve"> </w:t>
      </w:r>
      <w:r>
        <w:t xml:space="preserve">“</w:t>
      </w:r>
      <w:r>
        <w:t xml:space="preserve">is intended to satisfy any applicable state mandate</w:t>
      </w:r>
      <w:r>
        <w:t xml:space="preserve">”</w:t>
      </w:r>
      <w:r>
        <w:t xml:space="preserve"> </w:t>
      </w:r>
      <w:r>
        <w:t xml:space="preserve">is not legally operative.</w:t>
      </w:r>
    </w:p>
    <w:p>
      <w:pPr>
        <w:pStyle w:val="BodyText"/>
      </w:pPr>
      <w:r>
        <w:rPr>
          <w:b/>
          <w:bCs/>
        </w:rPr>
        <w:t xml:space="preserve">Risk.</w:t>
      </w:r>
      <w:r>
        <w:t xml:space="preserve"> </w:t>
      </w:r>
      <w:r>
        <w:t xml:space="preserve">The Company faces dual exposure: (i) employees are paying into the state programs (via PinnacleHR withholdings in NJ, NY, and CT) and are entitled to the full statutory benefit, yet the Handbook tells them the self-funded plan satisfies the mandate — creating employee confusion, potential misdirection of claims, and restitution/penalty exposure; and (ii) in the expansion states, the Company has not registered and is not providing any compliant benefit. The self-funded plan also omits qualifying reasons that several state programs cover — including the employee’s own serious health condition (CT, MA, CO, OR, WA), qualifying military exigency (NY, CT, MA, CO, OR, WA), safe leave (CT, CO, OR), and bereavement (CO). The plan’s eligibility threshold (12 months’ employment plus 1,000 hours worked) is more restrictive than the earnings-based eligibility of every state program.</w:t>
      </w:r>
    </w:p>
    <w:p>
      <w:pPr>
        <w:pStyle w:val="BodyText"/>
      </w:pPr>
      <w:r>
        <w:rPr>
          <w:b/>
          <w:bCs/>
        </w:rPr>
        <w:t xml:space="preserve">Recommendation.</w:t>
      </w:r>
      <w:r>
        <w:t xml:space="preserve"> </w:t>
      </w:r>
      <w:r>
        <w:t xml:space="preserve">H&amp;C recommends that the Company</w:t>
      </w:r>
      <w:r>
        <w:t xml:space="preserve"> </w:t>
      </w:r>
      <w:r>
        <w:rPr>
          <w:b/>
          <w:bCs/>
        </w:rPr>
        <w:t xml:space="preserve">participate in the state-administered programs in all seven jurisdictions</w:t>
      </w:r>
      <w:r>
        <w:t xml:space="preserve"> </w:t>
      </w:r>
      <w:r>
        <w:t xml:space="preserve">(mandatory in Colorado in any event) and reposition the self-funded benefit, if retained, as a clearly-labeled</w:t>
      </w:r>
      <w:r>
        <w:t xml:space="preserve"> </w:t>
      </w:r>
      <w:r>
        <w:rPr>
          <w:b/>
          <w:bCs/>
        </w:rPr>
        <w:t xml:space="preserve">supplemental</w:t>
      </w:r>
      <w:r>
        <w:t xml:space="preserve"> </w:t>
      </w:r>
      <w:r>
        <w:t xml:space="preserve">top-up only — or discontinue it to eliminate employee confusion and dual-coverage risk. If the Company wishes to pursue private-plan approvals in NJ, NY, CT, MA, OR, or WA, the self-funded benefit must first be enhanced to meet or exceed each state’s statutory minimums in all respects, and formal applications must be filed with the respective agencies. Given the cost and complexity of maintaining seven separate approved private plans, H&amp;C’s preliminary recommendation is full state-program participation with an optional supplemental top-up. This is a structural decision that warrants a dedicated follow-up discussion with the Company’s finance and HR leadership.</w:t>
      </w:r>
    </w:p>
    <w:bookmarkEnd w:id="28"/>
    <w:bookmarkStart w:id="29" w:name="Xa881ab7ccb1a34f362c4372b483859a183051bf"/>
    <w:p>
      <w:pPr>
        <w:pStyle w:val="Heading3"/>
      </w:pPr>
      <w:r>
        <w:t xml:space="preserve">C-5. No Paid Medical Leave for Employee’s Own Serious Health Condition; HR Misdirection to Voluntary STD</w:t>
      </w:r>
    </w:p>
    <w:p>
      <w:pPr>
        <w:pStyle w:val="FirstParagraph"/>
      </w:pPr>
      <w:r>
        <w:rPr>
          <w:b/>
          <w:bCs/>
        </w:rPr>
        <w:t xml:space="preserve">Deficiency.</w:t>
      </w:r>
      <w:r>
        <w:t xml:space="preserve"> </w:t>
      </w:r>
      <w:r>
        <w:t xml:space="preserve">The Company provides no employer-funded paid medical leave for an employee’s own serious health condition (Handbook §6.4.1). Employees are directed to accrued sick leave (capped at 40 hours for full-time employees) and to a voluntary, employee-paid short-term disability (</w:t>
      </w:r>
      <w:r>
        <w:t xml:space="preserve">“</w:t>
      </w:r>
      <w:r>
        <w:t xml:space="preserve">STD</w:t>
      </w:r>
      <w:r>
        <w:t xml:space="preserve">”</w:t>
      </w:r>
      <w:r>
        <w:t xml:space="preserve">) plan administered by Keystone Benefit Administrators, in which fewer than 30% of Connecticut hourly staff are enrolled. Critically, HR staff at the New Jersey, New York, and Connecticut facilities have been</w:t>
      </w:r>
      <w:r>
        <w:t xml:space="preserve"> </w:t>
      </w:r>
      <w:r>
        <w:rPr>
          <w:b/>
          <w:bCs/>
        </w:rPr>
        <w:t xml:space="preserve">directing employees who inquire about paid medical leave for their own conditions to the voluntary Keystone STD plan rather than to the state programs</w:t>
      </w:r>
      <w:r>
        <w:t xml:space="preserve"> </w:t>
      </w:r>
      <w:r>
        <w:t xml:space="preserve">(NJ TDI, NY DBL, CT PL) into which those employees are already contributing via PinnacleHR withholdings. The internal email thread identifies at least seven such inquiries in the prior twelve months (four in Connecticut, two in New Jersey, one in New York), including employees facing a hip replacement and a chronic autoimmune condition.</w:t>
      </w:r>
    </w:p>
    <w:p>
      <w:pPr>
        <w:pStyle w:val="BodyText"/>
      </w:pPr>
      <w:r>
        <w:rPr>
          <w:b/>
          <w:bCs/>
        </w:rPr>
        <w:t xml:space="preserve">Legal basis.</w:t>
      </w:r>
      <w:r>
        <w:t xml:space="preserve"> </w:t>
      </w:r>
      <w:r>
        <w:t xml:space="preserve">Each of the seven jurisdictions provides state-mandated paid medical leave for an employee’s own serious health condition: NJ TDI (up to 26 weeks at 85% of AWW); NY DBL (up to 26 weeks at $170/week statutory minimum); CT PL (up to 12 weeks at the 95%/60% tiered rate); MA PFML medical (up to 20 weeks); CO FAMLI medical (up to 12 weeks); PLO medical (up to 12 weeks); and WA PFML medical (up to 12 weeks). Employees in NJ, NY, and CT are paying into these programs through mandatory wage withholdings and are entitled to file claims directly with the state programs. The Company’s Handbook statement that it</w:t>
      </w:r>
      <w:r>
        <w:t xml:space="preserve"> </w:t>
      </w:r>
      <w:r>
        <w:t xml:space="preserve">“</w:t>
      </w:r>
      <w:r>
        <w:t xml:space="preserve">does NOT provide employer-funded paid medical leave</w:t>
      </w:r>
      <w:r>
        <w:t xml:space="preserve">”</w:t>
      </w:r>
      <w:r>
        <w:t xml:space="preserve"> </w:t>
      </w:r>
      <w:r>
        <w:t xml:space="preserve">is, in isolation, permissible — but only because the state programs supply the benefit. The operational misdirection of employees to a voluntary, employee-paid plan in lieu of the state programs to which they are already contributing is a serious administrative deficiency.</w:t>
      </w:r>
    </w:p>
    <w:p>
      <w:pPr>
        <w:pStyle w:val="BodyText"/>
      </w:pPr>
      <w:r>
        <w:rPr>
          <w:b/>
          <w:bCs/>
        </w:rPr>
        <w:t xml:space="preserve">Risk.</w:t>
      </w:r>
      <w:r>
        <w:t xml:space="preserve"> </w:t>
      </w:r>
      <w:r>
        <w:t xml:space="preserve">Employees who were misdirected to Keystone instead of the state programs may have grounds for retroactive claims and restitution, and the pattern is precisely the kind of practice that prompted the Muñoz complaint — employees are willing to escalate to state agencies when they believe they have not received what they are entitled to. The misdirection also creates a record of inconsistent administration across sites, which could support disparate-treatment or discrimination claims. In the expansion states, the absence of registration means no state medical-leave coverage is configured at all, leaving a complete gap for employees’ own serious health conditions.</w:t>
      </w:r>
    </w:p>
    <w:p>
      <w:pPr>
        <w:pStyle w:val="BodyText"/>
      </w:pPr>
      <w:r>
        <w:rPr>
          <w:b/>
          <w:bCs/>
        </w:rPr>
        <w:t xml:space="preserve">Recommendation.</w:t>
      </w:r>
      <w:r>
        <w:t xml:space="preserve"> </w:t>
      </w:r>
      <w:r>
        <w:t xml:space="preserve">The Company should (i) issue immediate interim guidance (extending the March 17, 2025 guidance from Ms. Thorsen) directing all HR staff to inform employees inquiring about their own medical conditions of the applicable state program and to escalate uncertain cases to the Director of HR; (ii) compile the complete list of prior misdirected inquiries (in progress per the email thread) for H&amp;C’s review to assess restitution exposure; (iii) ensure that, upon registration in each expansion state, the state medical-leave program is the primary benefit and the voluntary STD plan is positioned as supplemental only; and (iv) revise Handbook §6.4 to accurately describe the state programs as the source of paid medical leave and to clarify the supplemental role of the voluntary STD plan.</w:t>
      </w:r>
    </w:p>
    <w:p>
      <w:r>
        <w:pict>
          <v:rect style="width:0;height:1.5pt" o:hralign="center" o:hrstd="t" o:hr="t"/>
        </w:pict>
      </w:r>
    </w:p>
    <w:bookmarkEnd w:id="29"/>
    <w:bookmarkEnd w:id="30"/>
    <w:bookmarkStart w:id="41" w:name="high-deficiencies"/>
    <w:p>
      <w:pPr>
        <w:pStyle w:val="Heading2"/>
      </w:pPr>
      <w:r>
        <w:t xml:space="preserve">5. High Deficiencies</w:t>
      </w:r>
    </w:p>
    <w:bookmarkStart w:id="31" w:name="X8baaf444bd90a757f65b6e834b3e5f192496980"/>
    <w:p>
      <w:pPr>
        <w:pStyle w:val="Heading3"/>
      </w:pPr>
      <w:r>
        <w:t xml:space="preserve">H-1. Paid Sick Leave Accrual Rate Below Statutory Requirement (NJ, NY, MA, CO, OR)</w:t>
      </w:r>
    </w:p>
    <w:p>
      <w:pPr>
        <w:pStyle w:val="FirstParagraph"/>
      </w:pPr>
      <w:r>
        <w:t xml:space="preserve">The Company accrues paid sick leave at 1 hour per 40 hours worked. New Jersey (N.J.S.A. 34:11D-3), New York (NYLL §196-b), Massachusetts (M.G.L. c. 149 §148C), Colorado (C.R.S. §8-13.3-403), and Oregon (ORS 653.601) each require 1 hour per 30 hours worked. The Company’s slower accrual rate means employees — particularly part-time and reduced-schedule employees — accrue less leave than the statutes require, and may never reach the annual cap that the statutes guarantee. Connecticut (1 hour per 40 hours) and Washington (1 hour per 40 hours) match the Company’s rate.</w:t>
      </w:r>
      <w:r>
        <w:t xml:space="preserve"> </w:t>
      </w:r>
      <w:r>
        <w:rPr>
          <w:b/>
          <w:bCs/>
        </w:rPr>
        <w:t xml:space="preserve">Remediation:</w:t>
      </w:r>
      <w:r>
        <w:t xml:space="preserve"> </w:t>
      </w:r>
      <w:r>
        <w:t xml:space="preserve">Adopt 1 hour per 30 hours worked as the company-wide accrual rate (compliant in all seven states), or apply state-specific rates. This change should be reflected in the July 1, 2025 Handbook revision and in the leave-tracking system configuration.</w:t>
      </w:r>
    </w:p>
    <w:bookmarkEnd w:id="31"/>
    <w:bookmarkStart w:id="32" w:name="X052fd2dea172543c232560cc7617b810c3da989"/>
    <w:p>
      <w:pPr>
        <w:pStyle w:val="Heading3"/>
      </w:pPr>
      <w:r>
        <w:t xml:space="preserve">H-2. Paid Sick Leave Annual Cap Deficiencies (All Seven States)</w:t>
      </w:r>
    </w:p>
    <w:p>
      <w:pPr>
        <w:pStyle w:val="FirstParagraph"/>
      </w:pPr>
      <w:r>
        <w:t xml:space="preserve">Three distinct cap deficiencies exist. First,</w:t>
      </w:r>
      <w:r>
        <w:t xml:space="preserve"> </w:t>
      </w:r>
      <w:r>
        <w:rPr>
          <w:b/>
          <w:bCs/>
        </w:rPr>
        <w:t xml:space="preserve">New York</w:t>
      </w:r>
      <w:r>
        <w:t xml:space="preserve"> </w:t>
      </w:r>
      <w:r>
        <w:t xml:space="preserve">requires employers with 100 or more employees to provide up to</w:t>
      </w:r>
      <w:r>
        <w:t xml:space="preserve"> </w:t>
      </w:r>
      <w:r>
        <w:rPr>
          <w:b/>
          <w:bCs/>
        </w:rPr>
        <w:t xml:space="preserve">56 hours</w:t>
      </w:r>
      <w:r>
        <w:t xml:space="preserve"> </w:t>
      </w:r>
      <w:r>
        <w:t xml:space="preserve">per year; the Company’s 40-hour cap is short by 16 hours for its 680 New York employees. Second,</w:t>
      </w:r>
      <w:r>
        <w:t xml:space="preserve"> </w:t>
      </w:r>
      <w:r>
        <w:rPr>
          <w:b/>
          <w:bCs/>
        </w:rPr>
        <w:t xml:space="preserve">Colorado</w:t>
      </w:r>
      <w:r>
        <w:t xml:space="preserve"> </w:t>
      </w:r>
      <w:r>
        <w:t xml:space="preserve">requires up to</w:t>
      </w:r>
      <w:r>
        <w:t xml:space="preserve"> </w:t>
      </w:r>
      <w:r>
        <w:rPr>
          <w:b/>
          <w:bCs/>
        </w:rPr>
        <w:t xml:space="preserve">48 hours</w:t>
      </w:r>
      <w:r>
        <w:t xml:space="preserve"> </w:t>
      </w:r>
      <w:r>
        <w:t xml:space="preserve">per year; the Company’s 40-hour cap is short by 8 hours. Third,</w:t>
      </w:r>
      <w:r>
        <w:t xml:space="preserve"> </w:t>
      </w:r>
      <w:r>
        <w:rPr>
          <w:b/>
          <w:bCs/>
        </w:rPr>
        <w:t xml:space="preserve">Washington</w:t>
      </w:r>
      <w:r>
        <w:t xml:space="preserve"> </w:t>
      </w:r>
      <w:r>
        <w:t xml:space="preserve">permits</w:t>
      </w:r>
      <w:r>
        <w:t xml:space="preserve"> </w:t>
      </w:r>
      <w:r>
        <w:rPr>
          <w:b/>
          <w:bCs/>
        </w:rPr>
        <w:t xml:space="preserve">no cap on accrual</w:t>
      </w:r>
      <w:r>
        <w:t xml:space="preserve"> </w:t>
      </w:r>
      <w:r>
        <w:t xml:space="preserve">(an employer may cap</w:t>
      </w:r>
      <w:r>
        <w:t xml:space="preserve"> </w:t>
      </w:r>
      <w:r>
        <w:rPr>
          <w:i/>
          <w:iCs/>
        </w:rPr>
        <w:t xml:space="preserve">use</w:t>
      </w:r>
      <w:r>
        <w:t xml:space="preserve"> </w:t>
      </w:r>
      <w:r>
        <w:t xml:space="preserve">at a reasonable level, but not accrual); the Company’s 40-hour accrual cap is non-compliant. Fourth, and applicable in</w:t>
      </w:r>
      <w:r>
        <w:t xml:space="preserve"> </w:t>
      </w:r>
      <w:r>
        <w:rPr>
          <w:b/>
          <w:bCs/>
        </w:rPr>
        <w:t xml:space="preserve">all seven states</w:t>
      </w:r>
      <w:r>
        <w:t xml:space="preserve">, the Company caps part-time employees at</w:t>
      </w:r>
      <w:r>
        <w:t xml:space="preserve"> </w:t>
      </w:r>
      <w:r>
        <w:rPr>
          <w:b/>
          <w:bCs/>
        </w:rPr>
        <w:t xml:space="preserve">24 hours</w:t>
      </w:r>
      <w:r>
        <w:t xml:space="preserve"> </w:t>
      </w:r>
      <w:r>
        <w:t xml:space="preserve">per year, whereas every state’s cap (40 or 48 or 56 hours, or uncapped) applies regardless of full-time or part-time status. The 24-hour part-time cap is non-compliant in all seven jurisdictions and has already produced a documented error (a New Jersey part-time associate’s balance was incorrectly capped at 24 hours).</w:t>
      </w:r>
      <w:r>
        <w:t xml:space="preserve"> </w:t>
      </w:r>
      <w:r>
        <w:rPr>
          <w:b/>
          <w:bCs/>
        </w:rPr>
        <w:t xml:space="preserve">Remediation:</w:t>
      </w:r>
      <w:r>
        <w:t xml:space="preserve"> </w:t>
      </w:r>
      <w:r>
        <w:t xml:space="preserve">Set the annual cap at the highest applicable state requirement (56 hours) or apply state-specific caps; eliminate the separate, lower part-time cap entirely.</w:t>
      </w:r>
    </w:p>
    <w:bookmarkEnd w:id="32"/>
    <w:bookmarkStart w:id="33" w:name="X3c7c3074b8f232e23f9b753603bb1e0f42c1088"/>
    <w:p>
      <w:pPr>
        <w:pStyle w:val="Heading3"/>
      </w:pPr>
      <w:r>
        <w:t xml:space="preserve">H-3. Paid Sick Leave Waiting Period Non-Compliant (NY, MA, CO, OR, WA; At Risk in CT)</w:t>
      </w:r>
    </w:p>
    <w:p>
      <w:pPr>
        <w:pStyle w:val="FirstParagraph"/>
      </w:pPr>
      <w:r>
        <w:t xml:space="preserve">The Company imposes a uniform 120-day waiting period before accrued sick leave may be used. New York permits</w:t>
      </w:r>
      <w:r>
        <w:t xml:space="preserve"> </w:t>
      </w:r>
      <w:r>
        <w:rPr>
          <w:b/>
          <w:bCs/>
        </w:rPr>
        <w:t xml:space="preserve">no waiting period</w:t>
      </w:r>
      <w:r>
        <w:t xml:space="preserve"> </w:t>
      </w:r>
      <w:r>
        <w:t xml:space="preserve">(leave is usable as accrued). Massachusetts, Oregon, and Washington each permit use after</w:t>
      </w:r>
      <w:r>
        <w:t xml:space="preserve"> </w:t>
      </w:r>
      <w:r>
        <w:rPr>
          <w:b/>
          <w:bCs/>
        </w:rPr>
        <w:t xml:space="preserve">90 days</w:t>
      </w:r>
      <w:r>
        <w:t xml:space="preserve"> </w:t>
      </w:r>
      <w:r>
        <w:t xml:space="preserve">of employment; the Company’s 120-day period exceeds each by 30 days. Colorado permits</w:t>
      </w:r>
      <w:r>
        <w:t xml:space="preserve"> </w:t>
      </w:r>
      <w:r>
        <w:rPr>
          <w:b/>
          <w:bCs/>
        </w:rPr>
        <w:t xml:space="preserve">no waiting period</w:t>
      </w:r>
      <w:r>
        <w:t xml:space="preserve"> </w:t>
      </w:r>
      <w:r>
        <w:t xml:space="preserve">(leave is usable immediately from the first day). Connecticut permits use after 680 hours of employment or the 90th calendar day, whichever is earlier; the uniform 120-day period may exceed the statutory threshold for some employees and is at risk. New Jersey expressly permits a 120-day waiting period for new hires and is compliant. The waiting period has already produced a documented denial: a Newark employee’s sick leave request was denied because the 120-day period had not elapsed.</w:t>
      </w:r>
      <w:r>
        <w:t xml:space="preserve"> </w:t>
      </w:r>
      <w:r>
        <w:rPr>
          <w:b/>
          <w:bCs/>
        </w:rPr>
        <w:t xml:space="preserve">Remediation:</w:t>
      </w:r>
      <w:r>
        <w:t xml:space="preserve"> </w:t>
      </w:r>
      <w:r>
        <w:t xml:space="preserve">Eliminate the waiting period in New York and Colorado; reduce to 90 days in Massachusetts, Oregon, and Washington; and apply the Connecticut threshold. A state-specific approach (or a uniform 90-day standard with no waiting period in NY/CO) is required.</w:t>
      </w:r>
    </w:p>
    <w:bookmarkEnd w:id="33"/>
    <w:bookmarkStart w:id="34" w:name="X4213377eef7a2c9bd3ba0c039ab64f0e8c36584"/>
    <w:p>
      <w:pPr>
        <w:pStyle w:val="Heading3"/>
      </w:pPr>
      <w:r>
        <w:t xml:space="preserve">H-4. No Carryover of Unused Sick Leave (All Seven States)</w:t>
      </w:r>
    </w:p>
    <w:p>
      <w:pPr>
        <w:pStyle w:val="FirstParagraph"/>
      </w:pPr>
      <w:r>
        <w:t xml:space="preserve">The Company resets all sick leave balances to zero on January 1 and permits no carryover. Every one of the seven jurisdictions requires carryover of unused sick leave to the following year (NJ, NY, CT, MA, OR, WA: up to 40 hours; CO: carryover required; WA: all unused leave carries over), or, in the alternative, payment for unused leave or frontloading. The Company does none of these. The no-carryover policy is non-compliant in all seven states and has produced documented forfeitures (e.g., a Newark employee forfeited 8 unused hours; a Queens employee forfeited 18).</w:t>
      </w:r>
      <w:r>
        <w:t xml:space="preserve"> </w:t>
      </w:r>
      <w:r>
        <w:rPr>
          <w:b/>
          <w:bCs/>
        </w:rPr>
        <w:t xml:space="preserve">Remediation:</w:t>
      </w:r>
      <w:r>
        <w:t xml:space="preserve"> </w:t>
      </w:r>
      <w:r>
        <w:t xml:space="preserve">Provide for carryover of unused sick leave up to at least 40 hours (or the applicable state amount), or frontload the annual entitlement at the start of each year, or pay out unused leave — and configure the leave-tracking system accordingly.</w:t>
      </w:r>
    </w:p>
    <w:bookmarkEnd w:id="34"/>
    <w:bookmarkStart w:id="35" w:name="Xf0b04b625e5b20d924b7e7f666b73ae217cded4"/>
    <w:p>
      <w:pPr>
        <w:pStyle w:val="Heading3"/>
      </w:pPr>
      <w:r>
        <w:t xml:space="preserve">H-5. Paid Sick Leave Covered Uses Unduly Narrow (All Seven States)</w:t>
      </w:r>
    </w:p>
    <w:p>
      <w:pPr>
        <w:pStyle w:val="FirstParagraph"/>
      </w:pPr>
      <w:r>
        <w:t xml:space="preserve">The Company’s policy (§6.2.5) permits sick leave only for the employee’s own illness, medical appointment, and work injury. Every state requires additional covered uses, including: care of a family member during illness; preventive care; absences related to domestic violence, sexual assault, or stalking (</w:t>
      </w:r>
      <w:r>
        <w:t xml:space="preserve">“</w:t>
      </w:r>
      <w:r>
        <w:t xml:space="preserve">safe leave</w:t>
      </w:r>
      <w:r>
        <w:t xml:space="preserve">”</w:t>
      </w:r>
      <w:r>
        <w:t xml:space="preserve">); public-health-emergency closures (including school closures); and, in Connecticut, organ/bone-marrow donation and school-related functions, and in Colorado, bereavement. The omission of these uses is non-compliant in all seven states and is the second alleged violation in the Muñoz complaint.</w:t>
      </w:r>
      <w:r>
        <w:t xml:space="preserve"> </w:t>
      </w:r>
      <w:r>
        <w:rPr>
          <w:b/>
          <w:bCs/>
        </w:rPr>
        <w:t xml:space="preserve">Remediation:</w:t>
      </w:r>
      <w:r>
        <w:t xml:space="preserve"> </w:t>
      </w:r>
      <w:r>
        <w:t xml:space="preserve">Expand the enumerated covered uses to include all categories required by the most protective state (achieving compliance in all seven), with state-specific addenda where a state requires a use not universally required.</w:t>
      </w:r>
    </w:p>
    <w:bookmarkEnd w:id="35"/>
    <w:bookmarkStart w:id="36" w:name="Xa8ede28a4ffc37703c54f2beb2572c9f69cd345"/>
    <w:p>
      <w:pPr>
        <w:pStyle w:val="Heading3"/>
      </w:pPr>
      <w:r>
        <w:t xml:space="preserve">H-6. Paid Sick Leave</w:t>
      </w:r>
      <w:r>
        <w:t xml:space="preserve"> </w:t>
      </w:r>
      <w:r>
        <w:t xml:space="preserve">“</w:t>
      </w:r>
      <w:r>
        <w:t xml:space="preserve">Family Member</w:t>
      </w:r>
      <w:r>
        <w:t xml:space="preserve">”</w:t>
      </w:r>
      <w:r>
        <w:t xml:space="preserve"> </w:t>
      </w:r>
      <w:r>
        <w:t xml:space="preserve">Definition Unduly Narrow (All Seven States)</w:t>
      </w:r>
    </w:p>
    <w:p>
      <w:pPr>
        <w:pStyle w:val="FirstParagraph"/>
      </w:pPr>
      <w:r>
        <w:t xml:space="preserve">As detailed in C-3, the Company’s definition (spouse, child, parent) is narrower than every state’s statutory definition. This is non-compliant in all seven jurisdictions and is the subject of active enforcement in New Jersey.</w:t>
      </w:r>
      <w:r>
        <w:t xml:space="preserve"> </w:t>
      </w:r>
      <w:r>
        <w:rPr>
          <w:b/>
          <w:bCs/>
        </w:rPr>
        <w:t xml:space="preserve">Remediation:</w:t>
      </w:r>
      <w:r>
        <w:t xml:space="preserve"> </w:t>
      </w:r>
      <w:r>
        <w:t xml:space="preserve">Adopt the broadest applicable state definition (encompassing domestic partners, children of domestic partners, civil-union partners, grandparents, grandchildren, siblings, other blood relatives, and affinity-equivalent individuals) as the company-wide standard.</w:t>
      </w:r>
    </w:p>
    <w:bookmarkEnd w:id="36"/>
    <w:bookmarkStart w:id="37" w:name="Xecd592b4ce96e3139d927221ac9f644eb7b30d2"/>
    <w:p>
      <w:pPr>
        <w:pStyle w:val="Heading3"/>
      </w:pPr>
      <w:r>
        <w:t xml:space="preserve">H-7. PTO/Vacation Payout on Separation Non-Compliant (MA, CO, OR, WA)</w:t>
      </w:r>
    </w:p>
    <w:p>
      <w:pPr>
        <w:pStyle w:val="FirstParagraph"/>
      </w:pPr>
      <w:r>
        <w:t xml:space="preserve">The Company’s policy (§6.5.4) pays out accrued unused PTO in Connecticut only and forfeits it in all other jurisdictions. Massachusetts (Wage Act, M.G.L. c. 149 §148), Colorado (C.R.S. §8-4-101</w:t>
      </w:r>
      <w:r>
        <w:t xml:space="preserve"> </w:t>
      </w:r>
      <w:r>
        <w:rPr>
          <w:i/>
          <w:iCs/>
        </w:rPr>
        <w:t xml:space="preserve">et seq.</w:t>
      </w:r>
      <w:r>
        <w:t xml:space="preserve">), Oregon (ORS 652.140), and Washington (RCW 49.48.010) each treat accrued vacation as wages that must be paid on separation (subject, in OR and WA, to a narrow exception for a clear, written forfeiture policy applied before vesting — an exception the Company’s blanket no-payout policy does not satisfy as applied). New Jersey and New York permit use-it-or-lose-it policies if clearly stated in writing, and the Company’s policy is compliant in those two states. The Massachusetts Wage Act is particularly hazardous: it provides for</w:t>
      </w:r>
      <w:r>
        <w:t xml:space="preserve"> </w:t>
      </w:r>
      <w:r>
        <w:rPr>
          <w:b/>
          <w:bCs/>
        </w:rPr>
        <w:t xml:space="preserve">treble damages plus attorney’s fees</w:t>
      </w:r>
      <w:r>
        <w:t xml:space="preserve"> </w:t>
      </w:r>
      <w:r>
        <w:t xml:space="preserve">for non-payment of earned wages. The Colorado candidate who raised this issue in the internal email is correct that Colorado requires payout of all accrued unused vacation.</w:t>
      </w:r>
      <w:r>
        <w:t xml:space="preserve"> </w:t>
      </w:r>
      <w:r>
        <w:rPr>
          <w:b/>
          <w:bCs/>
        </w:rPr>
        <w:t xml:space="preserve">Remediation:</w:t>
      </w:r>
      <w:r>
        <w:t xml:space="preserve"> </w:t>
      </w:r>
      <w:r>
        <w:t xml:space="preserve">Revise §6.5.4 to provide for payout of accrued unused PTO/vacation on separation in MA, CO, OR, and WA (and confirm the CT practice continues). This must be completed before the first Massachusetts employee is hired (the MA facility opens August 1, 2025, one month after the July 1, 2025 Handbook target). The Colorado offer letters should not state a blanket no-payout position (per Ms. Thorsen’s March 12, 2025 guidance).</w:t>
      </w:r>
    </w:p>
    <w:bookmarkEnd w:id="37"/>
    <w:bookmarkStart w:id="38" w:name="X92664f048dcd36ee6cf46830e0fdda68ed76743"/>
    <w:p>
      <w:pPr>
        <w:pStyle w:val="Heading3"/>
      </w:pPr>
      <w:r>
        <w:t xml:space="preserve">H-8. Paid Family Leave Qualifying Reasons Incomplete (All Seven States)</w:t>
      </w:r>
    </w:p>
    <w:p>
      <w:pPr>
        <w:pStyle w:val="FirstParagraph"/>
      </w:pPr>
      <w:r>
        <w:t xml:space="preserve">The Company’s self-funded plan covers bonding and family caregiving only. The state programs cover additional qualifying reasons: qualifying military exigency (NY, CT, MA, CO, OR, WA); the employee’s own serious health condition (CT, MA, CO, OR, WA — see C-5); safe leave (CT, CO, OR); organ/bone-marrow donation (CT); and bereavement (CO). Even if the Company participates in the state programs (per C-4), the Handbook’s description of qualifying reasons must be updated to reflect the state programs’ coverage.</w:t>
      </w:r>
      <w:r>
        <w:t xml:space="preserve"> </w:t>
      </w:r>
      <w:r>
        <w:rPr>
          <w:b/>
          <w:bCs/>
        </w:rPr>
        <w:t xml:space="preserve">Remediation:</w:t>
      </w:r>
      <w:r>
        <w:t xml:space="preserve"> </w:t>
      </w:r>
      <w:r>
        <w:t xml:space="preserve">Update §6.3.3 to describe the qualifying reasons available under each state program, and ensure the leave-request process routes employees to the appropriate state program for non-family-caregiving reasons.</w:t>
      </w:r>
    </w:p>
    <w:bookmarkEnd w:id="38"/>
    <w:bookmarkStart w:id="39" w:name="X3dd88e4ee1287fc42280883498364e3a0d1a43d"/>
    <w:p>
      <w:pPr>
        <w:pStyle w:val="Heading3"/>
      </w:pPr>
      <w:r>
        <w:t xml:space="preserve">H-9. Paid Family Leave Notice Requirement Lacks Unforeseeable-Leave Carve-Out (All Seven States)</w:t>
      </w:r>
    </w:p>
    <w:p>
      <w:pPr>
        <w:pStyle w:val="FirstParagraph"/>
      </w:pPr>
      <w:r>
        <w:t xml:space="preserve">The Company’s policy (§6.3.6) requires 30 days’ advance notice for all paid family leave, with no distinction between foreseeable and unforeseeable leave. Every state program requires 30 days’ notice for foreseeable leave but only</w:t>
      </w:r>
      <w:r>
        <w:t xml:space="preserve"> </w:t>
      </w:r>
      <w:r>
        <w:t xml:space="preserve">“</w:t>
      </w:r>
      <w:r>
        <w:t xml:space="preserve">as soon as practicable</w:t>
      </w:r>
      <w:r>
        <w:t xml:space="preserve">”</w:t>
      </w:r>
      <w:r>
        <w:t xml:space="preserve"> </w:t>
      </w:r>
      <w:r>
        <w:t xml:space="preserve">notice for unforeseeable leave. The policy’s silence on unforeseeable leave could be read as requiring 30 days in all cases, which is non-compliant. A Connecticut employee recently gave only 10 days’ notice before a family caregiving leave following an unexpected hospitalization; HR initially pushed back citing the 30-day rule before the leave was approved. The internal email confirms that practice has been</w:t>
      </w:r>
      <w:r>
        <w:t xml:space="preserve"> </w:t>
      </w:r>
      <w:r>
        <w:t xml:space="preserve">“</w:t>
      </w:r>
      <w:r>
        <w:t xml:space="preserve">flexible</w:t>
      </w:r>
      <w:r>
        <w:t xml:space="preserve">”</w:t>
      </w:r>
      <w:r>
        <w:t xml:space="preserve"> </w:t>
      </w:r>
      <w:r>
        <w:t xml:space="preserve">but</w:t>
      </w:r>
      <w:r>
        <w:t xml:space="preserve"> </w:t>
      </w:r>
      <w:r>
        <w:t xml:space="preserve">“</w:t>
      </w:r>
      <w:r>
        <w:t xml:space="preserve">without a framework,</w:t>
      </w:r>
      <w:r>
        <w:t xml:space="preserve">”</w:t>
      </w:r>
      <w:r>
        <w:t xml:space="preserve"> </w:t>
      </w:r>
      <w:r>
        <w:t xml:space="preserve">creating inconsistency across sites and disparate-treatment risk.</w:t>
      </w:r>
      <w:r>
        <w:t xml:space="preserve"> </w:t>
      </w:r>
      <w:r>
        <w:rPr>
          <w:b/>
          <w:bCs/>
        </w:rPr>
        <w:t xml:space="preserve">Remediation:</w:t>
      </w:r>
      <w:r>
        <w:t xml:space="preserve"> </w:t>
      </w:r>
      <w:r>
        <w:t xml:space="preserve">Revise §6.3.6 to require 30 days’ notice for foreseeable leave and notice</w:t>
      </w:r>
      <w:r>
        <w:t xml:space="preserve"> </w:t>
      </w:r>
      <w:r>
        <w:t xml:space="preserve">“</w:t>
      </w:r>
      <w:r>
        <w:t xml:space="preserve">as soon as practicable</w:t>
      </w:r>
      <w:r>
        <w:t xml:space="preserve">”</w:t>
      </w:r>
      <w:r>
        <w:t xml:space="preserve"> </w:t>
      </w:r>
      <w:r>
        <w:t xml:space="preserve">for unforeseeable leave, consistent with each state program. The March 17, 2025 interim guidance (do not deny or delay leave for unforeseeable situations) should remain in effect until the Handbook revision is published.</w:t>
      </w:r>
    </w:p>
    <w:bookmarkEnd w:id="39"/>
    <w:bookmarkStart w:id="40" w:name="X638974a9c890a2e8ea748802f6cec03459f3fc7"/>
    <w:p>
      <w:pPr>
        <w:pStyle w:val="Heading3"/>
      </w:pPr>
      <w:r>
        <w:t xml:space="preserve">H-10. Oregon and Washington Paid Leave Program Registration (Required, Lower Urgency)</w:t>
      </w:r>
    </w:p>
    <w:p>
      <w:pPr>
        <w:pStyle w:val="FirstParagraph"/>
      </w:pPr>
      <w:r>
        <w:t xml:space="preserve">The Company has not registered with Paid Leave Oregon (administered by the Oregon Employment Department) or the Washington Paid Family and Medical Leave program (administered by the Washington Employment Security Department). The Oregon facility opens February 1, 2026 and the Washington facility opens May 1, 2026. Factoring PinnacleHR’s configuration lead time, registration should be completed no later than approximately</w:t>
      </w:r>
      <w:r>
        <w:t xml:space="preserve"> </w:t>
      </w:r>
      <w:r>
        <w:rPr>
          <w:b/>
          <w:bCs/>
        </w:rPr>
        <w:t xml:space="preserve">December 1, 2025</w:t>
      </w:r>
      <w:r>
        <w:t xml:space="preserve"> </w:t>
      </w:r>
      <w:r>
        <w:t xml:space="preserve">(Oregon) and</w:t>
      </w:r>
      <w:r>
        <w:t xml:space="preserve"> </w:t>
      </w:r>
      <w:r>
        <w:rPr>
          <w:b/>
          <w:bCs/>
        </w:rPr>
        <w:t xml:space="preserve">March 1, 2026</w:t>
      </w:r>
      <w:r>
        <w:t xml:space="preserve"> </w:t>
      </w:r>
      <w:r>
        <w:t xml:space="preserve">(Washington). Although less urgent than Massachusetts and Colorado, these registrations must be initiated on schedule to avoid the same cascading configuration delays. Both states permit private-plan alternatives (which the current self-funded plan does not satisfy — see C-4).</w:t>
      </w:r>
      <w:r>
        <w:t xml:space="preserve"> </w:t>
      </w:r>
      <w:r>
        <w:rPr>
          <w:b/>
          <w:bCs/>
        </w:rPr>
        <w:t xml:space="preserve">Remediation:</w:t>
      </w:r>
      <w:r>
        <w:t xml:space="preserve"> </w:t>
      </w:r>
      <w:r>
        <w:t xml:space="preserve">Initiate Oregon registration by October 2025 and Washington registration by January 2026; confirm participation versus private-plan approach for each.</w:t>
      </w:r>
    </w:p>
    <w:p>
      <w:r>
        <w:pict>
          <v:rect style="width:0;height:1.5pt" o:hralign="center" o:hrstd="t" o:hr="t"/>
        </w:pict>
      </w:r>
    </w:p>
    <w:bookmarkEnd w:id="40"/>
    <w:bookmarkEnd w:id="41"/>
    <w:bookmarkStart w:id="49" w:name="moderate-deficiencies"/>
    <w:p>
      <w:pPr>
        <w:pStyle w:val="Heading2"/>
      </w:pPr>
      <w:r>
        <w:t xml:space="preserve">6. Moderate Deficiencies</w:t>
      </w:r>
    </w:p>
    <w:bookmarkStart w:id="42" w:name="X3fa7db5e30ef9e090cea71bdd1c8f638a1f78ed"/>
    <w:p>
      <w:pPr>
        <w:pStyle w:val="Heading3"/>
      </w:pPr>
      <w:r>
        <w:t xml:space="preserve">M-1. Manual Spreadsheet Leave-Tracking System — No Audit Trail, Documented Errors, Non-Scalable</w:t>
      </w:r>
    </w:p>
    <w:p>
      <w:pPr>
        <w:pStyle w:val="FirstParagraph"/>
      </w:pPr>
      <w:r>
        <w:t xml:space="preserve">The Company tracks sick leave accruals and usage in manual Excel workbooks (one per state), updated bi-weekly by two HR coordinators who manually extract hours from ClockSync and cross-reference the WorkBridge Pro roster. The system has no automated alerts for accrual caps, waiting-period eligibility, or carryover deadlines; no audit trail for balance corrections; and no integration with the HRIS or time-and-attendance systems. Internal audits have documented errors, including a miscalculated part-time balance (wrong accrual rate), a negative balance (possible data entry error), and inconsistent application of the 120-day waiting period across facilities. The system tracks only sick leave — paid family leave is tracked through a separate paper process, and PTO is tracked in WorkBridge Pro — so there is no single comprehensive view of an employee’s leave entitlements. Scaling from three workbooks to seven will increase coordinator workload by an estimated 50–75% and compound the error risk. Every state imposes recordkeeping obligations on employers with respect to leave accruals and usage; the manual system’s lack of an audit trail would impair the Company’s ability to defend balances in an audit or complaint.</w:t>
      </w:r>
      <w:r>
        <w:t xml:space="preserve"> </w:t>
      </w:r>
      <w:r>
        <w:rPr>
          <w:b/>
          <w:bCs/>
        </w:rPr>
        <w:t xml:space="preserve">Remediation:</w:t>
      </w:r>
      <w:r>
        <w:t xml:space="preserve"> </w:t>
      </w:r>
      <w:r>
        <w:t xml:space="preserve">Procure and implement a dedicated leave management platform that integrates with WorkBridge Pro and ClockSync and can be configured with state-specific rules for all seven jurisdictions (estimated $40,000–$75,000 and three to six months to implement). Target go-live in Q1 2026, ahead of the Oregon and Washington openings. In the interim, add audit-trail logging (e.g., version control or a change log) to the existing spreadsheets.</w:t>
      </w:r>
    </w:p>
    <w:bookmarkEnd w:id="42"/>
    <w:bookmarkStart w:id="43" w:name="X524f93320aa831710d24030d911931990ffbbf7"/>
    <w:p>
      <w:pPr>
        <w:pStyle w:val="Heading3"/>
      </w:pPr>
      <w:r>
        <w:t xml:space="preserve">M-2. Workplace Postings and Individual Employee Notices — Undocumented in Current States; Not Established in Expansion States</w:t>
      </w:r>
    </w:p>
    <w:p>
      <w:pPr>
        <w:pStyle w:val="FirstParagraph"/>
      </w:pPr>
      <w:r>
        <w:t xml:space="preserve">Every state requires employers to display workplace posters and provide individual employee notices regarding paid sick leave and paid family/medical leave programs. The Handbook does not address posting obligations, and the Company has not documented whether required postings are displayed at its New Jersey, New York, and Connecticut facilities. No postings or notices have been established for the expansion states.</w:t>
      </w:r>
      <w:r>
        <w:t xml:space="preserve"> </w:t>
      </w:r>
      <w:r>
        <w:rPr>
          <w:b/>
          <w:bCs/>
        </w:rPr>
        <w:t xml:space="preserve">Remediation:</w:t>
      </w:r>
      <w:r>
        <w:t xml:space="preserve"> </w:t>
      </w:r>
      <w:r>
        <w:t xml:space="preserve">Conduct a posting audit at all current facilities; order and display current state-specific posters; establish posting and individual-notice procedures for each expansion facility as part of pre-opening checklists.</w:t>
      </w:r>
    </w:p>
    <w:bookmarkEnd w:id="43"/>
    <w:bookmarkStart w:id="44" w:name="X43deeeeddb14817e90eb5d1cfbbb6c971cbea27"/>
    <w:p>
      <w:pPr>
        <w:pStyle w:val="Heading3"/>
      </w:pPr>
      <w:r>
        <w:t xml:space="preserve">M-3. Medical Documentation</w:t>
      </w:r>
      <w:r>
        <w:t xml:space="preserve"> </w:t>
      </w:r>
      <w:r>
        <w:t xml:space="preserve">“</w:t>
      </w:r>
      <w:r>
        <w:t xml:space="preserve">Pattern of Abuse</w:t>
      </w:r>
      <w:r>
        <w:t xml:space="preserve">”</w:t>
      </w:r>
      <w:r>
        <w:t xml:space="preserve"> </w:t>
      </w:r>
      <w:r>
        <w:t xml:space="preserve">Clause — Review for State-Specific Restrictions</w:t>
      </w:r>
    </w:p>
    <w:p>
      <w:pPr>
        <w:pStyle w:val="FirstParagraph"/>
      </w:pPr>
      <w:r>
        <w:t xml:space="preserve">The Company’s documentation threshold (after 3+ consecutive workdays) aligns with the statutory standard in all seven states. However, the policy’s reservation of the right to request documentation</w:t>
      </w:r>
      <w:r>
        <w:t xml:space="preserve"> </w:t>
      </w:r>
      <w:r>
        <w:t xml:space="preserve">“</w:t>
      </w:r>
      <w:r>
        <w:t xml:space="preserve">for absences of any duration if a pattern of abuse is suspected</w:t>
      </w:r>
      <w:r>
        <w:t xml:space="preserve">”</w:t>
      </w:r>
      <w:r>
        <w:t xml:space="preserve"> </w:t>
      </w:r>
      <w:r>
        <w:t xml:space="preserve">should be reviewed against each state’s restrictions on employer documentation demands, several of which limit the circumstances in which documentation may be required for shorter absences.</w:t>
      </w:r>
      <w:r>
        <w:t xml:space="preserve"> </w:t>
      </w:r>
      <w:r>
        <w:rPr>
          <w:b/>
          <w:bCs/>
        </w:rPr>
        <w:t xml:space="preserve">Remediation:</w:t>
      </w:r>
      <w:r>
        <w:t xml:space="preserve"> </w:t>
      </w:r>
      <w:r>
        <w:t xml:space="preserve">Conform the</w:t>
      </w:r>
      <w:r>
        <w:t xml:space="preserve"> </w:t>
      </w:r>
      <w:r>
        <w:t xml:space="preserve">“</w:t>
      </w:r>
      <w:r>
        <w:t xml:space="preserve">pattern of abuse</w:t>
      </w:r>
      <w:r>
        <w:t xml:space="preserve">”</w:t>
      </w:r>
      <w:r>
        <w:t xml:space="preserve"> </w:t>
      </w:r>
      <w:r>
        <w:t xml:space="preserve">clause to the most restrictive applicable state standard, or apply state-specific language.</w:t>
      </w:r>
    </w:p>
    <w:bookmarkEnd w:id="44"/>
    <w:bookmarkStart w:id="45" w:name="X0558bc7995df56beedd0603e799a3cd173459fb"/>
    <w:p>
      <w:pPr>
        <w:pStyle w:val="Heading3"/>
      </w:pPr>
      <w:r>
        <w:t xml:space="preserve">M-4. Five-Day PTO Carryover Cap — Scrutinized in Wage-Treatment States</w:t>
      </w:r>
    </w:p>
    <w:p>
      <w:pPr>
        <w:pStyle w:val="FirstParagraph"/>
      </w:pPr>
      <w:r>
        <w:t xml:space="preserve">The Company caps PTO carryover at 5 days (40 hours) and forfeits excess on December 31, with carryover forfeited if unused by March 31. In states that treat vacation as wages (MA, CO, OR, WA — see H-7), a carryover cap that forfeits earned vacation may be challenged as an unlawful wage forfeiture, and in Colorado may be viewed as a device to evade the separation-payout obligation.</w:t>
      </w:r>
      <w:r>
        <w:t xml:space="preserve"> </w:t>
      </w:r>
      <w:r>
        <w:rPr>
          <w:b/>
          <w:bCs/>
        </w:rPr>
        <w:t xml:space="preserve">Remediation:</w:t>
      </w:r>
      <w:r>
        <w:t xml:space="preserve"> </w:t>
      </w:r>
      <w:r>
        <w:t xml:space="preserve">Review the carryover cap for consistency with each wage-treatment state’s rules; consider eliminating the cap or the March 31 use-by deadline in MA, CO, OR, and WA, or restructuring the PTO program so that vacation vests in a manner consistent with each state’s wage rules.</w:t>
      </w:r>
    </w:p>
    <w:bookmarkEnd w:id="45"/>
    <w:bookmarkStart w:id="46" w:name="X712baa91f5de850931d4455b299107889a088da"/>
    <w:p>
      <w:pPr>
        <w:pStyle w:val="Heading3"/>
      </w:pPr>
      <w:r>
        <w:t xml:space="preserve">M-5. Paid Family Leave Eligibility More Restrictive Than State Programs</w:t>
      </w:r>
    </w:p>
    <w:p>
      <w:pPr>
        <w:pStyle w:val="FirstParagraph"/>
      </w:pPr>
      <w:r>
        <w:t xml:space="preserve">The Company’s self-funded plan requires 12 months of employment plus 1,000 hours worked. Every state program uses an earnings-based or hours-based eligibility standard with no 12-month tenure requirement (e.g., NJ: 20 weeks of covered employment or earnings ≥ 840× minimum wage; NY: 26 weeks of employment; CT: $2,325 in the highest-earning quarter; MA: no tenure for family leave; CO: $2,500 in the base period; OR: $1,000 in the base year; WA: 820 hours in the qualifying period). If the Company participates in the state programs (per C-4), this becomes largely moot, but the Handbook’s eligibility description should be updated to reflect the state programs’ standards.</w:t>
      </w:r>
      <w:r>
        <w:t xml:space="preserve"> </w:t>
      </w:r>
      <w:r>
        <w:rPr>
          <w:b/>
          <w:bCs/>
        </w:rPr>
        <w:t xml:space="preserve">Remediation:</w:t>
      </w:r>
      <w:r>
        <w:t xml:space="preserve"> </w:t>
      </w:r>
      <w:r>
        <w:t xml:space="preserve">Update §6.3.2 to describe state-program eligibility; if a supplemental self-funded benefit is retained, align its eligibility with the state programs or clearly label it as supplemental.</w:t>
      </w:r>
    </w:p>
    <w:bookmarkEnd w:id="46"/>
    <w:bookmarkStart w:id="47" w:name="Xba9f8fa4ed272b6aad44f5d9dfbc3fc4aa76f86"/>
    <w:p>
      <w:pPr>
        <w:pStyle w:val="Heading3"/>
      </w:pPr>
      <w:r>
        <w:t xml:space="preserve">M-6. Employee Handbook Stale (Last Revised January 15, 2022)</w:t>
      </w:r>
    </w:p>
    <w:p>
      <w:pPr>
        <w:pStyle w:val="FirstParagraph"/>
      </w:pPr>
      <w:r>
        <w:t xml:space="preserve">The Handbook was last revised more than three years before this review and was designed primarily around New Jersey and New York requirements, with only informal consideration of Connecticut. It does not address any of the four expansion states. Several statutes reviewed herein have been enacted or amended since January 2022 (including the significant 2024–2025 expansion of Connecticut’s Paid Sick Leave Act).</w:t>
      </w:r>
      <w:r>
        <w:t xml:space="preserve"> </w:t>
      </w:r>
      <w:r>
        <w:rPr>
          <w:b/>
          <w:bCs/>
        </w:rPr>
        <w:t xml:space="preserve">Remediation:</w:t>
      </w:r>
      <w:r>
        <w:t xml:space="preserve"> </w:t>
      </w:r>
      <w:r>
        <w:t xml:space="preserve">Complete the comprehensive Handbook revision by the July 1, 2025 target, incorporating all multi-state leave policy updates. The revised Handbook should be distributed and acknowledged before the first Massachusetts employee is hired.</w:t>
      </w:r>
    </w:p>
    <w:bookmarkEnd w:id="47"/>
    <w:bookmarkStart w:id="48" w:name="Xd4121343becd9f1664c0243b3acbdd4bba29e30"/>
    <w:p>
      <w:pPr>
        <w:pStyle w:val="Heading3"/>
      </w:pPr>
      <w:r>
        <w:t xml:space="preserve">M-7. Inconsistent Leave Administration Across Sites — Disparate-Treatment Risk</w:t>
      </w:r>
    </w:p>
    <w:p>
      <w:pPr>
        <w:pStyle w:val="FirstParagraph"/>
      </w:pPr>
      <w:r>
        <w:t xml:space="preserve">The internal email thread confirms that HR staff at different facilities have applied the 30-day notice requirement and the paid-medical-leave inquiry response inconsistently — some sites flexible, some strict,</w:t>
      </w:r>
      <w:r>
        <w:t xml:space="preserve"> </w:t>
      </w:r>
      <w:r>
        <w:t xml:space="preserve">“</w:t>
      </w:r>
      <w:r>
        <w:t xml:space="preserve">making judgment calls without a framework.</w:t>
      </w:r>
      <w:r>
        <w:t xml:space="preserve">”</w:t>
      </w:r>
      <w:r>
        <w:t xml:space="preserve"> </w:t>
      </w:r>
      <w:r>
        <w:t xml:space="preserve">Inconsistent administration of a facially uniform policy can support disparate-treatment or discrimination claims and undermines the Company’s ability to defend its practices.</w:t>
      </w:r>
      <w:r>
        <w:t xml:space="preserve"> </w:t>
      </w:r>
      <w:r>
        <w:rPr>
          <w:b/>
          <w:bCs/>
        </w:rPr>
        <w:t xml:space="preserve">Remediation:</w:t>
      </w:r>
      <w:r>
        <w:t xml:space="preserve"> </w:t>
      </w:r>
      <w:r>
        <w:t xml:space="preserve">Issue uniform, written administrative guidance to all HR staff (building on the March 17, 2025 interim guidance); train all supervisors and HR staff on the revised policies; and centralize leave administration oversight in a designated leave administration specialist.</w:t>
      </w:r>
    </w:p>
    <w:p>
      <w:r>
        <w:pict>
          <v:rect style="width:0;height:1.5pt" o:hralign="center" o:hrstd="t" o:hr="t"/>
        </w:pict>
      </w:r>
    </w:p>
    <w:bookmarkEnd w:id="48"/>
    <w:bookmarkEnd w:id="49"/>
    <w:bookmarkStart w:id="54" w:name="prioritized-remediation-plan"/>
    <w:p>
      <w:pPr>
        <w:pStyle w:val="Heading2"/>
      </w:pPr>
      <w:r>
        <w:t xml:space="preserve">7. Prioritized Remediation Plan</w:t>
      </w:r>
    </w:p>
    <w:p>
      <w:pPr>
        <w:pStyle w:val="FirstParagraph"/>
      </w:pPr>
      <w:r>
        <w:t xml:space="preserve">The following plan organizes the remediation actions by priority and ties deadlines to the Company’s facility opening schedule, the July 1, 2025 revised Handbook target, and PinnacleHR’s configuration lead time.</w:t>
      </w:r>
      <w:r>
        <w:t xml:space="preserve"> </w:t>
      </w:r>
      <w:r>
        <w:t xml:space="preserve">“</w:t>
      </w:r>
      <w:r>
        <w:t xml:space="preserve">Owner</w:t>
      </w:r>
      <w:r>
        <w:t xml:space="preserve">”</w:t>
      </w:r>
      <w:r>
        <w:t xml:space="preserve"> </w:t>
      </w:r>
      <w:r>
        <w:t xml:space="preserve">designations are H&amp;C’s recommendation; the Company should confirm internal assignments.</w:t>
      </w:r>
    </w:p>
    <w:bookmarkStart w:id="50" w:name="tier-1-immediate-mayjune-2025"/>
    <w:p>
      <w:pPr>
        <w:pStyle w:val="Heading3"/>
      </w:pPr>
      <w:r>
        <w:t xml:space="preserve">Tier 1 — Immediate (May–June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Related</w:t>
            </w:r>
          </w:p>
        </w:tc>
      </w:tr>
      <w:tr>
        <w:tc>
          <w:tcPr/>
          <w:p>
            <w:pPr>
              <w:pStyle w:val="Compact"/>
              <w:jc w:val="left"/>
            </w:pPr>
            <w:r>
              <w:t xml:space="preserve">1</w:t>
            </w:r>
          </w:p>
        </w:tc>
        <w:tc>
          <w:tcPr/>
          <w:p>
            <w:pPr>
              <w:pStyle w:val="Compact"/>
              <w:jc w:val="left"/>
            </w:pPr>
            <w:r>
              <w:t xml:space="preserve">Initiate Colorado FAMLI registration; confirm registration trigger date for April 2025 remote hires; address any back premiums</w:t>
            </w:r>
          </w:p>
        </w:tc>
        <w:tc>
          <w:tcPr/>
          <w:p>
            <w:pPr>
              <w:pStyle w:val="Compact"/>
              <w:jc w:val="left"/>
            </w:pPr>
            <w:r>
              <w:t xml:space="preserve">Legal (R. Thorsen) + HR (M. Delgado)</w:t>
            </w:r>
          </w:p>
        </w:tc>
        <w:tc>
          <w:tcPr/>
          <w:p>
            <w:pPr>
              <w:pStyle w:val="Compact"/>
              <w:jc w:val="left"/>
            </w:pPr>
            <w:r>
              <w:t xml:space="preserve">Immediately</w:t>
            </w:r>
          </w:p>
        </w:tc>
        <w:tc>
          <w:tcPr/>
          <w:p>
            <w:pPr>
              <w:pStyle w:val="Compact"/>
              <w:jc w:val="left"/>
            </w:pPr>
            <w:r>
              <w:t xml:space="preserve">C-1</w:t>
            </w:r>
          </w:p>
        </w:tc>
      </w:tr>
      <w:tr>
        <w:tc>
          <w:tcPr/>
          <w:p>
            <w:pPr>
              <w:pStyle w:val="Compact"/>
              <w:jc w:val="left"/>
            </w:pPr>
            <w:r>
              <w:t xml:space="preserve">2</w:t>
            </w:r>
          </w:p>
        </w:tc>
        <w:tc>
          <w:tcPr/>
          <w:p>
            <w:pPr>
              <w:pStyle w:val="Compact"/>
              <w:jc w:val="left"/>
            </w:pPr>
            <w:r>
              <w:t xml:space="preserve">Initiate Massachusetts PFML registration with DFML</w:t>
            </w:r>
          </w:p>
        </w:tc>
        <w:tc>
          <w:tcPr/>
          <w:p>
            <w:pPr>
              <w:pStyle w:val="Compact"/>
              <w:jc w:val="left"/>
            </w:pPr>
            <w:r>
              <w:t xml:space="preserve">HR (M. Delgado) + Legal</w:t>
            </w:r>
          </w:p>
        </w:tc>
        <w:tc>
          <w:tcPr/>
          <w:p>
            <w:pPr>
              <w:pStyle w:val="Compact"/>
              <w:jc w:val="left"/>
            </w:pPr>
            <w:r>
              <w:t xml:space="preserve">No later than June 1, 2025</w:t>
            </w:r>
          </w:p>
        </w:tc>
        <w:tc>
          <w:tcPr/>
          <w:p>
            <w:pPr>
              <w:pStyle w:val="Compact"/>
              <w:jc w:val="left"/>
            </w:pPr>
            <w:r>
              <w:t xml:space="preserve">C-2</w:t>
            </w:r>
          </w:p>
        </w:tc>
      </w:tr>
      <w:tr>
        <w:tc>
          <w:tcPr/>
          <w:p>
            <w:pPr>
              <w:pStyle w:val="Compact"/>
              <w:jc w:val="left"/>
            </w:pPr>
            <w:r>
              <w:t xml:space="preserve">3</w:t>
            </w:r>
          </w:p>
        </w:tc>
        <w:tc>
          <w:tcPr/>
          <w:p>
            <w:pPr>
              <w:pStyle w:val="Compact"/>
              <w:jc w:val="left"/>
            </w:pPr>
            <w:r>
              <w:t xml:space="preserve">Provide the three Colorado remote employees with HFWA-compliant paid sick leave terms (1 hr/30 hrs, 48 hrs/yr, no waiting period) pending Handbook revision</w:t>
            </w:r>
          </w:p>
        </w:tc>
        <w:tc>
          <w:tcPr/>
          <w:p>
            <w:pPr>
              <w:pStyle w:val="Compact"/>
              <w:jc w:val="left"/>
            </w:pPr>
            <w:r>
              <w:t xml:space="preserve">HR (M. Delgado)</w:t>
            </w:r>
          </w:p>
        </w:tc>
        <w:tc>
          <w:tcPr/>
          <w:p>
            <w:pPr>
              <w:pStyle w:val="Compact"/>
              <w:jc w:val="left"/>
            </w:pPr>
            <w:r>
              <w:t xml:space="preserve">Immediately</w:t>
            </w:r>
          </w:p>
        </w:tc>
        <w:tc>
          <w:tcPr/>
          <w:p>
            <w:pPr>
              <w:pStyle w:val="Compact"/>
              <w:jc w:val="left"/>
            </w:pPr>
            <w:r>
              <w:t xml:space="preserve">C-1, H-1, H-2, H-3</w:t>
            </w:r>
          </w:p>
        </w:tc>
      </w:tr>
      <w:tr>
        <w:tc>
          <w:tcPr/>
          <w:p>
            <w:pPr>
              <w:pStyle w:val="Compact"/>
              <w:jc w:val="left"/>
            </w:pPr>
            <w:r>
              <w:t xml:space="preserve">4</w:t>
            </w:r>
          </w:p>
        </w:tc>
        <w:tc>
          <w:tcPr/>
          <w:p>
            <w:pPr>
              <w:pStyle w:val="Compact"/>
              <w:jc w:val="left"/>
            </w:pPr>
            <w:r>
              <w:t xml:space="preserve">Reissue/confirm interim HR guidance: do not deny unforeseeable leave based on 30-day rule; inform own-condition inquirers of applicable state program; escalate uncertain cases</w:t>
            </w:r>
          </w:p>
        </w:tc>
        <w:tc>
          <w:tcPr/>
          <w:p>
            <w:pPr>
              <w:pStyle w:val="Compact"/>
              <w:jc w:val="left"/>
            </w:pPr>
            <w:r>
              <w:t xml:space="preserve">HR (M. Delgado)</w:t>
            </w:r>
          </w:p>
        </w:tc>
        <w:tc>
          <w:tcPr/>
          <w:p>
            <w:pPr>
              <w:pStyle w:val="Compact"/>
              <w:jc w:val="left"/>
            </w:pPr>
            <w:r>
              <w:t xml:space="preserve">Immediately</w:t>
            </w:r>
          </w:p>
        </w:tc>
        <w:tc>
          <w:tcPr/>
          <w:p>
            <w:pPr>
              <w:pStyle w:val="Compact"/>
              <w:jc w:val="left"/>
            </w:pPr>
            <w:r>
              <w:t xml:space="preserve">C-5, H-9, M-7</w:t>
            </w:r>
          </w:p>
        </w:tc>
      </w:tr>
      <w:tr>
        <w:tc>
          <w:tcPr/>
          <w:p>
            <w:pPr>
              <w:pStyle w:val="Compact"/>
              <w:jc w:val="left"/>
            </w:pPr>
            <w:r>
              <w:t xml:space="preserve">5</w:t>
            </w:r>
          </w:p>
        </w:tc>
        <w:tc>
          <w:tcPr/>
          <w:p>
            <w:pPr>
              <w:pStyle w:val="Compact"/>
              <w:jc w:val="left"/>
            </w:pPr>
            <w:r>
              <w:t xml:space="preserve">Complete compilation of prior misdirected paid-medical-leave inquiries (CT/NJ/NY, 12 months) for H&amp;C restitution-exposure review</w:t>
            </w:r>
          </w:p>
        </w:tc>
        <w:tc>
          <w:tcPr/>
          <w:p>
            <w:pPr>
              <w:pStyle w:val="Compact"/>
              <w:jc w:val="left"/>
            </w:pPr>
            <w:r>
              <w:t xml:space="preserve">HR (M. Delgado)</w:t>
            </w:r>
          </w:p>
        </w:tc>
        <w:tc>
          <w:tcPr/>
          <w:p>
            <w:pPr>
              <w:pStyle w:val="Compact"/>
              <w:jc w:val="left"/>
            </w:pPr>
            <w:r>
              <w:t xml:space="preserve">By May 30, 2025</w:t>
            </w:r>
          </w:p>
        </w:tc>
        <w:tc>
          <w:tcPr/>
          <w:p>
            <w:pPr>
              <w:pStyle w:val="Compact"/>
              <w:jc w:val="left"/>
            </w:pPr>
            <w:r>
              <w:t xml:space="preserve">C-5</w:t>
            </w:r>
          </w:p>
        </w:tc>
      </w:tr>
      <w:tr>
        <w:tc>
          <w:tcPr/>
          <w:p>
            <w:pPr>
              <w:pStyle w:val="Compact"/>
              <w:jc w:val="left"/>
            </w:pPr>
            <w:r>
              <w:t xml:space="preserve">6</w:t>
            </w:r>
          </w:p>
        </w:tc>
        <w:tc>
          <w:tcPr/>
          <w:p>
            <w:pPr>
              <w:pStyle w:val="Compact"/>
              <w:jc w:val="left"/>
            </w:pPr>
            <w:r>
              <w:t xml:space="preserve">Issue revised Colorado offer letters (no blanket no-payout; compliance savings clause referencing Colorado law) — per Ms. Thorsen, legal review before release</w:t>
            </w:r>
          </w:p>
        </w:tc>
        <w:tc>
          <w:tcPr/>
          <w:p>
            <w:pPr>
              <w:pStyle w:val="Compact"/>
              <w:jc w:val="left"/>
            </w:pPr>
            <w:r>
              <w:t xml:space="preserve">Legal (R. Thorsen)</w:t>
            </w:r>
          </w:p>
        </w:tc>
        <w:tc>
          <w:tcPr/>
          <w:p>
            <w:pPr>
              <w:pStyle w:val="Compact"/>
              <w:jc w:val="left"/>
            </w:pPr>
            <w:r>
              <w:t xml:space="preserve">Before CO hires begin</w:t>
            </w:r>
          </w:p>
        </w:tc>
        <w:tc>
          <w:tcPr/>
          <w:p>
            <w:pPr>
              <w:pStyle w:val="Compact"/>
              <w:jc w:val="left"/>
            </w:pPr>
            <w:r>
              <w:t xml:space="preserve">H-7</w:t>
            </w:r>
          </w:p>
        </w:tc>
      </w:tr>
    </w:tbl>
    <w:bookmarkEnd w:id="50"/>
    <w:bookmarkStart w:id="51" w:name="tier-2-by-july-1-2025-revised-handbook"/>
    <w:p>
      <w:pPr>
        <w:pStyle w:val="Heading3"/>
      </w:pPr>
      <w:r>
        <w:t xml:space="preserve">Tier 2 — By July 1, 2025 (Revised Handbook)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Related</w:t>
            </w:r>
          </w:p>
        </w:tc>
      </w:tr>
      <w:tr>
        <w:tc>
          <w:tcPr/>
          <w:p>
            <w:pPr>
              <w:pStyle w:val="Compact"/>
              <w:jc w:val="left"/>
            </w:pPr>
            <w:r>
              <w:t xml:space="preserve">7</w:t>
            </w:r>
          </w:p>
        </w:tc>
        <w:tc>
          <w:tcPr/>
          <w:p>
            <w:pPr>
              <w:pStyle w:val="Compact"/>
              <w:jc w:val="left"/>
            </w:pPr>
            <w:r>
              <w:t xml:space="preserve">Publish revised Employee Handbook with multi-state leave policy updates for all seven jurisdictions</w:t>
            </w:r>
          </w:p>
        </w:tc>
        <w:tc>
          <w:tcPr/>
          <w:p>
            <w:pPr>
              <w:pStyle w:val="Compact"/>
              <w:jc w:val="left"/>
            </w:pPr>
            <w:r>
              <w:t xml:space="preserve">HR (M. Delgado) + Legal</w:t>
            </w:r>
          </w:p>
        </w:tc>
        <w:tc>
          <w:tcPr/>
          <w:p>
            <w:pPr>
              <w:pStyle w:val="Compact"/>
              <w:jc w:val="left"/>
            </w:pPr>
            <w:r>
              <w:t xml:space="preserve">July 1, 2025</w:t>
            </w:r>
          </w:p>
        </w:tc>
        <w:tc>
          <w:tcPr/>
          <w:p>
            <w:pPr>
              <w:pStyle w:val="Compact"/>
              <w:jc w:val="left"/>
            </w:pPr>
            <w:r>
              <w:t xml:space="preserve">All</w:t>
            </w:r>
          </w:p>
        </w:tc>
      </w:tr>
      <w:tr>
        <w:tc>
          <w:tcPr/>
          <w:p>
            <w:pPr>
              <w:pStyle w:val="Compact"/>
              <w:jc w:val="left"/>
            </w:pPr>
            <w:r>
              <w:t xml:space="preserve">8</w:t>
            </w:r>
          </w:p>
        </w:tc>
        <w:tc>
          <w:tcPr/>
          <w:p>
            <w:pPr>
              <w:pStyle w:val="Compact"/>
              <w:jc w:val="left"/>
            </w:pPr>
            <w:r>
              <w:t xml:space="preserve">Expand</w:t>
            </w:r>
            <w:r>
              <w:t xml:space="preserve"> </w:t>
            </w:r>
            <w:r>
              <w:t xml:space="preserve">“</w:t>
            </w:r>
            <w:r>
              <w:t xml:space="preserve">family member</w:t>
            </w:r>
            <w:r>
              <w:t xml:space="preserve">”</w:t>
            </w:r>
            <w:r>
              <w:t xml:space="preserve"> </w:t>
            </w:r>
            <w:r>
              <w:t xml:space="preserve">definition to broadest applicable state standard (all leave types)</w:t>
            </w:r>
          </w:p>
        </w:tc>
        <w:tc>
          <w:tcPr/>
          <w:p>
            <w:pPr>
              <w:pStyle w:val="Compact"/>
              <w:jc w:val="left"/>
            </w:pPr>
            <w:r>
              <w:t xml:space="preserve">Legal + HR</w:t>
            </w:r>
          </w:p>
        </w:tc>
        <w:tc>
          <w:tcPr/>
          <w:p>
            <w:pPr>
              <w:pStyle w:val="Compact"/>
              <w:jc w:val="left"/>
            </w:pPr>
            <w:r>
              <w:t xml:space="preserve">July 1, 2025</w:t>
            </w:r>
          </w:p>
        </w:tc>
        <w:tc>
          <w:tcPr/>
          <w:p>
            <w:pPr>
              <w:pStyle w:val="Compact"/>
              <w:jc w:val="left"/>
            </w:pPr>
            <w:r>
              <w:t xml:space="preserve">C-3, H-6</w:t>
            </w:r>
          </w:p>
        </w:tc>
      </w:tr>
      <w:tr>
        <w:tc>
          <w:tcPr/>
          <w:p>
            <w:pPr>
              <w:pStyle w:val="Compact"/>
              <w:jc w:val="left"/>
            </w:pPr>
            <w:r>
              <w:t xml:space="preserve">9</w:t>
            </w:r>
          </w:p>
        </w:tc>
        <w:tc>
          <w:tcPr/>
          <w:p>
            <w:pPr>
              <w:pStyle w:val="Compact"/>
              <w:jc w:val="left"/>
            </w:pPr>
            <w:r>
              <w:t xml:space="preserve">Expand paid sick leave covered uses to include family care, preventive care, safe leave, public-health-emergency closures, school functions, organ donation, bereavement</w:t>
            </w:r>
          </w:p>
        </w:tc>
        <w:tc>
          <w:tcPr/>
          <w:p>
            <w:pPr>
              <w:pStyle w:val="Compact"/>
              <w:jc w:val="left"/>
            </w:pPr>
            <w:r>
              <w:t xml:space="preserve">Legal + HR</w:t>
            </w:r>
          </w:p>
        </w:tc>
        <w:tc>
          <w:tcPr/>
          <w:p>
            <w:pPr>
              <w:pStyle w:val="Compact"/>
              <w:jc w:val="left"/>
            </w:pPr>
            <w:r>
              <w:t xml:space="preserve">July 1, 2025</w:t>
            </w:r>
          </w:p>
        </w:tc>
        <w:tc>
          <w:tcPr/>
          <w:p>
            <w:pPr>
              <w:pStyle w:val="Compact"/>
              <w:jc w:val="left"/>
            </w:pPr>
            <w:r>
              <w:t xml:space="preserve">H-5</w:t>
            </w:r>
          </w:p>
        </w:tc>
      </w:tr>
      <w:tr>
        <w:tc>
          <w:tcPr/>
          <w:p>
            <w:pPr>
              <w:pStyle w:val="Compact"/>
              <w:jc w:val="left"/>
            </w:pPr>
            <w:r>
              <w:t xml:space="preserve">10</w:t>
            </w:r>
          </w:p>
        </w:tc>
        <w:tc>
          <w:tcPr/>
          <w:p>
            <w:pPr>
              <w:pStyle w:val="Compact"/>
              <w:jc w:val="left"/>
            </w:pPr>
            <w:r>
              <w:t xml:space="preserve">Adopt 1 hr/30 hrs accrual rate; set annual cap at highest applicable state requirement (56 hrs); eliminate lower PT cap</w:t>
            </w:r>
          </w:p>
        </w:tc>
        <w:tc>
          <w:tcPr/>
          <w:p>
            <w:pPr>
              <w:pStyle w:val="Compact"/>
              <w:jc w:val="left"/>
            </w:pPr>
            <w:r>
              <w:t xml:space="preserve">HR + Legal</w:t>
            </w:r>
          </w:p>
        </w:tc>
        <w:tc>
          <w:tcPr/>
          <w:p>
            <w:pPr>
              <w:pStyle w:val="Compact"/>
              <w:jc w:val="left"/>
            </w:pPr>
            <w:r>
              <w:t xml:space="preserve">July 1, 2025</w:t>
            </w:r>
          </w:p>
        </w:tc>
        <w:tc>
          <w:tcPr/>
          <w:p>
            <w:pPr>
              <w:pStyle w:val="Compact"/>
              <w:jc w:val="left"/>
            </w:pPr>
            <w:r>
              <w:t xml:space="preserve">H-1, H-2</w:t>
            </w:r>
          </w:p>
        </w:tc>
      </w:tr>
      <w:tr>
        <w:tc>
          <w:tcPr/>
          <w:p>
            <w:pPr>
              <w:pStyle w:val="Compact"/>
              <w:jc w:val="left"/>
            </w:pPr>
            <w:r>
              <w:t xml:space="preserve">11</w:t>
            </w:r>
          </w:p>
        </w:tc>
        <w:tc>
          <w:tcPr/>
          <w:p>
            <w:pPr>
              <w:pStyle w:val="Compact"/>
              <w:jc w:val="left"/>
            </w:pPr>
            <w:r>
              <w:t xml:space="preserve">Eliminate/reduce sick leave waiting period (none in NY/CO; 90 days in MA/OR/WA; CT threshold)</w:t>
            </w:r>
          </w:p>
        </w:tc>
        <w:tc>
          <w:tcPr/>
          <w:p>
            <w:pPr>
              <w:pStyle w:val="Compact"/>
              <w:jc w:val="left"/>
            </w:pPr>
            <w:r>
              <w:t xml:space="preserve">HR + Legal</w:t>
            </w:r>
          </w:p>
        </w:tc>
        <w:tc>
          <w:tcPr/>
          <w:p>
            <w:pPr>
              <w:pStyle w:val="Compact"/>
              <w:jc w:val="left"/>
            </w:pPr>
            <w:r>
              <w:t xml:space="preserve">July 1, 2025</w:t>
            </w:r>
          </w:p>
        </w:tc>
        <w:tc>
          <w:tcPr/>
          <w:p>
            <w:pPr>
              <w:pStyle w:val="Compact"/>
              <w:jc w:val="left"/>
            </w:pPr>
            <w:r>
              <w:t xml:space="preserve">H-3</w:t>
            </w:r>
          </w:p>
        </w:tc>
      </w:tr>
      <w:tr>
        <w:tc>
          <w:tcPr/>
          <w:p>
            <w:pPr>
              <w:pStyle w:val="Compact"/>
              <w:jc w:val="left"/>
            </w:pPr>
            <w:r>
              <w:t xml:space="preserve">12</w:t>
            </w:r>
          </w:p>
        </w:tc>
        <w:tc>
          <w:tcPr/>
          <w:p>
            <w:pPr>
              <w:pStyle w:val="Compact"/>
              <w:jc w:val="left"/>
            </w:pPr>
            <w:r>
              <w:t xml:space="preserve">Provide sick leave carryover (≥40 hrs) or frontload/pay out</w:t>
            </w:r>
          </w:p>
        </w:tc>
        <w:tc>
          <w:tcPr/>
          <w:p>
            <w:pPr>
              <w:pStyle w:val="Compact"/>
              <w:jc w:val="left"/>
            </w:pPr>
            <w:r>
              <w:t xml:space="preserve">HR + Legal</w:t>
            </w:r>
          </w:p>
        </w:tc>
        <w:tc>
          <w:tcPr/>
          <w:p>
            <w:pPr>
              <w:pStyle w:val="Compact"/>
              <w:jc w:val="left"/>
            </w:pPr>
            <w:r>
              <w:t xml:space="preserve">July 1, 2025</w:t>
            </w:r>
          </w:p>
        </w:tc>
        <w:tc>
          <w:tcPr/>
          <w:p>
            <w:pPr>
              <w:pStyle w:val="Compact"/>
              <w:jc w:val="left"/>
            </w:pPr>
            <w:r>
              <w:t xml:space="preserve">H-4</w:t>
            </w:r>
          </w:p>
        </w:tc>
      </w:tr>
      <w:tr>
        <w:tc>
          <w:tcPr/>
          <w:p>
            <w:pPr>
              <w:pStyle w:val="Compact"/>
              <w:jc w:val="left"/>
            </w:pPr>
            <w:r>
              <w:t xml:space="preserve">13</w:t>
            </w:r>
          </w:p>
        </w:tc>
        <w:tc>
          <w:tcPr/>
          <w:p>
            <w:pPr>
              <w:pStyle w:val="Compact"/>
              <w:jc w:val="left"/>
            </w:pPr>
            <w:r>
              <w:t xml:space="preserve">Revise PTO payout policy to provide payout on separation in MA, CO, OR, WA; review 5-day carryover cap</w:t>
            </w:r>
          </w:p>
        </w:tc>
        <w:tc>
          <w:tcPr/>
          <w:p>
            <w:pPr>
              <w:pStyle w:val="Compact"/>
              <w:jc w:val="left"/>
            </w:pPr>
            <w:r>
              <w:t xml:space="preserve">Legal + HR</w:t>
            </w:r>
          </w:p>
        </w:tc>
        <w:tc>
          <w:tcPr/>
          <w:p>
            <w:pPr>
              <w:pStyle w:val="Compact"/>
              <w:jc w:val="left"/>
            </w:pPr>
            <w:r>
              <w:t xml:space="preserve">July 1, 2025</w:t>
            </w:r>
          </w:p>
        </w:tc>
        <w:tc>
          <w:tcPr/>
          <w:p>
            <w:pPr>
              <w:pStyle w:val="Compact"/>
              <w:jc w:val="left"/>
            </w:pPr>
            <w:r>
              <w:t xml:space="preserve">H-7, M-4</w:t>
            </w:r>
          </w:p>
        </w:tc>
      </w:tr>
      <w:tr>
        <w:tc>
          <w:tcPr/>
          <w:p>
            <w:pPr>
              <w:pStyle w:val="Compact"/>
              <w:jc w:val="left"/>
            </w:pPr>
            <w:r>
              <w:t xml:space="preserve">14</w:t>
            </w:r>
          </w:p>
        </w:tc>
        <w:tc>
          <w:tcPr/>
          <w:p>
            <w:pPr>
              <w:pStyle w:val="Compact"/>
              <w:jc w:val="left"/>
            </w:pPr>
            <w:r>
              <w:t xml:space="preserve">Revise PFL notice requirement (30 days foreseeable / ASAP unforeseeable)</w:t>
            </w:r>
          </w:p>
        </w:tc>
        <w:tc>
          <w:tcPr/>
          <w:p>
            <w:pPr>
              <w:pStyle w:val="Compact"/>
              <w:jc w:val="left"/>
            </w:pPr>
            <w:r>
              <w:t xml:space="preserve">Legal + HR</w:t>
            </w:r>
          </w:p>
        </w:tc>
        <w:tc>
          <w:tcPr/>
          <w:p>
            <w:pPr>
              <w:pStyle w:val="Compact"/>
              <w:jc w:val="left"/>
            </w:pPr>
            <w:r>
              <w:t xml:space="preserve">July 1, 2025</w:t>
            </w:r>
          </w:p>
        </w:tc>
        <w:tc>
          <w:tcPr/>
          <w:p>
            <w:pPr>
              <w:pStyle w:val="Compact"/>
              <w:jc w:val="left"/>
            </w:pPr>
            <w:r>
              <w:t xml:space="preserve">H-9</w:t>
            </w:r>
          </w:p>
        </w:tc>
      </w:tr>
      <w:tr>
        <w:tc>
          <w:tcPr/>
          <w:p>
            <w:pPr>
              <w:pStyle w:val="Compact"/>
              <w:jc w:val="left"/>
            </w:pPr>
            <w:r>
              <w:t xml:space="preserve">15</w:t>
            </w:r>
          </w:p>
        </w:tc>
        <w:tc>
          <w:tcPr/>
          <w:p>
            <w:pPr>
              <w:pStyle w:val="Compact"/>
              <w:jc w:val="left"/>
            </w:pPr>
            <w:r>
              <w:t xml:space="preserve">Update PFL qualifying reasons and eligibility to reflect state programs</w:t>
            </w:r>
          </w:p>
        </w:tc>
        <w:tc>
          <w:tcPr/>
          <w:p>
            <w:pPr>
              <w:pStyle w:val="Compact"/>
              <w:jc w:val="left"/>
            </w:pPr>
            <w:r>
              <w:t xml:space="preserve">Legal + HR</w:t>
            </w:r>
          </w:p>
        </w:tc>
        <w:tc>
          <w:tcPr/>
          <w:p>
            <w:pPr>
              <w:pStyle w:val="Compact"/>
              <w:jc w:val="left"/>
            </w:pPr>
            <w:r>
              <w:t xml:space="preserve">July 1, 2025</w:t>
            </w:r>
          </w:p>
        </w:tc>
        <w:tc>
          <w:tcPr/>
          <w:p>
            <w:pPr>
              <w:pStyle w:val="Compact"/>
              <w:jc w:val="left"/>
            </w:pPr>
            <w:r>
              <w:t xml:space="preserve">H-8, M-5</w:t>
            </w:r>
          </w:p>
        </w:tc>
      </w:tr>
      <w:tr>
        <w:tc>
          <w:tcPr/>
          <w:p>
            <w:pPr>
              <w:pStyle w:val="Compact"/>
              <w:jc w:val="left"/>
            </w:pPr>
            <w:r>
              <w:t xml:space="preserve">16</w:t>
            </w:r>
          </w:p>
        </w:tc>
        <w:tc>
          <w:tcPr/>
          <w:p>
            <w:pPr>
              <w:pStyle w:val="Compact"/>
              <w:jc w:val="left"/>
            </w:pPr>
            <w:r>
              <w:t xml:space="preserve">Revise §6.4 to describe state programs as source of paid medical leave; reposition voluntary STD as supplemental</w:t>
            </w:r>
          </w:p>
        </w:tc>
        <w:tc>
          <w:tcPr/>
          <w:p>
            <w:pPr>
              <w:pStyle w:val="Compact"/>
              <w:jc w:val="left"/>
            </w:pPr>
            <w:r>
              <w:t xml:space="preserve">Legal + HR</w:t>
            </w:r>
          </w:p>
        </w:tc>
        <w:tc>
          <w:tcPr/>
          <w:p>
            <w:pPr>
              <w:pStyle w:val="Compact"/>
              <w:jc w:val="left"/>
            </w:pPr>
            <w:r>
              <w:t xml:space="preserve">July 1, 2025</w:t>
            </w:r>
          </w:p>
        </w:tc>
        <w:tc>
          <w:tcPr/>
          <w:p>
            <w:pPr>
              <w:pStyle w:val="Compact"/>
              <w:jc w:val="left"/>
            </w:pPr>
            <w:r>
              <w:t xml:space="preserve">C-5</w:t>
            </w:r>
          </w:p>
        </w:tc>
      </w:tr>
      <w:tr>
        <w:tc>
          <w:tcPr/>
          <w:p>
            <w:pPr>
              <w:pStyle w:val="Compact"/>
              <w:jc w:val="left"/>
            </w:pPr>
            <w:r>
              <w:t xml:space="preserve">17</w:t>
            </w:r>
          </w:p>
        </w:tc>
        <w:tc>
          <w:tcPr/>
          <w:p>
            <w:pPr>
              <w:pStyle w:val="Compact"/>
              <w:jc w:val="left"/>
            </w:pPr>
            <w:r>
              <w:t xml:space="preserve">Make structural decision on self-funded PFL: state-program participation + supplemental top-up, OR enhanced private-plan filings, OR discontinue</w:t>
            </w:r>
          </w:p>
        </w:tc>
        <w:tc>
          <w:tcPr/>
          <w:p>
            <w:pPr>
              <w:pStyle w:val="Compact"/>
              <w:jc w:val="left"/>
            </w:pPr>
            <w:r>
              <w:t xml:space="preserve">Legal + Finance + HR</w:t>
            </w:r>
          </w:p>
        </w:tc>
        <w:tc>
          <w:tcPr/>
          <w:p>
            <w:pPr>
              <w:pStyle w:val="Compact"/>
              <w:jc w:val="left"/>
            </w:pPr>
            <w:r>
              <w:t xml:space="preserve">By July 1, 2025</w:t>
            </w:r>
          </w:p>
        </w:tc>
        <w:tc>
          <w:tcPr/>
          <w:p>
            <w:pPr>
              <w:pStyle w:val="Compact"/>
              <w:jc w:val="left"/>
            </w:pPr>
            <w:r>
              <w:t xml:space="preserve">C-4</w:t>
            </w:r>
          </w:p>
        </w:tc>
      </w:tr>
      <w:tr>
        <w:tc>
          <w:tcPr/>
          <w:p>
            <w:pPr>
              <w:pStyle w:val="Compact"/>
              <w:jc w:val="left"/>
            </w:pPr>
            <w:r>
              <w:t xml:space="preserve">18</w:t>
            </w:r>
          </w:p>
        </w:tc>
        <w:tc>
          <w:tcPr/>
          <w:p>
            <w:pPr>
              <w:pStyle w:val="Compact"/>
              <w:jc w:val="left"/>
            </w:pPr>
            <w:r>
              <w:t xml:space="preserve">Conduct workplace posting audit at current facilities; order current posters</w:t>
            </w:r>
          </w:p>
        </w:tc>
        <w:tc>
          <w:tcPr/>
          <w:p>
            <w:pPr>
              <w:pStyle w:val="Compact"/>
              <w:jc w:val="left"/>
            </w:pPr>
            <w:r>
              <w:t xml:space="preserve">HR (M. Delgado)</w:t>
            </w:r>
          </w:p>
        </w:tc>
        <w:tc>
          <w:tcPr/>
          <w:p>
            <w:pPr>
              <w:pStyle w:val="Compact"/>
              <w:jc w:val="left"/>
            </w:pPr>
            <w:r>
              <w:t xml:space="preserve">By July 1, 2025</w:t>
            </w:r>
          </w:p>
        </w:tc>
        <w:tc>
          <w:tcPr/>
          <w:p>
            <w:pPr>
              <w:pStyle w:val="Compact"/>
              <w:jc w:val="left"/>
            </w:pPr>
            <w:r>
              <w:t xml:space="preserve">M-2</w:t>
            </w:r>
          </w:p>
        </w:tc>
      </w:tr>
    </w:tbl>
    <w:bookmarkEnd w:id="51"/>
    <w:bookmarkStart w:id="52" w:name="Xb5cf765ec444bca6e0bd4e11a2611dd074ba61d"/>
    <w:p>
      <w:pPr>
        <w:pStyle w:val="Heading3"/>
      </w:pPr>
      <w:r>
        <w:t xml:space="preserve">Tier 3 — By Facility Openings (Aug 2025–May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Related</w:t>
            </w:r>
          </w:p>
        </w:tc>
      </w:tr>
      <w:tr>
        <w:tc>
          <w:tcPr/>
          <w:p>
            <w:pPr>
              <w:pStyle w:val="Compact"/>
              <w:jc w:val="left"/>
            </w:pPr>
            <w:r>
              <w:t xml:space="preserve">19</w:t>
            </w:r>
          </w:p>
        </w:tc>
        <w:tc>
          <w:tcPr/>
          <w:p>
            <w:pPr>
              <w:pStyle w:val="Compact"/>
              <w:jc w:val="left"/>
            </w:pPr>
            <w:r>
              <w:t xml:space="preserve">Provide MA PFML registration confirmation to PinnacleHR; complete withholding configuration</w:t>
            </w:r>
          </w:p>
        </w:tc>
        <w:tc>
          <w:tcPr/>
          <w:p>
            <w:pPr>
              <w:pStyle w:val="Compact"/>
              <w:jc w:val="left"/>
            </w:pPr>
            <w:r>
              <w:t xml:space="preserve">HR + PinnacleHR (P. Samuelson)</w:t>
            </w:r>
          </w:p>
        </w:tc>
        <w:tc>
          <w:tcPr/>
          <w:p>
            <w:pPr>
              <w:pStyle w:val="Compact"/>
              <w:jc w:val="left"/>
            </w:pPr>
            <w:r>
              <w:t xml:space="preserve">By ~July 15, 2025 (config complete before Aug 1)</w:t>
            </w:r>
          </w:p>
        </w:tc>
        <w:tc>
          <w:tcPr/>
          <w:p>
            <w:pPr>
              <w:pStyle w:val="Compact"/>
              <w:jc w:val="left"/>
            </w:pPr>
            <w:r>
              <w:t xml:space="preserve">C-2</w:t>
            </w:r>
          </w:p>
        </w:tc>
      </w:tr>
      <w:tr>
        <w:tc>
          <w:tcPr/>
          <w:p>
            <w:pPr>
              <w:pStyle w:val="Compact"/>
              <w:jc w:val="left"/>
            </w:pPr>
            <w:r>
              <w:t xml:space="preserve">20</w:t>
            </w:r>
          </w:p>
        </w:tc>
        <w:tc>
          <w:tcPr/>
          <w:p>
            <w:pPr>
              <w:pStyle w:val="Compact"/>
              <w:jc w:val="left"/>
            </w:pPr>
            <w:r>
              <w:rPr>
                <w:b/>
                <w:bCs/>
              </w:rPr>
              <w:t xml:space="preserve">Massachusetts facility opens August 1, 2025</w:t>
            </w:r>
            <w:r>
              <w:t xml:space="preserve"> </w:t>
            </w:r>
            <w:r>
              <w:t xml:space="preserve">— all leave systems, policies, payroll configs, registrations, postings operational</w:t>
            </w:r>
          </w:p>
        </w:tc>
        <w:tc>
          <w:tcPr/>
          <w:p>
            <w:pPr>
              <w:pStyle w:val="Compact"/>
              <w:jc w:val="left"/>
            </w:pPr>
            <w:r>
              <w:t xml:space="preserve">HR + Legal + PinnacleHR</w:t>
            </w:r>
          </w:p>
        </w:tc>
        <w:tc>
          <w:tcPr/>
          <w:p>
            <w:pPr>
              <w:pStyle w:val="Compact"/>
              <w:jc w:val="left"/>
            </w:pPr>
            <w:r>
              <w:t xml:space="preserve">August 1, 2025</w:t>
            </w:r>
          </w:p>
        </w:tc>
        <w:tc>
          <w:tcPr/>
          <w:p>
            <w:pPr>
              <w:pStyle w:val="Compact"/>
              <w:jc w:val="left"/>
            </w:pPr>
            <w:r>
              <w:t xml:space="preserve">All MA</w:t>
            </w:r>
          </w:p>
        </w:tc>
      </w:tr>
      <w:tr>
        <w:tc>
          <w:tcPr/>
          <w:p>
            <w:pPr>
              <w:pStyle w:val="Compact"/>
              <w:jc w:val="left"/>
            </w:pPr>
            <w:r>
              <w:t xml:space="preserve">21</w:t>
            </w:r>
          </w:p>
        </w:tc>
        <w:tc>
          <w:tcPr/>
          <w:p>
            <w:pPr>
              <w:pStyle w:val="Compact"/>
              <w:jc w:val="left"/>
            </w:pPr>
            <w:r>
              <w:t xml:space="preserve">Complete Colorado FAMLI registration (if not already done); provide confirmation to PinnacleHR; complete configuration</w:t>
            </w:r>
          </w:p>
        </w:tc>
        <w:tc>
          <w:tcPr/>
          <w:p>
            <w:pPr>
              <w:pStyle w:val="Compact"/>
              <w:jc w:val="left"/>
            </w:pPr>
            <w:r>
              <w:t xml:space="preserve">HR + Legal + PinnacleHR</w:t>
            </w:r>
          </w:p>
        </w:tc>
        <w:tc>
          <w:tcPr/>
          <w:p>
            <w:pPr>
              <w:pStyle w:val="Compact"/>
              <w:jc w:val="left"/>
            </w:pPr>
            <w:r>
              <w:t xml:space="preserve">By ~Sept 15, 2025 (config complete before Nov 1)</w:t>
            </w:r>
          </w:p>
        </w:tc>
        <w:tc>
          <w:tcPr/>
          <w:p>
            <w:pPr>
              <w:pStyle w:val="Compact"/>
              <w:jc w:val="left"/>
            </w:pPr>
            <w:r>
              <w:t xml:space="preserve">C-1</w:t>
            </w:r>
          </w:p>
        </w:tc>
      </w:tr>
      <w:tr>
        <w:tc>
          <w:tcPr/>
          <w:p>
            <w:pPr>
              <w:pStyle w:val="Compact"/>
              <w:jc w:val="left"/>
            </w:pPr>
            <w:r>
              <w:t xml:space="preserve">22</w:t>
            </w:r>
          </w:p>
        </w:tc>
        <w:tc>
          <w:tcPr/>
          <w:p>
            <w:pPr>
              <w:pStyle w:val="Compact"/>
              <w:jc w:val="left"/>
            </w:pPr>
            <w:r>
              <w:t xml:space="preserve">Configure WorkBridge Pro and ClockSync for each expansion state (2–3 wks/state); procure/install ClockSync hardware (4–6 wks/facility)</w:t>
            </w:r>
          </w:p>
        </w:tc>
        <w:tc>
          <w:tcPr/>
          <w:p>
            <w:pPr>
              <w:pStyle w:val="Compact"/>
              <w:jc w:val="left"/>
            </w:pPr>
            <w:r>
              <w:t xml:space="preserve">HR + IT</w:t>
            </w:r>
          </w:p>
        </w:tc>
        <w:tc>
          <w:tcPr/>
          <w:p>
            <w:pPr>
              <w:pStyle w:val="Compact"/>
              <w:jc w:val="left"/>
            </w:pPr>
            <w:r>
              <w:t xml:space="preserve">Per facility schedule</w:t>
            </w:r>
          </w:p>
        </w:tc>
        <w:tc>
          <w:tcPr/>
          <w:p>
            <w:pPr>
              <w:pStyle w:val="Compact"/>
              <w:jc w:val="left"/>
            </w:pPr>
            <w:r>
              <w:t xml:space="preserve">M-1</w:t>
            </w:r>
          </w:p>
        </w:tc>
      </w:tr>
      <w:tr>
        <w:tc>
          <w:tcPr/>
          <w:p>
            <w:pPr>
              <w:pStyle w:val="Compact"/>
              <w:jc w:val="left"/>
            </w:pPr>
            <w:r>
              <w:t xml:space="preserve">23</w:t>
            </w:r>
          </w:p>
        </w:tc>
        <w:tc>
          <w:tcPr/>
          <w:p>
            <w:pPr>
              <w:pStyle w:val="Compact"/>
              <w:jc w:val="left"/>
            </w:pPr>
            <w:r>
              <w:rPr>
                <w:b/>
                <w:bCs/>
              </w:rPr>
              <w:t xml:space="preserve">Colorado facility opens November 1, 2025</w:t>
            </w:r>
            <w:r>
              <w:t xml:space="preserve"> </w:t>
            </w:r>
            <w:r>
              <w:t xml:space="preserve">— all systems operational</w:t>
            </w:r>
          </w:p>
        </w:tc>
        <w:tc>
          <w:tcPr/>
          <w:p>
            <w:pPr>
              <w:pStyle w:val="Compact"/>
              <w:jc w:val="left"/>
            </w:pPr>
            <w:r>
              <w:t xml:space="preserve">HR + Legal + PinnacleHR</w:t>
            </w:r>
          </w:p>
        </w:tc>
        <w:tc>
          <w:tcPr/>
          <w:p>
            <w:pPr>
              <w:pStyle w:val="Compact"/>
              <w:jc w:val="left"/>
            </w:pPr>
            <w:r>
              <w:t xml:space="preserve">November 1, 2025</w:t>
            </w:r>
          </w:p>
        </w:tc>
        <w:tc>
          <w:tcPr/>
          <w:p>
            <w:pPr>
              <w:pStyle w:val="Compact"/>
              <w:jc w:val="left"/>
            </w:pPr>
            <w:r>
              <w:t xml:space="preserve">All CO</w:t>
            </w:r>
          </w:p>
        </w:tc>
      </w:tr>
      <w:tr>
        <w:tc>
          <w:tcPr/>
          <w:p>
            <w:pPr>
              <w:pStyle w:val="Compact"/>
              <w:jc w:val="left"/>
            </w:pPr>
            <w:r>
              <w:t xml:space="preserve">24</w:t>
            </w:r>
          </w:p>
        </w:tc>
        <w:tc>
          <w:tcPr/>
          <w:p>
            <w:pPr>
              <w:pStyle w:val="Compact"/>
              <w:jc w:val="left"/>
            </w:pPr>
            <w:r>
              <w:t xml:space="preserve">Initiate Paid Leave Oregon registration</w:t>
            </w:r>
          </w:p>
        </w:tc>
        <w:tc>
          <w:tcPr/>
          <w:p>
            <w:pPr>
              <w:pStyle w:val="Compact"/>
              <w:jc w:val="left"/>
            </w:pPr>
            <w:r>
              <w:t xml:space="preserve">HR + Legal</w:t>
            </w:r>
          </w:p>
        </w:tc>
        <w:tc>
          <w:tcPr/>
          <w:p>
            <w:pPr>
              <w:pStyle w:val="Compact"/>
              <w:jc w:val="left"/>
            </w:pPr>
            <w:r>
              <w:t xml:space="preserve">By October 2025 (complete by Dec 1, 2025)</w:t>
            </w:r>
          </w:p>
        </w:tc>
        <w:tc>
          <w:tcPr/>
          <w:p>
            <w:pPr>
              <w:pStyle w:val="Compact"/>
              <w:jc w:val="left"/>
            </w:pPr>
            <w:r>
              <w:t xml:space="preserve">H-10</w:t>
            </w:r>
          </w:p>
        </w:tc>
      </w:tr>
      <w:tr>
        <w:tc>
          <w:tcPr/>
          <w:p>
            <w:pPr>
              <w:pStyle w:val="Compact"/>
              <w:jc w:val="left"/>
            </w:pPr>
            <w:r>
              <w:t xml:space="preserve">25</w:t>
            </w:r>
          </w:p>
        </w:tc>
        <w:tc>
          <w:tcPr/>
          <w:p>
            <w:pPr>
              <w:pStyle w:val="Compact"/>
              <w:jc w:val="left"/>
            </w:pPr>
            <w:r>
              <w:t xml:space="preserve">Initiate Washington PFML registration</w:t>
            </w:r>
          </w:p>
        </w:tc>
        <w:tc>
          <w:tcPr/>
          <w:p>
            <w:pPr>
              <w:pStyle w:val="Compact"/>
              <w:jc w:val="left"/>
            </w:pPr>
            <w:r>
              <w:t xml:space="preserve">HR + Legal</w:t>
            </w:r>
          </w:p>
        </w:tc>
        <w:tc>
          <w:tcPr/>
          <w:p>
            <w:pPr>
              <w:pStyle w:val="Compact"/>
              <w:jc w:val="left"/>
            </w:pPr>
            <w:r>
              <w:t xml:space="preserve">By January 2026 (complete by Mar 1, 2026)</w:t>
            </w:r>
          </w:p>
        </w:tc>
        <w:tc>
          <w:tcPr/>
          <w:p>
            <w:pPr>
              <w:pStyle w:val="Compact"/>
              <w:jc w:val="left"/>
            </w:pPr>
            <w:r>
              <w:t xml:space="preserve">H-10</w:t>
            </w:r>
          </w:p>
        </w:tc>
      </w:tr>
      <w:tr>
        <w:tc>
          <w:tcPr/>
          <w:p>
            <w:pPr>
              <w:pStyle w:val="Compact"/>
              <w:jc w:val="left"/>
            </w:pPr>
            <w:r>
              <w:t xml:space="preserve">26</w:t>
            </w:r>
          </w:p>
        </w:tc>
        <w:tc>
          <w:tcPr/>
          <w:p>
            <w:pPr>
              <w:pStyle w:val="Compact"/>
              <w:jc w:val="left"/>
            </w:pPr>
            <w:r>
              <w:t xml:space="preserve">Select and begin implementation of dedicated leave management software (RFP/vendor demos by July 1, 2025)</w:t>
            </w:r>
          </w:p>
        </w:tc>
        <w:tc>
          <w:tcPr/>
          <w:p>
            <w:pPr>
              <w:pStyle w:val="Compact"/>
              <w:jc w:val="left"/>
            </w:pPr>
            <w:r>
              <w:t xml:space="preserve">HR (M. Delgado) + IT</w:t>
            </w:r>
          </w:p>
        </w:tc>
        <w:tc>
          <w:tcPr/>
          <w:p>
            <w:pPr>
              <w:pStyle w:val="Compact"/>
              <w:jc w:val="left"/>
            </w:pPr>
            <w:r>
              <w:t xml:space="preserve">Selection by July 1, 2025; live Q1 2026</w:t>
            </w:r>
          </w:p>
        </w:tc>
        <w:tc>
          <w:tcPr/>
          <w:p>
            <w:pPr>
              <w:pStyle w:val="Compact"/>
              <w:jc w:val="left"/>
            </w:pPr>
            <w:r>
              <w:t xml:space="preserve">M-1</w:t>
            </w:r>
          </w:p>
        </w:tc>
      </w:tr>
      <w:tr>
        <w:tc>
          <w:tcPr/>
          <w:p>
            <w:pPr>
              <w:pStyle w:val="Compact"/>
              <w:jc w:val="left"/>
            </w:pPr>
            <w:r>
              <w:t xml:space="preserve">27</w:t>
            </w:r>
          </w:p>
        </w:tc>
        <w:tc>
          <w:tcPr/>
          <w:p>
            <w:pPr>
              <w:pStyle w:val="Compact"/>
              <w:jc w:val="left"/>
            </w:pPr>
            <w:r>
              <w:rPr>
                <w:b/>
                <w:bCs/>
              </w:rPr>
              <w:t xml:space="preserve">Oregon facility opens February 1, 2026</w:t>
            </w:r>
            <w:r>
              <w:t xml:space="preserve"> </w:t>
            </w:r>
            <w:r>
              <w:t xml:space="preserve">— all systems operational</w:t>
            </w:r>
          </w:p>
        </w:tc>
        <w:tc>
          <w:tcPr/>
          <w:p>
            <w:pPr>
              <w:pStyle w:val="Compact"/>
              <w:jc w:val="left"/>
            </w:pPr>
            <w:r>
              <w:t xml:space="preserve">HR + Legal + PinnacleHR</w:t>
            </w:r>
          </w:p>
        </w:tc>
        <w:tc>
          <w:tcPr/>
          <w:p>
            <w:pPr>
              <w:pStyle w:val="Compact"/>
              <w:jc w:val="left"/>
            </w:pPr>
            <w:r>
              <w:t xml:space="preserve">February 1, 2026</w:t>
            </w:r>
          </w:p>
        </w:tc>
        <w:tc>
          <w:tcPr/>
          <w:p>
            <w:pPr>
              <w:pStyle w:val="Compact"/>
              <w:jc w:val="left"/>
            </w:pPr>
            <w:r>
              <w:t xml:space="preserve">All OR</w:t>
            </w:r>
          </w:p>
        </w:tc>
      </w:tr>
      <w:tr>
        <w:tc>
          <w:tcPr/>
          <w:p>
            <w:pPr>
              <w:pStyle w:val="Compact"/>
              <w:jc w:val="left"/>
            </w:pPr>
            <w:r>
              <w:t xml:space="preserve">28</w:t>
            </w:r>
          </w:p>
        </w:tc>
        <w:tc>
          <w:tcPr/>
          <w:p>
            <w:pPr>
              <w:pStyle w:val="Compact"/>
              <w:jc w:val="left"/>
            </w:pPr>
            <w:r>
              <w:rPr>
                <w:b/>
                <w:bCs/>
              </w:rPr>
              <w:t xml:space="preserve">Washington facility opens May 1, 2026</w:t>
            </w:r>
            <w:r>
              <w:t xml:space="preserve"> </w:t>
            </w:r>
            <w:r>
              <w:t xml:space="preserve">— all systems operational; post-launch audit within 30 days</w:t>
            </w:r>
          </w:p>
        </w:tc>
        <w:tc>
          <w:tcPr/>
          <w:p>
            <w:pPr>
              <w:pStyle w:val="Compact"/>
              <w:jc w:val="left"/>
            </w:pPr>
            <w:r>
              <w:t xml:space="preserve">HR + Legal + PinnacleHR</w:t>
            </w:r>
          </w:p>
        </w:tc>
        <w:tc>
          <w:tcPr/>
          <w:p>
            <w:pPr>
              <w:pStyle w:val="Compact"/>
              <w:jc w:val="left"/>
            </w:pPr>
            <w:r>
              <w:t xml:space="preserve">May 1, 2026</w:t>
            </w:r>
          </w:p>
        </w:tc>
        <w:tc>
          <w:tcPr/>
          <w:p>
            <w:pPr>
              <w:pStyle w:val="Compact"/>
              <w:jc w:val="left"/>
            </w:pPr>
            <w:r>
              <w:t xml:space="preserve">All WA</w:t>
            </w:r>
          </w:p>
        </w:tc>
      </w:tr>
    </w:tbl>
    <w:bookmarkEnd w:id="52"/>
    <w:bookmarkStart w:id="53" w:name="tier-4-ongoing"/>
    <w:p>
      <w:pPr>
        <w:pStyle w:val="Heading3"/>
      </w:pPr>
      <w:r>
        <w:t xml:space="preserve">Tier 4 — Ongoing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Related</w:t>
            </w:r>
          </w:p>
        </w:tc>
      </w:tr>
      <w:tr>
        <w:tc>
          <w:tcPr/>
          <w:p>
            <w:pPr>
              <w:pStyle w:val="Compact"/>
              <w:jc w:val="left"/>
            </w:pPr>
            <w:r>
              <w:t xml:space="preserve">29</w:t>
            </w:r>
          </w:p>
        </w:tc>
        <w:tc>
          <w:tcPr/>
          <w:p>
            <w:pPr>
              <w:pStyle w:val="Compact"/>
              <w:jc w:val="left"/>
            </w:pPr>
            <w:r>
              <w:t xml:space="preserve">Train all supervisors and HR staff on revised leave policies and state-specific administration</w:t>
            </w:r>
          </w:p>
        </w:tc>
        <w:tc>
          <w:tcPr/>
          <w:p>
            <w:pPr>
              <w:pStyle w:val="Compact"/>
              <w:jc w:val="left"/>
            </w:pPr>
            <w:r>
              <w:t xml:space="preserve">HR (M. Delgado)</w:t>
            </w:r>
          </w:p>
        </w:tc>
        <w:tc>
          <w:tcPr/>
          <w:p>
            <w:pPr>
              <w:pStyle w:val="Compact"/>
              <w:jc w:val="left"/>
            </w:pPr>
            <w:r>
              <w:t xml:space="preserve">Rolling, beginning July 2025</w:t>
            </w:r>
          </w:p>
        </w:tc>
        <w:tc>
          <w:tcPr/>
          <w:p>
            <w:pPr>
              <w:pStyle w:val="Compact"/>
              <w:jc w:val="left"/>
            </w:pPr>
            <w:r>
              <w:t xml:space="preserve">M-7</w:t>
            </w:r>
          </w:p>
        </w:tc>
      </w:tr>
      <w:tr>
        <w:tc>
          <w:tcPr/>
          <w:p>
            <w:pPr>
              <w:pStyle w:val="Compact"/>
              <w:jc w:val="left"/>
            </w:pPr>
            <w:r>
              <w:t xml:space="preserve">30</w:t>
            </w:r>
          </w:p>
        </w:tc>
        <w:tc>
          <w:tcPr/>
          <w:p>
            <w:pPr>
              <w:pStyle w:val="Compact"/>
              <w:jc w:val="left"/>
            </w:pPr>
            <w:r>
              <w:t xml:space="preserve">Hire two additional HR generalists (New England/East Coast; Western) and designate a leave administration specialist</w:t>
            </w:r>
          </w:p>
        </w:tc>
        <w:tc>
          <w:tcPr/>
          <w:p>
            <w:pPr>
              <w:pStyle w:val="Compact"/>
              <w:jc w:val="left"/>
            </w:pPr>
            <w:r>
              <w:t xml:space="preserve">HR (M. Delgado)</w:t>
            </w:r>
          </w:p>
        </w:tc>
        <w:tc>
          <w:tcPr/>
          <w:p>
            <w:pPr>
              <w:pStyle w:val="Compact"/>
              <w:jc w:val="left"/>
            </w:pPr>
            <w:r>
              <w:t xml:space="preserve">Per hiring plan</w:t>
            </w:r>
          </w:p>
        </w:tc>
        <w:tc>
          <w:tcPr/>
          <w:p>
            <w:pPr>
              <w:pStyle w:val="Compact"/>
              <w:jc w:val="left"/>
            </w:pPr>
            <w:r>
              <w:t xml:space="preserve">M-1, M-7</w:t>
            </w:r>
          </w:p>
        </w:tc>
      </w:tr>
      <w:tr>
        <w:tc>
          <w:tcPr/>
          <w:p>
            <w:pPr>
              <w:pStyle w:val="Compact"/>
              <w:jc w:val="left"/>
            </w:pPr>
            <w:r>
              <w:t xml:space="preserve">31</w:t>
            </w:r>
          </w:p>
        </w:tc>
        <w:tc>
          <w:tcPr/>
          <w:p>
            <w:pPr>
              <w:pStyle w:val="Compact"/>
              <w:jc w:val="left"/>
            </w:pPr>
            <w:r>
              <w:t xml:space="preserve">Coordinate with Keystone Benefit Administrators to extend voluntary STD to expansion states as supplemental only</w:t>
            </w:r>
          </w:p>
        </w:tc>
        <w:tc>
          <w:tcPr/>
          <w:p>
            <w:pPr>
              <w:pStyle w:val="Compact"/>
              <w:jc w:val="left"/>
            </w:pPr>
            <w:r>
              <w:t xml:space="preserve">HR (M. Delgado)</w:t>
            </w:r>
          </w:p>
        </w:tc>
        <w:tc>
          <w:tcPr/>
          <w:p>
            <w:pPr>
              <w:pStyle w:val="Compact"/>
              <w:jc w:val="left"/>
            </w:pPr>
            <w:r>
              <w:t xml:space="preserve">Per facility schedule</w:t>
            </w:r>
          </w:p>
        </w:tc>
        <w:tc>
          <w:tcPr/>
          <w:p>
            <w:pPr>
              <w:pStyle w:val="Compact"/>
              <w:jc w:val="left"/>
            </w:pPr>
            <w:r>
              <w:t xml:space="preserve">C-5</w:t>
            </w:r>
          </w:p>
        </w:tc>
      </w:tr>
      <w:tr>
        <w:tc>
          <w:tcPr/>
          <w:p>
            <w:pPr>
              <w:pStyle w:val="Compact"/>
              <w:jc w:val="left"/>
            </w:pPr>
            <w:r>
              <w:t xml:space="preserve">32</w:t>
            </w:r>
          </w:p>
        </w:tc>
        <w:tc>
          <w:tcPr/>
          <w:p>
            <w:pPr>
              <w:pStyle w:val="Compact"/>
              <w:jc w:val="left"/>
            </w:pPr>
            <w:r>
              <w:t xml:space="preserve">Schedule periodic compliance re-review (H&amp;C) after each expansion phase and upon legislative changes</w:t>
            </w:r>
          </w:p>
        </w:tc>
        <w:tc>
          <w:tcPr/>
          <w:p>
            <w:pPr>
              <w:pStyle w:val="Compact"/>
              <w:jc w:val="left"/>
            </w:pPr>
            <w:r>
              <w:t xml:space="preserve">Legal</w:t>
            </w:r>
          </w:p>
        </w:tc>
        <w:tc>
          <w:tcPr/>
          <w:p>
            <w:pPr>
              <w:pStyle w:val="Compact"/>
              <w:jc w:val="left"/>
            </w:pPr>
            <w:r>
              <w:t xml:space="preserve">Ongoing</w:t>
            </w:r>
          </w:p>
        </w:tc>
        <w:tc>
          <w:tcPr/>
          <w:p>
            <w:pPr>
              <w:pStyle w:val="Compact"/>
              <w:jc w:val="left"/>
            </w:pPr>
            <w:r>
              <w:t xml:space="preserve">Scope</w:t>
            </w:r>
          </w:p>
        </w:tc>
      </w:tr>
    </w:tbl>
    <w:p>
      <w:r>
        <w:pict>
          <v:rect style="width:0;height:1.5pt" o:hralign="center" o:hrstd="t" o:hr="t"/>
        </w:pict>
      </w:r>
    </w:p>
    <w:bookmarkEnd w:id="53"/>
    <w:bookmarkEnd w:id="54"/>
    <w:bookmarkStart w:id="55" w:name="X29e579f5523dcd646fad73eedc14c1ae941424b"/>
    <w:p>
      <w:pPr>
        <w:pStyle w:val="Heading2"/>
      </w:pPr>
      <w:r>
        <w:t xml:space="preserve">8. Resolution Strategy Framework — NJ DOL Complaint (Case No. NJ-ESL-2025-04117)</w:t>
      </w:r>
    </w:p>
    <w:p>
      <w:pPr>
        <w:pStyle w:val="FirstParagraph"/>
      </w:pPr>
      <w:r>
        <w:t xml:space="preserve">Representation in the Muñoz complaint is handled under the separate February 15, 2025 engagement and is outside the scope of this review. However, the compliance findings here directly inform the Company’s response posture, and H&amp;C offers the following framework for the Company’s consideration (to be coordinated with the H&amp;C team handling the complaint):</w:t>
      </w:r>
    </w:p>
    <w:p>
      <w:pPr>
        <w:numPr>
          <w:ilvl w:val="0"/>
          <w:numId w:val="1002"/>
        </w:numPr>
      </w:pPr>
      <w:r>
        <w:rPr>
          <w:b/>
          <w:bCs/>
        </w:rPr>
        <w:t xml:space="preserve">Policy remediation as a mitigating factor.</w:t>
      </w:r>
      <w:r>
        <w:t xml:space="preserve"> </w:t>
      </w:r>
      <w:r>
        <w:t xml:space="preserve">The Company’s February 21, 2025 response represented that policy revisions would be completed by July 1, 2025. Timely completion of the family-member definition and covered-use expansions (C-3, H-5, H-6) will demonstrate good-faith remediation and support a cooperative resolution with the NJ DOL. H&amp;C recommends that the revised policy be provided to the Department as evidence of remediation.</w:t>
      </w:r>
    </w:p>
    <w:p>
      <w:pPr>
        <w:numPr>
          <w:ilvl w:val="0"/>
          <w:numId w:val="1002"/>
        </w:numPr>
      </w:pPr>
      <w:r>
        <w:rPr>
          <w:b/>
          <w:bCs/>
        </w:rPr>
        <w:t xml:space="preserve">Individual claim resolution.</w:t>
      </w:r>
      <w:r>
        <w:t xml:space="preserve"> </w:t>
      </w:r>
      <w:r>
        <w:t xml:space="preserve">The Company is evaluating whether to make Ms. Muñoz whole for lost wages or expended PTO (per the response letter, item (c)). The compliance review confirms that the denial was a direct consequence of the non-compliant policy language; resolving the individual claim favorably may reduce the likelihood of a broader investigation.</w:t>
      </w:r>
    </w:p>
    <w:p>
      <w:pPr>
        <w:numPr>
          <w:ilvl w:val="0"/>
          <w:numId w:val="1002"/>
        </w:numPr>
      </w:pPr>
      <w:r>
        <w:rPr>
          <w:b/>
          <w:bCs/>
        </w:rPr>
        <w:t xml:space="preserve">Broader-exposure awareness.</w:t>
      </w:r>
      <w:r>
        <w:t xml:space="preserve"> </w:t>
      </w:r>
      <w:r>
        <w:t xml:space="preserve">The NJ DOL has reserved the right to conduct a broader investigation of the Company’s sick leave practices. Because the family-member and covered-use deficiencies are company-wide (not limited to New Jersey), and because the accrual-rate, cap, waiting-period, and carryover deficiencies also affect New Jersey employees, the Company should be prepared for the possibility that a broader investigation could surface additional New Jersey violations. Accelerating the New Jersey-specific remediation (accrual rate to 1/30, carryover, family-member and covered-use expansion) before the July 1, 2025 deadline would reduce this exposure.</w:t>
      </w:r>
    </w:p>
    <w:p>
      <w:pPr>
        <w:numPr>
          <w:ilvl w:val="0"/>
          <w:numId w:val="1002"/>
        </w:numPr>
      </w:pPr>
      <w:r>
        <w:rPr>
          <w:b/>
          <w:bCs/>
        </w:rPr>
        <w:t xml:space="preserve">Supervisor training.</w:t>
      </w:r>
      <w:r>
        <w:t xml:space="preserve"> </w:t>
      </w:r>
      <w:r>
        <w:t xml:space="preserve">The response letter committed to supervisor and HR training on proper administration of earned sick leave. This should be implemented promptly and documented, as it is both a remediation commitment to the Department and a defense against future claims.</w:t>
      </w:r>
    </w:p>
    <w:p>
      <w:r>
        <w:pict>
          <v:rect style="width:0;height:1.5pt" o:hralign="center" o:hrstd="t" o:hr="t"/>
        </w:pict>
      </w:r>
    </w:p>
    <w:bookmarkEnd w:id="55"/>
    <w:bookmarkStart w:id="56" w:name="budget-considerations"/>
    <w:p>
      <w:pPr>
        <w:pStyle w:val="Heading2"/>
      </w:pPr>
      <w:r>
        <w:t xml:space="preserve">9. Budget Considerations</w:t>
      </w:r>
    </w:p>
    <w:p>
      <w:pPr>
        <w:pStyle w:val="FirstParagraph"/>
      </w:pPr>
      <w:r>
        <w:t xml:space="preserve">The Company has allocated a compliance remediation budget of $175,000 for legal fees, system updates, and policy redrafting. H&amp;C’s estimated professional fees for this engagement are $28,000–$42,000. The principal competing budget demand is the dedicated leave management software (estimated $40,000–$75,000), which H&amp;C regards as essential to scalable multi-state compliance (see M-1). Additional HR headcount (estimated $120,000–$140,000 combined annual salary for two generalists) is recommended as a separate headcount expenditure outside the remediation budget. H&amp;C recommends that the Company confirm budget allocation priorities with Finance — specifically, whether the software investment should be pursued through a separate capital expenditure request so that the remediation budget can be reserved primarily for legal fees and policy work, or whether the budget should be allocated across all workstreams with the understanding that it may be tight. The state-program contribution cost (estimated approximately $209,840 annually across the four expansion states, on $23.6 million of expansion payroll) is a recurring operating expense, not a remediation cost, and should be reflected in the expansion financial model.</w:t>
      </w:r>
    </w:p>
    <w:p>
      <w:r>
        <w:pict>
          <v:rect style="width:0;height:1.5pt" o:hralign="center" o:hrstd="t" o:hr="t"/>
        </w:pict>
      </w:r>
    </w:p>
    <w:bookmarkEnd w:id="56"/>
    <w:bookmarkStart w:id="57" w:name="conclusion-and-next-steps"/>
    <w:p>
      <w:pPr>
        <w:pStyle w:val="Heading2"/>
      </w:pPr>
      <w:r>
        <w:t xml:space="preserve">10. Conclusion and Next Steps</w:t>
      </w:r>
    </w:p>
    <w:p>
      <w:pPr>
        <w:pStyle w:val="FirstParagraph"/>
      </w:pPr>
      <w:r>
        <w:t xml:space="preserve">The Company’s planned four-state expansion is operationally well advanced, but the paid leave compliance workstream requires immediate and sustained attention. The five Critical deficiencies — Colorado and Massachusetts registration, the active NJ DOL complaint, the structurally deficient self-funded plan, and the paid-medical-leave/misdirection gap — present active or imminent legal exposure and must be addressed on the timelines set forth in Section 7. The High and Moderate deficiencies, while not immediately enforceable, will compound as the Company scales and should be remediated through the July 1, 2025 Handbook revision and the system and process improvements described herein.</w:t>
      </w:r>
    </w:p>
    <w:p>
      <w:pPr>
        <w:pStyle w:val="BodyText"/>
      </w:pPr>
      <w:r>
        <w:t xml:space="preserve">H&amp;C is available to (i) assist with the state program registrations in Massachusetts and Colorado on an expedited basis; (ii) advise on the structural decision regarding the self-funded plan; (iii) support the Handbook revision by reviewing the Company’s draft leave policies for multi-state compliance (a separate engagement if the Company wishes H&amp;C to draft the policies); (iv) prepare non-privileged summaries for distribution to PinnacleHR and Keystone as needed; and (v) participate in a working session with the Company’s legal and HR teams to discuss these findings and next steps.</w:t>
      </w:r>
    </w:p>
    <w:p>
      <w:pPr>
        <w:pStyle w:val="BodyText"/>
      </w:pPr>
      <w:r>
        <w:t xml:space="preserve">Given the urgency of the Massachusetts and Colorado registration items, H&amp;C recommends that the Company initiate those actions</w:t>
      </w:r>
      <w:r>
        <w:t xml:space="preserve"> </w:t>
      </w:r>
      <w:r>
        <w:rPr>
          <w:b/>
          <w:bCs/>
        </w:rPr>
        <w:t xml:space="preserve">this week</w:t>
      </w:r>
      <w:r>
        <w:t xml:space="preserve"> </w:t>
      </w:r>
      <w:r>
        <w:t xml:space="preserve">and does not await any further deliverable. H&amp;C will provide an interim status update on or about May 2, 2025, as contemplated by the engagement letter, and will promptly notify the Company in writing of any issue requiring immediate corrective action identified before the final deliverable date.</w:t>
      </w:r>
    </w:p>
    <w:p>
      <w:pPr>
        <w:pStyle w:val="BodyText"/>
      </w:pPr>
      <w:r>
        <w:t xml:space="preserve">We appreciate the opportunity to assist Vantage with this important initiative.</w:t>
      </w:r>
    </w:p>
    <w:p>
      <w:pPr>
        <w:pStyle w:val="BodyText"/>
      </w:pPr>
      <w:r>
        <w:t xml:space="preserve">Respectfully submitted,</w:t>
      </w:r>
    </w:p>
    <w:p>
      <w:pPr>
        <w:pStyle w:val="BodyText"/>
      </w:pPr>
      <w:r>
        <w:rPr>
          <w:b/>
          <w:bCs/>
        </w:rPr>
        <w:t xml:space="preserve">HARTWELL &amp; CABOT LLP</w:t>
      </w:r>
    </w:p>
    <w:p>
      <w:pPr>
        <w:pStyle w:val="BodyText"/>
      </w:pPr>
      <w:r>
        <w:t xml:space="preserve">Daniel Ikeda</w:t>
      </w:r>
      <w:r>
        <w:t xml:space="preserve"> </w:t>
      </w:r>
      <w:r>
        <w:t xml:space="preserve">Senior Associate</w:t>
      </w:r>
      <w:r>
        <w:t xml:space="preserve"> </w:t>
      </w:r>
      <w:r>
        <w:t xml:space="preserve">One Gateway Center, Suite 2400</w:t>
      </w:r>
      <w:r>
        <w:t xml:space="preserve"> </w:t>
      </w:r>
      <w:r>
        <w:t xml:space="preserve">Newark, New Jersey 07102</w:t>
      </w:r>
      <w:r>
        <w:t xml:space="preserve"> </w:t>
      </w:r>
      <w:r>
        <w:t xml:space="preserve">Tel: (973) 555-8134 | dikeda@hartwellcabot.com</w:t>
      </w:r>
    </w:p>
    <w:p>
      <w:pPr>
        <w:pStyle w:val="BodyText"/>
      </w:pPr>
      <w:r>
        <w:t xml:space="preserve">Catherine Ng</w:t>
      </w:r>
      <w:r>
        <w:t xml:space="preserve"> </w:t>
      </w:r>
      <w:r>
        <w:t xml:space="preserve">Partner</w:t>
      </w:r>
      <w:r>
        <w:t xml:space="preserve"> </w:t>
      </w:r>
      <w:r>
        <w:t xml:space="preserve">Tel: (973) 555-8117 | cng@hartwellcabot.com</w:t>
      </w:r>
    </w:p>
    <w:p>
      <w:pPr>
        <w:pStyle w:val="BodyText"/>
      </w:pPr>
      <w:r>
        <w:rPr>
          <w:i/>
          <w:iCs/>
        </w:rPr>
        <w:t xml:space="preserve">cc: Marcus Delgado, Director of Human Resources, Vantage Logistics Group, Inc.</w:t>
      </w:r>
    </w:p>
    <w:p>
      <w:r>
        <w:pict>
          <v:rect style="width:0;height:1.5pt" o:hralign="center" o:hrstd="t" o:hr="t"/>
        </w:pict>
      </w:r>
    </w:p>
    <w:p>
      <w:pPr>
        <w:pStyle w:val="FirstParagraph"/>
      </w:pPr>
      <w:r>
        <w:rPr>
          <w:i/>
          <w:iCs/>
        </w:rPr>
        <w:t xml:space="preserve">This memorandum is privileged and confidential, constitutes attorney work product prepared in anticipation of litigation and for the purpose of rendering legal advice, and is intended solely for the use of the addressee and authorized Vantage personnel. It is based on statutes, regulations, and agency guidance in effect as of May 19, 2025, and on information and representations provided by Vantage Logistics Group, Inc. and PinnacleHR Solutions, Inc. State paid leave law is a rapidly evolving area of regulation; H&amp;C recommends periodic re-review. This memorandum does not constitute a guarantee of any particular outcome with respect to the pending NJ DOL complaint or any future regulatory action, audit, or employee claim.</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2026-06-23T05:28:53Z</dcterms:created>
  <dcterms:modified xsi:type="dcterms:W3CDTF">2026-06-23T05:28:53Z</dcterms:modified>
</cp:coreProperties>
</file>

<file path=docProps/custom.xml><?xml version="1.0" encoding="utf-8"?>
<Properties xmlns="http://schemas.openxmlformats.org/officeDocument/2006/custom-properties" xmlns:vt="http://schemas.openxmlformats.org/officeDocument/2006/docPropsVTypes"/>
</file>