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MULTI-STATE</w:t>
      </w:r>
      <w:r>
        <w:t xml:space="preserve"> </w:t>
      </w:r>
      <w:r>
        <w:t xml:space="preserve">PAID</w:t>
      </w:r>
      <w:r>
        <w:t xml:space="preserve"> </w:t>
      </w:r>
      <w:r>
        <w:t xml:space="preserve">LEAVE</w:t>
      </w:r>
      <w:r>
        <w:t xml:space="preserve"> </w:t>
      </w:r>
      <w:r>
        <w:t xml:space="preserve">COMPLIANCE</w:t>
      </w:r>
      <w:r>
        <w:t xml:space="preserve"> </w:t>
      </w:r>
      <w:r>
        <w:t xml:space="preserve">—</w:t>
      </w:r>
      <w:r>
        <w:t xml:space="preserve"> </w:t>
      </w:r>
      <w:r>
        <w:t xml:space="preserve">GAP</w:t>
      </w:r>
      <w:r>
        <w:t xml:space="preserve"> </w:t>
      </w:r>
      <w:r>
        <w:t xml:space="preserve">ANALYSIS</w:t>
      </w:r>
      <w:r>
        <w:t xml:space="preserve"> </w:t>
      </w:r>
      <w:r>
        <w:t xml:space="preserve">MEMORANDUM</w:t>
      </w:r>
    </w:p>
    <w:p>
      <w:pPr>
        <w:pStyle w:val="FirstParagraph"/>
      </w:pPr>
      <w:r>
        <w:rPr>
          <w:b/>
          <w:bCs/>
        </w:rPr>
        <w:t xml:space="preserve">HARTWELL &amp; CABOT LLP</w:t>
      </w:r>
      <w:r>
        <w:t xml:space="preserve"> </w:t>
      </w:r>
      <w:r>
        <w:rPr>
          <w:i/>
          <w:iCs/>
        </w:rPr>
        <w:t xml:space="preserve">Attorneys at Law</w:t>
      </w:r>
      <w:r>
        <w:t xml:space="preserve"> </w:t>
      </w:r>
      <w:r>
        <w:t xml:space="preserve">One Gateway Center, Suite 1200 · Newark, New Jersey 07102</w:t>
      </w:r>
      <w:r>
        <w:t xml:space="preserve"> </w:t>
      </w:r>
      <w:r>
        <w:t xml:space="preserve">Tel (973) 555-4800 · Fax (973) 555-4801 · www.hartwellcabot.com</w:t>
      </w:r>
    </w:p>
    <w:p>
      <w:pPr>
        <w:pStyle w:val="BodyText"/>
      </w:pPr>
      <w:r>
        <w:rPr>
          <w:b/>
          <w:bCs/>
        </w:rPr>
        <w:t xml:space="preserve">PRIVILEGED &amp; CONFIDENTIAL — ATTORNEY-CLIENT COMMUNICATION / ATTORNEY WORK PRODUCT</w:t>
      </w:r>
    </w:p>
    <w:p>
      <w:pPr>
        <w:pStyle w:val="BodyText"/>
      </w:pPr>
      <w:r>
        <w:rPr>
          <w:b/>
          <w:bCs/>
        </w:rPr>
        <w:t xml:space="preserve">MEMORANDUM</w:t>
      </w:r>
    </w:p>
    <w:tbl>
      <w:tblPr>
        <w:tblStyle w:val="Table"/>
        <w:tblW w:type="pct" w:w="5000"/>
        <w:jc w:val="left"/>
        <w:tblLayout w:type="fixed"/>
        <w:tblLook w:firstRow="0" w:lastRow="0" w:firstColumn="0" w:lastColumn="0" w:noHBand="0" w:noVBand="0" w:val="0000"/>
      </w:tblPr>
      <w:tblGrid>
        <w:gridCol w:w="3960"/>
        <w:gridCol w:w="3960"/>
      </w:tblGrid>
      <w:tr>
        <w:tc>
          <w:tcPr/>
          <w:p>
            <w:pPr>
              <w:pStyle w:val="Compact"/>
              <w:jc w:val="left"/>
            </w:pPr>
            <w:r>
              <w:rPr>
                <w:b/>
                <w:bCs/>
              </w:rPr>
              <w:t xml:space="preserve">TO:</w:t>
            </w:r>
          </w:p>
        </w:tc>
        <w:tc>
          <w:tcPr/>
          <w:p>
            <w:pPr>
              <w:pStyle w:val="Compact"/>
              <w:jc w:val="left"/>
            </w:pPr>
            <w:r>
              <w:t xml:space="preserve">Rebecca Thorsen, Senior Vice President &amp; General Counsel, Vantage Logistics Group, Inc.</w:t>
            </w:r>
          </w:p>
        </w:tc>
      </w:tr>
      <w:tr>
        <w:tc>
          <w:tcPr/>
          <w:p>
            <w:pPr>
              <w:pStyle w:val="Compact"/>
              <w:jc w:val="left"/>
            </w:pPr>
            <w:r>
              <w:rPr>
                <w:b/>
                <w:bCs/>
              </w:rPr>
              <w:t xml:space="preserve">cc:</w:t>
            </w:r>
          </w:p>
        </w:tc>
        <w:tc>
          <w:tcPr/>
          <w:p>
            <w:pPr>
              <w:pStyle w:val="Compact"/>
              <w:jc w:val="left"/>
            </w:pPr>
            <w:r>
              <w:t xml:space="preserve">Marcus Delgado, Director of Human Resources</w:t>
            </w:r>
          </w:p>
        </w:tc>
      </w:tr>
      <w:tr>
        <w:tc>
          <w:tcPr/>
          <w:p>
            <w:pPr>
              <w:pStyle w:val="Compact"/>
              <w:jc w:val="left"/>
            </w:pPr>
            <w:r>
              <w:rPr>
                <w:b/>
                <w:bCs/>
              </w:rPr>
              <w:t xml:space="preserve">FROM:</w:t>
            </w:r>
          </w:p>
        </w:tc>
        <w:tc>
          <w:tcPr/>
          <w:p>
            <w:pPr>
              <w:pStyle w:val="Compact"/>
              <w:jc w:val="left"/>
            </w:pPr>
            <w:r>
              <w:t xml:space="preserve">Catherine Ng, Partner; Daniel Ikeda, Senior Associate</w:t>
            </w:r>
          </w:p>
        </w:tc>
      </w:tr>
      <w:tr>
        <w:tc>
          <w:tcPr/>
          <w:p>
            <w:pPr>
              <w:pStyle w:val="Compact"/>
              <w:jc w:val="left"/>
            </w:pPr>
            <w:r>
              <w:rPr>
                <w:b/>
                <w:bCs/>
              </w:rPr>
              <w:t xml:space="preserve">DATE:</w:t>
            </w:r>
          </w:p>
        </w:tc>
        <w:tc>
          <w:tcPr/>
          <w:p>
            <w:pPr>
              <w:pStyle w:val="Compact"/>
              <w:jc w:val="left"/>
            </w:pPr>
            <w:r>
              <w:t xml:space="preserve">May 19, 2025</w:t>
            </w:r>
          </w:p>
        </w:tc>
      </w:tr>
      <w:tr>
        <w:tc>
          <w:tcPr/>
          <w:p>
            <w:pPr>
              <w:pStyle w:val="Compact"/>
              <w:jc w:val="left"/>
            </w:pPr>
            <w:r>
              <w:rPr>
                <w:b/>
                <w:bCs/>
              </w:rPr>
              <w:t xml:space="preserve">RE:</w:t>
            </w:r>
          </w:p>
        </w:tc>
        <w:tc>
          <w:tcPr/>
          <w:p>
            <w:pPr>
              <w:pStyle w:val="Compact"/>
              <w:jc w:val="left"/>
            </w:pPr>
            <w:r>
              <w:t xml:space="preserve">Multi-State Paid Leave Compliance Analysis — Gap Analysis and Remediation Roadmap (Engagement dated April 14, 2025)</w:t>
            </w:r>
          </w:p>
        </w:tc>
      </w:tr>
    </w:tbl>
    <w:p>
      <w:r>
        <w:pict>
          <v:rect style="width:0;height:1.5pt" o:hralign="center" o:hrstd="t" o:hr="t"/>
        </w:pict>
      </w:r>
    </w:p>
    <w:bookmarkStart w:id="20" w:name="i.-introduction-and-scope"/>
    <w:p>
      <w:pPr>
        <w:pStyle w:val="Heading2"/>
      </w:pPr>
      <w:r>
        <w:t xml:space="preserve">I. Introduction and Scope</w:t>
      </w:r>
    </w:p>
    <w:p>
      <w:pPr>
        <w:pStyle w:val="FirstParagraph"/>
      </w:pPr>
      <w:r>
        <w:t xml:space="preserve">This memorandum responds to our engagement of April 14, 2025, under which Hartwell &amp; Cabot LLP was retained to conduct a comprehensive review of Vantage Logistics Group, Inc.’s (</w:t>
      </w:r>
      <w:r>
        <w:t xml:space="preserve">“</w:t>
      </w:r>
      <w:r>
        <w:t xml:space="preserve">Vantage</w:t>
      </w:r>
      <w:r>
        <w:t xml:space="preserve">”</w:t>
      </w:r>
      <w:r>
        <w:t xml:space="preserve"> </w:t>
      </w:r>
      <w:r>
        <w:t xml:space="preserve">or the</w:t>
      </w:r>
      <w:r>
        <w:t xml:space="preserve"> </w:t>
      </w:r>
      <w:r>
        <w:t xml:space="preserve">“</w:t>
      </w:r>
      <w:r>
        <w:t xml:space="preserve">Company</w:t>
      </w:r>
      <w:r>
        <w:t xml:space="preserve">”</w:t>
      </w:r>
      <w:r>
        <w:t xml:space="preserve">) paid leave policies and practices for compliance with the statutory and regulatory requirements of the seven jurisdictions in which the Company operates or will operate: New Jersey, New York, and Connecticut (current), and Massachusetts, Colorado, Oregon, and Washington (expansion). The accompanying workbook,</w:t>
      </w:r>
      <w:r>
        <w:t xml:space="preserve"> </w:t>
      </w:r>
      <w:r>
        <w:rPr>
          <w:i/>
          <w:iCs/>
        </w:rPr>
        <w:t xml:space="preserve">multi-state-compliance-matrix.xlsx</w:t>
      </w:r>
      <w:r>
        <w:t xml:space="preserve">, sets out the side-by-side compliance matrix with color-coded gap indicators across all dimensions. This memorandum summarizes the principal findings, analyzes the gaps and associated exposure, and recommends a prioritized remediation roadmap.</w:t>
      </w:r>
    </w:p>
    <w:p>
      <w:pPr>
        <w:pStyle w:val="BodyText"/>
      </w:pPr>
      <w:r>
        <w:t xml:space="preserve">The review was prompted by (i) a pending complaint before the New Jersey Department of Labor and Workforce Development, Case No. NJ-ESL-2025-04117 (</w:t>
      </w:r>
      <w:r>
        <w:rPr>
          <w:i/>
          <w:iCs/>
        </w:rPr>
        <w:t xml:space="preserve">Carla Muñoz v. Vantage Logistics Group, Inc.</w:t>
      </w:r>
      <w:r>
        <w:t xml:space="preserve">), and (ii) internal concerns raised by Mr. Delgado in March 2025 regarding Connecticut paid medical leave, Colorado PTO payout, and paid family leave notice requirements, against the backdrop of a multi-state expansion that will grow the workforce from approximately 2,140 to 2,560 employees across seven states.</w:t>
      </w:r>
    </w:p>
    <w:p>
      <w:pPr>
        <w:pStyle w:val="BodyText"/>
      </w:pPr>
      <w:r>
        <w:rPr>
          <w:b/>
          <w:bCs/>
        </w:rPr>
        <w:t xml:space="preserve">Out of scope.</w:t>
      </w:r>
      <w:r>
        <w:t xml:space="preserve"> </w:t>
      </w:r>
      <w:r>
        <w:t xml:space="preserve">This memorandum does not address Family and Medical Leave Act (FMLA) compliance, local or municipal leave ordinances, representation in the pending NJ DOL complaint, or drafting of the revised Employee Handbook. Those items may be addressed under separate engagement.</w:t>
      </w:r>
    </w:p>
    <w:bookmarkEnd w:id="20"/>
    <w:bookmarkStart w:id="21" w:name="ii.-executive-summary"/>
    <w:p>
      <w:pPr>
        <w:pStyle w:val="Heading2"/>
      </w:pPr>
      <w:r>
        <w:t xml:space="preserve">II. Executive Summary</w:t>
      </w:r>
    </w:p>
    <w:p>
      <w:pPr>
        <w:pStyle w:val="FirstParagraph"/>
      </w:pPr>
      <w:r>
        <w:t xml:space="preserve">Vantage’s paid leave framework was last comprehensively revised on January 15, 2022, when the Company operated only in New Jersey, New York, and Connecticut. The framework was built around a single, uniform, company-wide policy and a self-funded paid family leave benefit intended to substitute for state programs. Three years of statutory evolution, a four-state expansion, and the Muñoz complaint have exposed that the framework is materially out of compliance in multiple respects and across multiple jurisdictions.</w:t>
      </w:r>
    </w:p>
    <w:p>
      <w:pPr>
        <w:pStyle w:val="BodyText"/>
      </w:pPr>
      <w:r>
        <w:t xml:space="preserve">We identified</w:t>
      </w:r>
      <w:r>
        <w:t xml:space="preserve"> </w:t>
      </w:r>
      <w:r>
        <w:rPr>
          <w:b/>
          <w:bCs/>
        </w:rPr>
        <w:t xml:space="preserve">28 discrete compliance gaps</w:t>
      </w:r>
      <w:r>
        <w:t xml:space="preserve">:</w:t>
      </w:r>
      <w:r>
        <w:t xml:space="preserve"> </w:t>
      </w:r>
      <w:r>
        <w:rPr>
          <w:b/>
          <w:bCs/>
        </w:rPr>
        <w:t xml:space="preserve">7 Critical</w:t>
      </w:r>
      <w:r>
        <w:t xml:space="preserve">,</w:t>
      </w:r>
      <w:r>
        <w:t xml:space="preserve"> </w:t>
      </w:r>
      <w:r>
        <w:rPr>
          <w:b/>
          <w:bCs/>
        </w:rPr>
        <w:t xml:space="preserve">14 High</w:t>
      </w:r>
      <w:r>
        <w:t xml:space="preserve">, and</w:t>
      </w:r>
      <w:r>
        <w:t xml:space="preserve"> </w:t>
      </w:r>
      <w:r>
        <w:rPr>
          <w:b/>
          <w:bCs/>
        </w:rPr>
        <w:t xml:space="preserve">7 Moderate</w:t>
      </w:r>
      <w:r>
        <w:t xml:space="preserve">. The most serious findings are:</w:t>
      </w:r>
    </w:p>
    <w:p>
      <w:pPr>
        <w:numPr>
          <w:ilvl w:val="0"/>
          <w:numId w:val="1001"/>
        </w:numPr>
      </w:pPr>
      <w:r>
        <w:rPr>
          <w:b/>
          <w:bCs/>
        </w:rPr>
        <w:t xml:space="preserve">Systemic under-accrual of paid sick leave.</w:t>
      </w:r>
      <w:r>
        <w:t xml:space="preserve"> </w:t>
      </w:r>
      <w:r>
        <w:t xml:space="preserve">Vantage accrues sick leave at one hour per 40 hours worked. New Jersey, New York, Massachusetts, Colorado, and Oregon all require one hour per 30 hours worked. This has produced under-accrual for approximately 1,570 current employees (890 in New Jersey and 680 in New York) since at least January 2022 and will recur in the expansion states unless corrected.</w:t>
      </w:r>
    </w:p>
    <w:p>
      <w:pPr>
        <w:numPr>
          <w:ilvl w:val="0"/>
          <w:numId w:val="1001"/>
        </w:numPr>
      </w:pPr>
      <w:r>
        <w:rPr>
          <w:b/>
          <w:bCs/>
        </w:rPr>
        <w:t xml:space="preserve">The self-funded paid family leave benefit is below every state’s statutory minimum and is not a compliant private-plan substitute.</w:t>
      </w:r>
      <w:r>
        <w:t xml:space="preserve"> </w:t>
      </w:r>
      <w:r>
        <w:t xml:space="preserve">The benefit (50% of average weekly wage, capped at $850/week, for up to 8 weeks) falls below the statutory benefit in all seven jurisdictions on replacement rate, weekly cap, and duration. No private-plan application has been filed in any state, and Colorado does not permit private-employer opt-out at all. Employees in New Jersey, New York, and Connecticut are paying into state programs through payroll withholding but are not receiving the statutory benefits through the self-funded plan.</w:t>
      </w:r>
    </w:p>
    <w:p>
      <w:pPr>
        <w:numPr>
          <w:ilvl w:val="0"/>
          <w:numId w:val="1001"/>
        </w:numPr>
      </w:pPr>
      <w:r>
        <w:rPr>
          <w:b/>
          <w:bCs/>
        </w:rPr>
        <w:t xml:space="preserve">No employer-funded paid medical leave for an employee’s own serious health condition, with misdirected claims routing.</w:t>
      </w:r>
      <w:r>
        <w:t xml:space="preserve"> </w:t>
      </w:r>
      <w:r>
        <w:t xml:space="preserve">The Company provides no employer-funded paid medical leave beyond accrued sick leave (capped at 40 hours for full-time employees) and a voluntary, employee-paid short-term disability plan through Keystone Benefit Administrators (in which fewer than 30% of Connecticut hourly staff are enrolled). Human Resources staff in New Jersey, New York, and Connecticut have been directing employees to the voluntary plan rather than to the state temporary disability / paid leave programs those employees are already funding. At least seven employee inquiries in the past twelve months were handled this way.</w:t>
      </w:r>
    </w:p>
    <w:p>
      <w:pPr>
        <w:numPr>
          <w:ilvl w:val="0"/>
          <w:numId w:val="1001"/>
        </w:numPr>
      </w:pPr>
      <w:r>
        <w:rPr>
          <w:b/>
          <w:bCs/>
        </w:rPr>
        <w:t xml:space="preserve">Imminent registration deadlines in the expansion states, two of which are Critical.</w:t>
      </w:r>
      <w:r>
        <w:t xml:space="preserve"> </w:t>
      </w:r>
      <w:r>
        <w:t xml:space="preserve">Vantage is not registered with the paid leave program in any expansion state. Massachusetts registration must be completed by approximately June 1, 2025 to allow PinnacleHR Solutions’ 6–8 week configuration lead time before the August 1, 2025 facility opening. Colorado registration may already be triggered by three remote employees hired in April 2025, ahead of the November 1, 2025 facility opening, and Colorado mandates program participation with no private-employer opt-out.</w:t>
      </w:r>
    </w:p>
    <w:p>
      <w:pPr>
        <w:numPr>
          <w:ilvl w:val="0"/>
          <w:numId w:val="1001"/>
        </w:numPr>
      </w:pPr>
      <w:r>
        <w:rPr>
          <w:b/>
          <w:bCs/>
        </w:rPr>
        <w:t xml:space="preserve">The no-PTO-payout policy is unlawful in four states.</w:t>
      </w:r>
      <w:r>
        <w:t xml:space="preserve"> </w:t>
      </w:r>
      <w:r>
        <w:t xml:space="preserve">The policy pays out accrued, unused PTO only in Connecticut. Massachusetts (Wage Act), Colorado, Oregon, and Washington all treat accrued vacation as wages that must be paid at separation, with Massachusetts and Colorado exposing the Company to treble damages and attorney’s fees.</w:t>
      </w:r>
    </w:p>
    <w:p>
      <w:pPr>
        <w:numPr>
          <w:ilvl w:val="0"/>
          <w:numId w:val="1001"/>
        </w:numPr>
      </w:pPr>
      <w:r>
        <w:rPr>
          <w:b/>
          <w:bCs/>
        </w:rPr>
        <w:t xml:space="preserve">The Muñoz complaint reflects a broader, systemic defect.</w:t>
      </w:r>
      <w:r>
        <w:t xml:space="preserve"> </w:t>
      </w:r>
      <w:r>
        <w:t xml:space="preserve">The narrow family-member definition and covered-uses language at issue in the NJ DOL complaint is not unique to New Jersey; the same or analogous defects exist in every jurisdiction.</w:t>
      </w:r>
    </w:p>
    <w:p>
      <w:pPr>
        <w:pStyle w:val="FirstParagraph"/>
      </w:pPr>
      <w:r>
        <w:t xml:space="preserve">The Company has a stated compliance remediation budget of $175,000 and a target revised Handbook date of July 1, 2025. The remediation roadmap in Section VIII is designed to fit within that budget and timeline, with the most time-critical items (registration, retroactive sick-leave remediation, claims-routing correction, and the Muñoz matter) addressed first.</w:t>
      </w:r>
    </w:p>
    <w:bookmarkEnd w:id="21"/>
    <w:bookmarkStart w:id="22" w:name="iii.-background-and-current-state"/>
    <w:p>
      <w:pPr>
        <w:pStyle w:val="Heading2"/>
      </w:pPr>
      <w:r>
        <w:t xml:space="preserve">III. Background and Current State</w:t>
      </w:r>
    </w:p>
    <w:p>
      <w:pPr>
        <w:pStyle w:val="FirstParagraph"/>
      </w:pPr>
      <w:r>
        <w:rPr>
          <w:b/>
          <w:bCs/>
        </w:rPr>
        <w:t xml:space="preserve">Corporate footprint.</w:t>
      </w:r>
      <w:r>
        <w:t xml:space="preserve"> </w:t>
      </w:r>
      <w:r>
        <w:t xml:space="preserve">Vantage is a Delaware corporation headquartered at 400 Commerce Boulevard, Suite 300, Edison, New Jersey. It operates freight brokerage, warehousing, and last-mile delivery facilities. Current operations: Edison and Newark, New Jersey (890 employees); Maspeth/Queens and White Plains, New York (680 employees); and Bridgeport, Connecticut (570 employees). Planned expansion: Worcester, Massachusetts (130 employees, opening August 1, 2025); Aurora, Colorado (95 employees, opening November 1, 2025, with three remote employees starting April 2025); Tigard, Oregon (110 employees, opening February 1, 2026); and Kent, Washington (85 employees, opening May 1, 2026).</w:t>
      </w:r>
    </w:p>
    <w:p>
      <w:pPr>
        <w:pStyle w:val="BodyText"/>
      </w:pPr>
      <w:r>
        <w:rPr>
          <w:b/>
          <w:bCs/>
        </w:rPr>
        <w:t xml:space="preserve">Payroll and systems.</w:t>
      </w:r>
      <w:r>
        <w:t xml:space="preserve"> </w:t>
      </w:r>
      <w:r>
        <w:t xml:space="preserve">Payroll and state-program withholding are administered by PinnacleHR Solutions, Inc. (account manager: Priya Samuelson). PinnacleHR requires approximately 6–8 weeks after employer registration to configure withholding. Hourly time and attendance is recorded in ClockSync Enterprise; employee records are maintained in WorkBridge Pro (v8.4). Leave accruals and balances are tracked in</w:t>
      </w:r>
      <w:r>
        <w:t xml:space="preserve"> </w:t>
      </w:r>
      <w:r>
        <w:rPr>
          <w:b/>
          <w:bCs/>
        </w:rPr>
        <w:t xml:space="preserve">manual Excel spreadsheets, one per state</w:t>
      </w:r>
      <w:r>
        <w:t xml:space="preserve">, with no dedicated leave-management system, no automated audit trail, and no state-specific rule differentiation.</w:t>
      </w:r>
    </w:p>
    <w:p>
      <w:pPr>
        <w:pStyle w:val="BodyText"/>
      </w:pPr>
      <w:r>
        <w:rPr>
          <w:b/>
          <w:bCs/>
        </w:rPr>
        <w:t xml:space="preserve">Current state-program withholding (per PinnacleHR report, data as of March 31, 2025).</w:t>
      </w:r>
      <w:r>
        <w:t xml:space="preserve"> </w:t>
      </w:r>
      <w:r>
        <w:t xml:space="preserve">Withholding is active and remitting in the three current states: New Jersey (FLI 0.09% employee; TDI 0.00% employee / ~0.40% employer, wage base $161,400); New York (PFL 0.388% employee, cap $91,373.88; DBL $0.60/week employee plus employer balance); and Connecticut (CT Paid Leave 0.50% employee, Social Security wage base $176,100). Estimated current-state annual contributions total approximately $605,330. No withholding is configured in any expansion state; projected expansion-state contributions total approximately $209,840, for a combined annual total of approximately $815,170 once all programs are operational.</w:t>
      </w:r>
    </w:p>
    <w:p>
      <w:pPr>
        <w:pStyle w:val="BodyText"/>
      </w:pPr>
      <w:r>
        <w:rPr>
          <w:b/>
          <w:bCs/>
        </w:rPr>
        <w:t xml:space="preserve">Pending matter.</w:t>
      </w:r>
      <w:r>
        <w:t xml:space="preserve"> </w:t>
      </w:r>
      <w:r>
        <w:t xml:space="preserve">NJ DOL Complaint No. NJ-ESL-2025-04117 was received by the Company on February 3, 2025. Our response letter dated February 21, 2025 acknowledged that the policy language raises legitimate questions and committed to a policy review and supervisor training, with a target revised Handbook date of July 1, 2025. The matter remains open.</w:t>
      </w:r>
    </w:p>
    <w:bookmarkEnd w:id="22"/>
    <w:bookmarkStart w:id="23" w:name="iv.-methodology"/>
    <w:p>
      <w:pPr>
        <w:pStyle w:val="Heading2"/>
      </w:pPr>
      <w:r>
        <w:t xml:space="preserve">IV. Methodology</w:t>
      </w:r>
    </w:p>
    <w:p>
      <w:pPr>
        <w:pStyle w:val="FirstParagraph"/>
      </w:pPr>
      <w:r>
        <w:t xml:space="preserve">We reviewed the Employee Handbook, Section 6 (Leave Policies), Rev. January 15, 2022; the NJ DOL complaint and our February 21, 2025 response; the internal email correspondence between Mr. Delgado and Ms. Thorsen dated March 10–17, 2025; the PinnacleHR state leave-program withholding reports (current and expansion states); and the Company’s NJ and NY sick leave tracking spreadsheets. We compared the Company’s written policies and documented practices against the statutory and regulatory requirements of each of the seven jurisdictions across five categories: (A) paid sick leave; (B) paid family leave; (C) paid medical leave / short-term disability; (D) employer obligations (registration, contributions, withholding, recordkeeping, postings); and (E) PTO/vacation payout on separation.</w:t>
      </w:r>
    </w:p>
    <w:p>
      <w:pPr>
        <w:pStyle w:val="BodyText"/>
      </w:pPr>
      <w:r>
        <w:t xml:space="preserve">Each matrix cell is color-coded:</w:t>
      </w:r>
      <w:r>
        <w:t xml:space="preserve"> </w:t>
      </w:r>
      <w:r>
        <w:rPr>
          <w:b/>
          <w:bCs/>
        </w:rPr>
        <w:t xml:space="preserve">red</w:t>
      </w:r>
      <w:r>
        <w:t xml:space="preserve"> </w:t>
      </w:r>
      <w:r>
        <w:t xml:space="preserve">(non-compliant),</w:t>
      </w:r>
      <w:r>
        <w:t xml:space="preserve"> </w:t>
      </w:r>
      <w:r>
        <w:rPr>
          <w:b/>
          <w:bCs/>
        </w:rPr>
        <w:t xml:space="preserve">yellow</w:t>
      </w:r>
      <w:r>
        <w:t xml:space="preserve"> </w:t>
      </w:r>
      <w:r>
        <w:t xml:space="preserve">(partially compliant or at risk), and</w:t>
      </w:r>
      <w:r>
        <w:t xml:space="preserve"> </w:t>
      </w:r>
      <w:r>
        <w:rPr>
          <w:b/>
          <w:bCs/>
        </w:rPr>
        <w:t xml:space="preserve">green</w:t>
      </w:r>
      <w:r>
        <w:t xml:space="preserve"> </w:t>
      </w:r>
      <w:r>
        <w:t xml:space="preserve">(compliant). Statutory rates, caps, and wage bases reflect 2025 figures. State paid leave law is evolving rapidly; the matrix should be re-reviewed at least annually and before each facility opening.</w:t>
      </w:r>
    </w:p>
    <w:bookmarkEnd w:id="23"/>
    <w:bookmarkStart w:id="29" w:name="v.-gap-analysis-by-category"/>
    <w:p>
      <w:pPr>
        <w:pStyle w:val="Heading2"/>
      </w:pPr>
      <w:r>
        <w:t xml:space="preserve">V. Gap Analysis by Category</w:t>
      </w:r>
    </w:p>
    <w:bookmarkStart w:id="24" w:name="a.-paid-sick-leave"/>
    <w:p>
      <w:pPr>
        <w:pStyle w:val="Heading3"/>
      </w:pPr>
      <w:r>
        <w:t xml:space="preserve">A. Paid Sick Leave</w:t>
      </w:r>
    </w:p>
    <w:p>
      <w:pPr>
        <w:pStyle w:val="FirstParagraph"/>
      </w:pPr>
      <w:r>
        <w:t xml:space="preserve">Vantage’s paid sick leave policy applies a single uniform design to all employees in all states. That design is non-compliant in most respects in most jurisdictions.</w:t>
      </w:r>
    </w:p>
    <w:p>
      <w:pPr>
        <w:pStyle w:val="BodyText"/>
      </w:pPr>
      <w:r>
        <w:rPr>
          <w:b/>
          <w:bCs/>
        </w:rPr>
        <w:t xml:space="preserve">1. Accrual rate (Critical; NJ, NY, MA, CO, OR).</w:t>
      </w:r>
      <w:r>
        <w:t xml:space="preserve"> </w:t>
      </w:r>
      <w:r>
        <w:t xml:space="preserve">The policy accrues one hour per 40 hours worked. New Jersey (N.J.S.A. 34:11D-3), New York (NY Labor Law § 196-b), Massachusetts (c. 149 § 148C), Colorado (HFWA), and Oregon (ORS 653.601) all require one hour per 30 hours worked. Only Connecticut (1/40) and Washington (1/40) match the Company’s rate. The result is systemic under-accrual for approximately 1,570 current employees since January 2022. The tracking spreadsheets confirm accrual at the 1/40 rate (e.g., 520 hours worked → 13.0 hours accrued). This is the single largest retroactive exposure in the review and is independent of the Muñoz complaint.</w:t>
      </w:r>
    </w:p>
    <w:p>
      <w:pPr>
        <w:pStyle w:val="BodyText"/>
      </w:pPr>
      <w:r>
        <w:rPr>
          <w:b/>
          <w:bCs/>
        </w:rPr>
        <w:t xml:space="preserve">2. Part-time accrual cap (High; all seven states).</w:t>
      </w:r>
      <w:r>
        <w:t xml:space="preserve"> </w:t>
      </w:r>
      <w:r>
        <w:t xml:space="preserve">The policy caps part-time employees at 24 hours per year. No jurisdiction distinguishes full-time from part-time for the annual cap. New Jersey, New York, Connecticut, Massachusetts, and Oregon require 40 hours; Colorado requires 48 hours; Washington imposes no accrual cap. The tracking spreadsheets document the 24-hour cap being applied (e.g.,</w:t>
      </w:r>
      <w:r>
        <w:t xml:space="preserve"> </w:t>
      </w:r>
      <w:r>
        <w:t xml:space="preserve">“</w:t>
      </w:r>
      <w:r>
        <w:t xml:space="preserve">PT cap 24 hrs — NJ law requires 40 hrs for all employees</w:t>
      </w:r>
      <w:r>
        <w:t xml:space="preserve">”</w:t>
      </w:r>
      <w:r>
        <w:t xml:space="preserve">).</w:t>
      </w:r>
    </w:p>
    <w:p>
      <w:pPr>
        <w:pStyle w:val="BodyText"/>
      </w:pPr>
      <w:r>
        <w:rPr>
          <w:b/>
          <w:bCs/>
        </w:rPr>
        <w:t xml:space="preserve">3. Full-time accrual cap (High; NY, CO; at risk WA).</w:t>
      </w:r>
      <w:r>
        <w:t xml:space="preserve"> </w:t>
      </w:r>
      <w:r>
        <w:t xml:space="preserve">The 40-hour cap is below New York’s 56-hour requirement for employers with 100 or more employees (Vantage has 680 in New York) and Colorado’s 48-hour requirement. Washington permits no accrual cap, so the 40-hour cap is also non-compliant there.</w:t>
      </w:r>
    </w:p>
    <w:p>
      <w:pPr>
        <w:pStyle w:val="BodyText"/>
      </w:pPr>
      <w:r>
        <w:rPr>
          <w:b/>
          <w:bCs/>
        </w:rPr>
        <w:t xml:space="preserve">4. Waiting period (High; NY, MA, CO, OR, WA).</w:t>
      </w:r>
      <w:r>
        <w:t xml:space="preserve"> </w:t>
      </w:r>
      <w:r>
        <w:t xml:space="preserve">The 120-day waiting period is compliant only in New Jersey (which permits up to 120 days). New York permits no waiting period (leave is usable as accrued); Massachusetts, Oregon, and Washington permit use after 90 days; Colorado permits no waiting period at all. The tracking spreadsheets document denials under the 120-day rule (e.g., Monica Baptiste, denied March 18, 2025; Brian Novak, denied January 28, 2025).</w:t>
      </w:r>
    </w:p>
    <w:p>
      <w:pPr>
        <w:pStyle w:val="BodyText"/>
      </w:pPr>
      <w:r>
        <w:rPr>
          <w:b/>
          <w:bCs/>
        </w:rPr>
        <w:t xml:space="preserve">5. Carryover (High; all seven states).</w:t>
      </w:r>
      <w:r>
        <w:t xml:space="preserve"> </w:t>
      </w:r>
      <w:r>
        <w:t xml:space="preserve">The policy resets all balances to zero on January 1. Every jurisdiction requires carryover of unused leave (up to 40 hours; 48 in Colorado; all unused in Washington). The tracking spreadsheets document forfeitures (e.g.,</w:t>
      </w:r>
      <w:r>
        <w:t xml:space="preserve"> </w:t>
      </w:r>
      <w:r>
        <w:t xml:space="preserve">“</w:t>
      </w:r>
      <w:r>
        <w:t xml:space="preserve">No carryover from 2024 — had 12 hrs unused, forfeited per policy</w:t>
      </w:r>
      <w:r>
        <w:t xml:space="preserve">”</w:t>
      </w:r>
      <w:r>
        <w:t xml:space="preserve">).</w:t>
      </w:r>
    </w:p>
    <w:p>
      <w:pPr>
        <w:pStyle w:val="BodyText"/>
      </w:pPr>
      <w:r>
        <w:rPr>
          <w:b/>
          <w:bCs/>
        </w:rPr>
        <w:t xml:space="preserve">6. Covered uses (Critical/High; all seven states).</w:t>
      </w:r>
      <w:r>
        <w:t xml:space="preserve"> </w:t>
      </w:r>
      <w:r>
        <w:t xml:space="preserve">The policy limits use to the employee’s own illness, injury, or medical appointment. It omits care for a family member, safe leave (domestic/sexual violence, stalking), public-health-emergency and school/childcare closures, and (in Colorado) bereavement. New Jersey also requires leave for school-related functions. These omissions are the core of the Muñoz complaint and recur in every jurisdiction.</w:t>
      </w:r>
    </w:p>
    <w:p>
      <w:pPr>
        <w:pStyle w:val="BodyText"/>
      </w:pPr>
      <w:r>
        <w:rPr>
          <w:b/>
          <w:bCs/>
        </w:rPr>
        <w:t xml:space="preserve">7. Family-member definition (Critical; all seven states).</w:t>
      </w:r>
      <w:r>
        <w:t xml:space="preserve"> </w:t>
      </w:r>
      <w:r>
        <w:t xml:space="preserve">The policy defines family members as spouse, child, and parent only. Every jurisdiction requires a materially broader definition, including domestic partners, children of domestic partners, grandparents, grandchildren, siblings, other blood relatives, and individuals whose close association is the equivalent of a family relationship (Colorado’s statute is the broadest, expressly reaching</w:t>
      </w:r>
      <w:r>
        <w:t xml:space="preserve"> </w:t>
      </w:r>
      <w:r>
        <w:t xml:space="preserve">“</w:t>
      </w:r>
      <w:r>
        <w:t xml:space="preserve">chosen family</w:t>
      </w:r>
      <w:r>
        <w:t xml:space="preserve">”</w:t>
      </w:r>
      <w:r>
        <w:t xml:space="preserve">).</w:t>
      </w:r>
    </w:p>
    <w:p>
      <w:pPr>
        <w:pStyle w:val="BodyText"/>
      </w:pPr>
      <w:r>
        <w:rPr>
          <w:b/>
          <w:bCs/>
        </w:rPr>
        <w:t xml:space="preserve">8. Documentation threshold (Moderate; all seven states).</w:t>
      </w:r>
      <w:r>
        <w:t xml:space="preserve"> </w:t>
      </w:r>
      <w:r>
        <w:t xml:space="preserve">The policy requires a doctor’s note after two consecutive scheduled workdays. Most jurisdictions permit documentation only after three or more consecutive days (Colorado after four). The policy also lacks the safe-leave documentation protections and diagnosis prohibitions that several states require.</w:t>
      </w:r>
    </w:p>
    <w:p>
      <w:pPr>
        <w:pStyle w:val="BodyText"/>
      </w:pPr>
      <w:r>
        <w:rPr>
          <w:b/>
          <w:bCs/>
        </w:rPr>
        <w:t xml:space="preserve">9. Preventive care (Moderate; all seven states).</w:t>
      </w:r>
      <w:r>
        <w:t xml:space="preserve"> </w:t>
      </w:r>
      <w:r>
        <w:t xml:space="preserve">The policy covers the employee’s own medical appointments only if they cannot reasonably be scheduled outside working hours. It does not cover preventive care for family members or unrestricted preventive care, both of which are required.</w:t>
      </w:r>
    </w:p>
    <w:p>
      <w:pPr>
        <w:pStyle w:val="BodyText"/>
      </w:pPr>
      <w:r>
        <w:rPr>
          <w:b/>
          <w:bCs/>
        </w:rPr>
        <w:t xml:space="preserve">10. Workplace postings (Moderate; all seven states).</w:t>
      </w:r>
      <w:r>
        <w:t xml:space="preserve"> </w:t>
      </w:r>
      <w:r>
        <w:t xml:space="preserve">The Handbook does not address required workplace posters or individual employee notices, and we could not confirm from the materials provided that the required postings are displayed or notices issued.</w:t>
      </w:r>
    </w:p>
    <w:bookmarkEnd w:id="24"/>
    <w:bookmarkStart w:id="25" w:name="b.-paid-family-leave"/>
    <w:p>
      <w:pPr>
        <w:pStyle w:val="Heading3"/>
      </w:pPr>
      <w:r>
        <w:t xml:space="preserve">B. Paid Family Leave</w:t>
      </w:r>
    </w:p>
    <w:p>
      <w:pPr>
        <w:pStyle w:val="FirstParagraph"/>
      </w:pPr>
      <w:r>
        <w:t xml:space="preserve">Vantage’s paid family leave is a self-funded benefit (50% of AWW, capped at $850/week, for up to 8 weeks) that the Company intended to substitute for state paid family leave programs. This structural approach is the central problem in this category.</w:t>
      </w:r>
    </w:p>
    <w:p>
      <w:pPr>
        <w:pStyle w:val="BodyText"/>
      </w:pPr>
      <w:r>
        <w:rPr>
          <w:b/>
          <w:bCs/>
        </w:rPr>
        <w:t xml:space="preserve">1. Benefit adequacy and private-plan status (Critical; all seven states).</w:t>
      </w:r>
      <w:r>
        <w:t xml:space="preserve"> </w:t>
      </w:r>
      <w:r>
        <w:t xml:space="preserve">The self-funded benefit is below the statutory benefit in every jurisdiction on all three dimensions: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Statutory replacement</w:t>
            </w:r>
          </w:p>
        </w:tc>
        <w:tc>
          <w:tcPr/>
          <w:p>
            <w:pPr>
              <w:pStyle w:val="Compact"/>
              <w:jc w:val="left"/>
            </w:pPr>
            <w:r>
              <w:t xml:space="preserve">Weekly cap (2025)</w:t>
            </w:r>
          </w:p>
        </w:tc>
        <w:tc>
          <w:tcPr/>
          <w:p>
            <w:pPr>
              <w:pStyle w:val="Compact"/>
              <w:jc w:val="left"/>
            </w:pPr>
            <w:r>
              <w:t xml:space="preserve">Duration</w:t>
            </w:r>
          </w:p>
        </w:tc>
      </w:tr>
      <w:tr>
        <w:tc>
          <w:tcPr/>
          <w:p>
            <w:pPr>
              <w:pStyle w:val="Compact"/>
              <w:jc w:val="left"/>
            </w:pPr>
            <w:r>
              <w:t xml:space="preserve">NJ FLI</w:t>
            </w:r>
          </w:p>
        </w:tc>
        <w:tc>
          <w:tcPr/>
          <w:p>
            <w:pPr>
              <w:pStyle w:val="Compact"/>
              <w:jc w:val="left"/>
            </w:pPr>
            <w:r>
              <w:t xml:space="preserve">85% of AWW</w:t>
            </w:r>
          </w:p>
        </w:tc>
        <w:tc>
          <w:tcPr/>
          <w:p>
            <w:pPr>
              <w:pStyle w:val="Compact"/>
              <w:jc w:val="left"/>
            </w:pPr>
            <w:r>
              <w:t xml:space="preserve">~$1,030</w:t>
            </w:r>
          </w:p>
        </w:tc>
        <w:tc>
          <w:tcPr/>
          <w:p>
            <w:pPr>
              <w:pStyle w:val="Compact"/>
              <w:jc w:val="left"/>
            </w:pPr>
            <w:r>
              <w:t xml:space="preserve">12 wks (or 56 days intermittent)</w:t>
            </w:r>
          </w:p>
        </w:tc>
      </w:tr>
      <w:tr>
        <w:tc>
          <w:tcPr/>
          <w:p>
            <w:pPr>
              <w:pStyle w:val="Compact"/>
              <w:jc w:val="left"/>
            </w:pPr>
            <w:r>
              <w:t xml:space="preserve">NY PFL</w:t>
            </w:r>
          </w:p>
        </w:tc>
        <w:tc>
          <w:tcPr/>
          <w:p>
            <w:pPr>
              <w:pStyle w:val="Compact"/>
              <w:jc w:val="left"/>
            </w:pPr>
            <w:r>
              <w:t xml:space="preserve">67% of AWW</w:t>
            </w:r>
          </w:p>
        </w:tc>
        <w:tc>
          <w:tcPr/>
          <w:p>
            <w:pPr>
              <w:pStyle w:val="Compact"/>
              <w:jc w:val="left"/>
            </w:pPr>
            <w:r>
              <w:t xml:space="preserve">$1,177.32</w:t>
            </w:r>
          </w:p>
        </w:tc>
        <w:tc>
          <w:tcPr/>
          <w:p>
            <w:pPr>
              <w:pStyle w:val="Compact"/>
              <w:jc w:val="left"/>
            </w:pPr>
            <w:r>
              <w:t xml:space="preserve">12 wks</w:t>
            </w:r>
          </w:p>
        </w:tc>
      </w:tr>
      <w:tr>
        <w:tc>
          <w:tcPr/>
          <w:p>
            <w:pPr>
              <w:pStyle w:val="Compact"/>
              <w:jc w:val="left"/>
            </w:pPr>
            <w:r>
              <w:t xml:space="preserve">CT PL</w:t>
            </w:r>
          </w:p>
        </w:tc>
        <w:tc>
          <w:tcPr/>
          <w:p>
            <w:pPr>
              <w:pStyle w:val="Compact"/>
              <w:jc w:val="left"/>
            </w:pPr>
            <w:r>
              <w:t xml:space="preserve">95%/60% tiered</w:t>
            </w:r>
          </w:p>
        </w:tc>
        <w:tc>
          <w:tcPr/>
          <w:p>
            <w:pPr>
              <w:pStyle w:val="Compact"/>
              <w:jc w:val="left"/>
            </w:pPr>
            <w:r>
              <w:t xml:space="preserve">~$941</w:t>
            </w:r>
          </w:p>
        </w:tc>
        <w:tc>
          <w:tcPr/>
          <w:p>
            <w:pPr>
              <w:pStyle w:val="Compact"/>
              <w:jc w:val="left"/>
            </w:pPr>
            <w:r>
              <w:t xml:space="preserve">12 wks (+2 pregnancy)</w:t>
            </w:r>
          </w:p>
        </w:tc>
      </w:tr>
      <w:tr>
        <w:tc>
          <w:tcPr/>
          <w:p>
            <w:pPr>
              <w:pStyle w:val="Compact"/>
              <w:jc w:val="left"/>
            </w:pPr>
            <w:r>
              <w:t xml:space="preserve">MA PFML</w:t>
            </w:r>
          </w:p>
        </w:tc>
        <w:tc>
          <w:tcPr/>
          <w:p>
            <w:pPr>
              <w:pStyle w:val="Compact"/>
              <w:jc w:val="left"/>
            </w:pPr>
            <w:r>
              <w:t xml:space="preserve">80%/50% tiered</w:t>
            </w:r>
          </w:p>
        </w:tc>
        <w:tc>
          <w:tcPr/>
          <w:p>
            <w:pPr>
              <w:pStyle w:val="Compact"/>
              <w:jc w:val="left"/>
            </w:pPr>
            <w:r>
              <w:t xml:space="preserve">~$1,170.64</w:t>
            </w:r>
          </w:p>
        </w:tc>
        <w:tc>
          <w:tcPr/>
          <w:p>
            <w:pPr>
              <w:pStyle w:val="Compact"/>
              <w:jc w:val="left"/>
            </w:pPr>
            <w:r>
              <w:t xml:space="preserve">12 wks family</w:t>
            </w:r>
          </w:p>
        </w:tc>
      </w:tr>
      <w:tr>
        <w:tc>
          <w:tcPr/>
          <w:p>
            <w:pPr>
              <w:pStyle w:val="Compact"/>
              <w:jc w:val="left"/>
            </w:pPr>
            <w:r>
              <w:t xml:space="preserve">CO FAMLI</w:t>
            </w:r>
          </w:p>
        </w:tc>
        <w:tc>
          <w:tcPr/>
          <w:p>
            <w:pPr>
              <w:pStyle w:val="Compact"/>
              <w:jc w:val="left"/>
            </w:pPr>
            <w:r>
              <w:t xml:space="preserve">90%/50% tiered</w:t>
            </w:r>
          </w:p>
        </w:tc>
        <w:tc>
          <w:tcPr/>
          <w:p>
            <w:pPr>
              <w:pStyle w:val="Compact"/>
              <w:jc w:val="left"/>
            </w:pPr>
            <w:r>
              <w:t xml:space="preserve">~$1,100</w:t>
            </w:r>
          </w:p>
        </w:tc>
        <w:tc>
          <w:tcPr/>
          <w:p>
            <w:pPr>
              <w:pStyle w:val="Compact"/>
              <w:jc w:val="left"/>
            </w:pPr>
            <w:r>
              <w:t xml:space="preserve">12 wks</w:t>
            </w:r>
          </w:p>
        </w:tc>
      </w:tr>
      <w:tr>
        <w:tc>
          <w:tcPr/>
          <w:p>
            <w:pPr>
              <w:pStyle w:val="Compact"/>
              <w:jc w:val="left"/>
            </w:pPr>
            <w:r>
              <w:t xml:space="preserve">OR PLO</w:t>
            </w:r>
          </w:p>
        </w:tc>
        <w:tc>
          <w:tcPr/>
          <w:p>
            <w:pPr>
              <w:pStyle w:val="Compact"/>
              <w:jc w:val="left"/>
            </w:pPr>
            <w:r>
              <w:t xml:space="preserve">100%/50% tiered</w:t>
            </w:r>
          </w:p>
        </w:tc>
        <w:tc>
          <w:tcPr/>
          <w:p>
            <w:pPr>
              <w:pStyle w:val="Compact"/>
              <w:jc w:val="left"/>
            </w:pPr>
            <w:r>
              <w:t xml:space="preserve">~$1,523.63</w:t>
            </w:r>
          </w:p>
        </w:tc>
        <w:tc>
          <w:tcPr/>
          <w:p>
            <w:pPr>
              <w:pStyle w:val="Compact"/>
              <w:jc w:val="left"/>
            </w:pPr>
            <w:r>
              <w:t xml:space="preserve">12 wks</w:t>
            </w:r>
          </w:p>
        </w:tc>
      </w:tr>
      <w:tr>
        <w:tc>
          <w:tcPr/>
          <w:p>
            <w:pPr>
              <w:pStyle w:val="Compact"/>
              <w:jc w:val="left"/>
            </w:pPr>
            <w:r>
              <w:t xml:space="preserve">WA PFML</w:t>
            </w:r>
          </w:p>
        </w:tc>
        <w:tc>
          <w:tcPr/>
          <w:p>
            <w:pPr>
              <w:pStyle w:val="Compact"/>
              <w:jc w:val="left"/>
            </w:pPr>
            <w:r>
              <w:t xml:space="preserve">90%/50% tiered</w:t>
            </w:r>
          </w:p>
        </w:tc>
        <w:tc>
          <w:tcPr/>
          <w:p>
            <w:pPr>
              <w:pStyle w:val="Compact"/>
              <w:jc w:val="left"/>
            </w:pPr>
            <w:r>
              <w:t xml:space="preserve">~$1,526</w:t>
            </w:r>
          </w:p>
        </w:tc>
        <w:tc>
          <w:tcPr/>
          <w:p>
            <w:pPr>
              <w:pStyle w:val="Compact"/>
              <w:jc w:val="left"/>
            </w:pPr>
            <w:r>
              <w:t xml:space="preserve">12 wks family</w:t>
            </w:r>
          </w:p>
        </w:tc>
      </w:tr>
      <w:tr>
        <w:tc>
          <w:tcPr/>
          <w:p>
            <w:pPr>
              <w:pStyle w:val="Compact"/>
              <w:jc w:val="left"/>
            </w:pPr>
            <w:r>
              <w:rPr>
                <w:b/>
                <w:bCs/>
              </w:rPr>
              <w:t xml:space="preserve">Vantage (self-funded)</w:t>
            </w:r>
          </w:p>
        </w:tc>
        <w:tc>
          <w:tcPr/>
          <w:p>
            <w:pPr>
              <w:pStyle w:val="Compact"/>
              <w:jc w:val="left"/>
            </w:pPr>
            <w:r>
              <w:rPr>
                <w:b/>
                <w:bCs/>
              </w:rPr>
              <w:t xml:space="preserve">50% of AWW</w:t>
            </w:r>
          </w:p>
        </w:tc>
        <w:tc>
          <w:tcPr/>
          <w:p>
            <w:pPr>
              <w:pStyle w:val="Compact"/>
              <w:jc w:val="left"/>
            </w:pPr>
            <w:r>
              <w:rPr>
                <w:b/>
                <w:bCs/>
              </w:rPr>
              <w:t xml:space="preserve">$850</w:t>
            </w:r>
          </w:p>
        </w:tc>
        <w:tc>
          <w:tcPr/>
          <w:p>
            <w:pPr>
              <w:pStyle w:val="Compact"/>
              <w:jc w:val="left"/>
            </w:pPr>
            <w:r>
              <w:rPr>
                <w:b/>
                <w:bCs/>
              </w:rPr>
              <w:t xml:space="preserve">8 wks</w:t>
            </w:r>
          </w:p>
        </w:tc>
      </w:tr>
    </w:tbl>
    <w:p>
      <w:pPr>
        <w:pStyle w:val="BodyText"/>
      </w:pPr>
      <w:r>
        <w:t xml:space="preserve">No private-plan application has been filed in any state. Where a private plan is permitted (NJ, NY, CT, MA, OR, WA), it must provide benefits equal to or greater than the state program in all respects; the self-funded plan does not meet that threshold in any state. Colorado permits no private-employer opt-out, so Vantage must participate in FAMLI. Because employees in NJ, NY, and CT are already paying into the state programs through withholding, they are entitled to the statutory benefits through those programs regardless of the self-funded plan; the self-funded plan is neither a compliant substitute nor a clearly supplemental benefit, creating employee confusion and potential overpayment/underpayment risk.</w:t>
      </w:r>
    </w:p>
    <w:p>
      <w:pPr>
        <w:pStyle w:val="BodyText"/>
      </w:pPr>
      <w:r>
        <w:rPr>
          <w:b/>
          <w:bCs/>
        </w:rPr>
        <w:t xml:space="preserve">2. Eligibility (High; all seven states).</w:t>
      </w:r>
      <w:r>
        <w:t xml:space="preserve"> </w:t>
      </w:r>
      <w:r>
        <w:t xml:space="preserve">The 12-month tenure and 1,000-hours-worked eligibility tests are more restrictive than every state’s wage/hour eligibility test (e.g., NJ’s 20 base weeks or $1,000 base-period earnings; NY’s 26 weeks/175 days; WA’s 820 hours). Combined with the absence of a private-plan approval, employees who meet the state test but not the Company’s test are being denied timely access to benefits they are funding.</w:t>
      </w:r>
    </w:p>
    <w:p>
      <w:pPr>
        <w:pStyle w:val="BodyText"/>
      </w:pPr>
      <w:r>
        <w:rPr>
          <w:b/>
          <w:bCs/>
        </w:rPr>
        <w:t xml:space="preserve">3. Qualifying reasons — military exigency (High; NY, CT, MA, CO, OR, WA).</w:t>
      </w:r>
      <w:r>
        <w:t xml:space="preserve"> </w:t>
      </w:r>
      <w:r>
        <w:t xml:space="preserve">The plan covers bonding and caregiving only. New York, Connecticut, Massachusetts, Colorado, Oregon, and Washington all cover qualifying military exigency. (New Jersey FLI does not.)</w:t>
      </w:r>
    </w:p>
    <w:p>
      <w:pPr>
        <w:pStyle w:val="BodyText"/>
      </w:pPr>
      <w:r>
        <w:rPr>
          <w:b/>
          <w:bCs/>
        </w:rPr>
        <w:t xml:space="preserve">4. Family-member definition (High; all seven states).</w:t>
      </w:r>
      <w:r>
        <w:t xml:space="preserve"> </w:t>
      </w:r>
      <w:r>
        <w:t xml:space="preserve">As with sick leave, the plan’s spouse/child/parent definition (with parents-in-law expressly excluded) is narrower than every state’s statutory scope.</w:t>
      </w:r>
    </w:p>
    <w:p>
      <w:pPr>
        <w:pStyle w:val="BodyText"/>
      </w:pPr>
      <w:r>
        <w:rPr>
          <w:b/>
          <w:bCs/>
        </w:rPr>
        <w:t xml:space="preserve">5. Notice — unforeseeable leave (Moderate; all seven states).</w:t>
      </w:r>
      <w:r>
        <w:t xml:space="preserve"> </w:t>
      </w:r>
      <w:r>
        <w:t xml:space="preserve">The policy requires 30 days’ notice and does not clearly establish an</w:t>
      </w:r>
      <w:r>
        <w:t xml:space="preserve"> </w:t>
      </w:r>
      <w:r>
        <w:t xml:space="preserve">“</w:t>
      </w:r>
      <w:r>
        <w:t xml:space="preserve">as soon as practicable</w:t>
      </w:r>
      <w:r>
        <w:t xml:space="preserve">”</w:t>
      </w:r>
      <w:r>
        <w:t xml:space="preserve"> </w:t>
      </w:r>
      <w:r>
        <w:t xml:space="preserve">standard for unforeseeable leave. The March 2025 Connecticut incident (an employee gave 10 days’ notice for a parent’s unexpected hospitalization) illustrates the problem. Interim guidance issued by Ms. Thorsen on March 17, 2025 directs HR not to deny or delay leave for unforeseeable situations; the policy must be rewritten to codify that standard.</w:t>
      </w:r>
    </w:p>
    <w:p>
      <w:pPr>
        <w:pStyle w:val="BodyText"/>
      </w:pPr>
      <w:r>
        <w:rPr>
          <w:b/>
          <w:bCs/>
        </w:rPr>
        <w:t xml:space="preserve">6. Job protection (Moderate; all seven states).</w:t>
      </w:r>
      <w:r>
        <w:t xml:space="preserve"> </w:t>
      </w:r>
      <w:r>
        <w:t xml:space="preserve">The policy references the FMLA</w:t>
      </w:r>
      <w:r>
        <w:t xml:space="preserve"> </w:t>
      </w:r>
      <w:r>
        <w:t xml:space="preserve">“</w:t>
      </w:r>
      <w:r>
        <w:t xml:space="preserve">key employee</w:t>
      </w:r>
      <w:r>
        <w:t xml:space="preserve">”</w:t>
      </w:r>
      <w:r>
        <w:t xml:space="preserve"> </w:t>
      </w:r>
      <w:r>
        <w:t xml:space="preserve">reinstatement exception. Most state paid leave programs provide job protection without a key-employee exception; the reference should be removed or qualified for state-program leave.</w:t>
      </w:r>
    </w:p>
    <w:bookmarkEnd w:id="25"/>
    <w:bookmarkStart w:id="26" w:name="X736c1b21d33010869210d409896e0231add7c2b"/>
    <w:p>
      <w:pPr>
        <w:pStyle w:val="Heading3"/>
      </w:pPr>
      <w:r>
        <w:t xml:space="preserve">C. Paid Medical Leave / Short-Term Disability</w:t>
      </w:r>
    </w:p>
    <w:p>
      <w:pPr>
        <w:pStyle w:val="FirstParagraph"/>
      </w:pPr>
      <w:r>
        <w:rPr>
          <w:b/>
          <w:bCs/>
        </w:rPr>
        <w:t xml:space="preserve">1. No employer-funded paid medical leave (Critical; all seven states).</w:t>
      </w:r>
      <w:r>
        <w:t xml:space="preserve"> </w:t>
      </w:r>
      <w:r>
        <w:t xml:space="preserve">The Company provides no employer-funded paid medical leave for an employee’s own serious health condition beyond accrued sick leave (capped at 40 hours for full-time employees) and the voluntary, employee-paid STD plan through Keystone. Every state has a program covering the employee’s own condition: NJ TDI (up to 26 weeks, 85% of AWW, ~$1,030/week); NY DBL (up to 26 weeks, 50% of AWW, $170/week); CT PL (12 weeks, 95%/60% tiered, ~$941/week); MA PFML medical (20 weeks); CO FAMLI medical (12 weeks); PLO medical (12 weeks); WA PFML medical (12 weeks).</w:t>
      </w:r>
    </w:p>
    <w:p>
      <w:pPr>
        <w:pStyle w:val="BodyText"/>
      </w:pPr>
      <w:r>
        <w:rPr>
          <w:b/>
          <w:bCs/>
        </w:rPr>
        <w:t xml:space="preserve">2. Misdirected claims routing (Critical; NJ, NY, CT active; MA, CO, OR, WA prospective).</w:t>
      </w:r>
      <w:r>
        <w:t xml:space="preserve"> </w:t>
      </w:r>
      <w:r>
        <w:t xml:space="preserve">HR staff in New Jersey, New York, and Connecticut have been directing employees who inquire about paid medical leave for their own conditions to the voluntary Keystone STD plan rather than to the state TDI/DBL/PL programs those employees are already funding through withholding. Mr. Delgado identified at least seven such inquiries in the past twelve months (four in Bridgeport, two in Edison, one in Queens). Employees who were misdirected may have grounds for retroactive state-program claims, and the pattern mirrors the conduct that led to the Muñoz complaint. This must be corrected immediately and the prior inquiries audited.</w:t>
      </w:r>
    </w:p>
    <w:p>
      <w:pPr>
        <w:pStyle w:val="BodyText"/>
      </w:pPr>
      <w:r>
        <w:rPr>
          <w:b/>
          <w:bCs/>
        </w:rPr>
        <w:t xml:space="preserve">3. State program participation (Critical; MA, CO, OR, WA).</w:t>
      </w:r>
      <w:r>
        <w:t xml:space="preserve"> </w:t>
      </w:r>
      <w:r>
        <w:t xml:space="preserve">Withholding is active in NJ, NY, and CT. No expansion-state program is registered or configured. See Section V.D.</w:t>
      </w:r>
    </w:p>
    <w:bookmarkEnd w:id="26"/>
    <w:bookmarkStart w:id="27" w:name="X5aebd9080aa313aa02a34dc95e536187f337b68"/>
    <w:p>
      <w:pPr>
        <w:pStyle w:val="Heading3"/>
      </w:pPr>
      <w:r>
        <w:t xml:space="preserve">D. Employer Obligations (Registration, Contributions, Withholding, Recordkeeping, Postings)</w:t>
      </w:r>
    </w:p>
    <w:p>
      <w:pPr>
        <w:pStyle w:val="FirstParagraph"/>
      </w:pPr>
      <w:r>
        <w:rPr>
          <w:b/>
          <w:bCs/>
        </w:rPr>
        <w:t xml:space="preserve">1. Expansion-state registration (Critical; MA, CO; High; OR, WA).</w:t>
      </w:r>
      <w:r>
        <w:t xml:space="preserve"> </w:t>
      </w:r>
      <w:r>
        <w:t xml:space="preserve">Vantage is not registered with the paid leave program in any expansion state. Registration deadlines, accounting for PinnacleHR’s 6–8 week configuration lead time: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State</w:t>
            </w:r>
          </w:p>
        </w:tc>
        <w:tc>
          <w:tcPr/>
          <w:p>
            <w:pPr>
              <w:pStyle w:val="Compact"/>
              <w:jc w:val="left"/>
            </w:pPr>
            <w:r>
              <w:t xml:space="preserve">Facility opening</w:t>
            </w:r>
          </w:p>
        </w:tc>
        <w:tc>
          <w:tcPr/>
          <w:p>
            <w:pPr>
              <w:pStyle w:val="Compact"/>
              <w:jc w:val="left"/>
            </w:pPr>
            <w:r>
              <w:t xml:space="preserve">Latest registration (est.)</w:t>
            </w:r>
          </w:p>
        </w:tc>
        <w:tc>
          <w:tcPr/>
          <w:p>
            <w:pPr>
              <w:pStyle w:val="Compact"/>
              <w:jc w:val="left"/>
            </w:pPr>
            <w:r>
              <w:t xml:space="preserve">Status</w:t>
            </w:r>
          </w:p>
        </w:tc>
      </w:tr>
      <w:tr>
        <w:tc>
          <w:tcPr/>
          <w:p>
            <w:pPr>
              <w:pStyle w:val="Compact"/>
              <w:jc w:val="left"/>
            </w:pPr>
            <w:r>
              <w:t xml:space="preserve">Massachusetts</w:t>
            </w:r>
          </w:p>
        </w:tc>
        <w:tc>
          <w:tcPr/>
          <w:p>
            <w:pPr>
              <w:pStyle w:val="Compact"/>
              <w:jc w:val="left"/>
            </w:pPr>
            <w:r>
              <w:t xml:space="preserve">Aug 1, 2025</w:t>
            </w:r>
          </w:p>
        </w:tc>
        <w:tc>
          <w:tcPr/>
          <w:p>
            <w:pPr>
              <w:pStyle w:val="Compact"/>
              <w:jc w:val="left"/>
            </w:pPr>
            <w:r>
              <w:t xml:space="preserve">~June 1, 2025</w:t>
            </w:r>
          </w:p>
        </w:tc>
        <w:tc>
          <w:tcPr/>
          <w:p>
            <w:pPr>
              <w:pStyle w:val="Compact"/>
              <w:jc w:val="left"/>
            </w:pPr>
            <w:r>
              <w:rPr>
                <w:b/>
                <w:bCs/>
              </w:rPr>
              <w:t xml:space="preserve">CRITICAL — not registered</w:t>
            </w:r>
          </w:p>
        </w:tc>
      </w:tr>
      <w:tr>
        <w:tc>
          <w:tcPr/>
          <w:p>
            <w:pPr>
              <w:pStyle w:val="Compact"/>
              <w:jc w:val="left"/>
            </w:pPr>
            <w:r>
              <w:t xml:space="preserve">Colorado</w:t>
            </w:r>
          </w:p>
        </w:tc>
        <w:tc>
          <w:tcPr/>
          <w:p>
            <w:pPr>
              <w:pStyle w:val="Compact"/>
              <w:jc w:val="left"/>
            </w:pPr>
            <w:r>
              <w:t xml:space="preserve">Nov 1, 2025 (3 remote hires Apr 2025)</w:t>
            </w:r>
          </w:p>
        </w:tc>
        <w:tc>
          <w:tcPr/>
          <w:p>
            <w:pPr>
              <w:pStyle w:val="Compact"/>
              <w:jc w:val="left"/>
            </w:pPr>
            <w:r>
              <w:t xml:space="preserve">~Sept 1, 2025 (or immediately for Apr hires)</w:t>
            </w:r>
          </w:p>
        </w:tc>
        <w:tc>
          <w:tcPr/>
          <w:p>
            <w:pPr>
              <w:pStyle w:val="Compact"/>
              <w:jc w:val="left"/>
            </w:pPr>
            <w:r>
              <w:rPr>
                <w:b/>
                <w:bCs/>
              </w:rPr>
              <w:t xml:space="preserve">CRITICAL — not registered; possibly already triggered</w:t>
            </w:r>
          </w:p>
        </w:tc>
      </w:tr>
      <w:tr>
        <w:tc>
          <w:tcPr/>
          <w:p>
            <w:pPr>
              <w:pStyle w:val="Compact"/>
              <w:jc w:val="left"/>
            </w:pPr>
            <w:r>
              <w:t xml:space="preserve">Oregon</w:t>
            </w:r>
          </w:p>
        </w:tc>
        <w:tc>
          <w:tcPr/>
          <w:p>
            <w:pPr>
              <w:pStyle w:val="Compact"/>
              <w:jc w:val="left"/>
            </w:pPr>
            <w:r>
              <w:t xml:space="preserve">Feb 1, 2026</w:t>
            </w:r>
          </w:p>
        </w:tc>
        <w:tc>
          <w:tcPr/>
          <w:p>
            <w:pPr>
              <w:pStyle w:val="Compact"/>
              <w:jc w:val="left"/>
            </w:pPr>
            <w:r>
              <w:t xml:space="preserve">~Dec 1, 2025</w:t>
            </w:r>
          </w:p>
        </w:tc>
        <w:tc>
          <w:tcPr/>
          <w:p>
            <w:pPr>
              <w:pStyle w:val="Compact"/>
              <w:jc w:val="left"/>
            </w:pPr>
            <w:r>
              <w:t xml:space="preserve">Not registered</w:t>
            </w:r>
          </w:p>
        </w:tc>
      </w:tr>
      <w:tr>
        <w:tc>
          <w:tcPr/>
          <w:p>
            <w:pPr>
              <w:pStyle w:val="Compact"/>
              <w:jc w:val="left"/>
            </w:pPr>
            <w:r>
              <w:t xml:space="preserve">Washington</w:t>
            </w:r>
          </w:p>
        </w:tc>
        <w:tc>
          <w:tcPr/>
          <w:p>
            <w:pPr>
              <w:pStyle w:val="Compact"/>
              <w:jc w:val="left"/>
            </w:pPr>
            <w:r>
              <w:t xml:space="preserve">May 1, 2026</w:t>
            </w:r>
          </w:p>
        </w:tc>
        <w:tc>
          <w:tcPr/>
          <w:p>
            <w:pPr>
              <w:pStyle w:val="Compact"/>
              <w:jc w:val="left"/>
            </w:pPr>
            <w:r>
              <w:t xml:space="preserve">~March 1, 2026</w:t>
            </w:r>
          </w:p>
        </w:tc>
        <w:tc>
          <w:tcPr/>
          <w:p>
            <w:pPr>
              <w:pStyle w:val="Compact"/>
              <w:jc w:val="left"/>
            </w:pPr>
            <w:r>
              <w:t xml:space="preserve">Not registered</w:t>
            </w:r>
          </w:p>
        </w:tc>
      </w:tr>
    </w:tbl>
    <w:p>
      <w:pPr>
        <w:pStyle w:val="BodyText"/>
      </w:pPr>
      <w:r>
        <w:t xml:space="preserve">Massachusetts PFML requires employer registration and contribution remittance from the first day any employee works in the state; the August 1, 2025 opening leaves approximately seven weeks from the date of the PinnacleHR report (April 10, 2025). Colorado FAMLI is mandatory for employers with 10 or more employees and permits no private-employer opt-out; the three remote employees hired in April 2025 may have triggered the registration obligation immediately, before the November facility opening.</w:t>
      </w:r>
    </w:p>
    <w:p>
      <w:pPr>
        <w:pStyle w:val="BodyText"/>
      </w:pPr>
      <w:r>
        <w:rPr>
          <w:b/>
          <w:bCs/>
        </w:rPr>
        <w:t xml:space="preserve">2. Contribution rates and wage bases (High; MA, CO, OR, WA).</w:t>
      </w:r>
      <w:r>
        <w:t xml:space="preserve"> </w:t>
      </w:r>
      <w:r>
        <w:t xml:space="preserve">Once registered, Vantage must configure employee and employer contributions: MA PFML (total 0.88%; ~0.318% employee / ~0.562% employer for 25+ employees; first $7,800/employee exempt); CO FAMLI (total 0.90%; 0.45% employee / 0.45% employer for 10+ employees; no wage cap); PLO (total 1.0%; 0.60% employee / 0.40% employer for 25+ employees; up to SS wage base); WA PFML (total ~0.74%; employee ~72.76% / employer ~27.24%; no wage cap). None is currently configured.</w:t>
      </w:r>
    </w:p>
    <w:p>
      <w:pPr>
        <w:pStyle w:val="BodyText"/>
      </w:pPr>
      <w:r>
        <w:rPr>
          <w:b/>
          <w:bCs/>
        </w:rPr>
        <w:t xml:space="preserve">3. Recordkeeping (High; all seven states).</w:t>
      </w:r>
      <w:r>
        <w:t xml:space="preserve"> </w:t>
      </w:r>
      <w:r>
        <w:t xml:space="preserve">The manual Excel-spreadsheet system is inadequate for seven-state, 2,560-employee compliance. It has no audit trail, no state-specific rule differentiation, no automated accrual validation, and no alerts. The tracking spreadsheets contain documented errors: part-time caps misapplied, negative balances (e.g., James Kowalski, −2.5 hours; Hassan Ali, −0.75 hours), and the 120-day waiting period applied uniformly without regard to state-specific thresholds. Several states impose specific recordkeeping duties; the current system cannot reliably satisfy them and will not scale.</w:t>
      </w:r>
    </w:p>
    <w:p>
      <w:pPr>
        <w:pStyle w:val="BodyText"/>
      </w:pPr>
      <w:r>
        <w:rPr>
          <w:b/>
          <w:bCs/>
        </w:rPr>
        <w:t xml:space="preserve">4. Workplace postings and individual notices (Moderate; all seven states).</w:t>
      </w:r>
      <w:r>
        <w:t xml:space="preserve"> </w:t>
      </w:r>
      <w:r>
        <w:t xml:space="preserve">Required posters and individual employee notices are not addressed in the Handbook and could not be confirmed from the materials provided.</w:t>
      </w:r>
    </w:p>
    <w:bookmarkEnd w:id="27"/>
    <w:bookmarkStart w:id="28" w:name="e.-pto-vacation-payout-on-separation"/>
    <w:p>
      <w:pPr>
        <w:pStyle w:val="Heading3"/>
      </w:pPr>
      <w:r>
        <w:t xml:space="preserve">E. PTO / Vacation Payout on Separation</w:t>
      </w:r>
    </w:p>
    <w:p>
      <w:pPr>
        <w:pStyle w:val="FirstParagraph"/>
      </w:pPr>
      <w:r>
        <w:rPr>
          <w:b/>
          <w:bCs/>
        </w:rPr>
        <w:t xml:space="preserve">1. No-payout policy (Critical; MA, CO, OR, WA; at risk NJ).</w:t>
      </w:r>
      <w:r>
        <w:t xml:space="preserve"> </w:t>
      </w:r>
      <w:r>
        <w:t xml:space="preserve">The policy pays out accrued, unused PTO only in Connecticut. Massachusetts (Wage Act, c. 149 § 148), Colorado (C.R.S. § 8-4-101), Oregon (ORS 652.140), and Washington (RCW 49.52.050) all treat accrued vacation as wages that must be paid at separation. Massachusetts and Colorado expose the Company to treble damages plus attorney’s fees. In New Jersey, vacation pay is treated as deferred wages; a forfeiture policy is enforceable only if clearly communicated and reasonable, placing the no-payout practice at risk. New York permits use-it-or-lose-it if clearly stated. The Colorado early hires are already reviewing offer letters; Ms. Thorsen directed on March 12, 2025 that the blanket no-payout language be removed and a Colorado-law compliance savings clause added, and that no Colorado offer letters issue without legal review.</w:t>
      </w:r>
    </w:p>
    <w:p>
      <w:pPr>
        <w:pStyle w:val="BodyText"/>
      </w:pPr>
      <w:r>
        <w:rPr>
          <w:b/>
          <w:bCs/>
        </w:rPr>
        <w:t xml:space="preserve">2. Carryover cap and use-it-or-lose-it (Moderate; MA, CO, OR, WA; at risk NJ).</w:t>
      </w:r>
      <w:r>
        <w:t xml:space="preserve"> </w:t>
      </w:r>
      <w:r>
        <w:t xml:space="preserve">The five-day carryover cap with a March 31 use-or-forfeit deadline is non-compliant in Massachusetts, Colorado, Oregon, and Washington (where vacation vests as wages and cannot be forfeited) and at risk in New Jersey. A Colorado candidate flagged the cap as a potential mechanism to minimize the payout obligation — a concern that warrants attention.</w:t>
      </w:r>
    </w:p>
    <w:p>
      <w:pPr>
        <w:pStyle w:val="BodyText"/>
      </w:pPr>
      <w:r>
        <w:rPr>
          <w:b/>
          <w:bCs/>
        </w:rPr>
        <w:t xml:space="preserve">3. Waiting-time penalty exposure (Moderate; NJ, NY; Critical MA, CO, OR, WA).</w:t>
      </w:r>
      <w:r>
        <w:t xml:space="preserve"> </w:t>
      </w:r>
      <w:r>
        <w:t xml:space="preserve">Where PTO is deemed wages and is not paid, state wage laws impose penalties and, in Massachusetts and Colorado, treble damages and attorney’s fees.</w:t>
      </w:r>
    </w:p>
    <w:bookmarkEnd w:id="28"/>
    <w:bookmarkEnd w:id="29"/>
    <w:bookmarkStart w:id="30" w:name="vi.-critical-path-items-and-deadlines"/>
    <w:p>
      <w:pPr>
        <w:pStyle w:val="Heading2"/>
      </w:pPr>
      <w:r>
        <w:t xml:space="preserve">VI. Critical-Path Items and Deadlines</w:t>
      </w:r>
    </w:p>
    <w:p>
      <w:pPr>
        <w:pStyle w:val="FirstParagraph"/>
      </w:pPr>
      <w:r>
        <w:t xml:space="preserve">The following items have hard external deadlines and should be treated as the highest priority:</w:t>
      </w:r>
    </w:p>
    <w:p>
      <w:pPr>
        <w:pStyle w:val="Compact"/>
        <w:numPr>
          <w:ilvl w:val="0"/>
          <w:numId w:val="1002"/>
        </w:numPr>
      </w:pPr>
      <w:r>
        <w:rPr>
          <w:b/>
          <w:bCs/>
        </w:rPr>
        <w:t xml:space="preserve">Massachusetts PFML registration — by approximately June 1, 2025.</w:t>
      </w:r>
      <w:r>
        <w:t xml:space="preserve"> </w:t>
      </w:r>
      <w:r>
        <w:t xml:space="preserve">Failure to register and begin contributions by the August 1, 2025 opening creates immediate non-compliance and penalty exposure.</w:t>
      </w:r>
    </w:p>
    <w:p>
      <w:pPr>
        <w:pStyle w:val="Compact"/>
        <w:numPr>
          <w:ilvl w:val="0"/>
          <w:numId w:val="1002"/>
        </w:numPr>
      </w:pPr>
      <w:r>
        <w:rPr>
          <w:b/>
          <w:bCs/>
        </w:rPr>
        <w:t xml:space="preserve">Colorado FAMLI registration — immediately (April 2025 remote hires) and no later than ~September 1, 2025.</w:t>
      </w:r>
      <w:r>
        <w:t xml:space="preserve"> </w:t>
      </w:r>
      <w:r>
        <w:t xml:space="preserve">The April remote hires may have already triggered the obligation; Colorado mandates participation.</w:t>
      </w:r>
    </w:p>
    <w:p>
      <w:pPr>
        <w:pStyle w:val="Compact"/>
        <w:numPr>
          <w:ilvl w:val="0"/>
          <w:numId w:val="1002"/>
        </w:numPr>
      </w:pPr>
      <w:r>
        <w:rPr>
          <w:b/>
          <w:bCs/>
        </w:rPr>
        <w:t xml:space="preserve">Retroactive sick-leave remediation (NJ, NY) — as soon as practicable.</w:t>
      </w:r>
      <w:r>
        <w:t xml:space="preserve"> </w:t>
      </w:r>
      <w:r>
        <w:t xml:space="preserve">The 1/40 vs. 1/30 under-accrual has been ongoing since January 2022 and affects 1,570 current employees. The longer this remains unremediated, the larger the accrual shortfall and restitution exposure.</w:t>
      </w:r>
    </w:p>
    <w:p>
      <w:pPr>
        <w:pStyle w:val="Compact"/>
        <w:numPr>
          <w:ilvl w:val="0"/>
          <w:numId w:val="1002"/>
        </w:numPr>
      </w:pPr>
      <w:r>
        <w:rPr>
          <w:b/>
          <w:bCs/>
        </w:rPr>
        <w:t xml:space="preserve">Claims-routing correction (NJ, NY, CT) — immediate interim guidance already issued; protocol by July 1, 2025.</w:t>
      </w:r>
      <w:r>
        <w:t xml:space="preserve"> </w:t>
      </w:r>
      <w:r>
        <w:t xml:space="preserve">Employees must be directed to the state programs they are funding.</w:t>
      </w:r>
    </w:p>
    <w:p>
      <w:pPr>
        <w:pStyle w:val="Compact"/>
        <w:numPr>
          <w:ilvl w:val="0"/>
          <w:numId w:val="1002"/>
        </w:numPr>
      </w:pPr>
      <w:r>
        <w:rPr>
          <w:b/>
          <w:bCs/>
        </w:rPr>
        <w:t xml:space="preserve">Muñoz matter — per NJ DOL timeline.</w:t>
      </w:r>
      <w:r>
        <w:t xml:space="preserve"> </w:t>
      </w:r>
      <w:r>
        <w:t xml:space="preserve">Resolution should align with the July 1, 2025 Handbook revision.</w:t>
      </w:r>
    </w:p>
    <w:p>
      <w:pPr>
        <w:pStyle w:val="Compact"/>
        <w:numPr>
          <w:ilvl w:val="0"/>
          <w:numId w:val="1002"/>
        </w:numPr>
      </w:pPr>
      <w:r>
        <w:rPr>
          <w:b/>
          <w:bCs/>
        </w:rPr>
        <w:t xml:space="preserve">Revised Employee Handbook — July 1, 2025.</w:t>
      </w:r>
      <w:r>
        <w:t xml:space="preserve"> </w:t>
      </w:r>
      <w:r>
        <w:t xml:space="preserve">Must precede the August 1, 2025 Massachusetts opening.</w:t>
      </w:r>
    </w:p>
    <w:bookmarkEnd w:id="30"/>
    <w:bookmarkStart w:id="31" w:name="X23210a2850f6cc07bab64be399408b7babee26d"/>
    <w:p>
      <w:pPr>
        <w:pStyle w:val="Heading2"/>
      </w:pPr>
      <w:r>
        <w:t xml:space="preserve">VII. Pending NJ DOL Complaint (Case No. NJ-ESL-2025-04117)</w:t>
      </w:r>
    </w:p>
    <w:p>
      <w:pPr>
        <w:pStyle w:val="FirstParagraph"/>
      </w:pPr>
      <w:r>
        <w:t xml:space="preserve">The Muñoz complaint alleges that the Company denied accrued sick leave for the care of a domestic partner’s child on the ground that the policy limits family members to</w:t>
      </w:r>
      <w:r>
        <w:t xml:space="preserve"> </w:t>
      </w:r>
      <w:r>
        <w:t xml:space="preserve">“</w:t>
      </w:r>
      <w:r>
        <w:t xml:space="preserve">spouse, child, or parent,</w:t>
      </w:r>
      <w:r>
        <w:t xml:space="preserve">”</w:t>
      </w:r>
      <w:r>
        <w:t xml:space="preserve"> </w:t>
      </w:r>
      <w:r>
        <w:t xml:space="preserve">and that the policy’s covered-uses language omits categories required by N.J.S.A. 34:11D-1 and -3. Our February 21, 2025 response acknowledged that the policy language raises legitimate questions and committed to a policy review, supervisor training, and evaluation of making Ms. Muñoz whole.</w:t>
      </w:r>
    </w:p>
    <w:p>
      <w:pPr>
        <w:pStyle w:val="BodyText"/>
      </w:pPr>
      <w:r>
        <w:t xml:space="preserve">Our review confirms that the defects alleged in the complaint are real and are not confined to New Jersey or to the family-member definition. The same narrow family-member definition and covered-uses language appear in the policy as applied company-wide, and analogous defects exist in every jurisdiction. We recommend that resolution of the Muñoz matter be coordinated with the broader policy revision so that the remediation presented to the NJ DOL is comprehensive rather than New-Jersey-specific. Restitution to Ms. Muñoz (payment for the unpaid time off or restoration of the PTO hours used) should be evaluated promptly; the NJ DOL has reserved the right to conduct a broader investigation of the Company’s sick leave practices, policies, and records, which would likely surface the accrual-rate and part-time-cap defects identified in this review.</w:t>
      </w:r>
    </w:p>
    <w:bookmarkEnd w:id="31"/>
    <w:bookmarkStart w:id="35" w:name="viii.-recommended-remediation-plan"/>
    <w:p>
      <w:pPr>
        <w:pStyle w:val="Heading2"/>
      </w:pPr>
      <w:r>
        <w:t xml:space="preserve">VIII. Recommended Remediation Plan</w:t>
      </w:r>
    </w:p>
    <w:p>
      <w:pPr>
        <w:pStyle w:val="FirstParagraph"/>
      </w:pPr>
      <w:r>
        <w:t xml:space="preserve">We recommend the following prioritized plan, designed to fit within the $175,000 compliance remediation budget and the July 1, 2025 Handbook target. Cost estimates are preliminary and will be refined as work proceeds.</w:t>
      </w:r>
    </w:p>
    <w:bookmarkStart w:id="32" w:name="phase-1-immediate-by-june-1-2025"/>
    <w:p>
      <w:pPr>
        <w:pStyle w:val="Heading3"/>
      </w:pPr>
      <w:r>
        <w:t xml:space="preserve">Phase 1 — Immediate (by June 1, 2025)</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Owner</w:t>
            </w:r>
          </w:p>
        </w:tc>
        <w:tc>
          <w:tcPr/>
          <w:p>
            <w:pPr>
              <w:pStyle w:val="Compact"/>
              <w:jc w:val="left"/>
            </w:pPr>
            <w:r>
              <w:t xml:space="preserve">Est. cost</w:t>
            </w:r>
          </w:p>
        </w:tc>
      </w:tr>
      <w:tr>
        <w:tc>
          <w:tcPr/>
          <w:p>
            <w:pPr>
              <w:pStyle w:val="Compact"/>
              <w:jc w:val="left"/>
            </w:pPr>
            <w:r>
              <w:t xml:space="preserve">1</w:t>
            </w:r>
          </w:p>
        </w:tc>
        <w:tc>
          <w:tcPr/>
          <w:p>
            <w:pPr>
              <w:pStyle w:val="Compact"/>
              <w:jc w:val="left"/>
            </w:pPr>
            <w:r>
              <w:t xml:space="preserve">Register with MA DFML; provide confirmation to PinnacleHR; decide participation vs. private plan</w:t>
            </w:r>
          </w:p>
        </w:tc>
        <w:tc>
          <w:tcPr/>
          <w:p>
            <w:pPr>
              <w:pStyle w:val="Compact"/>
              <w:jc w:val="left"/>
            </w:pPr>
            <w:r>
              <w:t xml:space="preserve">HR + H&amp;C</w:t>
            </w:r>
          </w:p>
        </w:tc>
        <w:tc>
          <w:tcPr/>
          <w:p>
            <w:pPr>
              <w:pStyle w:val="Compact"/>
              <w:jc w:val="left"/>
            </w:pPr>
            <w:r>
              <w:t xml:space="preserve">$5–10k (legal)</w:t>
            </w:r>
          </w:p>
        </w:tc>
      </w:tr>
      <w:tr>
        <w:tc>
          <w:tcPr/>
          <w:p>
            <w:pPr>
              <w:pStyle w:val="Compact"/>
              <w:jc w:val="left"/>
            </w:pPr>
            <w:r>
              <w:t xml:space="preserve">2</w:t>
            </w:r>
          </w:p>
        </w:tc>
        <w:tc>
          <w:tcPr/>
          <w:p>
            <w:pPr>
              <w:pStyle w:val="Compact"/>
              <w:jc w:val="left"/>
            </w:pPr>
            <w:r>
              <w:t xml:space="preserve">Register with CO FAMLI; confirm trigger date for April remote hires; configure withholding</w:t>
            </w:r>
          </w:p>
        </w:tc>
        <w:tc>
          <w:tcPr/>
          <w:p>
            <w:pPr>
              <w:pStyle w:val="Compact"/>
              <w:jc w:val="left"/>
            </w:pPr>
            <w:r>
              <w:t xml:space="preserve">HR + H&amp;C</w:t>
            </w:r>
          </w:p>
        </w:tc>
        <w:tc>
          <w:tcPr/>
          <w:p>
            <w:pPr>
              <w:pStyle w:val="Compact"/>
              <w:jc w:val="left"/>
            </w:pPr>
            <w:r>
              <w:t xml:space="preserve">$5–10k (legal)</w:t>
            </w:r>
          </w:p>
        </w:tc>
      </w:tr>
      <w:tr>
        <w:tc>
          <w:tcPr/>
          <w:p>
            <w:pPr>
              <w:pStyle w:val="Compact"/>
              <w:jc w:val="left"/>
            </w:pPr>
            <w:r>
              <w:t xml:space="preserve">3</w:t>
            </w:r>
          </w:p>
        </w:tc>
        <w:tc>
          <w:tcPr/>
          <w:p>
            <w:pPr>
              <w:pStyle w:val="Compact"/>
              <w:jc w:val="left"/>
            </w:pPr>
            <w:r>
              <w:t xml:space="preserve">Issue interim claims-routing guidance (NJ, NY, CT): direct employees to state TDI/DBL/PL programs, not Keystone; escalate uncertain cases to Mr. Delgado</w:t>
            </w:r>
          </w:p>
        </w:tc>
        <w:tc>
          <w:tcPr/>
          <w:p>
            <w:pPr>
              <w:pStyle w:val="Compact"/>
              <w:jc w:val="left"/>
            </w:pPr>
            <w:r>
              <w:t xml:space="preserve">HR</w:t>
            </w:r>
          </w:p>
        </w:tc>
        <w:tc>
          <w:tcPr/>
          <w:p>
            <w:pPr>
              <w:pStyle w:val="Compact"/>
              <w:jc w:val="left"/>
            </w:pPr>
            <w:r>
              <w:t xml:space="preserve">internal</w:t>
            </w:r>
          </w:p>
        </w:tc>
      </w:tr>
      <w:tr>
        <w:tc>
          <w:tcPr/>
          <w:p>
            <w:pPr>
              <w:pStyle w:val="Compact"/>
              <w:jc w:val="left"/>
            </w:pPr>
            <w:r>
              <w:t xml:space="preserve">4</w:t>
            </w:r>
          </w:p>
        </w:tc>
        <w:tc>
          <w:tcPr/>
          <w:p>
            <w:pPr>
              <w:pStyle w:val="Compact"/>
              <w:jc w:val="left"/>
            </w:pPr>
            <w:r>
              <w:t xml:space="preserve">Audit the seven identified medical-leave inquiries for retroactive state-program claims</w:t>
            </w:r>
          </w:p>
        </w:tc>
        <w:tc>
          <w:tcPr/>
          <w:p>
            <w:pPr>
              <w:pStyle w:val="Compact"/>
              <w:jc w:val="left"/>
            </w:pPr>
            <w:r>
              <w:t xml:space="preserve">HR + H&amp;C</w:t>
            </w:r>
          </w:p>
        </w:tc>
        <w:tc>
          <w:tcPr/>
          <w:p>
            <w:pPr>
              <w:pStyle w:val="Compact"/>
              <w:jc w:val="left"/>
            </w:pPr>
            <w:r>
              <w:t xml:space="preserve">$10–15k</w:t>
            </w:r>
          </w:p>
        </w:tc>
      </w:tr>
      <w:tr>
        <w:tc>
          <w:tcPr/>
          <w:p>
            <w:pPr>
              <w:pStyle w:val="Compact"/>
              <w:jc w:val="left"/>
            </w:pPr>
            <w:r>
              <w:t xml:space="preserve">5</w:t>
            </w:r>
          </w:p>
        </w:tc>
        <w:tc>
          <w:tcPr/>
          <w:p>
            <w:pPr>
              <w:pStyle w:val="Compact"/>
              <w:jc w:val="left"/>
            </w:pPr>
            <w:r>
              <w:t xml:space="preserve">Quantify and begin retroactive sick-leave remediation (1/30 accrual) for NJ and NY employees</w:t>
            </w:r>
          </w:p>
        </w:tc>
        <w:tc>
          <w:tcPr/>
          <w:p>
            <w:pPr>
              <w:pStyle w:val="Compact"/>
              <w:jc w:val="left"/>
            </w:pPr>
            <w:r>
              <w:t xml:space="preserve">HR + PinnacleHR + H&amp;C</w:t>
            </w:r>
          </w:p>
        </w:tc>
        <w:tc>
          <w:tcPr/>
          <w:p>
            <w:pPr>
              <w:pStyle w:val="Compact"/>
              <w:jc w:val="left"/>
            </w:pPr>
            <w:r>
              <w:t xml:space="preserve">$20–40k (legal/admin) + restitution</w:t>
            </w:r>
          </w:p>
        </w:tc>
      </w:tr>
      <w:tr>
        <w:tc>
          <w:tcPr/>
          <w:p>
            <w:pPr>
              <w:pStyle w:val="Compact"/>
              <w:jc w:val="left"/>
            </w:pPr>
            <w:r>
              <w:t xml:space="preserve">6</w:t>
            </w:r>
          </w:p>
        </w:tc>
        <w:tc>
          <w:tcPr/>
          <w:p>
            <w:pPr>
              <w:pStyle w:val="Compact"/>
              <w:jc w:val="left"/>
            </w:pPr>
            <w:r>
              <w:t xml:space="preserve">Revise and issue Colorado offer letters (remove no-payout language; add CO-law savings clause) per Ms. Thorsen’s directive</w:t>
            </w:r>
          </w:p>
        </w:tc>
        <w:tc>
          <w:tcPr/>
          <w:p>
            <w:pPr>
              <w:pStyle w:val="Compact"/>
              <w:jc w:val="left"/>
            </w:pPr>
            <w:r>
              <w:t xml:space="preserve">HR + H&amp;C</w:t>
            </w:r>
          </w:p>
        </w:tc>
        <w:tc>
          <w:tcPr/>
          <w:p>
            <w:pPr>
              <w:pStyle w:val="Compact"/>
              <w:jc w:val="left"/>
            </w:pPr>
            <w:r>
              <w:t xml:space="preserve">$3–5k</w:t>
            </w:r>
          </w:p>
        </w:tc>
      </w:tr>
    </w:tbl>
    <w:bookmarkEnd w:id="32"/>
    <w:bookmarkStart w:id="33" w:name="phase-2-handbook-revision-by-july-1-2025"/>
    <w:p>
      <w:pPr>
        <w:pStyle w:val="Heading3"/>
      </w:pPr>
      <w:r>
        <w:t xml:space="preserve">Phase 2 — Handbook Revision (by July 1,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Est. cost</w:t>
            </w:r>
          </w:p>
        </w:tc>
      </w:tr>
      <w:tr>
        <w:tc>
          <w:tcPr/>
          <w:p>
            <w:pPr>
              <w:pStyle w:val="Compact"/>
              <w:jc w:val="left"/>
            </w:pPr>
            <w:r>
              <w:t xml:space="preserve">7</w:t>
            </w:r>
          </w:p>
        </w:tc>
        <w:tc>
          <w:tcPr/>
          <w:p>
            <w:pPr>
              <w:pStyle w:val="Compact"/>
              <w:jc w:val="left"/>
            </w:pPr>
            <w:r>
              <w:t xml:space="preserve">Redraft Section 6 with state-specific provisions: sick leave (1/30 accrual where required; 40/48/56-hr caps; 90-day or no waiting period; carryover; expanded covered uses and family-member definitions); PFL (enhanced benefit or reliance on state programs; expanded family-member definition; military exigency; unforeseeable-notice carve-out); PTO payout (MA, CO, OR, WA; revise carryover/forfeiture)</w:t>
            </w:r>
          </w:p>
        </w:tc>
        <w:tc>
          <w:tcPr/>
          <w:p>
            <w:pPr>
              <w:pStyle w:val="Compact"/>
              <w:jc w:val="left"/>
            </w:pPr>
            <w:r>
              <w:t xml:space="preserve">$30–45k (legal drafting)</w:t>
            </w:r>
          </w:p>
        </w:tc>
      </w:tr>
      <w:tr>
        <w:tc>
          <w:tcPr/>
          <w:p>
            <w:pPr>
              <w:pStyle w:val="Compact"/>
              <w:jc w:val="left"/>
            </w:pPr>
            <w:r>
              <w:t xml:space="preserve">8</w:t>
            </w:r>
          </w:p>
        </w:tc>
        <w:tc>
          <w:tcPr/>
          <w:p>
            <w:pPr>
              <w:pStyle w:val="Compact"/>
              <w:jc w:val="left"/>
            </w:pPr>
            <w:r>
              <w:t xml:space="preserve">Make structural PFL decision per state (participate in state program vs. file enhanced private plan); for CO, mandatory participation</w:t>
            </w:r>
          </w:p>
        </w:tc>
        <w:tc>
          <w:tcPr/>
          <w:p>
            <w:pPr>
              <w:pStyle w:val="Compact"/>
              <w:jc w:val="left"/>
            </w:pPr>
            <w:r>
              <w:t xml:space="preserve">$15–25k (legal + actuarial)</w:t>
            </w:r>
          </w:p>
        </w:tc>
      </w:tr>
      <w:tr>
        <w:tc>
          <w:tcPr/>
          <w:p>
            <w:pPr>
              <w:pStyle w:val="Compact"/>
              <w:jc w:val="left"/>
            </w:pPr>
            <w:r>
              <w:t xml:space="preserve">9</w:t>
            </w:r>
          </w:p>
        </w:tc>
        <w:tc>
          <w:tcPr/>
          <w:p>
            <w:pPr>
              <w:pStyle w:val="Compact"/>
              <w:jc w:val="left"/>
            </w:pPr>
            <w:r>
              <w:t xml:space="preserve">Inventory and deploy required workplace posters and individual notices for all seven states</w:t>
            </w:r>
          </w:p>
        </w:tc>
        <w:tc>
          <w:tcPr/>
          <w:p>
            <w:pPr>
              <w:pStyle w:val="Compact"/>
              <w:jc w:val="left"/>
            </w:pPr>
            <w:r>
              <w:t xml:space="preserve">$3–6k</w:t>
            </w:r>
          </w:p>
        </w:tc>
      </w:tr>
      <w:tr>
        <w:tc>
          <w:tcPr/>
          <w:p>
            <w:pPr>
              <w:pStyle w:val="Compact"/>
              <w:jc w:val="left"/>
            </w:pPr>
            <w:r>
              <w:t xml:space="preserve">10</w:t>
            </w:r>
          </w:p>
        </w:tc>
        <w:tc>
          <w:tcPr/>
          <w:p>
            <w:pPr>
              <w:pStyle w:val="Compact"/>
              <w:jc w:val="left"/>
            </w:pPr>
            <w:r>
              <w:t xml:space="preserve">Resolve Muñoz matter (restitution + policy remediation presented to NJ DOL)</w:t>
            </w:r>
          </w:p>
        </w:tc>
        <w:tc>
          <w:tcPr/>
          <w:p>
            <w:pPr>
              <w:pStyle w:val="Compact"/>
              <w:jc w:val="left"/>
            </w:pPr>
            <w:r>
              <w:t xml:space="preserve">$10–20k (legal) + restitution</w:t>
            </w:r>
          </w:p>
        </w:tc>
      </w:tr>
    </w:tbl>
    <w:bookmarkEnd w:id="33"/>
    <w:bookmarkStart w:id="34" w:name="Xba1239bf9a6af541a0c260d3243e025c85565dd"/>
    <w:p>
      <w:pPr>
        <w:pStyle w:val="Heading3"/>
      </w:pPr>
      <w:r>
        <w:t xml:space="preserve">Phase 3 — Systems and Expansion Readiness (by Q1 2026)</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w:t>
            </w:r>
          </w:p>
        </w:tc>
        <w:tc>
          <w:tcPr/>
          <w:p>
            <w:pPr>
              <w:pStyle w:val="Compact"/>
              <w:jc w:val="left"/>
            </w:pPr>
            <w:r>
              <w:t xml:space="preserve">Action</w:t>
            </w:r>
          </w:p>
        </w:tc>
        <w:tc>
          <w:tcPr/>
          <w:p>
            <w:pPr>
              <w:pStyle w:val="Compact"/>
              <w:jc w:val="left"/>
            </w:pPr>
            <w:r>
              <w:t xml:space="preserve">Est. cost</w:t>
            </w:r>
          </w:p>
        </w:tc>
      </w:tr>
      <w:tr>
        <w:tc>
          <w:tcPr/>
          <w:p>
            <w:pPr>
              <w:pStyle w:val="Compact"/>
              <w:jc w:val="left"/>
            </w:pPr>
            <w:r>
              <w:t xml:space="preserve">11</w:t>
            </w:r>
          </w:p>
        </w:tc>
        <w:tc>
          <w:tcPr/>
          <w:p>
            <w:pPr>
              <w:pStyle w:val="Compact"/>
              <w:jc w:val="left"/>
            </w:pPr>
            <w:r>
              <w:t xml:space="preserve">Procure and implement a dedicated leave-management system integrated with WorkBridge Pro and ClockSync; configure state-specific rules; migrate data; train staff</w:t>
            </w:r>
          </w:p>
        </w:tc>
        <w:tc>
          <w:tcPr/>
          <w:p>
            <w:pPr>
              <w:pStyle w:val="Compact"/>
              <w:jc w:val="left"/>
            </w:pPr>
            <w:r>
              <w:t xml:space="preserve">$40–75k (software + implementation)</w:t>
            </w:r>
          </w:p>
        </w:tc>
      </w:tr>
      <w:tr>
        <w:tc>
          <w:tcPr/>
          <w:p>
            <w:pPr>
              <w:pStyle w:val="Compact"/>
              <w:jc w:val="left"/>
            </w:pPr>
            <w:r>
              <w:t xml:space="preserve">12</w:t>
            </w:r>
          </w:p>
        </w:tc>
        <w:tc>
          <w:tcPr/>
          <w:p>
            <w:pPr>
              <w:pStyle w:val="Compact"/>
              <w:jc w:val="left"/>
            </w:pPr>
            <w:r>
              <w:t xml:space="preserve">Complete OR (by ~Dec 1, 2025) and WA (by ~March 1, 2026) registration and withholding configuration</w:t>
            </w:r>
          </w:p>
        </w:tc>
        <w:tc>
          <w:tcPr/>
          <w:p>
            <w:pPr>
              <w:pStyle w:val="Compact"/>
              <w:jc w:val="left"/>
            </w:pPr>
            <w:r>
              <w:t xml:space="preserve">$5–10k (legal)</w:t>
            </w:r>
          </w:p>
        </w:tc>
      </w:tr>
      <w:tr>
        <w:tc>
          <w:tcPr/>
          <w:p>
            <w:pPr>
              <w:pStyle w:val="Compact"/>
              <w:jc w:val="left"/>
            </w:pPr>
            <w:r>
              <w:t xml:space="preserve">13</w:t>
            </w:r>
          </w:p>
        </w:tc>
        <w:tc>
          <w:tcPr/>
          <w:p>
            <w:pPr>
              <w:pStyle w:val="Compact"/>
              <w:jc w:val="left"/>
            </w:pPr>
            <w:r>
              <w:t xml:space="preserve">Supervisor and HR training on revised policies and state-specific administration (all sites)</w:t>
            </w:r>
          </w:p>
        </w:tc>
        <w:tc>
          <w:tcPr/>
          <w:p>
            <w:pPr>
              <w:pStyle w:val="Compact"/>
              <w:jc w:val="left"/>
            </w:pPr>
            <w:r>
              <w:t xml:space="preserve">$5–10k</w:t>
            </w:r>
          </w:p>
        </w:tc>
      </w:tr>
      <w:tr>
        <w:tc>
          <w:tcPr/>
          <w:p>
            <w:pPr>
              <w:pStyle w:val="Compact"/>
              <w:jc w:val="left"/>
            </w:pPr>
            <w:r>
              <w:t xml:space="preserve">14</w:t>
            </w:r>
          </w:p>
        </w:tc>
        <w:tc>
          <w:tcPr/>
          <w:p>
            <w:pPr>
              <w:pStyle w:val="Compact"/>
              <w:jc w:val="left"/>
            </w:pPr>
            <w:r>
              <w:t xml:space="preserve">Establish annual re-review cadence for statutory rate/cap changes and pre-opening compliance checks</w:t>
            </w:r>
          </w:p>
        </w:tc>
        <w:tc>
          <w:tcPr/>
          <w:p>
            <w:pPr>
              <w:pStyle w:val="Compact"/>
              <w:jc w:val="left"/>
            </w:pPr>
            <w:r>
              <w:t xml:space="preserve">internal</w:t>
            </w:r>
          </w:p>
        </w:tc>
      </w:tr>
    </w:tbl>
    <w:p>
      <w:pPr>
        <w:pStyle w:val="BodyText"/>
      </w:pPr>
      <w:r>
        <w:rPr>
          <w:b/>
          <w:bCs/>
        </w:rPr>
        <w:t xml:space="preserve">Budget note.</w:t>
      </w:r>
      <w:r>
        <w:t xml:space="preserve"> </w:t>
      </w:r>
      <w:r>
        <w:t xml:space="preserve">The legal and administrative costs in Phases 1–2 (items 1–10) are estimated at approximately $100–175k, fitting within the $175,000 budget. The leave-management system (item 11, $40–75k) and certain implementation costs may require separate capital budgeting; we recommend confirming the budget treatment with finance. Retroactive restitution (sick-leave remediation, Muñoz, and any misdirected-claim back-claims) is separate from the remediation budget and should be quantified and reserved against promptly.</w:t>
      </w:r>
    </w:p>
    <w:bookmarkEnd w:id="34"/>
    <w:bookmarkEnd w:id="35"/>
    <w:bookmarkStart w:id="36" w:name="ix.-open-items-and-information-requests"/>
    <w:p>
      <w:pPr>
        <w:pStyle w:val="Heading2"/>
      </w:pPr>
      <w:r>
        <w:t xml:space="preserve">IX. Open Items and Information Requests</w:t>
      </w:r>
    </w:p>
    <w:p>
      <w:pPr>
        <w:pStyle w:val="FirstParagraph"/>
      </w:pPr>
      <w:r>
        <w:t xml:space="preserve">To complete the analysis and support remediation, we request the following:</w:t>
      </w:r>
    </w:p>
    <w:p>
      <w:pPr>
        <w:pStyle w:val="Compact"/>
        <w:numPr>
          <w:ilvl w:val="0"/>
          <w:numId w:val="1003"/>
        </w:numPr>
      </w:pPr>
      <w:r>
        <w:t xml:space="preserve">The complete list of CT/NJ/NY medical-leave inquiries for the past 12 months (dates, employees, HR responses) that Mr. Delgado committed to compile by March 21, 2025.</w:t>
      </w:r>
    </w:p>
    <w:p>
      <w:pPr>
        <w:pStyle w:val="Compact"/>
        <w:numPr>
          <w:ilvl w:val="0"/>
          <w:numId w:val="1003"/>
        </w:numPr>
      </w:pPr>
      <w:r>
        <w:t xml:space="preserve">Confirmation of whether any private-plan application has ever been filed in NJ, NY, or CT (we understand none has, but request confirmation).</w:t>
      </w:r>
    </w:p>
    <w:p>
      <w:pPr>
        <w:pStyle w:val="Compact"/>
        <w:numPr>
          <w:ilvl w:val="0"/>
          <w:numId w:val="1003"/>
        </w:numPr>
      </w:pPr>
      <w:r>
        <w:t xml:space="preserve">The current workplace-posting inventory and confirmation of which required posters are displayed at each facility.</w:t>
      </w:r>
    </w:p>
    <w:p>
      <w:pPr>
        <w:pStyle w:val="Compact"/>
        <w:numPr>
          <w:ilvl w:val="0"/>
          <w:numId w:val="1003"/>
        </w:numPr>
      </w:pPr>
      <w:r>
        <w:t xml:space="preserve">The draft Colorado offer letters for legal review before issuance (per Ms. Thorsen’s March 12, 2025 directive).</w:t>
      </w:r>
    </w:p>
    <w:p>
      <w:pPr>
        <w:pStyle w:val="Compact"/>
        <w:numPr>
          <w:ilvl w:val="0"/>
          <w:numId w:val="1003"/>
        </w:numPr>
      </w:pPr>
      <w:r>
        <w:t xml:space="preserve">PinnacleHR employee-level withholding detail to quantify the retroactive sick-leave shortfall and to confirm contribution remittances.</w:t>
      </w:r>
    </w:p>
    <w:p>
      <w:pPr>
        <w:pStyle w:val="Compact"/>
        <w:numPr>
          <w:ilvl w:val="0"/>
          <w:numId w:val="1003"/>
        </w:numPr>
      </w:pPr>
      <w:r>
        <w:t xml:space="preserve">Confirmation of the April 2025 Colorado remote-hire dates to assess the FAMLI registration trigger.</w:t>
      </w:r>
    </w:p>
    <w:p>
      <w:pPr>
        <w:pStyle w:val="Compact"/>
        <w:numPr>
          <w:ilvl w:val="0"/>
          <w:numId w:val="1003"/>
        </w:numPr>
      </w:pPr>
      <w:r>
        <w:t xml:space="preserve">Any prior DOL or agency inquiries, audits, or complaints in NY or CT (to assess whether the misdirection issue has surfaced elsewhere).</w:t>
      </w:r>
    </w:p>
    <w:p>
      <w:pPr>
        <w:pStyle w:val="FirstParagraph"/>
      </w:pPr>
      <w:r>
        <w:t xml:space="preserve">Subject to Ms. Thorsen’s March 17, 2025 guidance, we recommend deferring outreach to PinnacleHR (Priya Samuelson) until after the Company’s legal position is better defined, at which point we can frame the specific questions for the vendor.</w:t>
      </w:r>
    </w:p>
    <w:bookmarkEnd w:id="36"/>
    <w:bookmarkStart w:id="37" w:name="x.-limitations"/>
    <w:p>
      <w:pPr>
        <w:pStyle w:val="Heading2"/>
      </w:pPr>
      <w:r>
        <w:t xml:space="preserve">X. Limitations</w:t>
      </w:r>
    </w:p>
    <w:p>
      <w:pPr>
        <w:pStyle w:val="FirstParagraph"/>
      </w:pPr>
      <w:r>
        <w:t xml:space="preserve">This memorandum is based on the documents made available to us as of the deliverable date and on 2025 statutory rates and caps. State paid leave law is evolving rapidly, and several programs adjust rates, caps, and wage bases annually. The matrix and this memorandum should be re-reviewed at least annually and before each facility opening. This memorandum is provided for the internal use of Vantage Logistics Group, Inc. and its counsel and constitutes attorney work product. It is not intended for distribution to third parties without our prior review. Nothing herein should be construed as a waiver of the attorney-client privilege or the work-product doctrine.</w:t>
      </w:r>
    </w:p>
    <w:p>
      <w:pPr>
        <w:pStyle w:val="BodyText"/>
      </w:pPr>
      <w:r>
        <w:t xml:space="preserve">We are available to discuss any aspect of this analysis and to assist with implementation of the remediation plan.</w:t>
      </w:r>
    </w:p>
    <w:p>
      <w:pPr>
        <w:pStyle w:val="BodyText"/>
      </w:pPr>
      <w:r>
        <w:t xml:space="preserve">Respectfully submitted,</w:t>
      </w:r>
    </w:p>
    <w:p>
      <w:pPr>
        <w:pStyle w:val="BodyText"/>
      </w:pPr>
      <w:r>
        <w:rPr>
          <w:b/>
          <w:bCs/>
        </w:rPr>
        <w:t xml:space="preserve">Hartwell &amp; Cabot LLP</w:t>
      </w:r>
    </w:p>
    <w:p>
      <w:pPr>
        <w:pStyle w:val="BodyText"/>
      </w:pPr>
      <w:r>
        <w:t xml:space="preserve">Catherine Ng, Partner</w:t>
      </w:r>
      <w:r>
        <w:t xml:space="preserve"> </w:t>
      </w:r>
      <w:r>
        <w:t xml:space="preserve">Daniel Ikeda, Senior Associate</w:t>
      </w:r>
    </w:p>
    <w:p>
      <w:pPr>
        <w:pStyle w:val="BodyText"/>
      </w:pPr>
      <w:r>
        <w:rPr>
          <w:i/>
          <w:iCs/>
        </w:rPr>
        <w:t xml:space="preserve">Enclosure: multi-state-compliance-matrix.xlsx</w:t>
      </w:r>
    </w:p>
    <w:bookmarkEnd w:id="3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MULTI-STATE PAID LEAVE COMPLIANCE — GAP ANALYSIS MEMORANDUM</dc:title>
  <dc:creator/>
  <cp:keywords/>
  <dcterms:created xsi:type="dcterms:W3CDTF">2026-06-28T10:14:56Z</dcterms:created>
  <dcterms:modified xsi:type="dcterms:W3CDTF">2026-06-28T10:14:56Z</dcterms:modified>
</cp:coreProperties>
</file>

<file path=docProps/custom.xml><?xml version="1.0" encoding="utf-8"?>
<Properties xmlns="http://schemas.openxmlformats.org/officeDocument/2006/custom-properties" xmlns:vt="http://schemas.openxmlformats.org/officeDocument/2006/docPropsVTypes"/>
</file>