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w:t>
      </w:r>
      <w:r>
        <w:t xml:space="preserve"> </w:t>
      </w:r>
      <w:r>
        <w:t xml:space="preserve">Analysis</w:t>
      </w:r>
      <w:r>
        <w:t xml:space="preserve"> </w:t>
      </w:r>
      <w:r>
        <w:t xml:space="preserve">and</w:t>
      </w:r>
      <w:r>
        <w:t xml:space="preserve"> </w:t>
      </w:r>
      <w:r>
        <w:t xml:space="preserve">Remediation</w:t>
      </w:r>
      <w:r>
        <w:t xml:space="preserve"> </w:t>
      </w:r>
      <w:r>
        <w:t xml:space="preserve">Memorandum</w:t>
      </w:r>
    </w:p>
    <w:bookmarkStart w:id="65" w:name="hartwell-cabot-llp"/>
    <w:p>
      <w:pPr>
        <w:pStyle w:val="Heading1"/>
      </w:pPr>
      <w:r>
        <w:t xml:space="preserve">HARTWELL &amp; CABOT LLP</w:t>
      </w:r>
    </w:p>
    <w:bookmarkStart w:id="20" w:name="attorneys-at-law"/>
    <w:p>
      <w:pPr>
        <w:pStyle w:val="Heading3"/>
      </w:pPr>
      <w:r>
        <w:t xml:space="preserve">Attorneys at Law</w:t>
      </w:r>
    </w:p>
    <w:p>
      <w:pPr>
        <w:pStyle w:val="FirstParagraph"/>
      </w:pPr>
      <w:r>
        <w:t xml:space="preserve">One Gateway Center, Suite 2400, Newark, New Jersey 07102 | Tel: (973) 555-8100</w:t>
      </w:r>
    </w:p>
    <w:p>
      <w:pPr>
        <w:pStyle w:val="BodyText"/>
      </w:pPr>
      <w:r>
        <w:t xml:space="preserve">225 Franklin Street, 18th Floor, Boston, Massachusetts 02110 | Tel: (617) 555-4200</w:t>
      </w:r>
    </w:p>
    <w:p>
      <w:pPr>
        <w:pStyle w:val="BodyText"/>
      </w:pPr>
      <w:r>
        <w:br/>
      </w:r>
    </w:p>
    <w:p>
      <w:pPr>
        <w:pStyle w:val="BodyText"/>
      </w:pPr>
      <w:r>
        <w:rPr>
          <w:b/>
          <w:bCs/>
        </w:rPr>
        <w:t xml:space="preserve">PRIVILEGED AND CONFIDENTIAL — ATTORNEY WORK PRODUCT</w:t>
      </w:r>
    </w:p>
    <w:p>
      <w:pPr>
        <w:pStyle w:val="BodyText"/>
      </w:pPr>
      <w:r>
        <w:rPr>
          <w:b/>
          <w:bCs/>
        </w:rPr>
        <w:t xml:space="preserve">PREPARED IN ANTICIPATION OF LITIGATION AND REGULATORY PROCEEDINGS</w:t>
      </w:r>
    </w:p>
    <w:p>
      <w:pPr>
        <w:pStyle w:val="BodyText"/>
      </w:pPr>
      <w:r>
        <w:br/>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Thorsen, Esq., Senior Vice President &amp; General Counsel, Vantage Logistics Group, Inc.</w:t>
            </w:r>
          </w:p>
        </w:tc>
      </w:tr>
      <w:tr>
        <w:tc>
          <w:tcPr/>
          <w:p>
            <w:pPr>
              <w:pStyle w:val="Compact"/>
              <w:jc w:val="left"/>
            </w:pPr>
            <w:r>
              <w:rPr>
                <w:b/>
                <w:bCs/>
              </w:rPr>
              <w:t xml:space="preserve">cc:</w:t>
            </w:r>
          </w:p>
        </w:tc>
        <w:tc>
          <w:tcPr/>
          <w:p>
            <w:pPr>
              <w:pStyle w:val="Compact"/>
              <w:jc w:val="left"/>
            </w:pPr>
            <w:r>
              <w:t xml:space="preserve">Marcus Delgado, Director of Human Resources, Vantage Logistics Group, Inc.</w:t>
            </w:r>
          </w:p>
        </w:tc>
      </w:tr>
      <w:tr>
        <w:tc>
          <w:tcPr/>
          <w:p>
            <w:pPr>
              <w:pStyle w:val="Compact"/>
              <w:jc w:val="left"/>
            </w:pPr>
            <w:r>
              <w:rPr>
                <w:b/>
                <w:bCs/>
              </w:rPr>
              <w:t xml:space="preserve">FROM:</w:t>
            </w:r>
          </w:p>
        </w:tc>
        <w:tc>
          <w:tcPr/>
          <w:p>
            <w:pPr>
              <w:pStyle w:val="Compact"/>
              <w:jc w:val="left"/>
            </w:pPr>
            <w:r>
              <w:t xml:space="preserve">Catherine Ng, Partner; Daniel Ikeda, Senior Associate, Hartwell &amp; Cabot LLP</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Multi-State Paid Leave Compliance Review — Gap Analysis, Risk Assessment, and Prioritized Remediation Plan (Seven Jurisdictions)</w:t>
            </w:r>
          </w:p>
        </w:tc>
      </w:tr>
    </w:tbl>
    <w:p>
      <w:pPr>
        <w:pStyle w:val="BodyText"/>
      </w:pPr>
      <w:r>
        <w:br/>
      </w:r>
    </w:p>
    <w:bookmarkEnd w:id="20"/>
    <w:bookmarkStart w:id="21" w:name="executive-summary"/>
    <w:p>
      <w:pPr>
        <w:pStyle w:val="Heading2"/>
      </w:pPr>
      <w:r>
        <w:t xml:space="preserve">1. Executive Summary</w:t>
      </w:r>
    </w:p>
    <w:p>
      <w:pPr>
        <w:pStyle w:val="FirstParagraph"/>
      </w:pPr>
      <w:r>
        <w:t xml:space="preserve">This memorandum sets forth Hartwell &amp; Cabot LLP’s (</w:t>
      </w:r>
      <w:r>
        <w:t xml:space="preserve">“</w:t>
      </w:r>
      <w:r>
        <w:t xml:space="preserve">H&amp;C</w:t>
      </w:r>
      <w:r>
        <w:t xml:space="preserve">”</w:t>
      </w:r>
      <w:r>
        <w:t xml:space="preserve">) gap analysis and risk assessment of Vantage Logistics Group,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paid leave policies and practices across seven jurisdictions — New Jersey, New York, and Connecticut (the</w:t>
      </w:r>
      <w:r>
        <w:t xml:space="preserve"> </w:t>
      </w:r>
      <w:r>
        <w:t xml:space="preserve">“</w:t>
      </w:r>
      <w:r>
        <w:t xml:space="preserve">current states</w:t>
      </w:r>
      <w:r>
        <w:t xml:space="preserve">”</w:t>
      </w:r>
      <w:r>
        <w:t xml:space="preserve">) and Massachusetts, Colorado, Oregon, and Washington (the</w:t>
      </w:r>
      <w:r>
        <w:t xml:space="preserve"> </w:t>
      </w:r>
      <w:r>
        <w:t xml:space="preserve">“</w:t>
      </w:r>
      <w:r>
        <w:t xml:space="preserve">expansion states</w:t>
      </w:r>
      <w:r>
        <w:t xml:space="preserve">”</w:t>
      </w:r>
      <w:r>
        <w:t xml:space="preserve">) — together with a prioritized remediation plan calibrated to the Company’s facility opening schedule and the July 1, 2025 target date for a revised Employee Handbook. It accompanies the</w:t>
      </w:r>
      <w:r>
        <w:t xml:space="preserve"> </w:t>
      </w:r>
      <w:r>
        <w:rPr>
          <w:i/>
          <w:iCs/>
        </w:rPr>
        <w:t xml:space="preserve">Multi-State Compliance Matrix</w:t>
      </w:r>
      <w:r>
        <w:t xml:space="preserve"> </w:t>
      </w:r>
      <w:r>
        <w:t xml:space="preserve">(the</w:t>
      </w:r>
      <w:r>
        <w:t xml:space="preserve"> </w:t>
      </w:r>
      <w:r>
        <w:t xml:space="preserve">“</w:t>
      </w:r>
      <w:r>
        <w:t xml:space="preserve">Matrix</w:t>
      </w:r>
      <w:r>
        <w:t xml:space="preserve">”</w:t>
      </w:r>
      <w:r>
        <w:t xml:space="preserve">), which provides the dimension-by-dimension, color-coded comparison underlying the findings below.</w:t>
      </w:r>
    </w:p>
    <w:p>
      <w:pPr>
        <w:pStyle w:val="BodyText"/>
      </w:pPr>
      <w:r>
        <w:t xml:space="preserve">H&amp;C has identified</w:t>
      </w:r>
      <w:r>
        <w:t xml:space="preserve"> </w:t>
      </w:r>
      <w:r>
        <w:rPr>
          <w:b/>
          <w:bCs/>
        </w:rPr>
        <w:t xml:space="preserve">four Critical deficiencies</w:t>
      </w:r>
      <w:r>
        <w:t xml:space="preserve">,</w:t>
      </w:r>
      <w:r>
        <w:t xml:space="preserve"> </w:t>
      </w:r>
      <w:r>
        <w:rPr>
          <w:b/>
          <w:bCs/>
        </w:rPr>
        <w:t xml:space="preserve">twelve High-severity deficiencies</w:t>
      </w:r>
      <w:r>
        <w:t xml:space="preserve">, and</w:t>
      </w:r>
      <w:r>
        <w:t xml:space="preserve"> </w:t>
      </w:r>
      <w:r>
        <w:rPr>
          <w:b/>
          <w:bCs/>
        </w:rPr>
        <w:t xml:space="preserve">eight Moderate-severity deficiencies</w:t>
      </w:r>
      <w:r>
        <w:t xml:space="preserve">. In summary:</w:t>
      </w:r>
    </w:p>
    <w:p>
      <w:pPr>
        <w:numPr>
          <w:ilvl w:val="0"/>
          <w:numId w:val="1001"/>
        </w:numPr>
      </w:pPr>
      <w:r>
        <w:rPr>
          <w:b/>
          <w:bCs/>
        </w:rPr>
        <w:t xml:space="preserve">The Company’s self-funded paid family leave (</w:t>
      </w:r>
      <w:r>
        <w:rPr>
          <w:b/>
          <w:bCs/>
        </w:rPr>
        <w:t xml:space="preserve">“</w:t>
      </w:r>
      <w:r>
        <w:rPr>
          <w:b/>
          <w:bCs/>
        </w:rPr>
        <w:t xml:space="preserve">PFL</w:t>
      </w:r>
      <w:r>
        <w:rPr>
          <w:b/>
          <w:bCs/>
        </w:rPr>
        <w:t xml:space="preserve">”</w:t>
      </w:r>
      <w:r>
        <w:rPr>
          <w:b/>
          <w:bCs/>
        </w:rPr>
        <w:t xml:space="preserve">) benefit — 50% of average weekly wage (</w:t>
      </w:r>
      <w:r>
        <w:rPr>
          <w:b/>
          <w:bCs/>
        </w:rPr>
        <w:t xml:space="preserve">“</w:t>
      </w:r>
      <w:r>
        <w:rPr>
          <w:b/>
          <w:bCs/>
        </w:rPr>
        <w:t xml:space="preserve">AWW</w:t>
      </w:r>
      <w:r>
        <w:rPr>
          <w:b/>
          <w:bCs/>
        </w:rPr>
        <w:t xml:space="preserve">”</w:t>
      </w:r>
      <w:r>
        <w:rPr>
          <w:b/>
          <w:bCs/>
        </w:rPr>
        <w:t xml:space="preserve">), capped at $850/week, for up to eight weeks — falls below the statutory benefit level in all seven jurisdictions and does not qualify as a compliant private-plan alternative in any of them.</w:t>
      </w:r>
      <w:r>
        <w:t xml:space="preserve"> </w:t>
      </w:r>
      <w:r>
        <w:t xml:space="preserve">No private-plan approval has been filed in any state. Employees are paying mandatory contributions into state programs (NJ FLI, NY PFL, CT PL) yet the Company’s self-funded benefit is materially inferior to the state benefits those contributions fund, creating both a structural compliance failure and a significant employee-claim and restitution exposure.</w:t>
      </w:r>
    </w:p>
    <w:p>
      <w:pPr>
        <w:numPr>
          <w:ilvl w:val="0"/>
          <w:numId w:val="1001"/>
        </w:numPr>
      </w:pPr>
      <w:r>
        <w:rPr>
          <w:b/>
          <w:bCs/>
        </w:rPr>
        <w:t xml:space="preserve">The Company has not registered with the state paid leave insurance program in any of the four expansion states.</w:t>
      </w:r>
      <w:r>
        <w:t xml:space="preserve"> </w:t>
      </w:r>
      <w:r>
        <w:t xml:space="preserve">Massachusetts registration is on the critical path: the Worcester facility opens August 1, 2025, and factoring PinnacleHR Solutions, Inc.’s (</w:t>
      </w:r>
      <w:r>
        <w:t xml:space="preserve">“</w:t>
      </w:r>
      <w:r>
        <w:t xml:space="preserve">PinnacleHR</w:t>
      </w:r>
      <w:r>
        <w:t xml:space="preserve">”</w:t>
      </w:r>
      <w:r>
        <w:t xml:space="preserve">) six-to-eight-week configuration lead time, registration with the Massachusetts Department of Family and Medical Leave (</w:t>
      </w:r>
      <w:r>
        <w:t xml:space="preserve">“</w:t>
      </w:r>
      <w:r>
        <w:t xml:space="preserve">DFML</w:t>
      </w:r>
      <w:r>
        <w:t xml:space="preserve">”</w:t>
      </w:r>
      <w:r>
        <w:t xml:space="preserve">) must be completed no later than approximately</w:t>
      </w:r>
      <w:r>
        <w:t xml:space="preserve"> </w:t>
      </w:r>
      <w:r>
        <w:rPr>
          <w:b/>
          <w:bCs/>
        </w:rPr>
        <w:t xml:space="preserve">June 1, 2025</w:t>
      </w:r>
      <w:r>
        <w:t xml:space="preserve">. Colorado registration is equally urgent because three Colorado-based remote employees were hired in April 2025 — before the Aurora facility opens — and Colorado’s FAMLI program does not permit private-employer opt-out, making participation mandatory.</w:t>
      </w:r>
    </w:p>
    <w:p>
      <w:pPr>
        <w:numPr>
          <w:ilvl w:val="0"/>
          <w:numId w:val="1001"/>
        </w:numPr>
      </w:pPr>
      <w:r>
        <w:rPr>
          <w:b/>
          <w:bCs/>
        </w:rPr>
        <w:t xml:space="preserve">The Company’s paid sick leave policy is non-compliant in multiple respects across all seven states</w:t>
      </w:r>
      <w:r>
        <w:t xml:space="preserve">, including the accrual rate (1 hour per 40 hours worked versus the 1-per-30 required in five states), the absence of any carryover (required in all seven states), a 120-day waiting period (non-compliant in six states), a narrow family-member definition (the root cause of the pending NJ DOL complaint), and the omission of statutorily required covered uses (family care, preventive care, safe leave, public-health-emergency closures, and school-related functions).</w:t>
      </w:r>
    </w:p>
    <w:p>
      <w:pPr>
        <w:numPr>
          <w:ilvl w:val="0"/>
          <w:numId w:val="1001"/>
        </w:numPr>
      </w:pPr>
      <w:r>
        <w:rPr>
          <w:b/>
          <w:bCs/>
        </w:rPr>
        <w:t xml:space="preserve">The Company provides no employer-funded paid medical leave for an employee’s own serious health condition</w:t>
      </w:r>
      <w:r>
        <w:t xml:space="preserve">, and HR staff have been misdirecting employees to the voluntary, employee-paid short-term disability (</w:t>
      </w:r>
      <w:r>
        <w:t xml:space="preserve">“</w:t>
      </w:r>
      <w:r>
        <w:t xml:space="preserve">STD</w:t>
      </w:r>
      <w:r>
        <w:t xml:space="preserve">”</w:t>
      </w:r>
      <w:r>
        <w:t xml:space="preserve">) plan administered by Keystone Benefit Administrators instead of the state programs (NJ TDI, NY DBL, CT PL) into which those employees are already contributing. At least seven such inquiries have been documented in the past twelve months.</w:t>
      </w:r>
    </w:p>
    <w:p>
      <w:pPr>
        <w:numPr>
          <w:ilvl w:val="0"/>
          <w:numId w:val="1001"/>
        </w:numPr>
      </w:pPr>
      <w:r>
        <w:rPr>
          <w:b/>
          <w:bCs/>
        </w:rPr>
        <w:t xml:space="preserve">The Company’s manual, spreadsheet-based leave tracking system is inadequate to scale to seven jurisdictions</w:t>
      </w:r>
      <w:r>
        <w:t xml:space="preserve"> </w:t>
      </w:r>
      <w:r>
        <w:t xml:space="preserve">and has already produced documented errors, including miscalculated part-time balances, inconsistent application of the waiting period, and negative balances with no audit trail.</w:t>
      </w:r>
    </w:p>
    <w:p>
      <w:pPr>
        <w:pStyle w:val="FirstParagraph"/>
      </w:pPr>
      <w:r>
        <w:t xml:space="preserve">The remediation plan in Section 6 prioritizes immediate registration actions for Massachusetts and Colorado, a comprehensive handbook redraft by July 1, 2025, and a structural decision on the self-funded PFL plan. H&amp;C recommends that the Company participate in the state-administered paid leave insurance programs in all seven jurisdictions and either discontinue or clearly relabel the self-funded PFL benefit as supplemental, because the self-funded plan cannot satisfy the private-plan equivalency standard in any state and Colorado mandates program participation.</w:t>
      </w:r>
    </w:p>
    <w:bookmarkEnd w:id="21"/>
    <w:bookmarkStart w:id="25" w:name="scope-methodology-and-severity-framework"/>
    <w:p>
      <w:pPr>
        <w:pStyle w:val="Heading2"/>
      </w:pPr>
      <w:r>
        <w:t xml:space="preserve">2. Scope, Methodology, and Severity Framework</w:t>
      </w:r>
    </w:p>
    <w:bookmarkStart w:id="22" w:name="scope"/>
    <w:p>
      <w:pPr>
        <w:pStyle w:val="Heading3"/>
      </w:pPr>
      <w:r>
        <w:t xml:space="preserve">2.1 Scope</w:t>
      </w:r>
    </w:p>
    <w:p>
      <w:pPr>
        <w:pStyle w:val="FirstParagraph"/>
      </w:pPr>
      <w:r>
        <w:t xml:space="preserve">This review compares Vantage’s current leave policies, as set forth in the Employee Handbook (Rev. January 15, 2022) and as implemented in practice, against the statutory and regulatory requirements of all seven jurisdictions. It addresses paid sick leave, paid family leave, paid medical leave, employer obligations (registration, contributions, withholding, recordkeeping, and postings), and PTO/vacation payout on separation. As agreed in the engagement letter, this review excludes federal FMLA compliance, local/municipal paid leave ordinances, representation in the pending NJ DOL complaint (Case No. NJ-ESL-2025-04117), and drafting of the revised Handbook.</w:t>
      </w:r>
    </w:p>
    <w:bookmarkEnd w:id="22"/>
    <w:bookmarkStart w:id="23" w:name="sources"/>
    <w:p>
      <w:pPr>
        <w:pStyle w:val="Heading3"/>
      </w:pPr>
      <w:r>
        <w:t xml:space="preserve">2.2 Sources</w:t>
      </w:r>
    </w:p>
    <w:p>
      <w:pPr>
        <w:pStyle w:val="FirstParagraph"/>
      </w:pPr>
      <w:r>
        <w:t xml:space="preserve">H&amp;C’s analysis relies on: (i) the Employee Handbook, Section 6 (Rev. January 15, 2022); (ii) the PinnacleHR Solutions withholding summary (data as of March 31, 2025); (iii) the current leave tracking spreadsheet sample; (iv) the HR expansion plan memorandum (March 28, 2025); (v) internal email correspondence regarding leave policy concerns (March 10–17, 2025); and (vi) the NJ DOL complaint and the Company’s February 21, 2025 response. Legal requirements reflect statutes, regulations, and agency guidance in effect as of May 19, 2025.</w:t>
      </w:r>
    </w:p>
    <w:bookmarkEnd w:id="23"/>
    <w:bookmarkStart w:id="24" w:name="severity-framework"/>
    <w:p>
      <w:pPr>
        <w:pStyle w:val="Heading3"/>
      </w:pPr>
      <w:r>
        <w:t xml:space="preserve">2.3 Severity Framework</w:t>
      </w:r>
    </w:p>
    <w:p>
      <w:pPr>
        <w:pStyle w:val="FirstParagraph"/>
      </w:pPr>
      <w:r>
        <w:t xml:space="preserve">Each deficiency is categorized using the framework set forth in the engagement letter:</w:t>
      </w:r>
    </w:p>
    <w:p>
      <w:pPr>
        <w:pStyle w:val="Compact"/>
        <w:numPr>
          <w:ilvl w:val="0"/>
          <w:numId w:val="1002"/>
        </w:numPr>
      </w:pPr>
      <w:r>
        <w:rPr>
          <w:b/>
          <w:bCs/>
        </w:rPr>
        <w:t xml:space="preserve">Critical:</w:t>
      </w:r>
      <w:r>
        <w:t xml:space="preserve"> </w:t>
      </w:r>
      <w:r>
        <w:t xml:space="preserve">Active legal exposure exists, an imminent regulatory deadline is at risk, or the deficiency has already resulted in, or is likely to imminently result in, regulatory action, penalties, or litigation.</w:t>
      </w:r>
    </w:p>
    <w:p>
      <w:pPr>
        <w:pStyle w:val="Compact"/>
        <w:numPr>
          <w:ilvl w:val="0"/>
          <w:numId w:val="1002"/>
        </w:numPr>
      </w:pPr>
      <w:r>
        <w:rPr>
          <w:b/>
          <w:bCs/>
        </w:rPr>
        <w:t xml:space="preserve">High:</w:t>
      </w:r>
      <w:r>
        <w:t xml:space="preserve"> </w:t>
      </w:r>
      <w:r>
        <w:t xml:space="preserve">Non-compliance is likely to result in enforcement action, monetary penalties, or employee claims if not remediated before operations commence in the applicable jurisdiction or within the near term.</w:t>
      </w:r>
    </w:p>
    <w:p>
      <w:pPr>
        <w:pStyle w:val="Compact"/>
        <w:numPr>
          <w:ilvl w:val="0"/>
          <w:numId w:val="1002"/>
        </w:numPr>
      </w:pPr>
      <w:r>
        <w:rPr>
          <w:b/>
          <w:bCs/>
        </w:rPr>
        <w:t xml:space="preserve">Moderate:</w:t>
      </w:r>
      <w:r>
        <w:t xml:space="preserve"> </w:t>
      </w:r>
      <w:r>
        <w:t xml:space="preserve">Technical non-compliance, best-practice gaps, or policy ambiguities that may not give rise to immediate enforcement but expose the Company to risk over time or in the event of a complaint or audit.</w:t>
      </w:r>
    </w:p>
    <w:bookmarkEnd w:id="24"/>
    <w:bookmarkEnd w:id="25"/>
    <w:bookmarkStart w:id="30" w:name="critical-deficiencies"/>
    <w:p>
      <w:pPr>
        <w:pStyle w:val="Heading2"/>
      </w:pPr>
      <w:r>
        <w:t xml:space="preserve">3. Critical Deficiencies</w:t>
      </w:r>
    </w:p>
    <w:bookmarkStart w:id="26" w:name="X0db8c1e8c6ea35cf879ffac8fc27ad399e5259f"/>
    <w:p>
      <w:pPr>
        <w:pStyle w:val="Heading3"/>
      </w:pPr>
      <w:r>
        <w:t xml:space="preserve">3.1 [CRITICAL] Massachusetts PFML Registration — Imminent Deadline</w:t>
      </w:r>
    </w:p>
    <w:p>
      <w:pPr>
        <w:pStyle w:val="FirstParagraph"/>
      </w:pPr>
      <w:r>
        <w:rPr>
          <w:b/>
          <w:bCs/>
        </w:rPr>
        <w:t xml:space="preserve">Finding.</w:t>
      </w:r>
      <w:r>
        <w:t xml:space="preserve"> </w:t>
      </w:r>
      <w:r>
        <w:t xml:space="preserve">The Company has not registered with the Massachusetts Paid Family and Medical Leave (</w:t>
      </w:r>
      <w:r>
        <w:t xml:space="preserve">“</w:t>
      </w:r>
      <w:r>
        <w:t xml:space="preserve">MA PFML</w:t>
      </w:r>
      <w:r>
        <w:t xml:space="preserve">”</w:t>
      </w:r>
      <w:r>
        <w:t xml:space="preserve">) program administered by the DFML. MA PFML requires employer registration and contribution remittance from the first day any covered employee works in Massachusetts. The Worcester facility is scheduled to open August 1, 2025, with approximately 60–70 employees in place by that date. PinnacleHR has confirmed that it cannot configure withholding until it receives the Company’s registration confirmation, and that its configuration lead time is approximately six to eight weeks. Registration must therefore be completed no later than approximately</w:t>
      </w:r>
      <w:r>
        <w:t xml:space="preserve"> </w:t>
      </w:r>
      <w:r>
        <w:rPr>
          <w:b/>
          <w:bCs/>
        </w:rPr>
        <w:t xml:space="preserve">June 1, 2025</w:t>
      </w:r>
      <w:r>
        <w:t xml:space="preserve"> </w:t>
      </w:r>
      <w:r>
        <w:t xml:space="preserve">— approximately two weeks from the date of this memorandum.</w:t>
      </w:r>
    </w:p>
    <w:p>
      <w:pPr>
        <w:pStyle w:val="BodyText"/>
      </w:pPr>
      <w:r>
        <w:rPr>
          <w:b/>
          <w:bCs/>
        </w:rPr>
        <w:t xml:space="preserve">Risk.</w:t>
      </w:r>
      <w:r>
        <w:t xml:space="preserve"> </w:t>
      </w:r>
      <w:r>
        <w:t xml:space="preserve">Failure to register and begin contributions by the first day of Massachusetts operations constitutes a direct statutory violation under M.G.L. c. 175M. The DFML may assess contributions, interest, and penalties, and the Company would be operating without the required wage-replacement coverage for its Massachusetts workforce. Any delay cascades into PinnacleHR’s configuration timeline and risks the Company opening the Worcester facility without compliant withholding in place. MA PFML also covers the employee’s own serious health condition (up to 20 weeks of medical leave) — a benefit the Company’s self-funded plan does not provide — so non-registration leaves Massachusetts employees without any state medical-leave benefit.</w:t>
      </w:r>
    </w:p>
    <w:p>
      <w:pPr>
        <w:pStyle w:val="BodyText"/>
      </w:pPr>
      <w:r>
        <w:rPr>
          <w:b/>
          <w:bCs/>
        </w:rPr>
        <w:t xml:space="preserve">Recommendation.</w:t>
      </w:r>
      <w:r>
        <w:t xml:space="preserve"> </w:t>
      </w:r>
      <w:r>
        <w:t xml:space="preserve">Initiate MA PFML registration immediately. This is the single most time-sensitive action item in this review. See Remediation Item R-1.</w:t>
      </w:r>
    </w:p>
    <w:bookmarkEnd w:id="26"/>
    <w:bookmarkStart w:id="27" w:name="X6ee35c5ea6350247a22f677b8aa4a88b80b15fb"/>
    <w:p>
      <w:pPr>
        <w:pStyle w:val="Heading3"/>
      </w:pPr>
      <w:r>
        <w:t xml:space="preserve">3.2 [CRITICAL] Colorado FAMLI Registration — Early Remote Hires and Mandatory Participation</w:t>
      </w:r>
    </w:p>
    <w:p>
      <w:pPr>
        <w:pStyle w:val="FirstParagraph"/>
      </w:pPr>
      <w:r>
        <w:rPr>
          <w:b/>
          <w:bCs/>
        </w:rPr>
        <w:t xml:space="preserve">Finding.</w:t>
      </w:r>
      <w:r>
        <w:t xml:space="preserve"> </w:t>
      </w:r>
      <w:r>
        <w:t xml:space="preserve">The Company has not registered with the Colorado Family and Medical Leave Insurance (</w:t>
      </w:r>
      <w:r>
        <w:t xml:space="preserve">“</w:t>
      </w:r>
      <w:r>
        <w:t xml:space="preserve">FAMLI</w:t>
      </w:r>
      <w:r>
        <w:t xml:space="preserve">”</w:t>
      </w:r>
      <w:r>
        <w:t xml:space="preserve">) program. Two issues compound the urgency. First, three Colorado-based salaried employees were hired in April 2025 to work remotely in advance of the Aurora facility’s November 1, 2025 opening. If the FAMLI registration obligation is triggered by the first date a Colorado-based employee performs work — the position H&amp;C believes is correct — then the registration obligation may already have attached, or will attach within days. Second, Colorado FAMLI does not permit private-employer opt-out (the opt-out is limited to local government employers). The Company therefore</w:t>
      </w:r>
      <w:r>
        <w:t xml:space="preserve"> </w:t>
      </w:r>
      <w:r>
        <w:rPr>
          <w:b/>
          <w:bCs/>
        </w:rPr>
        <w:t xml:space="preserve">must</w:t>
      </w:r>
      <w:r>
        <w:t xml:space="preserve"> </w:t>
      </w:r>
      <w:r>
        <w:t xml:space="preserve">participate in FAMLI and cannot substitute its self-funded plan, regardless of benefit level.</w:t>
      </w:r>
    </w:p>
    <w:p>
      <w:pPr>
        <w:pStyle w:val="BodyText"/>
      </w:pPr>
      <w:r>
        <w:rPr>
          <w:b/>
          <w:bCs/>
        </w:rPr>
        <w:t xml:space="preserve">Risk.</w:t>
      </w:r>
      <w:r>
        <w:t xml:space="preserve"> </w:t>
      </w:r>
      <w:r>
        <w:t xml:space="preserve">Operating with Colorado-based employees without FAMLI registration and premium remittance is a statutory violation under C.R.S. § 8-13.3-501 et seq. Even under the more favorable interpretation that registration is tied to the November 1, 2025 facility opening, the six-to-eight-week PinnacleHR lead time requires registration by approximately mid-August 2025 at the latest. The early remote hires create immediate exposure if the trigger date has already passed.</w:t>
      </w:r>
    </w:p>
    <w:p>
      <w:pPr>
        <w:pStyle w:val="BodyText"/>
      </w:pPr>
      <w:r>
        <w:rPr>
          <w:b/>
          <w:bCs/>
        </w:rPr>
        <w:t xml:space="preserve">Recommendation.</w:t>
      </w:r>
      <w:r>
        <w:t xml:space="preserve"> </w:t>
      </w:r>
      <w:r>
        <w:t xml:space="preserve">Obtain a definitive legal determination of the FAMLI registration trigger date and register immediately. See Remediation Item R-2.</w:t>
      </w:r>
    </w:p>
    <w:bookmarkEnd w:id="27"/>
    <w:bookmarkStart w:id="28" w:name="Xe7c72e47b12507e87ef945e8d82da90891138dd"/>
    <w:p>
      <w:pPr>
        <w:pStyle w:val="Heading3"/>
      </w:pPr>
      <w:r>
        <w:t xml:space="preserve">3.3 [CRITICAL] Pending NJ DOL Complaint — Active Legal Exposure (Muñoz v. Vantage)</w:t>
      </w:r>
    </w:p>
    <w:p>
      <w:pPr>
        <w:pStyle w:val="FirstParagraph"/>
      </w:pPr>
      <w:r>
        <w:rPr>
          <w:b/>
          <w:bCs/>
        </w:rPr>
        <w:t xml:space="preserve">Finding.</w:t>
      </w:r>
      <w:r>
        <w:t xml:space="preserve"> </w:t>
      </w:r>
      <w:r>
        <w:t xml:space="preserve">The NJ DOL complaint (Case No. NJ-ESL-2025-04117) alleges that the Company denied Carla Muñoz the use of earned sick leave to care for her domestic partner’s child. The Company’s Paid Sick Leave Policy defines</w:t>
      </w:r>
      <w:r>
        <w:t xml:space="preserve"> </w:t>
      </w:r>
      <w:r>
        <w:t xml:space="preserve">“</w:t>
      </w:r>
      <w:r>
        <w:t xml:space="preserve">family member</w:t>
      </w:r>
      <w:r>
        <w:t xml:space="preserve">”</w:t>
      </w:r>
      <w:r>
        <w:t xml:space="preserve"> </w:t>
      </w:r>
      <w:r>
        <w:t xml:space="preserve">as</w:t>
      </w:r>
      <w:r>
        <w:t xml:space="preserve"> </w:t>
      </w:r>
      <w:r>
        <w:t xml:space="preserve">“</w:t>
      </w:r>
      <w:r>
        <w:t xml:space="preserve">spouse, child, or parent</w:t>
      </w:r>
      <w:r>
        <w:t xml:space="preserve">”</w:t>
      </w:r>
      <w:r>
        <w:t xml:space="preserve"> </w:t>
      </w:r>
      <w:r>
        <w:t xml:space="preserve">— a definition materially narrower than the New Jersey Earned Sick Leave Act, N.J.S.A. 34:11D-1, which includes domestic partners, children of domestic partners, civil union partners, grandparents, grandchildren, siblings, any blood relative, and any individual whose close association with the employee is the equivalent of a family relationship. The complaint also alleges that the policy’s enumeration of covered uses — limited to the employee’s own illness, injury, or medical appointment — omits several categories required by N.J.S.A. 34:11D-3, including care for a family member, preventive care, absences related to domestic or sexual violence, public-health-emergency closures, and school-related functions.</w:t>
      </w:r>
    </w:p>
    <w:p>
      <w:pPr>
        <w:pStyle w:val="BodyText"/>
      </w:pPr>
      <w:r>
        <w:rPr>
          <w:b/>
          <w:bCs/>
        </w:rPr>
        <w:t xml:space="preserve">Risk.</w:t>
      </w:r>
      <w:r>
        <w:t xml:space="preserve"> </w:t>
      </w:r>
      <w:r>
        <w:t xml:space="preserve">This matter has already resulted in regulatory action. The NJ DOL has reserved the right to conduct a broader investigation of the Company’s sick leave practices, policies, and records. Violations may subject the Company to fines, administrative penalties, and orders of restitution under N.J.S.A. 34:11D-7. The same policy deficiencies exist in the Company’s other jurisdictions, meaning the exposure is not confined to New Jersey. The leave tracking spreadsheet confirms the policy was applied as written (the Muñoz entry notes the denial), and documents additional denials based on the 120-day waiting period (e.g., Monica Baptiste, denied March 18, 2025; Brian Novak, denied January 28, 2025).</w:t>
      </w:r>
    </w:p>
    <w:p>
      <w:pPr>
        <w:pStyle w:val="BodyText"/>
      </w:pPr>
      <w:r>
        <w:rPr>
          <w:b/>
          <w:bCs/>
        </w:rPr>
        <w:t xml:space="preserve">Recommendation.</w:t>
      </w:r>
      <w:r>
        <w:t xml:space="preserve"> </w:t>
      </w:r>
      <w:r>
        <w:t xml:space="preserve">The compliance review confirms the policy deficiencies alleged in the complaint. H&amp;C recommends that the Company (i) make Ms. Muñoz whole for the unpaid time off taken or PTO hours expended; (ii) amend the family-member definition and covered-uses provisions to align with N.J.S.A. 34:11D-1 and 34:11D-3; (iii) conduct supervisor and HR training; and (iv) use the July 1, 2025 handbook revision as the remediation milestone already communicated to the NJ DOL. Representation in the proceeding itself is handled under the separate February 15, 2025 engagement; this memorandum informs the Company’s response posture only. See Remediation Item R-3.</w:t>
      </w:r>
    </w:p>
    <w:bookmarkEnd w:id="28"/>
    <w:bookmarkStart w:id="29" w:name="Xe14123f141e4867a9132d8ca26b6c6762f3dd18"/>
    <w:p>
      <w:pPr>
        <w:pStyle w:val="Heading3"/>
      </w:pPr>
      <w:r>
        <w:t xml:space="preserve">3.4 [CRITICAL] Self-Funded PFL Below Statutory Minimums in All Seven States; No Private-Plan Approvals Filed</w:t>
      </w:r>
    </w:p>
    <w:p>
      <w:pPr>
        <w:pStyle w:val="FirstParagraph"/>
      </w:pPr>
      <w:r>
        <w:rPr>
          <w:b/>
          <w:bCs/>
        </w:rPr>
        <w:t xml:space="preserve">Finding.</w:t>
      </w:r>
      <w:r>
        <w:t xml:space="preserve"> </w:t>
      </w:r>
      <w:r>
        <w:t xml:space="preserve">The Company self-funds its PFL benefit at 50% of AWW, capped at $850/week, for up to eight weeks, and does not participate as the contributing employer in any state family leave insurance program. PinnacleHR withholds the mandatory employee-side contributions for NJ FLI, NY PFL, and CT PL. The self-funded benefit is materially below the statutory benefit in every jurisdiction: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Statutory benefit</w:t>
            </w:r>
          </w:p>
        </w:tc>
        <w:tc>
          <w:tcPr/>
          <w:p>
            <w:pPr>
              <w:pStyle w:val="Compact"/>
              <w:jc w:val="left"/>
            </w:pPr>
            <w:r>
              <w:t xml:space="preserve">Vantage self-funded</w:t>
            </w:r>
          </w:p>
        </w:tc>
        <w:tc>
          <w:tcPr/>
          <w:p>
            <w:pPr>
              <w:pStyle w:val="Compact"/>
              <w:jc w:val="left"/>
            </w:pPr>
            <w:r>
              <w:t xml:space="preserve">Gap</w:t>
            </w:r>
          </w:p>
        </w:tc>
      </w:tr>
      <w:tr>
        <w:tc>
          <w:tcPr/>
          <w:p>
            <w:pPr>
              <w:pStyle w:val="Compact"/>
              <w:jc w:val="left"/>
            </w:pPr>
            <w:r>
              <w:t xml:space="preserve">NJ FLI</w:t>
            </w:r>
          </w:p>
        </w:tc>
        <w:tc>
          <w:tcPr/>
          <w:p>
            <w:pPr>
              <w:pStyle w:val="Compact"/>
              <w:jc w:val="left"/>
            </w:pPr>
            <w:r>
              <w:t xml:space="preserve">85% of AWW; ~$1,067/wk; 12 wks</w:t>
            </w:r>
          </w:p>
        </w:tc>
        <w:tc>
          <w:tcPr/>
          <w:p>
            <w:pPr>
              <w:pStyle w:val="Compact"/>
              <w:jc w:val="left"/>
            </w:pPr>
            <w:r>
              <w:t xml:space="preserve">50% / $850 / 8 wks</w:t>
            </w:r>
          </w:p>
        </w:tc>
        <w:tc>
          <w:tcPr/>
          <w:p>
            <w:pPr>
              <w:pStyle w:val="Compact"/>
              <w:jc w:val="left"/>
            </w:pPr>
            <w:r>
              <w:t xml:space="preserve">Below on rate, cap, duration</w:t>
            </w:r>
          </w:p>
        </w:tc>
      </w:tr>
      <w:tr>
        <w:tc>
          <w:tcPr/>
          <w:p>
            <w:pPr>
              <w:pStyle w:val="Compact"/>
              <w:jc w:val="left"/>
            </w:pPr>
            <w:r>
              <w:t xml:space="preserve">NY PFL</w:t>
            </w:r>
          </w:p>
        </w:tc>
        <w:tc>
          <w:tcPr/>
          <w:p>
            <w:pPr>
              <w:pStyle w:val="Compact"/>
              <w:jc w:val="left"/>
            </w:pPr>
            <w:r>
              <w:t xml:space="preserve">67% of AWW; $1,177.32/wk; 12 wks</w:t>
            </w:r>
          </w:p>
        </w:tc>
        <w:tc>
          <w:tcPr/>
          <w:p>
            <w:pPr>
              <w:pStyle w:val="Compact"/>
              <w:jc w:val="left"/>
            </w:pPr>
            <w:r>
              <w:t xml:space="preserve">50% / $850 / 8 wks</w:t>
            </w:r>
          </w:p>
        </w:tc>
        <w:tc>
          <w:tcPr/>
          <w:p>
            <w:pPr>
              <w:pStyle w:val="Compact"/>
              <w:jc w:val="left"/>
            </w:pPr>
            <w:r>
              <w:t xml:space="preserve">Below on rate, cap, duration</w:t>
            </w:r>
          </w:p>
        </w:tc>
      </w:tr>
      <w:tr>
        <w:tc>
          <w:tcPr/>
          <w:p>
            <w:pPr>
              <w:pStyle w:val="Compact"/>
              <w:jc w:val="left"/>
            </w:pPr>
            <w:r>
              <w:t xml:space="preserve">CT PL</w:t>
            </w:r>
          </w:p>
        </w:tc>
        <w:tc>
          <w:tcPr/>
          <w:p>
            <w:pPr>
              <w:pStyle w:val="Compact"/>
              <w:jc w:val="left"/>
            </w:pPr>
            <w:r>
              <w:t xml:space="preserve">95%/60% tiered; ~$941/wk; 12 wks (+2)</w:t>
            </w:r>
          </w:p>
        </w:tc>
        <w:tc>
          <w:tcPr/>
          <w:p>
            <w:pPr>
              <w:pStyle w:val="Compact"/>
              <w:jc w:val="left"/>
            </w:pPr>
            <w:r>
              <w:t xml:space="preserve">50% / $850 / 8 wks</w:t>
            </w:r>
          </w:p>
        </w:tc>
        <w:tc>
          <w:tcPr/>
          <w:p>
            <w:pPr>
              <w:pStyle w:val="Compact"/>
              <w:jc w:val="left"/>
            </w:pPr>
            <w:r>
              <w:t xml:space="preserve">Below on rate, cap, duration</w:t>
            </w:r>
          </w:p>
        </w:tc>
      </w:tr>
      <w:tr>
        <w:tc>
          <w:tcPr/>
          <w:p>
            <w:pPr>
              <w:pStyle w:val="Compact"/>
              <w:jc w:val="left"/>
            </w:pPr>
            <w:r>
              <w:t xml:space="preserve">MA PFML</w:t>
            </w:r>
          </w:p>
        </w:tc>
        <w:tc>
          <w:tcPr/>
          <w:p>
            <w:pPr>
              <w:pStyle w:val="Compact"/>
              <w:jc w:val="left"/>
            </w:pPr>
            <w:r>
              <w:t xml:space="preserve">80%/50% tiered; ~$1,170.64/wk; 12 wks family</w:t>
            </w:r>
          </w:p>
        </w:tc>
        <w:tc>
          <w:tcPr/>
          <w:p>
            <w:pPr>
              <w:pStyle w:val="Compact"/>
              <w:jc w:val="left"/>
            </w:pPr>
            <w:r>
              <w:t xml:space="preserve">50% / $850 / 8 wks</w:t>
            </w:r>
          </w:p>
        </w:tc>
        <w:tc>
          <w:tcPr/>
          <w:p>
            <w:pPr>
              <w:pStyle w:val="Compact"/>
              <w:jc w:val="left"/>
            </w:pPr>
            <w:r>
              <w:t xml:space="preserve">Below on rate, cap, duration</w:t>
            </w:r>
          </w:p>
        </w:tc>
      </w:tr>
      <w:tr>
        <w:tc>
          <w:tcPr/>
          <w:p>
            <w:pPr>
              <w:pStyle w:val="Compact"/>
              <w:jc w:val="left"/>
            </w:pPr>
            <w:r>
              <w:t xml:space="preserve">CO FAMLI</w:t>
            </w:r>
          </w:p>
        </w:tc>
        <w:tc>
          <w:tcPr/>
          <w:p>
            <w:pPr>
              <w:pStyle w:val="Compact"/>
              <w:jc w:val="left"/>
            </w:pPr>
            <w:r>
              <w:t xml:space="preserve">90%/50% tiered; ~$1,100/wk; 12 wks</w:t>
            </w:r>
          </w:p>
        </w:tc>
        <w:tc>
          <w:tcPr/>
          <w:p>
            <w:pPr>
              <w:pStyle w:val="Compact"/>
              <w:jc w:val="left"/>
            </w:pPr>
            <w:r>
              <w:t xml:space="preserve">50% / $850 / 8 wks</w:t>
            </w:r>
          </w:p>
        </w:tc>
        <w:tc>
          <w:tcPr/>
          <w:p>
            <w:pPr>
              <w:pStyle w:val="Compact"/>
              <w:jc w:val="left"/>
            </w:pPr>
            <w:r>
              <w:t xml:space="preserve">Below; opt-out unavailable</w:t>
            </w:r>
          </w:p>
        </w:tc>
      </w:tr>
      <w:tr>
        <w:tc>
          <w:tcPr/>
          <w:p>
            <w:pPr>
              <w:pStyle w:val="Compact"/>
              <w:jc w:val="left"/>
            </w:pPr>
            <w:r>
              <w:t xml:space="preserve">OR PLO</w:t>
            </w:r>
          </w:p>
        </w:tc>
        <w:tc>
          <w:tcPr/>
          <w:p>
            <w:pPr>
              <w:pStyle w:val="Compact"/>
              <w:jc w:val="left"/>
            </w:pPr>
            <w:r>
              <w:t xml:space="preserve">100%/50% tiered; ~$1,523.63/wk; 12 wks (+2)</w:t>
            </w:r>
          </w:p>
        </w:tc>
        <w:tc>
          <w:tcPr/>
          <w:p>
            <w:pPr>
              <w:pStyle w:val="Compact"/>
              <w:jc w:val="left"/>
            </w:pPr>
            <w:r>
              <w:t xml:space="preserve">50% / $850 / 8 wks</w:t>
            </w:r>
          </w:p>
        </w:tc>
        <w:tc>
          <w:tcPr/>
          <w:p>
            <w:pPr>
              <w:pStyle w:val="Compact"/>
              <w:jc w:val="left"/>
            </w:pPr>
            <w:r>
              <w:t xml:space="preserve">Below on rate, cap, duration</w:t>
            </w:r>
          </w:p>
        </w:tc>
      </w:tr>
      <w:tr>
        <w:tc>
          <w:tcPr/>
          <w:p>
            <w:pPr>
              <w:pStyle w:val="Compact"/>
              <w:jc w:val="left"/>
            </w:pPr>
            <w:r>
              <w:t xml:space="preserve">WA PFML</w:t>
            </w:r>
          </w:p>
        </w:tc>
        <w:tc>
          <w:tcPr/>
          <w:p>
            <w:pPr>
              <w:pStyle w:val="Compact"/>
              <w:jc w:val="left"/>
            </w:pPr>
            <w:r>
              <w:t xml:space="preserve">90%/50% tiered; ~$1,526/wk; 12 wks family</w:t>
            </w:r>
          </w:p>
        </w:tc>
        <w:tc>
          <w:tcPr/>
          <w:p>
            <w:pPr>
              <w:pStyle w:val="Compact"/>
              <w:jc w:val="left"/>
            </w:pPr>
            <w:r>
              <w:t xml:space="preserve">50% / $850 / 8 wks</w:t>
            </w:r>
          </w:p>
        </w:tc>
        <w:tc>
          <w:tcPr/>
          <w:p>
            <w:pPr>
              <w:pStyle w:val="Compact"/>
              <w:jc w:val="left"/>
            </w:pPr>
            <w:r>
              <w:t xml:space="preserve">Below on rate, cap, duration</w:t>
            </w:r>
          </w:p>
        </w:tc>
      </w:tr>
    </w:tbl>
    <w:p>
      <w:pPr>
        <w:pStyle w:val="BodyText"/>
      </w:pPr>
      <w:r>
        <w:t xml:space="preserve">Six of the seven jurisdictions (NJ, NY, CT, MA, OR, WA) permit a private-plan alternative, but only if the private plan provides benefits</w:t>
      </w:r>
      <w:r>
        <w:t xml:space="preserve"> </w:t>
      </w:r>
      <w:r>
        <w:rPr>
          <w:b/>
          <w:bCs/>
        </w:rPr>
        <w:t xml:space="preserve">equal to or greater than</w:t>
      </w:r>
      <w:r>
        <w:t xml:space="preserve"> </w:t>
      </w:r>
      <w:r>
        <w:t xml:space="preserve">the state program in all respects. The Company has not filed a private-plan application in any state. Colorado permits no private-employer opt-out at all. The self-funded plan also does not cover the employee’s own serious health condition (a covered benefit under CT PL, MA PFML, CO FAMLI, OR PLO, and WA PFML) and does not cover qualifying military exigency (required under CT PL, CO FAMLI, OR PLO, and WA PFML) or safe leave (covered under NJ FLI, CT PL, CO FAMLI, and OR PLO).</w:t>
      </w:r>
    </w:p>
    <w:p>
      <w:pPr>
        <w:pStyle w:val="BodyText"/>
      </w:pPr>
      <w:r>
        <w:rPr>
          <w:b/>
          <w:bCs/>
        </w:rPr>
        <w:t xml:space="preserve">Risk.</w:t>
      </w:r>
      <w:r>
        <w:t xml:space="preserve"> </w:t>
      </w:r>
      <w:r>
        <w:t xml:space="preserve">Because no private-plan approval has been obtained, employees in NJ, NY, and CT remain entitled to the full statutory state benefit notwithstanding the self-funded plan — meaning the self-funded plan neither satisfies the mandate nor replaces the state entitlement, and the Company is exposed to claims that employees were discouraged from or denied access to the superior state benefit. The internal email record confirms employee confusion in Connecticut and HR uncertainty about how the self-funded plan interacts with the state program. Employees are paying mandatory contributions into state programs they may not be accessing. This creates restitution exposure, potential DOL investigations in multiple states, and reputational risk. In the expansion states, the self-funded plan cannot serve as a substitute (and in Colorado cannot substitute as a matter of law), so the Company must register and participate in any event.</w:t>
      </w:r>
    </w:p>
    <w:p>
      <w:pPr>
        <w:pStyle w:val="BodyText"/>
      </w:pPr>
      <w:r>
        <w:rPr>
          <w:b/>
          <w:bCs/>
        </w:rPr>
        <w:t xml:space="preserve">Recommendation.</w:t>
      </w:r>
      <w:r>
        <w:t xml:space="preserve"> </w:t>
      </w:r>
      <w:r>
        <w:t xml:space="preserve">H&amp;C recommends that the Company participate in the state-administered paid leave insurance programs in all seven jurisdictions and either (a) discontinue the self-funded PFL benefit, or (b) restructure and clearly relabel it as a supplemental benefit that sits on top of the state program — not as a substitute for it. Seeking private-plan approvals is not recommended as the primary path because it would require enhancing the self-funded benefit above every state’s statutory minimum (a materially more expensive proposition than participating in the state programs) and is unavailable in Colorado. See Remediation Item R-4.</w:t>
      </w:r>
    </w:p>
    <w:bookmarkEnd w:id="29"/>
    <w:bookmarkEnd w:id="30"/>
    <w:bookmarkStart w:id="43" w:name="high-severity-deficiencies"/>
    <w:p>
      <w:pPr>
        <w:pStyle w:val="Heading2"/>
      </w:pPr>
      <w:r>
        <w:t xml:space="preserve">4. High-Severity Deficiencies</w:t>
      </w:r>
    </w:p>
    <w:bookmarkStart w:id="31" w:name="Xef4390a093b12eb4558477de51e2cba81cfa3c0"/>
    <w:p>
      <w:pPr>
        <w:pStyle w:val="Heading3"/>
      </w:pPr>
      <w:r>
        <w:t xml:space="preserve">4.1 [HIGH] Paid Sick Leave Accrual Rate — Non-Compliant in Five States</w:t>
      </w:r>
    </w:p>
    <w:p>
      <w:pPr>
        <w:pStyle w:val="FirstParagraph"/>
      </w:pPr>
      <w:r>
        <w:t xml:space="preserve">The Company accrues sick leave at 1 hour per 40 hours worked. New Jersey, New York, Massachusetts, Colorado, and Oregon all require 1 hour per 30 hours worked. Only Connecticut and Washington use a 1-per-40 rate. The Company is therefore systematically under-accruing sick leave for its New Jersey and New York workforces and for all employees in Massachusetts, Colorado, and Oregon. This is a per-employee, per-pay-period violation that compounds over time and is difficult to remediate retroactively without a balance true-up. The leave tracking spreadsheet confirms accruals are being calculated at the 1-per-40 rate (e.g., 520 hours worked → 13.0 hours accrued).</w:t>
      </w:r>
    </w:p>
    <w:bookmarkEnd w:id="31"/>
    <w:bookmarkStart w:id="32" w:name="Xe1e59cc1bc9e05c41c49ba5e5763c627ffd77d7"/>
    <w:p>
      <w:pPr>
        <w:pStyle w:val="Heading3"/>
      </w:pPr>
      <w:r>
        <w:t xml:space="preserve">4.2 [HIGH] Paid Sick Leave — No Carryover (Non-Compliant in All Seven States)</w:t>
      </w:r>
    </w:p>
    <w:p>
      <w:pPr>
        <w:pStyle w:val="FirstParagraph"/>
      </w:pPr>
      <w:r>
        <w:t xml:space="preserve">The Company’s policy resets all sick leave balances to zero on January 1 and permits no carryover. All seven jurisdictions require carryover of unused sick leave (NJ, NY, CT, MA, CO, OR up to 40–48 hours; WA requires carryover of all unused leave). The spreadsheet documents employees who forfeited unused balances at year-end 2024 (e.g., Renée Washington forfeited 12 hours; Robert Fitzgerald forfeited 8 hours; Jennifer Walsh forfeited 18 hours). These forfeitures represent earned benefits withheld contrary to statute and create individual restitution claims.</w:t>
      </w:r>
    </w:p>
    <w:bookmarkEnd w:id="32"/>
    <w:bookmarkStart w:id="33" w:name="Xf2e70e1e3d00a5f4dd2c08549c0ec238c5c0ec4"/>
    <w:p>
      <w:pPr>
        <w:pStyle w:val="Heading3"/>
      </w:pPr>
      <w:r>
        <w:t xml:space="preserve">4.3 [HIGH] Paid Sick Leave — 120-Day Waiting Period (Non-Compliant in Six States)</w:t>
      </w:r>
    </w:p>
    <w:p>
      <w:pPr>
        <w:pStyle w:val="FirstParagraph"/>
      </w:pPr>
      <w:r>
        <w:t xml:space="preserve">The Company applies a uniform 120-day waiting period before employees may use accrued sick leave. This is compliant only in New Jersey. New York and Connecticut (as of January 1, 2025, following Public Act 24-8) permit no waiting period (leave is usable as accrued); Massachusetts, Oregon, and Washington permit use after 90 days; Colorado permits no waiting period at all. The spreadsheet documents employees denied use of accrued leave under this waiting period (Monica Baptiste, denied March 18, 2025; Brian Novak, denied January 28, 2025; Leticia Bravo and Laura Mendez not yet eligible). Each denial of statutorily usable leave is a separate potential violation.</w:t>
      </w:r>
    </w:p>
    <w:bookmarkEnd w:id="33"/>
    <w:bookmarkStart w:id="34" w:name="X07e4a2c9bb91034357c52810ca9f834d53fc1d7"/>
    <w:p>
      <w:pPr>
        <w:pStyle w:val="Heading3"/>
      </w:pPr>
      <w:r>
        <w:t xml:space="preserve">4.4 [HIGH] Paid Sick Leave — Omitted Covered Uses (Non-Compliant in All Seven States)</w:t>
      </w:r>
    </w:p>
    <w:p>
      <w:pPr>
        <w:pStyle w:val="FirstParagraph"/>
      </w:pPr>
      <w:r>
        <w:t xml:space="preserve">The Company’s policy limits sick leave to the employee’s own illness, injury, or medical appointment. All seven jurisdictions require additional covered uses, including care for a family member’s illness, preventive care, safe leave (domestic violence, sexual assault, stalking), and public-health-emergency closures. New Jersey, New York, and Connecticut additionally require school-related functions. Colorado requires supplemental public-health-emergency leave of up to 80 hours. The omission of these uses is the direct cause of the Muñoz denial and is replicated across all jurisdictions.</w:t>
      </w:r>
    </w:p>
    <w:bookmarkEnd w:id="34"/>
    <w:bookmarkStart w:id="35" w:name="Xe951a913708967da63027e79484de0f66e82d1d"/>
    <w:p>
      <w:pPr>
        <w:pStyle w:val="Heading3"/>
      </w:pPr>
      <w:r>
        <w:t xml:space="preserve">4.5 [HIGH] Paid Sick Leave — Narrow Family-Member Definition (Non-Compliant in All Seven States)</w:t>
      </w:r>
    </w:p>
    <w:p>
      <w:pPr>
        <w:pStyle w:val="FirstParagraph"/>
      </w:pPr>
      <w:r>
        <w:t xml:space="preserve">The Company defines</w:t>
      </w:r>
      <w:r>
        <w:t xml:space="preserve"> </w:t>
      </w:r>
      <w:r>
        <w:t xml:space="preserve">“</w:t>
      </w:r>
      <w:r>
        <w:t xml:space="preserve">family member</w:t>
      </w:r>
      <w:r>
        <w:t xml:space="preserve">”</w:t>
      </w:r>
      <w:r>
        <w:t xml:space="preserve"> </w:t>
      </w:r>
      <w:r>
        <w:t xml:space="preserve">as spouse, child, and parent only. Every jurisdiction requires a substantially broader definition encompassing domestic partners, grandparents, grandchildren, siblings, and individuals related by blood or whose close association is the equivalent of a family relationship. This is the deficiency at the center of the NJ DOL complaint and is a recurring multi-state exposure.</w:t>
      </w:r>
    </w:p>
    <w:bookmarkEnd w:id="35"/>
    <w:bookmarkStart w:id="36" w:name="Xadbd60c128b5d451ac8817950a7a9f7b960363a"/>
    <w:p>
      <w:pPr>
        <w:pStyle w:val="Heading3"/>
      </w:pPr>
      <w:r>
        <w:t xml:space="preserve">4.6 [HIGH] Paid Sick Leave — Caps Non-Compliant in Multiple States</w:t>
      </w:r>
    </w:p>
    <w:p>
      <w:pPr>
        <w:pStyle w:val="FirstParagraph"/>
      </w:pPr>
      <w:r>
        <w:t xml:space="preserve">The Company caps full-time accrual at 40 hours and part-time accrual at 24 hours. New York requires 56 hours for employers with 100 or more employees (Vantage has 680 in New York). Colorado requires 48 hours. Washington permits no cap on accrual. The part-time 24-hour cap is non-compliant in every state, because none of the seven states permits a reduced cap for part-time employees — the 40-hour (or higher) entitlement applies regardless of full-time/part-time status. The spreadsheet confirms the 24-hour part-time cap is being applied (e.g., Derek Wen, Marcus Pham, Yolanda Ruiz, Nadia Petrova, Samir Okonkwo), and the PinnacleHR summary expressly flags this as a likely CT PSL violation.</w:t>
      </w:r>
    </w:p>
    <w:bookmarkEnd w:id="36"/>
    <w:bookmarkStart w:id="37" w:name="X598f0b4b4efde7106582b6ecd00a7e0aef7e3f4"/>
    <w:p>
      <w:pPr>
        <w:pStyle w:val="Heading3"/>
      </w:pPr>
      <w:r>
        <w:t xml:space="preserve">4.7 [HIGH] PTO/Vacation Payout on Separation — Non-Compliant in MA, CO, OR, WA</w:t>
      </w:r>
    </w:p>
    <w:p>
      <w:pPr>
        <w:pStyle w:val="FirstParagraph"/>
      </w:pPr>
      <w:r>
        <w:t xml:space="preserve">The Company’s policy pays out accrued unused PTO only in Connecticut. Massachusetts (Wage Act, M.G.L. c. 149 § 148), Colorado (C.R.S. § 8-4-101), Oregon (ORS 652.610), and Washington (RCW 49.52.050) all treat accrued vacation as wages that must be paid at termination regardless of employer policy. The Company’s blanket no-payout policy is therefore non-compliant in four of the seven jurisdictions. Massachusetts and Colorado expose the Company to treble damages and attorney’s fees for wage non-payment; Oregon exposes the Company to penalty wages of up to 30 days; Washington exposes the Company to double damages and interest. The internal email confirms a Colorado candidate flagged this issue, and the General Counsel has already directed that Colorado offer letters be revised to remove the blanket no-payout language.</w:t>
      </w:r>
    </w:p>
    <w:bookmarkEnd w:id="37"/>
    <w:bookmarkStart w:id="38" w:name="X942f7a46cc43f88a7d55c4337401ef6143a1ebb"/>
    <w:p>
      <w:pPr>
        <w:pStyle w:val="Heading3"/>
      </w:pPr>
      <w:r>
        <w:t xml:space="preserve">4.8 [HIGH] Paid Medical Leave Gap and HR Misdirection to Voluntary STD</w:t>
      </w:r>
    </w:p>
    <w:p>
      <w:pPr>
        <w:pStyle w:val="FirstParagraph"/>
      </w:pPr>
      <w:r>
        <w:t xml:space="preserve">The Company provides no employer-funded paid medical leave for an employee’s own serious health condition beyond accrued sick leave (maximum 40 hours for full-time employees) and the voluntary, employee-paid STD plan through Keystone Benefit Administrators (fewer than 30% of Connecticut hourly staff are enrolled). In the current states, the state programs (NJ TDI, NY DBL, CT PL) provide this benefit and contributions are being remitted — but HR staff have been directing employees to the voluntary Keystone plan instead of the state programs. The internal email documents at least seven such inquiries in the past twelve months (four in Bridgeport, CT; two in Edison, NJ; one in Queens, NY), and confirms that NJ HR staff may not be aware that NJ TDI exists as a separate benefit. Employees are paying into state programs they are not being directed to access. In the expansion states, no state medical-leave benefit is available because the Company is not registered, and the self-funded plan does not cover the employee’s own condition — leaving expansion-state employees with no medical-leave coverage at all until registration is complete.</w:t>
      </w:r>
    </w:p>
    <w:bookmarkEnd w:id="38"/>
    <w:bookmarkStart w:id="39" w:name="Xc78d50a09aae60d6322425e1103123994fb2a9d"/>
    <w:p>
      <w:pPr>
        <w:pStyle w:val="Heading3"/>
      </w:pPr>
      <w:r>
        <w:t xml:space="preserve">4.9 [HIGH] PFL Qualifying Reasons — Military Exigency and Safe Leave Omitted</w:t>
      </w:r>
    </w:p>
    <w:p>
      <w:pPr>
        <w:pStyle w:val="FirstParagraph"/>
      </w:pPr>
      <w:r>
        <w:t xml:space="preserve">The Company’s PFL covers bonding and family caregiving only. Connecticut, Colorado, Oregon, and Washington require coverage of qualifying military exigency. New Jersey, Connecticut, Colorado, and Oregon cover safe leave (domestic violence, sexual assault, stalking) under their family/medical leave programs. The omission of these qualifying reasons renders the self-funded plan non-compliant as a private-plan substitute and denies employees statutorily protected leave.</w:t>
      </w:r>
    </w:p>
    <w:bookmarkEnd w:id="39"/>
    <w:bookmarkStart w:id="40" w:name="X62043d27f9646c431a78abe453d00205206f37b"/>
    <w:p>
      <w:pPr>
        <w:pStyle w:val="Heading3"/>
      </w:pPr>
      <w:r>
        <w:t xml:space="preserve">4.10 [HIGH] PFL Notice Requirement — No Unforeseeable-Leave Carve-Out</w:t>
      </w:r>
    </w:p>
    <w:p>
      <w:pPr>
        <w:pStyle w:val="FirstParagraph"/>
      </w:pPr>
      <w:r>
        <w:t xml:space="preserve">The Company’s policy requires 30 calendar days’ advance notice for all PFL, with no distinction between foreseeable and unforeseeable leave. All seven jurisdictions require only</w:t>
      </w:r>
      <w:r>
        <w:t xml:space="preserve"> </w:t>
      </w:r>
      <w:r>
        <w:t xml:space="preserve">“</w:t>
      </w:r>
      <w:r>
        <w:t xml:space="preserve">as soon as practicable</w:t>
      </w:r>
      <w:r>
        <w:t xml:space="preserve">”</w:t>
      </w:r>
      <w:r>
        <w:t xml:space="preserve"> </w:t>
      </w:r>
      <w:r>
        <w:t xml:space="preserve">notice for unforeseeable leave. The internal email documents a Connecticut employee who gave 10 days’ notice for an unforeseeable parent hospitalization and was initially pushed back under the 30-day rule. The General Counsel has issued interim guidance directing HR not to deny or delay unforeseeable leave, but the written policy remains non-compliant and the interim guidance is not a substitute for a written policy fix. Inconsistent application across sites (some strict, some flexible) also creates disparate-treatment risk.</w:t>
      </w:r>
    </w:p>
    <w:bookmarkEnd w:id="40"/>
    <w:bookmarkStart w:id="41" w:name="X5d0585cee1c25413c2252161f1326e02d62743d"/>
    <w:p>
      <w:pPr>
        <w:pStyle w:val="Heading3"/>
      </w:pPr>
      <w:r>
        <w:t xml:space="preserve">4.11 [HIGH] PFL Eligibility — More Stringent Than State Programs</w:t>
      </w:r>
    </w:p>
    <w:p>
      <w:pPr>
        <w:pStyle w:val="FirstParagraph"/>
      </w:pPr>
      <w:r>
        <w:t xml:space="preserve">The Company requires 12 months of employment plus 1,000 hours worked. The state programs generally impose no employer-tenure requirement (NJ FLI, CT PL, MA PFML, CO FAMLI, OR PLO are earnings/hours-based with no 12-month tenure), and New York requires only 26 weeks of employment. The Company’s 12-month requirement is therefore more restrictive than every state program and would render any private-plan application non-compliant on its face.</w:t>
      </w:r>
    </w:p>
    <w:bookmarkEnd w:id="41"/>
    <w:bookmarkStart w:id="42" w:name="Xe38f6efd8e6563b602d238a8d22374a73090206"/>
    <w:p>
      <w:pPr>
        <w:pStyle w:val="Heading3"/>
      </w:pPr>
      <w:r>
        <w:t xml:space="preserve">4.12 [HIGH] PFL Family-Member Definition — Excludes Parents-in-Law and Others</w:t>
      </w:r>
    </w:p>
    <w:p>
      <w:pPr>
        <w:pStyle w:val="FirstParagraph"/>
      </w:pPr>
      <w:r>
        <w:t xml:space="preserve">The Company’s PFL family-member definition (spouse, child, parent; parents-in-law expressly excluded) is narrower than all seven jurisdictions, most of which include parents-in-law, grandparents, grandchildren, siblings, and domestic partners. This mirrors the sick-leave family-definition deficiency and compounds the private-plan non-compliance.</w:t>
      </w:r>
    </w:p>
    <w:bookmarkEnd w:id="42"/>
    <w:bookmarkEnd w:id="43"/>
    <w:bookmarkStart w:id="52" w:name="Xb55849c6290e6bdfe0bd3ce1f2c8c8c1652e3f3"/>
    <w:p>
      <w:pPr>
        <w:pStyle w:val="Heading2"/>
      </w:pPr>
      <w:r>
        <w:t xml:space="preserve">5. Moderate-Severity Deficiencies and Operational Risks</w:t>
      </w:r>
    </w:p>
    <w:bookmarkStart w:id="44" w:name="X739e83108fc2a5266d1c3044ac70f9bd44b1b59"/>
    <w:p>
      <w:pPr>
        <w:pStyle w:val="Heading3"/>
      </w:pPr>
      <w:r>
        <w:t xml:space="preserve">5.1 [MODERATE] Oregon and Washington Registration — Not Yet Due but Schedule-Critical</w:t>
      </w:r>
    </w:p>
    <w:p>
      <w:pPr>
        <w:pStyle w:val="FirstParagraph"/>
      </w:pPr>
      <w:r>
        <w:t xml:space="preserve">The Company has not registered with Paid Leave Oregon or Washington PFML. These are not yet overdue (Oregon facility opens February 1, 2026; Washington opens May 1, 2026), but registration must be initiated on schedule to allow PinnacleHR configuration: Oregon by approximately December 1, 2025; Washington by approximately March 1, 2026. These items are moderate only because of their later timing; the underlying obligation is identical to the Massachusetts and Colorado obligations.</w:t>
      </w:r>
    </w:p>
    <w:bookmarkEnd w:id="44"/>
    <w:bookmarkStart w:id="45" w:name="Xd11fe7c0eebd78244a1f73798a8f909103e04bb"/>
    <w:p>
      <w:pPr>
        <w:pStyle w:val="Heading3"/>
      </w:pPr>
      <w:r>
        <w:t xml:space="preserve">5.2 [MODERATE] Medical Documentation Threshold — More Stringent Than MA and CO Permit</w:t>
      </w:r>
    </w:p>
    <w:p>
      <w:pPr>
        <w:pStyle w:val="FirstParagraph"/>
      </w:pPr>
      <w:r>
        <w:t xml:space="preserve">The Company requires a doctor’s note after more than two consecutive scheduled workdays (i.e., three or more). Massachusetts and Colorado permit documentation only after four or more consecutive days. Requiring documentation one day earlier than the statute permits is a technical overreach that could be challenged, though it is unlikely to drive enforcement on its own.</w:t>
      </w:r>
    </w:p>
    <w:bookmarkEnd w:id="45"/>
    <w:bookmarkStart w:id="46" w:name="Xb97fef6b5cf2edc252af2ab7a70242a16258896"/>
    <w:p>
      <w:pPr>
        <w:pStyle w:val="Heading3"/>
      </w:pPr>
      <w:r>
        <w:t xml:space="preserve">5.3 [MODERATE] Workplace Postings and Individual Employee Notices</w:t>
      </w:r>
    </w:p>
    <w:p>
      <w:pPr>
        <w:pStyle w:val="FirstParagraph"/>
      </w:pPr>
      <w:r>
        <w:t xml:space="preserve">The Handbook is silent on state-specific workplace postings and individual employee notices, all seven of which require one or both. The Company’s actual posting practice is undocumented. Missing postings are a common audit finding and, in several states, carry independent penalties.</w:t>
      </w:r>
    </w:p>
    <w:bookmarkEnd w:id="46"/>
    <w:bookmarkStart w:id="47" w:name="Xc602d6bfc490cd057b08c5f603c413389117f04"/>
    <w:p>
      <w:pPr>
        <w:pStyle w:val="Heading3"/>
      </w:pPr>
      <w:r>
        <w:t xml:space="preserve">5.4 [MODERATE] Recordkeeping — Retention Adequate, Methodology Inadequate</w:t>
      </w:r>
    </w:p>
    <w:p>
      <w:pPr>
        <w:pStyle w:val="FirstParagraph"/>
      </w:pPr>
      <w:r>
        <w:t xml:space="preserve">The Handbook’s six-year retention period meets or exceeds the recordkeeping retention requirements of all seven states. However, the manual spreadsheet methodology is inadequate: there is no audit trail (corrections are unlogged), no integration with WorkBridge Pro or ClockSync Enterprise, no automated alerts for caps, waiting-period eligibility, or carryover deadlines, and no state-specific rule differentiation. The spreadsheet documents negative balances (James Kowalski −2.5 hours; Hassan Ali −0.75 hours) with no explanation, and a part-time balance that was capped at 24 hours due to a wrong accrual rate. These are exactly the kinds of records a DOL investigator would request, and in their current form they would not withstand scrutiny.</w:t>
      </w:r>
    </w:p>
    <w:bookmarkEnd w:id="47"/>
    <w:bookmarkStart w:id="48" w:name="X42b64952adef05180a74a98ea3ab17d79552813"/>
    <w:p>
      <w:pPr>
        <w:pStyle w:val="Heading3"/>
      </w:pPr>
      <w:r>
        <w:t xml:space="preserve">5.5 [MODERATE] PTO Carryover Cap — Potential Wage-Avoidance Challenge</w:t>
      </w:r>
    </w:p>
    <w:p>
      <w:pPr>
        <w:pStyle w:val="FirstParagraph"/>
      </w:pPr>
      <w:r>
        <w:t xml:space="preserve">The Company caps PTO carryover at five days and forfeits any excess on December 31, with carryover itself forfeited if not used by March 31. In Massachusetts, Colorado, Oregon, and Washington — where accrued vacation is a wage that must be paid at separation — a carryover cap that forces forfeiture may be challenged as an indirect mechanism for avoiding the payout obligation. Colorado is particularly sensitive on this point.</w:t>
      </w:r>
    </w:p>
    <w:bookmarkEnd w:id="48"/>
    <w:bookmarkStart w:id="49" w:name="Xed21b52186095d478bfccb0a4a40f761d39c280"/>
    <w:p>
      <w:pPr>
        <w:pStyle w:val="Heading3"/>
      </w:pPr>
      <w:r>
        <w:t xml:space="preserve">5.6 [MODERATE] Voluntary STD Plan — Coverage Gap and Expansion-State Extension</w:t>
      </w:r>
    </w:p>
    <w:p>
      <w:pPr>
        <w:pStyle w:val="FirstParagraph"/>
      </w:pPr>
      <w:r>
        <w:t xml:space="preserve">The voluntary STD plan through Keystone Benefit Administrators is employee-paid and optional, with fewer than 30% enrollment among Connecticut hourly staff. It must be extended to the expansion states (subject to any state-specific regulatory approvals), and the Company should clarify in its communications that the voluntary plan is supplemental to, not a substitute for, the state medical-leave programs.</w:t>
      </w:r>
    </w:p>
    <w:bookmarkEnd w:id="49"/>
    <w:bookmarkStart w:id="50" w:name="X0e75690ed8fcd95f72b60f8acb5e8cdaf62b546"/>
    <w:p>
      <w:pPr>
        <w:pStyle w:val="Heading3"/>
      </w:pPr>
      <w:r>
        <w:t xml:space="preserve">5.7 [MODERATE] HR Staffing and Interim-Guidance Consistency</w:t>
      </w:r>
    </w:p>
    <w:p>
      <w:pPr>
        <w:pStyle w:val="FirstParagraph"/>
      </w:pPr>
      <w:r>
        <w:t xml:space="preserve">The HR team of 11 supports 2,140 employees across three states and five facilities; the expansion adds 420 employees across four states and four facilities. The internal email confirms that NJ and NY HR leads have been making judgment calls on unforeseeable-leave notice</w:t>
      </w:r>
      <w:r>
        <w:t xml:space="preserve"> </w:t>
      </w:r>
      <w:r>
        <w:t xml:space="preserve">“</w:t>
      </w:r>
      <w:r>
        <w:t xml:space="preserve">without a framework,</w:t>
      </w:r>
      <w:r>
        <w:t xml:space="preserve">”</w:t>
      </w:r>
      <w:r>
        <w:t xml:space="preserve"> </w:t>
      </w:r>
      <w:r>
        <w:t xml:space="preserve">creating inconsistent administration and disparate-treatment risk. The Director of HR recommends hiring two additional HR generalists and designating a leave administration specialist.</w:t>
      </w:r>
    </w:p>
    <w:bookmarkEnd w:id="50"/>
    <w:bookmarkStart w:id="51" w:name="X962439c744f7a5979063905213f28dded6c2a8f"/>
    <w:p>
      <w:pPr>
        <w:pStyle w:val="Heading3"/>
      </w:pPr>
      <w:r>
        <w:t xml:space="preserve">5.8 [MODERATE] Operational Risk — Manual Spreadsheet Leave Tracking at Scale</w:t>
      </w:r>
    </w:p>
    <w:p>
      <w:pPr>
        <w:pStyle w:val="FirstParagraph"/>
      </w:pPr>
      <w:r>
        <w:t xml:space="preserve">The Director of HR has detailed the limitations of the current spreadsheet system (one workbook per state, manually updated bi-weekly by two coordinators). Scaling from three workbooks to seven — each with distinct accrual rates, caps, waiting periods, carryover rules, and benefit calculations — is estimated to increase coordinator workload by 50–75% and is not sustainable. The system tracks only sick leave (PFL is tracked on paper; PTO in WorkBridge Pro), providing no consolidated view of an employee’s leave entitlements. Documented errors include miscalculated part-time balances, inconsistent waiting-period application, and unexplained negative balances. H&amp;C concurs with the Director of HR’s recommendation that the Company invest in a dedicated leave management system (estimated $40,000–$75,000) integrated with WorkBridge Pro and ClockSync Enterprise, targeted for implementation by Q1 2026 to support the Oregon and Washington launches.</w:t>
      </w:r>
    </w:p>
    <w:bookmarkEnd w:id="51"/>
    <w:bookmarkEnd w:id="52"/>
    <w:bookmarkStart w:id="61" w:name="prioritized-remediation-plan"/>
    <w:p>
      <w:pPr>
        <w:pStyle w:val="Heading2"/>
      </w:pPr>
      <w:r>
        <w:t xml:space="preserve">6. Prioritized Remediation Plan</w:t>
      </w:r>
    </w:p>
    <w:p>
      <w:pPr>
        <w:pStyle w:val="FirstParagraph"/>
      </w:pPr>
      <w:r>
        <w:t xml:space="preserve">The following plan is organized by deadline, tied to the facility opening schedule and the July 1, 2025 revised-Handbook target. Responsible parties are indicated;</w:t>
      </w:r>
      <w:r>
        <w:t xml:space="preserve"> </w:t>
      </w:r>
      <w:r>
        <w:t xml:space="preserve">“</w:t>
      </w:r>
      <w:r>
        <w:t xml:space="preserve">Legal</w:t>
      </w:r>
      <w:r>
        <w:t xml:space="preserve">”</w:t>
      </w:r>
      <w:r>
        <w:t xml:space="preserve"> </w:t>
      </w:r>
      <w:r>
        <w:t xml:space="preserve">refers to the Office of the General Counsel (Rebecca Thorsen) with H&amp;C support, and</w:t>
      </w:r>
      <w:r>
        <w:t xml:space="preserve"> </w:t>
      </w:r>
      <w:r>
        <w:t xml:space="preserve">“</w:t>
      </w:r>
      <w:r>
        <w:t xml:space="preserve">HR</w:t>
      </w:r>
      <w:r>
        <w:t xml:space="preserve">”</w:t>
      </w:r>
      <w:r>
        <w:t xml:space="preserve"> </w:t>
      </w:r>
      <w:r>
        <w:t xml:space="preserve">refers to Marcus Delgado, Director of Human Resources.</w:t>
      </w:r>
    </w:p>
    <w:bookmarkStart w:id="53" w:name="phase-1-immediate-mayjune-2025"/>
    <w:p>
      <w:pPr>
        <w:pStyle w:val="Heading3"/>
      </w:pPr>
      <w:r>
        <w:t xml:space="preserve">Phase 1 — Immediate (May–June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R-1</w:t>
            </w:r>
          </w:p>
        </w:tc>
        <w:tc>
          <w:tcPr/>
          <w:p>
            <w:pPr>
              <w:pStyle w:val="Compact"/>
              <w:jc w:val="left"/>
            </w:pPr>
            <w:r>
              <w:t xml:space="preserve">Initiate MA PFML employer registration with the DFML; provide registration confirmation to PinnacleHR.</w:t>
            </w:r>
          </w:p>
        </w:tc>
        <w:tc>
          <w:tcPr/>
          <w:p>
            <w:pPr>
              <w:pStyle w:val="Compact"/>
              <w:jc w:val="left"/>
            </w:pPr>
            <w:r>
              <w:t xml:space="preserve">HR + Legal</w:t>
            </w:r>
          </w:p>
        </w:tc>
        <w:tc>
          <w:tcPr/>
          <w:p>
            <w:pPr>
              <w:pStyle w:val="Compact"/>
              <w:jc w:val="left"/>
            </w:pPr>
            <w:r>
              <w:rPr>
                <w:b/>
                <w:bCs/>
              </w:rPr>
              <w:t xml:space="preserve">June 1, 2025</w:t>
            </w:r>
            <w:r>
              <w:t xml:space="preserve"> </w:t>
            </w:r>
            <w:r>
              <w:t xml:space="preserve">(hard deadline)</w:t>
            </w:r>
          </w:p>
        </w:tc>
      </w:tr>
      <w:tr>
        <w:tc>
          <w:tcPr/>
          <w:p>
            <w:pPr>
              <w:pStyle w:val="Compact"/>
              <w:jc w:val="left"/>
            </w:pPr>
            <w:r>
              <w:t xml:space="preserve">R-2</w:t>
            </w:r>
          </w:p>
        </w:tc>
        <w:tc>
          <w:tcPr/>
          <w:p>
            <w:pPr>
              <w:pStyle w:val="Compact"/>
              <w:jc w:val="left"/>
            </w:pPr>
            <w:r>
              <w:t xml:space="preserve">Obtain legal determination of CO FAMLI registration trigger date for the three April 2025 remote hires; register with the CO FAMLI Division immediately if triggered (and in all events no later than mid-August 2025).</w:t>
            </w:r>
          </w:p>
        </w:tc>
        <w:tc>
          <w:tcPr/>
          <w:p>
            <w:pPr>
              <w:pStyle w:val="Compact"/>
              <w:jc w:val="left"/>
            </w:pPr>
            <w:r>
              <w:t xml:space="preserve">Legal + HR</w:t>
            </w:r>
          </w:p>
        </w:tc>
        <w:tc>
          <w:tcPr/>
          <w:p>
            <w:pPr>
              <w:pStyle w:val="Compact"/>
              <w:jc w:val="left"/>
            </w:pPr>
            <w:r>
              <w:rPr>
                <w:b/>
                <w:bCs/>
              </w:rPr>
              <w:t xml:space="preserve">Immediately / no later than Aug 15, 2025</w:t>
            </w:r>
          </w:p>
        </w:tc>
      </w:tr>
      <w:tr>
        <w:tc>
          <w:tcPr/>
          <w:p>
            <w:pPr>
              <w:pStyle w:val="Compact"/>
              <w:jc w:val="left"/>
            </w:pPr>
            <w:r>
              <w:t xml:space="preserve">R-3</w:t>
            </w:r>
          </w:p>
        </w:tc>
        <w:tc>
          <w:tcPr/>
          <w:p>
            <w:pPr>
              <w:pStyle w:val="Compact"/>
              <w:jc w:val="left"/>
            </w:pPr>
            <w:r>
              <w:t xml:space="preserve">NJ DOL complaint: make Ms. Muñoz whole (restore PTO hours or pay unpaid time); confirm remediation posture aligned with the July 1, 2025 Handbook revision.</w:t>
            </w:r>
          </w:p>
        </w:tc>
        <w:tc>
          <w:tcPr/>
          <w:p>
            <w:pPr>
              <w:pStyle w:val="Compact"/>
              <w:jc w:val="left"/>
            </w:pPr>
            <w:r>
              <w:t xml:space="preserve">Legal (H&amp;C, separate engagement)</w:t>
            </w:r>
          </w:p>
        </w:tc>
        <w:tc>
          <w:tcPr/>
          <w:p>
            <w:pPr>
              <w:pStyle w:val="Compact"/>
              <w:jc w:val="left"/>
            </w:pPr>
            <w:r>
              <w:t xml:space="preserve">Coordinate with July 1, 2025 revision</w:t>
            </w:r>
          </w:p>
        </w:tc>
      </w:tr>
      <w:tr>
        <w:tc>
          <w:tcPr/>
          <w:p>
            <w:pPr>
              <w:pStyle w:val="Compact"/>
              <w:jc w:val="left"/>
            </w:pPr>
            <w:r>
              <w:t xml:space="preserve">R-4</w:t>
            </w:r>
          </w:p>
        </w:tc>
        <w:tc>
          <w:tcPr/>
          <w:p>
            <w:pPr>
              <w:pStyle w:val="Compact"/>
              <w:jc w:val="left"/>
            </w:pPr>
            <w:r>
              <w:t xml:space="preserve">Make the structural decision on the self-funded PFL plan: H&amp;C recommends participating in all seven state programs and discontinuing or relabeling the self-funded benefit as supplemental.</w:t>
            </w:r>
          </w:p>
        </w:tc>
        <w:tc>
          <w:tcPr/>
          <w:p>
            <w:pPr>
              <w:pStyle w:val="Compact"/>
              <w:jc w:val="left"/>
            </w:pPr>
            <w:r>
              <w:t xml:space="preserve">Legal + HR (executive decision)</w:t>
            </w:r>
          </w:p>
        </w:tc>
        <w:tc>
          <w:tcPr/>
          <w:p>
            <w:pPr>
              <w:pStyle w:val="Compact"/>
              <w:jc w:val="left"/>
            </w:pPr>
            <w:r>
              <w:rPr>
                <w:b/>
                <w:bCs/>
              </w:rPr>
              <w:t xml:space="preserve">By June 1, 2025</w:t>
            </w:r>
            <w:r>
              <w:t xml:space="preserve"> </w:t>
            </w:r>
            <w:r>
              <w:t xml:space="preserve">(informs Handbook redraft and registrations)</w:t>
            </w:r>
          </w:p>
        </w:tc>
      </w:tr>
      <w:tr>
        <w:tc>
          <w:tcPr/>
          <w:p>
            <w:pPr>
              <w:pStyle w:val="Compact"/>
              <w:jc w:val="left"/>
            </w:pPr>
            <w:r>
              <w:t xml:space="preserve">R-5</w:t>
            </w:r>
          </w:p>
        </w:tc>
        <w:tc>
          <w:tcPr/>
          <w:p>
            <w:pPr>
              <w:pStyle w:val="Compact"/>
              <w:jc w:val="left"/>
            </w:pPr>
            <w:r>
              <w:t xml:space="preserve">Issue revised Colorado offer letters with a PTO-payout compliance savings clause referencing Colorado law (per General Counsel’s March 17, 2025 direction).</w:t>
            </w:r>
          </w:p>
        </w:tc>
        <w:tc>
          <w:tcPr/>
          <w:p>
            <w:pPr>
              <w:pStyle w:val="Compact"/>
              <w:jc w:val="left"/>
            </w:pPr>
            <w:r>
              <w:t xml:space="preserve">HR + Legal</w:t>
            </w:r>
          </w:p>
        </w:tc>
        <w:tc>
          <w:tcPr/>
          <w:p>
            <w:pPr>
              <w:pStyle w:val="Compact"/>
              <w:jc w:val="left"/>
            </w:pPr>
            <w:r>
              <w:t xml:space="preserve">Before CO hires commence</w:t>
            </w:r>
          </w:p>
        </w:tc>
      </w:tr>
    </w:tbl>
    <w:bookmarkEnd w:id="53"/>
    <w:bookmarkStart w:id="54" w:name="X1963464f70d9e5055328c1445ce010fe1321e3a"/>
    <w:p>
      <w:pPr>
        <w:pStyle w:val="Heading3"/>
      </w:pPr>
      <w:r>
        <w:t xml:space="preserve">Phase 2 — By July 1, 2025 (Revised Employee Handbook)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R-6</w:t>
            </w:r>
          </w:p>
        </w:tc>
        <w:tc>
          <w:tcPr/>
          <w:p>
            <w:pPr>
              <w:pStyle w:val="Compact"/>
              <w:jc w:val="left"/>
            </w:pPr>
            <w:r>
              <w:t xml:space="preserve">Redraft Section 6 leave policies for all seven jurisdictions, addressing: (a) sick leave accrual rate (1/30 where required), caps (56 hrs NY; 48 hrs CO; no accrual cap WA; eliminate PT 24-hr cap), waiting period (90 days MA/OR/WA; none NY/CT/CO), carryover (40–48 hrs; all in WA), covered uses (family care, preventive, safe leave, PHE, school-related), and family-member definition (broad, per each state); (b) PFL qualifying reasons (add military exigency and safe leave where required), family-member definition, notice (foreseeable 30 days; unforeseeable as soon as practicable), and eligibility; (c) PTO payout on separation (MA, CO, OR, WA); (d) paid medical leave (clarify state-program primacy and Keystone supplemental role).</w:t>
            </w:r>
          </w:p>
        </w:tc>
        <w:tc>
          <w:tcPr/>
          <w:p>
            <w:pPr>
              <w:pStyle w:val="Compact"/>
              <w:jc w:val="left"/>
            </w:pPr>
            <w:r>
              <w:t xml:space="preserve">HR + Legal (H&amp;C input)</w:t>
            </w:r>
          </w:p>
        </w:tc>
        <w:tc>
          <w:tcPr/>
          <w:p>
            <w:pPr>
              <w:pStyle w:val="Compact"/>
              <w:jc w:val="left"/>
            </w:pPr>
            <w:r>
              <w:rPr>
                <w:b/>
                <w:bCs/>
              </w:rPr>
              <w:t xml:space="preserve">July 1, 2025</w:t>
            </w:r>
          </w:p>
        </w:tc>
      </w:tr>
      <w:tr>
        <w:tc>
          <w:tcPr/>
          <w:p>
            <w:pPr>
              <w:pStyle w:val="Compact"/>
              <w:jc w:val="left"/>
            </w:pPr>
            <w:r>
              <w:t xml:space="preserve">R-7</w:t>
            </w:r>
          </w:p>
        </w:tc>
        <w:tc>
          <w:tcPr/>
          <w:p>
            <w:pPr>
              <w:pStyle w:val="Compact"/>
              <w:jc w:val="left"/>
            </w:pPr>
            <w:r>
              <w:t xml:space="preserve">Formalize interim guidance in writing: (i) do not deny/delay unforeseeable leave; (ii) escalate paid-medical-leave inquiries to confirm state-program applicability before directing to Keystone.</w:t>
            </w:r>
          </w:p>
        </w:tc>
        <w:tc>
          <w:tcPr/>
          <w:p>
            <w:pPr>
              <w:pStyle w:val="Compact"/>
              <w:jc w:val="left"/>
            </w:pPr>
            <w:r>
              <w:t xml:space="preserve">HR</w:t>
            </w:r>
          </w:p>
        </w:tc>
        <w:tc>
          <w:tcPr/>
          <w:p>
            <w:pPr>
              <w:pStyle w:val="Compact"/>
              <w:jc w:val="left"/>
            </w:pPr>
            <w:r>
              <w:rPr>
                <w:b/>
                <w:bCs/>
              </w:rPr>
              <w:t xml:space="preserve">Immediately, codified by July 1, 2025</w:t>
            </w:r>
          </w:p>
        </w:tc>
      </w:tr>
      <w:tr>
        <w:tc>
          <w:tcPr/>
          <w:p>
            <w:pPr>
              <w:pStyle w:val="Compact"/>
              <w:jc w:val="left"/>
            </w:pPr>
            <w:r>
              <w:t xml:space="preserve">R-8</w:t>
            </w:r>
          </w:p>
        </w:tc>
        <w:tc>
          <w:tcPr/>
          <w:p>
            <w:pPr>
              <w:pStyle w:val="Compact"/>
              <w:jc w:val="left"/>
            </w:pPr>
            <w:r>
              <w:t xml:space="preserve">Conduct supervisor and HR training on revised policies, covered family members, permissible uses, and notice rules, at all current facilities and ahead of each expansion opening.</w:t>
            </w:r>
          </w:p>
        </w:tc>
        <w:tc>
          <w:tcPr/>
          <w:p>
            <w:pPr>
              <w:pStyle w:val="Compact"/>
              <w:jc w:val="left"/>
            </w:pPr>
            <w:r>
              <w:t xml:space="preserve">HR</w:t>
            </w:r>
          </w:p>
        </w:tc>
        <w:tc>
          <w:tcPr/>
          <w:p>
            <w:pPr>
              <w:pStyle w:val="Compact"/>
              <w:jc w:val="left"/>
            </w:pPr>
            <w:r>
              <w:t xml:space="preserve">Begin by July 1, 2025; refresh before each opening</w:t>
            </w:r>
          </w:p>
        </w:tc>
      </w:tr>
    </w:tbl>
    <w:bookmarkEnd w:id="54"/>
    <w:bookmarkStart w:id="55" w:name="X5494332301dd51344a8e683fd1c350f2707ec1b"/>
    <w:p>
      <w:pPr>
        <w:pStyle w:val="Heading3"/>
      </w:pPr>
      <w:r>
        <w:t xml:space="preserve">Phase 3 — By August 1, 2025 (Massachusetts Facility Opening)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R-9</w:t>
            </w:r>
          </w:p>
        </w:tc>
        <w:tc>
          <w:tcPr/>
          <w:p>
            <w:pPr>
              <w:pStyle w:val="Compact"/>
              <w:jc w:val="left"/>
            </w:pPr>
            <w:r>
              <w:t xml:space="preserve">Confirm MA PFML registration complete and PinnacleHR withholding configured and tested.</w:t>
            </w:r>
          </w:p>
        </w:tc>
        <w:tc>
          <w:tcPr/>
          <w:p>
            <w:pPr>
              <w:pStyle w:val="Compact"/>
              <w:jc w:val="left"/>
            </w:pPr>
            <w:r>
              <w:t xml:space="preserve">HR + PinnacleHR</w:t>
            </w:r>
          </w:p>
        </w:tc>
        <w:tc>
          <w:tcPr/>
          <w:p>
            <w:pPr>
              <w:pStyle w:val="Compact"/>
              <w:jc w:val="left"/>
            </w:pPr>
            <w:r>
              <w:rPr>
                <w:b/>
                <w:bCs/>
              </w:rPr>
              <w:t xml:space="preserve">Aug 1, 2025</w:t>
            </w:r>
          </w:p>
        </w:tc>
      </w:tr>
      <w:tr>
        <w:tc>
          <w:tcPr/>
          <w:p>
            <w:pPr>
              <w:pStyle w:val="Compact"/>
              <w:jc w:val="left"/>
            </w:pPr>
            <w:r>
              <w:t xml:space="preserve">R-10</w:t>
            </w:r>
          </w:p>
        </w:tc>
        <w:tc>
          <w:tcPr/>
          <w:p>
            <w:pPr>
              <w:pStyle w:val="Compact"/>
              <w:jc w:val="left"/>
            </w:pPr>
            <w:r>
              <w:t xml:space="preserve">Deploy MA-specific sick leave (1/30, 40 hrs, 90-day use, carryover), PTO payout policy, and required DFML poster/individual notices.</w:t>
            </w:r>
          </w:p>
        </w:tc>
        <w:tc>
          <w:tcPr/>
          <w:p>
            <w:pPr>
              <w:pStyle w:val="Compact"/>
              <w:jc w:val="left"/>
            </w:pPr>
            <w:r>
              <w:t xml:space="preserve">HR</w:t>
            </w:r>
          </w:p>
        </w:tc>
        <w:tc>
          <w:tcPr/>
          <w:p>
            <w:pPr>
              <w:pStyle w:val="Compact"/>
              <w:jc w:val="left"/>
            </w:pPr>
            <w:r>
              <w:rPr>
                <w:b/>
                <w:bCs/>
              </w:rPr>
              <w:t xml:space="preserve">Aug 1, 2025</w:t>
            </w:r>
          </w:p>
        </w:tc>
      </w:tr>
      <w:tr>
        <w:tc>
          <w:tcPr/>
          <w:p>
            <w:pPr>
              <w:pStyle w:val="Compact"/>
              <w:jc w:val="left"/>
            </w:pPr>
            <w:r>
              <w:t xml:space="preserve">R-11</w:t>
            </w:r>
          </w:p>
        </w:tc>
        <w:tc>
          <w:tcPr/>
          <w:p>
            <w:pPr>
              <w:pStyle w:val="Compact"/>
              <w:jc w:val="left"/>
            </w:pPr>
            <w:r>
              <w:t xml:space="preserve">Configure WorkBridge Pro and ClockSync Enterprise for the Worcester facility.</w:t>
            </w:r>
          </w:p>
        </w:tc>
        <w:tc>
          <w:tcPr/>
          <w:p>
            <w:pPr>
              <w:pStyle w:val="Compact"/>
              <w:jc w:val="left"/>
            </w:pPr>
            <w:r>
              <w:t xml:space="preserve">HR + IT</w:t>
            </w:r>
          </w:p>
        </w:tc>
        <w:tc>
          <w:tcPr/>
          <w:p>
            <w:pPr>
              <w:pStyle w:val="Compact"/>
              <w:jc w:val="left"/>
            </w:pPr>
            <w:r>
              <w:rPr>
                <w:b/>
                <w:bCs/>
              </w:rPr>
              <w:t xml:space="preserve">Aug 1, 2025</w:t>
            </w:r>
          </w:p>
        </w:tc>
      </w:tr>
    </w:tbl>
    <w:bookmarkEnd w:id="55"/>
    <w:bookmarkStart w:id="56" w:name="X7cf8eb35cedb494a37ca6679ec52afb1211e1e4"/>
    <w:p>
      <w:pPr>
        <w:pStyle w:val="Heading3"/>
      </w:pPr>
      <w:r>
        <w:t xml:space="preserve">Phase 4 — By November 1, 2025 (Colorado Facility Opening)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R-12</w:t>
            </w:r>
          </w:p>
        </w:tc>
        <w:tc>
          <w:tcPr/>
          <w:p>
            <w:pPr>
              <w:pStyle w:val="Compact"/>
              <w:jc w:val="left"/>
            </w:pPr>
            <w:r>
              <w:t xml:space="preserve">Confirm CO FAMLI registration complete and PinnacleHR withholding configured (mandatory participation; no opt-out).</w:t>
            </w:r>
          </w:p>
        </w:tc>
        <w:tc>
          <w:tcPr/>
          <w:p>
            <w:pPr>
              <w:pStyle w:val="Compact"/>
              <w:jc w:val="left"/>
            </w:pPr>
            <w:r>
              <w:t xml:space="preserve">HR + PinnacleHR</w:t>
            </w:r>
          </w:p>
        </w:tc>
        <w:tc>
          <w:tcPr/>
          <w:p>
            <w:pPr>
              <w:pStyle w:val="Compact"/>
              <w:jc w:val="left"/>
            </w:pPr>
            <w:r>
              <w:rPr>
                <w:b/>
                <w:bCs/>
              </w:rPr>
              <w:t xml:space="preserve">Nov 1, 2025</w:t>
            </w:r>
          </w:p>
        </w:tc>
      </w:tr>
      <w:tr>
        <w:tc>
          <w:tcPr/>
          <w:p>
            <w:pPr>
              <w:pStyle w:val="Compact"/>
              <w:jc w:val="left"/>
            </w:pPr>
            <w:r>
              <w:t xml:space="preserve">R-13</w:t>
            </w:r>
          </w:p>
        </w:tc>
        <w:tc>
          <w:tcPr/>
          <w:p>
            <w:pPr>
              <w:pStyle w:val="Compact"/>
              <w:jc w:val="left"/>
            </w:pPr>
            <w:r>
              <w:t xml:space="preserve">Deploy CO-specific sick leave (1/30, 48 hrs, no waiting period, carryover, safe leave, supplemental PHE leave up to 80 hrs), PTO payout policy, and required FAMLI/HFWA posters.</w:t>
            </w:r>
          </w:p>
        </w:tc>
        <w:tc>
          <w:tcPr/>
          <w:p>
            <w:pPr>
              <w:pStyle w:val="Compact"/>
              <w:jc w:val="left"/>
            </w:pPr>
            <w:r>
              <w:t xml:space="preserve">HR</w:t>
            </w:r>
          </w:p>
        </w:tc>
        <w:tc>
          <w:tcPr/>
          <w:p>
            <w:pPr>
              <w:pStyle w:val="Compact"/>
              <w:jc w:val="left"/>
            </w:pPr>
            <w:r>
              <w:rPr>
                <w:b/>
                <w:bCs/>
              </w:rPr>
              <w:t xml:space="preserve">Nov 1, 2025</w:t>
            </w:r>
          </w:p>
        </w:tc>
      </w:tr>
    </w:tbl>
    <w:bookmarkEnd w:id="56"/>
    <w:bookmarkStart w:id="57" w:name="Xdd42562a1f6887b10991a1b848eef74cd2ded63"/>
    <w:p>
      <w:pPr>
        <w:pStyle w:val="Heading3"/>
      </w:pPr>
      <w:r>
        <w:t xml:space="preserve">Phase 5 — By February 1, 2026 (Oregon Facility Opening)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R-14</w:t>
            </w:r>
          </w:p>
        </w:tc>
        <w:tc>
          <w:tcPr/>
          <w:p>
            <w:pPr>
              <w:pStyle w:val="Compact"/>
              <w:jc w:val="left"/>
            </w:pPr>
            <w:r>
              <w:t xml:space="preserve">Complete Paid Leave Oregon registration by ~Dec 1, 2025; confirm PinnacleHR withholding configured.</w:t>
            </w:r>
          </w:p>
        </w:tc>
        <w:tc>
          <w:tcPr/>
          <w:p>
            <w:pPr>
              <w:pStyle w:val="Compact"/>
              <w:jc w:val="left"/>
            </w:pPr>
            <w:r>
              <w:t xml:space="preserve">HR + Legal + PinnacleHR</w:t>
            </w:r>
          </w:p>
        </w:tc>
        <w:tc>
          <w:tcPr/>
          <w:p>
            <w:pPr>
              <w:pStyle w:val="Compact"/>
              <w:jc w:val="left"/>
            </w:pPr>
            <w:r>
              <w:t xml:space="preserve">Registration by</w:t>
            </w:r>
            <w:r>
              <w:t xml:space="preserve"> </w:t>
            </w:r>
            <w:r>
              <w:rPr>
                <w:b/>
                <w:bCs/>
              </w:rPr>
              <w:t xml:space="preserve">Dec 1, 2025</w:t>
            </w:r>
            <w:r>
              <w:t xml:space="preserve">; live by</w:t>
            </w:r>
            <w:r>
              <w:t xml:space="preserve"> </w:t>
            </w:r>
            <w:r>
              <w:rPr>
                <w:b/>
                <w:bCs/>
              </w:rPr>
              <w:t xml:space="preserve">Feb 1, 2026</w:t>
            </w:r>
          </w:p>
        </w:tc>
      </w:tr>
      <w:tr>
        <w:tc>
          <w:tcPr/>
          <w:p>
            <w:pPr>
              <w:pStyle w:val="Compact"/>
              <w:jc w:val="left"/>
            </w:pPr>
            <w:r>
              <w:t xml:space="preserve">R-15</w:t>
            </w:r>
          </w:p>
        </w:tc>
        <w:tc>
          <w:tcPr/>
          <w:p>
            <w:pPr>
              <w:pStyle w:val="Compact"/>
              <w:jc w:val="left"/>
            </w:pPr>
            <w:r>
              <w:t xml:space="preserve">Deploy OR-specific sick time (1/30, 40 hrs, 90-day use, carryover, safe leave), PTO payout policy, and required notices.</w:t>
            </w:r>
          </w:p>
        </w:tc>
        <w:tc>
          <w:tcPr/>
          <w:p>
            <w:pPr>
              <w:pStyle w:val="Compact"/>
              <w:jc w:val="left"/>
            </w:pPr>
            <w:r>
              <w:t xml:space="preserve">HR</w:t>
            </w:r>
          </w:p>
        </w:tc>
        <w:tc>
          <w:tcPr/>
          <w:p>
            <w:pPr>
              <w:pStyle w:val="Compact"/>
              <w:jc w:val="left"/>
            </w:pPr>
            <w:r>
              <w:rPr>
                <w:b/>
                <w:bCs/>
              </w:rPr>
              <w:t xml:space="preserve">Feb 1, 2026</w:t>
            </w:r>
          </w:p>
        </w:tc>
      </w:tr>
      <w:tr>
        <w:tc>
          <w:tcPr/>
          <w:p>
            <w:pPr>
              <w:pStyle w:val="Compact"/>
              <w:jc w:val="left"/>
            </w:pPr>
            <w:r>
              <w:t xml:space="preserve">R-16</w:t>
            </w:r>
          </w:p>
        </w:tc>
        <w:tc>
          <w:tcPr/>
          <w:p>
            <w:pPr>
              <w:pStyle w:val="Compact"/>
              <w:jc w:val="left"/>
            </w:pPr>
            <w:r>
              <w:t xml:space="preserve">Select and begin implementation of a dedicated leave management system (RFP/vendor demos by July 1, 2025); target go-live Q1 2026 for all seven states.</w:t>
            </w:r>
          </w:p>
        </w:tc>
        <w:tc>
          <w:tcPr/>
          <w:p>
            <w:pPr>
              <w:pStyle w:val="Compact"/>
              <w:jc w:val="left"/>
            </w:pPr>
            <w:r>
              <w:t xml:space="preserve">HR + IT</w:t>
            </w:r>
          </w:p>
        </w:tc>
        <w:tc>
          <w:tcPr/>
          <w:p>
            <w:pPr>
              <w:pStyle w:val="Compact"/>
              <w:jc w:val="left"/>
            </w:pPr>
            <w:r>
              <w:t xml:space="preserve">System live by</w:t>
            </w:r>
            <w:r>
              <w:t xml:space="preserve"> </w:t>
            </w:r>
            <w:r>
              <w:rPr>
                <w:b/>
                <w:bCs/>
              </w:rPr>
              <w:t xml:space="preserve">Q1 2026</w:t>
            </w:r>
          </w:p>
        </w:tc>
      </w:tr>
    </w:tbl>
    <w:bookmarkEnd w:id="57"/>
    <w:bookmarkStart w:id="58" w:name="X94b8e52e38ab3543e275910d5385401c0574001"/>
    <w:p>
      <w:pPr>
        <w:pStyle w:val="Heading3"/>
      </w:pPr>
      <w:r>
        <w:t xml:space="preserve">Phase 6 — By May 1, 2026 (Washington Facility Opening)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R-17</w:t>
            </w:r>
          </w:p>
        </w:tc>
        <w:tc>
          <w:tcPr/>
          <w:p>
            <w:pPr>
              <w:pStyle w:val="Compact"/>
              <w:jc w:val="left"/>
            </w:pPr>
            <w:r>
              <w:t xml:space="preserve">Complete WA PFML registration by ~March 1, 2026; confirm PinnacleHR withholding configured.</w:t>
            </w:r>
          </w:p>
        </w:tc>
        <w:tc>
          <w:tcPr/>
          <w:p>
            <w:pPr>
              <w:pStyle w:val="Compact"/>
              <w:jc w:val="left"/>
            </w:pPr>
            <w:r>
              <w:t xml:space="preserve">HR + Legal + PinnacleHR</w:t>
            </w:r>
          </w:p>
        </w:tc>
        <w:tc>
          <w:tcPr/>
          <w:p>
            <w:pPr>
              <w:pStyle w:val="Compact"/>
              <w:jc w:val="left"/>
            </w:pPr>
            <w:r>
              <w:t xml:space="preserve">Registration by</w:t>
            </w:r>
            <w:r>
              <w:t xml:space="preserve"> </w:t>
            </w:r>
            <w:r>
              <w:rPr>
                <w:b/>
                <w:bCs/>
              </w:rPr>
              <w:t xml:space="preserve">Mar 1, 2026</w:t>
            </w:r>
            <w:r>
              <w:t xml:space="preserve">; live by</w:t>
            </w:r>
            <w:r>
              <w:t xml:space="preserve"> </w:t>
            </w:r>
            <w:r>
              <w:rPr>
                <w:b/>
                <w:bCs/>
              </w:rPr>
              <w:t xml:space="preserve">May 1, 2026</w:t>
            </w:r>
          </w:p>
        </w:tc>
      </w:tr>
      <w:tr>
        <w:tc>
          <w:tcPr/>
          <w:p>
            <w:pPr>
              <w:pStyle w:val="Compact"/>
              <w:jc w:val="left"/>
            </w:pPr>
            <w:r>
              <w:t xml:space="preserve">R-18</w:t>
            </w:r>
          </w:p>
        </w:tc>
        <w:tc>
          <w:tcPr/>
          <w:p>
            <w:pPr>
              <w:pStyle w:val="Compact"/>
              <w:jc w:val="left"/>
            </w:pPr>
            <w:r>
              <w:t xml:space="preserve">Deploy WA-specific sick leave (1/40, no accrual cap, 90-day use, full carryover), PTO payout policy, and required posters.</w:t>
            </w:r>
          </w:p>
        </w:tc>
        <w:tc>
          <w:tcPr/>
          <w:p>
            <w:pPr>
              <w:pStyle w:val="Compact"/>
              <w:jc w:val="left"/>
            </w:pPr>
            <w:r>
              <w:t xml:space="preserve">HR</w:t>
            </w:r>
          </w:p>
        </w:tc>
        <w:tc>
          <w:tcPr/>
          <w:p>
            <w:pPr>
              <w:pStyle w:val="Compact"/>
              <w:jc w:val="left"/>
            </w:pPr>
            <w:r>
              <w:rPr>
                <w:b/>
                <w:bCs/>
              </w:rPr>
              <w:t xml:space="preserve">May 1, 2026</w:t>
            </w:r>
          </w:p>
        </w:tc>
      </w:tr>
      <w:tr>
        <w:tc>
          <w:tcPr/>
          <w:p>
            <w:pPr>
              <w:pStyle w:val="Compact"/>
              <w:jc w:val="left"/>
            </w:pPr>
            <w:r>
              <w:t xml:space="preserve">R-19</w:t>
            </w:r>
          </w:p>
        </w:tc>
        <w:tc>
          <w:tcPr/>
          <w:p>
            <w:pPr>
              <w:pStyle w:val="Compact"/>
              <w:jc w:val="left"/>
            </w:pPr>
            <w:r>
              <w:t xml:space="preserve">Conduct post-launch audit of all systems and compliance processes within 30 days of the Washington opening.</w:t>
            </w:r>
          </w:p>
        </w:tc>
        <w:tc>
          <w:tcPr/>
          <w:p>
            <w:pPr>
              <w:pStyle w:val="Compact"/>
              <w:jc w:val="left"/>
            </w:pPr>
            <w:r>
              <w:t xml:space="preserve">HR + Legal</w:t>
            </w:r>
          </w:p>
        </w:tc>
        <w:tc>
          <w:tcPr/>
          <w:p>
            <w:pPr>
              <w:pStyle w:val="Compact"/>
              <w:jc w:val="left"/>
            </w:pPr>
            <w:r>
              <w:rPr>
                <w:b/>
                <w:bCs/>
              </w:rPr>
              <w:t xml:space="preserve">By June 1, 2026</w:t>
            </w:r>
          </w:p>
        </w:tc>
      </w:tr>
    </w:tbl>
    <w:bookmarkEnd w:id="58"/>
    <w:bookmarkStart w:id="59" w:name="budget-considerations"/>
    <w:p>
      <w:pPr>
        <w:pStyle w:val="Heading3"/>
      </w:pPr>
      <w:r>
        <w:t xml:space="preserve">6.1 Budget Considerations</w:t>
      </w:r>
    </w:p>
    <w:p>
      <w:pPr>
        <w:pStyle w:val="FirstParagraph"/>
      </w:pPr>
      <w:r>
        <w:t xml:space="preserve">The Company has allocated a $175,000 compliance remediation budget covering legal fees, system updates, and policy redrafting. H&amp;C’s estimated professional fees for this engagement are $28,000–$42,000. The Director of HR estimates the leave management system at $40,000–$75,000 and WorkBridge Pro/ClockSync deployment at $15,000–$25,000. The budget is likely sufficient for the legal and policy workstreams but may be tight if the full leave management system investment is drawn from the same pool; H&amp;C recommends the Company confirm allocation priorities with Finance and consider a separate capital request for the technology investment. Two additional HR generalists (estimated $120,000–$140,000 combined annual salary) should be budgeted separately as a headcount expenditure.</w:t>
      </w:r>
    </w:p>
    <w:bookmarkEnd w:id="59"/>
    <w:bookmarkStart w:id="60" w:name="coordination-with-pinnaclehr-solutions"/>
    <w:p>
      <w:pPr>
        <w:pStyle w:val="Heading3"/>
      </w:pPr>
      <w:r>
        <w:t xml:space="preserve">6.2 Coordination with PinnacleHR Solutions</w:t>
      </w:r>
    </w:p>
    <w:p>
      <w:pPr>
        <w:pStyle w:val="FirstParagraph"/>
      </w:pPr>
      <w:r>
        <w:t xml:space="preserve">Per the General Counsel’s direction, H&amp;C recommends that the Company first confirm its legal position (including the self-funded plan decision) before engaging PinnacleHR in detail. Once the structural decision is made, the Company should provide PinnacleHR with registration confirmations and clear direction on participation versus private-plan approach for each state, and coordinate the six-to-eight-week configuration lead times against each facility opening date. Sharing of H&amp;C deliverables with PinnacleHR should be limited to non-privileged action items and operational directives to preserve the privileged character of the legal analysis.</w:t>
      </w:r>
    </w:p>
    <w:bookmarkEnd w:id="60"/>
    <w:bookmarkEnd w:id="61"/>
    <w:bookmarkStart w:id="62" w:name="X2a7993269beb951583d2bc844f2500294637b07"/>
    <w:p>
      <w:pPr>
        <w:pStyle w:val="Heading2"/>
      </w:pPr>
      <w:r>
        <w:t xml:space="preserve">7. NJ DOL Complaint — Resolution Strategy Framework</w:t>
      </w:r>
    </w:p>
    <w:p>
      <w:pPr>
        <w:pStyle w:val="FirstParagraph"/>
      </w:pPr>
      <w:r>
        <w:t xml:space="preserve">The compliance review findings confirm the policy deficiencies alleged in Case No. NJ-ESL-2025-04117. The Company’s February 21, 2025 response represented that it was reviewing the family-member definition and covered uses and anticipated completing its policy review by July 1, 2025. H&amp;C recommends the following posture, to be implemented through the separate representation engagement:</w:t>
      </w:r>
    </w:p>
    <w:p>
      <w:pPr>
        <w:pStyle w:val="Compact"/>
        <w:numPr>
          <w:ilvl w:val="0"/>
          <w:numId w:val="1003"/>
        </w:numPr>
      </w:pPr>
      <w:r>
        <w:rPr>
          <w:b/>
          <w:bCs/>
        </w:rPr>
        <w:t xml:space="preserve">Individual remedy.</w:t>
      </w:r>
      <w:r>
        <w:t xml:space="preserve"> </w:t>
      </w:r>
      <w:r>
        <w:t xml:space="preserve">Make Ms. Muñoz whole for the unpaid time off taken or the PTO hours expended in late January 2025, calculated at her regular rate of pay.</w:t>
      </w:r>
    </w:p>
    <w:p>
      <w:pPr>
        <w:pStyle w:val="Compact"/>
        <w:numPr>
          <w:ilvl w:val="0"/>
          <w:numId w:val="1003"/>
        </w:numPr>
      </w:pPr>
      <w:r>
        <w:rPr>
          <w:b/>
          <w:bCs/>
        </w:rPr>
        <w:t xml:space="preserve">Policy remediation.</w:t>
      </w:r>
      <w:r>
        <w:t xml:space="preserve"> </w:t>
      </w:r>
      <w:r>
        <w:t xml:space="preserve">Amend the family-member definition to align with N.J.S.A. 34:11D-1 and enumerate all covered uses required by N.J.S.A. 34:11D-3, as part of the July 1, 2025 Handbook revision.</w:t>
      </w:r>
    </w:p>
    <w:p>
      <w:pPr>
        <w:pStyle w:val="Compact"/>
        <w:numPr>
          <w:ilvl w:val="0"/>
          <w:numId w:val="1003"/>
        </w:numPr>
      </w:pPr>
      <w:r>
        <w:rPr>
          <w:b/>
          <w:bCs/>
        </w:rPr>
        <w:t xml:space="preserve">Training.</w:t>
      </w:r>
      <w:r>
        <w:t xml:space="preserve"> </w:t>
      </w:r>
      <w:r>
        <w:t xml:space="preserve">Complete supervisor and HR training on the revised policy at the Edison and Newark facilities.</w:t>
      </w:r>
    </w:p>
    <w:p>
      <w:pPr>
        <w:pStyle w:val="Compact"/>
        <w:numPr>
          <w:ilvl w:val="0"/>
          <w:numId w:val="1003"/>
        </w:numPr>
      </w:pPr>
      <w:r>
        <w:rPr>
          <w:b/>
          <w:bCs/>
        </w:rPr>
        <w:t xml:space="preserve">Documentation.</w:t>
      </w:r>
      <w:r>
        <w:t xml:space="preserve"> </w:t>
      </w:r>
      <w:r>
        <w:t xml:space="preserve">Maintain records of the remediation steps to demonstrate good-faith compliance to the NJ DOL.</w:t>
      </w:r>
    </w:p>
    <w:p>
      <w:pPr>
        <w:pStyle w:val="Compact"/>
        <w:numPr>
          <w:ilvl w:val="0"/>
          <w:numId w:val="1003"/>
        </w:numPr>
      </w:pPr>
      <w:r>
        <w:rPr>
          <w:b/>
          <w:bCs/>
        </w:rPr>
        <w:t xml:space="preserve">Scope awareness.</w:t>
      </w:r>
      <w:r>
        <w:t xml:space="preserve"> </w:t>
      </w:r>
      <w:r>
        <w:t xml:space="preserve">Recognize that the NJ DOL has reserved the right to broaden its investigation; the same deficiencies exist in NY and CT, so remediation should be multi-state rather than New Jersey-only.</w:t>
      </w:r>
    </w:p>
    <w:p>
      <w:pPr>
        <w:pStyle w:val="FirstParagraph"/>
      </w:pPr>
      <w:r>
        <w:t xml:space="preserve">This memorandum does not constitute a guarantee of any particular outcome in the proceeding.</w:t>
      </w:r>
    </w:p>
    <w:bookmarkEnd w:id="62"/>
    <w:bookmarkStart w:id="63" w:name="limitations"/>
    <w:p>
      <w:pPr>
        <w:pStyle w:val="Heading2"/>
      </w:pPr>
      <w:r>
        <w:t xml:space="preserve">8. Limitations</w:t>
      </w:r>
    </w:p>
    <w:p>
      <w:pPr>
        <w:pStyle w:val="FirstParagraph"/>
      </w:pPr>
      <w:r>
        <w:t xml:space="preserve">This analysis is based on the laws, regulations, and agency guidance in effect as of May 19, 2025, and on the accuracy and completeness of the information and representations provided by the Company. State paid leave laws are a rapidly evolving area of employment regulation, and legislative or regulatory changes may occur after delivery that could affect the accuracy or completeness of the analysis. H&amp;C recommends periodic re-review of the Company’s compliance posture, particularly as each phase of the expansion is completed and as new legislation takes effect. This memorandum does not address federal FMLA compliance, local/municipal ordinances, or representation in the pending NJ DOL complaint, each of which is outside the scope of this engagement.</w:t>
      </w:r>
    </w:p>
    <w:bookmarkEnd w:id="63"/>
    <w:bookmarkStart w:id="64" w:name="conclusion"/>
    <w:p>
      <w:pPr>
        <w:pStyle w:val="Heading2"/>
      </w:pPr>
      <w:r>
        <w:t xml:space="preserve">9. Conclusion</w:t>
      </w:r>
    </w:p>
    <w:p>
      <w:pPr>
        <w:pStyle w:val="FirstParagraph"/>
      </w:pPr>
      <w:r>
        <w:t xml:space="preserve">Vantage’s planned four-state expansion presents significant paid leave compliance challenges that require immediate and sustained attention. The most urgent actions are the Massachusetts and Colorado state program registrations, the structural decision on the self-funded PFL plan, and the comprehensive Handbook redraft by July 1, 2025. The self-funded PFL benefit, the sick leave policy, and the PTO payout policy each contain deficiencies that are non-compliant across multiple or all seven jurisdictions and that, taken together, represent the Company’s principal compliance exposure — an exposure already materialized in the pending NJ DOL complaint. H&amp;C is available to discuss these findings and to assist with the remediation steps, the state program registrations, and the coordination with PinnacleHR and the Company’s HR team.</w:t>
      </w:r>
    </w:p>
    <w:p>
      <w:pPr>
        <w:pStyle w:val="BodyText"/>
      </w:pPr>
      <w:r>
        <w:br/>
      </w:r>
    </w:p>
    <w:p>
      <w:pPr>
        <w:pStyle w:val="BodyText"/>
      </w:pPr>
      <w:r>
        <w:t xml:space="preserve">Respectfully submitted,</w:t>
      </w:r>
    </w:p>
    <w:p>
      <w:pPr>
        <w:pStyle w:val="BodyText"/>
      </w:pPr>
      <w:r>
        <w:br/>
      </w:r>
    </w:p>
    <w:p>
      <w:pPr>
        <w:pStyle w:val="BodyText"/>
      </w:pPr>
      <w:r>
        <w:rPr>
          <w:b/>
          <w:bCs/>
        </w:rPr>
        <w:t xml:space="preserve">HARTWELL &amp; CABOT LLP</w:t>
      </w:r>
    </w:p>
    <w:p>
      <w:pPr>
        <w:pStyle w:val="BodyText"/>
      </w:pPr>
      <w:r>
        <w:br/>
      </w:r>
    </w:p>
    <w:p>
      <w:pPr>
        <w:pStyle w:val="BodyText"/>
      </w:pPr>
      <w:r>
        <w:t xml:space="preserve">Catherine Ng, Partner</w:t>
      </w:r>
    </w:p>
    <w:p>
      <w:pPr>
        <w:pStyle w:val="BodyText"/>
      </w:pPr>
      <w:r>
        <w:t xml:space="preserve">Daniel Ikeda, Senior Associate</w:t>
      </w:r>
    </w:p>
    <w:p>
      <w:pPr>
        <w:pStyle w:val="BodyText"/>
      </w:pPr>
      <w:r>
        <w:br/>
      </w:r>
    </w:p>
    <w:p>
      <w:pPr>
        <w:pStyle w:val="BodyText"/>
      </w:pPr>
      <w:r>
        <w:rPr>
          <w:i/>
          <w:iCs/>
        </w:rPr>
        <w:t xml:space="preserve">Enclosure: Multi-State Compliance Matrix (multi-state-compliance-matrix.xlsx)</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and Remediation Memorandum</dc:title>
  <dc:creator/>
  <cp:keywords/>
  <dcterms:created xsi:type="dcterms:W3CDTF">2026-06-28T18:20:06Z</dcterms:created>
  <dcterms:modified xsi:type="dcterms:W3CDTF">2026-06-28T18:20:06Z</dcterms:modified>
</cp:coreProperties>
</file>

<file path=docProps/custom.xml><?xml version="1.0" encoding="utf-8"?>
<Properties xmlns="http://schemas.openxmlformats.org/officeDocument/2006/custom-properties" xmlns:vt="http://schemas.openxmlformats.org/officeDocument/2006/docPropsVTypes"/>
</file>