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F4E78"/>
          <w:sz w:val="32"/>
        </w:rPr>
        <w:t>HARTWELL &amp; CABOT LLP</w:t>
      </w:r>
    </w:p>
    <w:p>
      <w:pPr>
        <w:spacing w:after="0"/>
        <w:jc w:val="center"/>
      </w:pPr>
      <w:r>
        <w:rPr>
          <w:i/>
          <w:color w:val="595959"/>
          <w:sz w:val="20"/>
        </w:rPr>
        <w:t>Attorneys at Law</w:t>
      </w:r>
    </w:p>
    <w:p>
      <w:pPr>
        <w:spacing w:after="0"/>
        <w:jc w:val="center"/>
      </w:pPr>
      <w:r>
        <w:rPr>
          <w:color w:val="595959"/>
          <w:sz w:val="17"/>
        </w:rPr>
        <w:t>One Gateway Center, Suite 2400, Newark, New Jersey 07102  |  Tel (973) 555-8100</w:t>
      </w:r>
    </w:p>
    <w:p>
      <w:pPr>
        <w:spacing w:after="160"/>
        <w:jc w:val="center"/>
      </w:pPr>
      <w:r>
        <w:rPr>
          <w:color w:val="595959"/>
          <w:sz w:val="17"/>
        </w:rPr>
        <w:t>225 Franklin Street, 18th Floor, Boston, Massachusetts 02110  |  Tel (617) 555-4200</w:t>
      </w:r>
    </w:p>
    <w:p>
      <w:pPr>
        <w:pBdr>
          <w:bottom w:val="single" w:sz="12" w:space="1" w:color="1F4E78"/>
        </w:pBdr>
        <w:spacing w:after="160"/>
      </w:pPr>
    </w:p>
    <w:p>
      <w:pPr>
        <w:spacing w:after="160"/>
        <w:jc w:val="center"/>
      </w:pPr>
      <w:r>
        <w:rPr>
          <w:b/>
          <w:color w:val="9C0006"/>
          <w:sz w:val="18"/>
        </w:rPr>
        <w:t>PRIVILEGED &amp; CONFIDENTIAL  |  ATTORNEY WORK PRODUCT  |  ATTORNEY-CLIENT COMMUNICATION</w:t>
      </w:r>
    </w:p>
    <w:p>
      <w:pPr>
        <w:spacing w:after="160"/>
        <w:jc w:val="center"/>
      </w:pPr>
      <w:r>
        <w:rPr>
          <w:b/>
          <w:color w:val="1F4E78"/>
          <w:sz w:val="28"/>
        </w:rPr>
        <w:t>MEMORANDUM</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1440"/>
            <w:tcMar>
              <w:top w:w="20" w:type="dxa"/>
              <w:bottom w:w="20" w:type="dxa"/>
              <w:start w:w="80" w:type="dxa"/>
              <w:end w:w="80" w:type="dxa"/>
            </w:tcMar>
          </w:tcPr>
          <w:p>
            <w:pPr>
              <w:spacing w:after="40" w:before="40" w:line="240" w:lineRule="auto"/>
            </w:pPr>
            <w:r/>
            <w:r>
              <w:rPr>
                <w:b/>
                <w:i w:val="0"/>
                <w:color w:val="1F4E78"/>
                <w:sz w:val="20"/>
              </w:rPr>
              <w:t>TO:</w:t>
            </w:r>
          </w:p>
        </w:tc>
        <w:tc>
          <w:tcPr>
            <w:tcW w:type="dxa" w:w="7920"/>
            <w:tcMar>
              <w:top w:w="20" w:type="dxa"/>
              <w:bottom w:w="20" w:type="dxa"/>
              <w:start w:w="80" w:type="dxa"/>
              <w:end w:w="80" w:type="dxa"/>
            </w:tcMar>
          </w:tcPr>
          <w:p>
            <w:pPr>
              <w:spacing w:after="40" w:before="40" w:line="240" w:lineRule="auto"/>
            </w:pPr>
            <w:r/>
            <w:r>
              <w:rPr>
                <w:b w:val="0"/>
                <w:i w:val="0"/>
                <w:sz w:val="20"/>
              </w:rPr>
              <w:t>Rebecca Thorsen, Esq., Senior Vice President &amp; General Counsel, Vantage Logistics Group, Inc.</w:t>
            </w:r>
          </w:p>
        </w:tc>
      </w:tr>
      <w:tr>
        <w:tc>
          <w:tcPr>
            <w:tcW w:type="dxa" w:w="1440"/>
            <w:tcMar>
              <w:top w:w="20" w:type="dxa"/>
              <w:bottom w:w="20" w:type="dxa"/>
              <w:start w:w="80" w:type="dxa"/>
              <w:end w:w="80" w:type="dxa"/>
            </w:tcMar>
          </w:tcPr>
          <w:p>
            <w:pPr>
              <w:spacing w:after="40" w:before="40" w:line="240" w:lineRule="auto"/>
            </w:pPr>
            <w:r/>
            <w:r>
              <w:rPr>
                <w:b/>
                <w:i w:val="0"/>
                <w:color w:val="1F4E78"/>
                <w:sz w:val="20"/>
              </w:rPr>
              <w:t>FROM:</w:t>
            </w:r>
          </w:p>
        </w:tc>
        <w:tc>
          <w:tcPr>
            <w:tcW w:type="dxa" w:w="7920"/>
            <w:tcMar>
              <w:top w:w="20" w:type="dxa"/>
              <w:bottom w:w="20" w:type="dxa"/>
              <w:start w:w="80" w:type="dxa"/>
              <w:end w:w="80" w:type="dxa"/>
            </w:tcMar>
          </w:tcPr>
          <w:p>
            <w:pPr>
              <w:spacing w:after="40" w:before="40" w:line="240" w:lineRule="auto"/>
            </w:pPr>
            <w:r/>
            <w:r>
              <w:rPr>
                <w:b w:val="0"/>
                <w:i w:val="0"/>
                <w:sz w:val="20"/>
              </w:rPr>
              <w:t>Daniel Ikeda, Senior Associate  (Supervised by Catherine Ng, Partner)</w:t>
            </w:r>
          </w:p>
        </w:tc>
      </w:tr>
      <w:tr>
        <w:tc>
          <w:tcPr>
            <w:tcW w:type="dxa" w:w="1440"/>
            <w:tcMar>
              <w:top w:w="20" w:type="dxa"/>
              <w:bottom w:w="20" w:type="dxa"/>
              <w:start w:w="80" w:type="dxa"/>
              <w:end w:w="80" w:type="dxa"/>
            </w:tcMar>
          </w:tcPr>
          <w:p>
            <w:pPr>
              <w:spacing w:after="40" w:before="40" w:line="240" w:lineRule="auto"/>
            </w:pPr>
            <w:r/>
            <w:r>
              <w:rPr>
                <w:b/>
                <w:i w:val="0"/>
                <w:color w:val="1F4E78"/>
                <w:sz w:val="20"/>
              </w:rPr>
              <w:t>FIRM:</w:t>
            </w:r>
          </w:p>
        </w:tc>
        <w:tc>
          <w:tcPr>
            <w:tcW w:type="dxa" w:w="7920"/>
            <w:tcMar>
              <w:top w:w="20" w:type="dxa"/>
              <w:bottom w:w="20" w:type="dxa"/>
              <w:start w:w="80" w:type="dxa"/>
              <w:end w:w="80" w:type="dxa"/>
            </w:tcMar>
          </w:tcPr>
          <w:p>
            <w:pPr>
              <w:spacing w:after="40" w:before="40" w:line="240" w:lineRule="auto"/>
            </w:pPr>
            <w:r/>
            <w:r>
              <w:rPr>
                <w:b w:val="0"/>
                <w:i w:val="0"/>
                <w:sz w:val="20"/>
              </w:rPr>
              <w:t>Hartwell &amp; Cabot LLP</w:t>
            </w:r>
          </w:p>
        </w:tc>
      </w:tr>
      <w:tr>
        <w:tc>
          <w:tcPr>
            <w:tcW w:type="dxa" w:w="1440"/>
            <w:tcMar>
              <w:top w:w="20" w:type="dxa"/>
              <w:bottom w:w="20" w:type="dxa"/>
              <w:start w:w="80" w:type="dxa"/>
              <w:end w:w="80" w:type="dxa"/>
            </w:tcMar>
          </w:tcPr>
          <w:p>
            <w:pPr>
              <w:spacing w:after="40" w:before="40" w:line="240" w:lineRule="auto"/>
            </w:pPr>
            <w:r/>
            <w:r>
              <w:rPr>
                <w:b/>
                <w:i w:val="0"/>
                <w:color w:val="1F4E78"/>
                <w:sz w:val="20"/>
              </w:rPr>
              <w:t>DATE:</w:t>
            </w:r>
          </w:p>
        </w:tc>
        <w:tc>
          <w:tcPr>
            <w:tcW w:type="dxa" w:w="7920"/>
            <w:tcMar>
              <w:top w:w="20" w:type="dxa"/>
              <w:bottom w:w="20" w:type="dxa"/>
              <w:start w:w="80" w:type="dxa"/>
              <w:end w:w="80" w:type="dxa"/>
            </w:tcMar>
          </w:tcPr>
          <w:p>
            <w:pPr>
              <w:spacing w:after="40" w:before="40" w:line="240" w:lineRule="auto"/>
            </w:pPr>
            <w:r/>
            <w:r>
              <w:rPr>
                <w:b w:val="0"/>
                <w:i w:val="0"/>
                <w:sz w:val="20"/>
              </w:rPr>
              <w:t>May 19, 2025</w:t>
            </w:r>
          </w:p>
        </w:tc>
      </w:tr>
      <w:tr>
        <w:tc>
          <w:tcPr>
            <w:tcW w:type="dxa" w:w="1440"/>
            <w:tcMar>
              <w:top w:w="20" w:type="dxa"/>
              <w:bottom w:w="20" w:type="dxa"/>
              <w:start w:w="80" w:type="dxa"/>
              <w:end w:w="80" w:type="dxa"/>
            </w:tcMar>
          </w:tcPr>
          <w:p>
            <w:pPr>
              <w:spacing w:after="40" w:before="40" w:line="240" w:lineRule="auto"/>
            </w:pPr>
            <w:r/>
            <w:r>
              <w:rPr>
                <w:b/>
                <w:i w:val="0"/>
                <w:color w:val="1F4E78"/>
                <w:sz w:val="20"/>
              </w:rPr>
              <w:t>RE:</w:t>
            </w:r>
          </w:p>
        </w:tc>
        <w:tc>
          <w:tcPr>
            <w:tcW w:type="dxa" w:w="7920"/>
            <w:tcMar>
              <w:top w:w="20" w:type="dxa"/>
              <w:bottom w:w="20" w:type="dxa"/>
              <w:start w:w="80" w:type="dxa"/>
              <w:end w:w="80" w:type="dxa"/>
            </w:tcMar>
          </w:tcPr>
          <w:p>
            <w:pPr>
              <w:spacing w:after="40" w:before="40" w:line="240" w:lineRule="auto"/>
            </w:pPr>
            <w:r/>
            <w:r>
              <w:rPr>
                <w:b/>
                <w:i w:val="0"/>
                <w:sz w:val="20"/>
              </w:rPr>
              <w:t>Multi-State Paid Leave Compliance Review — Gap Analysis and Remediation Memorandum</w:t>
            </w:r>
          </w:p>
        </w:tc>
      </w:tr>
      <w:tr>
        <w:tc>
          <w:tcPr>
            <w:tcW w:type="dxa" w:w="1440"/>
            <w:tcMar>
              <w:top w:w="20" w:type="dxa"/>
              <w:bottom w:w="20" w:type="dxa"/>
              <w:start w:w="80" w:type="dxa"/>
              <w:end w:w="80" w:type="dxa"/>
            </w:tcMar>
          </w:tcPr>
          <w:p>
            <w:pPr>
              <w:spacing w:after="40" w:before="40" w:line="240" w:lineRule="auto"/>
            </w:pPr>
            <w:r/>
            <w:r>
              <w:rPr>
                <w:b/>
                <w:i w:val="0"/>
                <w:color w:val="1F4E78"/>
                <w:sz w:val="20"/>
              </w:rPr>
              <w:t>MATTER:</w:t>
            </w:r>
          </w:p>
        </w:tc>
        <w:tc>
          <w:tcPr>
            <w:tcW w:type="dxa" w:w="7920"/>
            <w:tcMar>
              <w:top w:w="20" w:type="dxa"/>
              <w:bottom w:w="20" w:type="dxa"/>
              <w:start w:w="80" w:type="dxa"/>
              <w:end w:w="80" w:type="dxa"/>
            </w:tcMar>
          </w:tcPr>
          <w:p>
            <w:pPr>
              <w:spacing w:after="40" w:before="40" w:line="240" w:lineRule="auto"/>
            </w:pPr>
            <w:r/>
            <w:r>
              <w:rPr>
                <w:b w:val="0"/>
                <w:i w:val="0"/>
                <w:sz w:val="20"/>
              </w:rPr>
              <w:t>Vantage Logistics Group, Inc. Multi-State Expansion — Paid Leave Compliance (Engagement dated April 14, 2025)</w:t>
            </w:r>
          </w:p>
        </w:tc>
      </w:tr>
    </w:tbl>
    <w:p>
      <w:pPr>
        <w:spacing w:after="120"/>
      </w:pPr>
    </w:p>
    <w:p>
      <w:pPr>
        <w:pBdr>
          <w:bottom w:val="single" w:sz="6" w:space="1" w:color="BFBFBF"/>
        </w:pBdr>
        <w:spacing w:after="160"/>
      </w:pPr>
    </w:p>
    <w:p>
      <w:pPr>
        <w:keepNext/>
        <w:spacing w:before="280" w:after="80"/>
        <w:pBdr>
          <w:bottom w:val="single" w:sz="6" w:space="2" w:color="1F4E78"/>
        </w:pBdr>
      </w:pPr>
      <w:r>
        <w:rPr>
          <w:b/>
          <w:color w:val="1F4E78"/>
          <w:sz w:val="26"/>
        </w:rPr>
        <w:t>I.  Introduction and Scope of Review</w:t>
      </w:r>
    </w:p>
    <w:p>
      <w:pPr>
        <w:spacing w:after="120"/>
        <w:jc w:val="both"/>
      </w:pPr>
      <w:r>
        <w:t>This memorandum sets forth the findings of Hartwell &amp; Cabot LLP's ("H&amp;C" or "we") comprehensive multi-state paid leave compliance review of Vantage Logistics Group, Inc. ("Vantage" or the "Company"), conducted pursuant to the engagement letter dated April 14, 2025. The review compares the Company's current paid leave policies and practices—as set forth in the Employee Handbook (Revised January 15, 2022) and as implemented in practice—against the statutory and regulatory requirements of the seven jurisdictions in which the Company operates or plans to operate: New Jersey, New York, and Connecticut (the "current states," approximately 2,140 employees), and Massachusetts, Colorado, Oregon, and Washington (the "expansion states," approximately 420 projected employees).</w:t>
      </w:r>
    </w:p>
    <w:p>
      <w:pPr>
        <w:spacing w:after="120"/>
        <w:jc w:val="both"/>
      </w:pPr>
      <w:r>
        <w:t xml:space="preserve">This memorandum accompanies and should be read together with the </w:t>
      </w:r>
      <w:r>
        <w:rPr>
          <w:b/>
        </w:rPr>
        <w:t>Multi-State Compliance Matrix</w:t>
      </w:r>
      <w:r>
        <w:t xml:space="preserve"> (the "Matrix"), a spreadsheet deliverable that provides a dimension-by-dimension comparison of Vantage's policies against each jurisdiction's requirements, with color-coded gap indicators (red / yellow / green). The Matrix and this memorandum together constitute Deliverables 1 and 2 under the engagement. A prioritized remediation plan is set forth in Section X, and a framework for resolving the pending New Jersey Department of Labor complaint is addressed in Section XI.</w:t>
      </w:r>
    </w:p>
    <w:p>
      <w:pPr>
        <w:spacing w:after="120"/>
        <w:jc w:val="both"/>
      </w:pPr>
      <w:r>
        <w:t>As confirmed in the engagement letter, this review is limited to state-level paid leave compliance. It does not address federal FMLA compliance, local or municipal paid leave ordinances, representation in the pending NJ DOL complaint (Case No. NJ-ESL-2025-04117), or the drafting of revised policy documents—each of which is outside the scope of this engagement.</w:t>
      </w:r>
    </w:p>
    <w:p>
      <w:pPr>
        <w:keepNext/>
        <w:spacing w:before="280" w:after="80"/>
        <w:pBdr>
          <w:bottom w:val="single" w:sz="6" w:space="2" w:color="1F4E78"/>
        </w:pBdr>
      </w:pPr>
      <w:r>
        <w:rPr>
          <w:b/>
          <w:color w:val="1F4E78"/>
          <w:sz w:val="26"/>
        </w:rPr>
        <w:t>II.  Executive Summary</w:t>
      </w:r>
    </w:p>
    <w:p>
      <w:pPr>
        <w:spacing w:after="120"/>
        <w:jc w:val="both"/>
      </w:pPr>
      <w:r>
        <w:t xml:space="preserve">Vantage's paid leave policies and practices exhibit </w:t>
      </w:r>
      <w:r>
        <w:rPr>
          <w:b/>
        </w:rPr>
        <w:t>systemic, multi-jurisdictional compliance deficiencies</w:t>
      </w:r>
      <w:r>
        <w:t xml:space="preserve"> that predate and are independent of the planned expansion, and that will be materially compounded by it. The Company's Employee Handbook was last revised on January 15, 2022, was drafted primarily around New Jersey and New York requirements, and has not been substantively updated since. The review identifies </w:t>
      </w:r>
      <w:r>
        <w:rPr>
          <w:b/>
        </w:rPr>
        <w:t>22 material deficiencies</w:t>
      </w:r>
      <w:r>
        <w:t>: 5 Critical, 11 High, and 6 Moderate. No jurisdiction is fully compliant; every state presents at least one Critical or High deficiency.</w:t>
      </w:r>
    </w:p>
    <w:p>
      <w:pPr>
        <w:spacing w:after="120"/>
        <w:jc w:val="both"/>
      </w:pPr>
      <w:r>
        <w:t xml:space="preserve">The most serious findings are five in number. </w:t>
      </w:r>
      <w:r>
        <w:rPr>
          <w:b/>
        </w:rPr>
        <w:t>First</w:t>
      </w:r>
      <w:r>
        <w:t xml:space="preserve">, the Company's paid sick leave policy defines "family member" as only a spouse, child, or parent, and limits covered uses to the employee's own illness—omissions that are the direct subject of the active NJ DOL complaint filed by Carla Muñoz (Case No. NJ-ESL-2025-04117) and that are non-compliant in all seven jurisdictions. </w:t>
      </w:r>
      <w:r>
        <w:rPr>
          <w:b/>
        </w:rPr>
        <w:t>Second</w:t>
      </w:r>
      <w:r>
        <w:t xml:space="preserve">, the Company's self-funded paid family leave benefit (50% of average weekly wage, capped at $850 per week, for up to eight weeks) falls below the statutory benefit level in every jurisdiction, has never been approved as a private plan substitute in any state, and does not qualify as a compliant substitute anywhere; in Colorado, self-funding is not permitted at all. </w:t>
      </w:r>
      <w:r>
        <w:rPr>
          <w:b/>
        </w:rPr>
        <w:t>Third</w:t>
      </w:r>
      <w:r>
        <w:t xml:space="preserve">, the Company provides no employer-funded paid medical leave for an employee's own serious health condition, and HR staff have been misdirecting employees to an employee-paid voluntary short-term disability plan instead of the state TDI/DBL/Paid Leave programs those employees fund through payroll withholdings. </w:t>
      </w:r>
      <w:r>
        <w:rPr>
          <w:b/>
        </w:rPr>
        <w:t>Fourth</w:t>
      </w:r>
      <w:r>
        <w:t xml:space="preserve">, the Company has not registered with the Massachusetts PFML program, which must be operational by the August 1, 2025 facility opening. </w:t>
      </w:r>
      <w:r>
        <w:rPr>
          <w:b/>
        </w:rPr>
        <w:t>Fifth</w:t>
      </w:r>
      <w:r>
        <w:t>, the Company has not registered with the Colorado FAMLI program, and three Colorado-based remote employees hired in April 2025 may have already triggered a registration and contribution obligation.</w:t>
      </w:r>
    </w:p>
    <w:p>
      <w:pPr>
        <w:spacing w:after="120"/>
        <w:jc w:val="both"/>
      </w:pPr>
      <w:r>
        <w:t>Beyond these Critical items, the Company's sick leave accrual rate, part-time accrual cap, 120-day waiting period, no-carryover rule, narrow family-member definition, and narrow covered-uses list are non-compliant in most or all jurisdictions. The Company's PTO payout policy—which pays out accrued unused vacation only in Connecticut—is non-compliant in Massachusetts, Colorado, and Washington, where accrued vacation is a wage that must be paid on separation and where "use it or lose it" forfeiture is void. The Company has not registered with the Oregon or Washington paid leave programs. And the Company's manual, spreadsheet-based leave tracking system is not scalable to seven jurisdictions, has already produced documented errors, and lacks the audit trail necessary to defend against audits or complaints.</w:t>
      </w:r>
    </w:p>
    <w:p>
      <w:pPr>
        <w:spacing w:after="120"/>
        <w:jc w:val="both"/>
      </w:pPr>
      <w:r>
        <w:t>The remediation budget of $175,000 is sufficient to address the legal and policy workstreams if sequenced carefully, but the concurrent need for a dedicated leave management system ($40,000–$75,000) will require either reallocation or supplemental funding. The most time-sensitive actions—Massachusetts and Colorado registration—must commence immediately.</w:t>
      </w:r>
    </w:p>
    <w:p>
      <w:pPr>
        <w:keepNext/>
        <w:spacing w:before="280" w:after="80"/>
        <w:pBdr>
          <w:bottom w:val="single" w:sz="6" w:space="2" w:color="1F4E78"/>
        </w:pBdr>
      </w:pPr>
      <w:r>
        <w:rPr>
          <w:b/>
          <w:color w:val="1F4E78"/>
          <w:sz w:val="26"/>
        </w:rPr>
        <w:t>III.  Methodology and Sources</w:t>
      </w:r>
    </w:p>
    <w:p>
      <w:pPr>
        <w:spacing w:after="120"/>
        <w:jc w:val="both"/>
      </w:pPr>
      <w:r>
        <w:t>Our analysis is based on (a) the Company's Employee Handbook (Revised January 15, 2022), including all leave policies; (b) the internal HR Expansion Plan Memorandum from Marcus Delgado dated March 28, 2025; (c) correspondence relating to the NJ DOL complaint (Case No. NJ-ESL-2025-04117, Carla Muñoz v. Vantage Logistics Group, Inc.), including the complaint summary and the Company's February 21, 2025 response; (d) the internal email thread between Marcus Delgado and Rebecca Thorsen dated March 10–17, 2025; (e) the PinnacleHR Solutions state leave program withholding summary dated April 10, 2025; and (f) the sample leave-tracking workbooks for New Jersey and New York. We also reviewed the statutes, regulations, and agency guidance in effect as of the date of this memorandum for each of the seven jurisdictions.</w:t>
      </w:r>
    </w:p>
    <w:p>
      <w:pPr>
        <w:spacing w:after="120"/>
        <w:jc w:val="both"/>
      </w:pPr>
      <w:r>
        <w:t>Our findings rely on the accuracy and completeness of the information and representations provided by the Company. State paid leave law is a rapidly evolving area of regulation; legislative or regulatory changes after the date of this memorandum may affect the analysis. We recommend periodic re-review, particularly as each phase of the expansion is completed.</w:t>
      </w:r>
    </w:p>
    <w:p>
      <w:pPr>
        <w:keepNext/>
        <w:spacing w:before="280" w:after="80"/>
        <w:pBdr>
          <w:bottom w:val="single" w:sz="6" w:space="2" w:color="1F4E78"/>
        </w:pBdr>
      </w:pPr>
      <w:r>
        <w:rPr>
          <w:b/>
          <w:color w:val="1F4E78"/>
          <w:sz w:val="26"/>
        </w:rPr>
        <w:t>IV.  Summary of Findings</w:t>
      </w:r>
    </w:p>
    <w:p>
      <w:pPr>
        <w:spacing w:after="120"/>
        <w:jc w:val="both"/>
      </w:pPr>
      <w:r>
        <w:t>The table below summarizes the overall compliance posture by state and leave category. The full dimension-level analysis appears in the Matrix; the severity-ranked deficiency list appears in the Gap Register (Matrix) and in Sections V–VII below.</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val="clear" w:color="auto" w:fill="1F4E78"/>
            <w:tcMar>
              <w:top w:w="40" w:type="dxa"/>
              <w:bottom w:w="40" w:type="dxa"/>
              <w:start w:w="80" w:type="dxa"/>
              <w:end w:w="80" w:type="dxa"/>
            </w:tcMar>
          </w:tcPr>
          <w:p>
            <w:pPr>
              <w:spacing w:after="40" w:before="40" w:line="240" w:lineRule="auto"/>
              <w:jc w:val="center"/>
            </w:pPr>
            <w:r/>
            <w:r>
              <w:rPr>
                <w:b/>
                <w:i w:val="0"/>
                <w:color w:val="FFFFFF"/>
                <w:sz w:val="17"/>
              </w:rPr>
              <w:t>State</w:t>
            </w:r>
          </w:p>
        </w:tc>
        <w:tc>
          <w:tcPr>
            <w:tcW w:type="dxa" w:w="1368"/>
            <w:shd w:val="clear" w:color="auto" w:fill="1F4E78"/>
            <w:tcMar>
              <w:top w:w="40" w:type="dxa"/>
              <w:bottom w:w="40" w:type="dxa"/>
              <w:start w:w="80" w:type="dxa"/>
              <w:end w:w="80" w:type="dxa"/>
            </w:tcMar>
          </w:tcPr>
          <w:p>
            <w:pPr>
              <w:spacing w:after="40" w:before="40" w:line="240" w:lineRule="auto"/>
              <w:jc w:val="center"/>
            </w:pPr>
            <w:r/>
            <w:r>
              <w:rPr>
                <w:b/>
                <w:i w:val="0"/>
                <w:color w:val="FFFFFF"/>
                <w:sz w:val="17"/>
              </w:rPr>
              <w:t>Paid Sick Leave</w:t>
            </w:r>
          </w:p>
        </w:tc>
        <w:tc>
          <w:tcPr>
            <w:tcW w:type="dxa" w:w="1368"/>
            <w:shd w:val="clear" w:color="auto" w:fill="1F4E78"/>
            <w:tcMar>
              <w:top w:w="40" w:type="dxa"/>
              <w:bottom w:w="40" w:type="dxa"/>
              <w:start w:w="80" w:type="dxa"/>
              <w:end w:w="80" w:type="dxa"/>
            </w:tcMar>
          </w:tcPr>
          <w:p>
            <w:pPr>
              <w:spacing w:after="40" w:before="40" w:line="240" w:lineRule="auto"/>
              <w:jc w:val="center"/>
            </w:pPr>
            <w:r/>
            <w:r>
              <w:rPr>
                <w:b/>
                <w:i w:val="0"/>
                <w:color w:val="FFFFFF"/>
                <w:sz w:val="17"/>
              </w:rPr>
              <w:t>Paid Family Leave</w:t>
            </w:r>
          </w:p>
        </w:tc>
        <w:tc>
          <w:tcPr>
            <w:tcW w:type="dxa" w:w="1368"/>
            <w:shd w:val="clear" w:color="auto" w:fill="1F4E78"/>
            <w:tcMar>
              <w:top w:w="40" w:type="dxa"/>
              <w:bottom w:w="40" w:type="dxa"/>
              <w:start w:w="80" w:type="dxa"/>
              <w:end w:w="80" w:type="dxa"/>
            </w:tcMar>
          </w:tcPr>
          <w:p>
            <w:pPr>
              <w:spacing w:after="40" w:before="40" w:line="240" w:lineRule="auto"/>
              <w:jc w:val="center"/>
            </w:pPr>
            <w:r/>
            <w:r>
              <w:rPr>
                <w:b/>
                <w:i w:val="0"/>
                <w:color w:val="FFFFFF"/>
                <w:sz w:val="17"/>
              </w:rPr>
              <w:t>Paid Medical Leave</w:t>
            </w:r>
          </w:p>
        </w:tc>
        <w:tc>
          <w:tcPr>
            <w:tcW w:type="dxa" w:w="1368"/>
            <w:shd w:val="clear" w:color="auto" w:fill="1F4E78"/>
            <w:tcMar>
              <w:top w:w="40" w:type="dxa"/>
              <w:bottom w:w="40" w:type="dxa"/>
              <w:start w:w="80" w:type="dxa"/>
              <w:end w:w="80" w:type="dxa"/>
            </w:tcMar>
          </w:tcPr>
          <w:p>
            <w:pPr>
              <w:spacing w:after="40" w:before="40" w:line="240" w:lineRule="auto"/>
              <w:jc w:val="center"/>
            </w:pPr>
            <w:r/>
            <w:r>
              <w:rPr>
                <w:b/>
                <w:i w:val="0"/>
                <w:color w:val="FFFFFF"/>
                <w:sz w:val="17"/>
              </w:rPr>
              <w:t>Employer Obligations</w:t>
            </w:r>
          </w:p>
        </w:tc>
        <w:tc>
          <w:tcPr>
            <w:tcW w:type="dxa" w:w="1152"/>
            <w:shd w:val="clear" w:color="auto" w:fill="1F4E78"/>
            <w:tcMar>
              <w:top w:w="40" w:type="dxa"/>
              <w:bottom w:w="40" w:type="dxa"/>
              <w:start w:w="80" w:type="dxa"/>
              <w:end w:w="80" w:type="dxa"/>
            </w:tcMar>
          </w:tcPr>
          <w:p>
            <w:pPr>
              <w:spacing w:after="40" w:before="40" w:line="240" w:lineRule="auto"/>
              <w:jc w:val="center"/>
            </w:pPr>
            <w:r/>
            <w:r>
              <w:rPr>
                <w:b/>
                <w:i w:val="0"/>
                <w:color w:val="FFFFFF"/>
                <w:sz w:val="17"/>
              </w:rPr>
              <w:t>PTO Payout</w:t>
            </w:r>
          </w:p>
        </w:tc>
        <w:tc>
          <w:tcPr>
            <w:tcW w:type="dxa" w:w="1152"/>
            <w:shd w:val="clear" w:color="auto" w:fill="1F4E78"/>
            <w:tcMar>
              <w:top w:w="40" w:type="dxa"/>
              <w:bottom w:w="40" w:type="dxa"/>
              <w:start w:w="80" w:type="dxa"/>
              <w:end w:w="80" w:type="dxa"/>
            </w:tcMar>
          </w:tcPr>
          <w:p>
            <w:pPr>
              <w:spacing w:after="40" w:before="40" w:line="240" w:lineRule="auto"/>
              <w:jc w:val="center"/>
            </w:pPr>
            <w:r/>
            <w:r>
              <w:rPr>
                <w:b/>
                <w:i w:val="0"/>
                <w:color w:val="FFFFFF"/>
                <w:sz w:val="17"/>
              </w:rPr>
              <w:t>Overall</w:t>
            </w:r>
          </w:p>
        </w:tc>
      </w:tr>
      <w:tr>
        <w:tc>
          <w:tcPr>
            <w:tcW w:type="dxa" w:w="1584"/>
            <w:tcMar>
              <w:top w:w="40" w:type="dxa"/>
              <w:bottom w:w="40" w:type="dxa"/>
              <w:start w:w="80" w:type="dxa"/>
              <w:end w:w="80" w:type="dxa"/>
            </w:tcMar>
          </w:tcPr>
          <w:p>
            <w:pPr>
              <w:spacing w:after="40" w:before="40" w:line="240" w:lineRule="auto"/>
            </w:pPr>
            <w:r/>
            <w:r>
              <w:rPr>
                <w:b/>
                <w:i w:val="0"/>
                <w:sz w:val="17"/>
              </w:rPr>
              <w:t>New Jersey</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6500"/>
                <w:sz w:val="17"/>
              </w:rPr>
              <w:t>At Risk</w:t>
            </w:r>
          </w:p>
        </w:tc>
        <w:tc>
          <w:tcPr>
            <w:tcW w:type="dxa" w:w="1152"/>
            <w:tcMar>
              <w:top w:w="40" w:type="dxa"/>
              <w:bottom w:w="40" w:type="dxa"/>
              <w:start w:w="80" w:type="dxa"/>
              <w:end w:w="80" w:type="dxa"/>
            </w:tcMar>
          </w:tcPr>
          <w:p>
            <w:pPr>
              <w:spacing w:after="40" w:before="40" w:line="240" w:lineRule="auto"/>
              <w:jc w:val="center"/>
            </w:pPr>
            <w:r/>
            <w:r>
              <w:rPr>
                <w:b/>
                <w:i w:val="0"/>
                <w:color w:val="006100"/>
                <w:sz w:val="17"/>
              </w:rPr>
              <w:t>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shd w:val="clear" w:color="auto" w:fill="F2F5FA"/>
          </w:tcPr>
          <w:p>
            <w:pPr>
              <w:spacing w:after="40" w:before="40" w:line="240" w:lineRule="auto"/>
            </w:pPr>
            <w:r/>
            <w:r>
              <w:rPr>
                <w:b/>
                <w:i w:val="0"/>
                <w:sz w:val="17"/>
              </w:rPr>
              <w:t>New York</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6500"/>
                <w:sz w:val="17"/>
              </w:rPr>
              <w:t>At Risk</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006100"/>
                <w:sz w:val="17"/>
              </w:rPr>
              <w:t>Compliant</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tcPr>
          <w:p>
            <w:pPr>
              <w:spacing w:after="40" w:before="40" w:line="240" w:lineRule="auto"/>
            </w:pPr>
            <w:r/>
            <w:r>
              <w:rPr>
                <w:b/>
                <w:i w:val="0"/>
                <w:sz w:val="17"/>
              </w:rPr>
              <w:t>Connecticut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6500"/>
                <w:sz w:val="17"/>
              </w:rPr>
              <w:t>At Risk</w:t>
            </w:r>
          </w:p>
        </w:tc>
        <w:tc>
          <w:tcPr>
            <w:tcW w:type="dxa" w:w="1152"/>
            <w:tcMar>
              <w:top w:w="40" w:type="dxa"/>
              <w:bottom w:w="40" w:type="dxa"/>
              <w:start w:w="80" w:type="dxa"/>
              <w:end w:w="80" w:type="dxa"/>
            </w:tcMar>
          </w:tcPr>
          <w:p>
            <w:pPr>
              <w:spacing w:after="40" w:before="40" w:line="240" w:lineRule="auto"/>
              <w:jc w:val="center"/>
            </w:pPr>
            <w:r/>
            <w:r>
              <w:rPr>
                <w:b/>
                <w:i w:val="0"/>
                <w:color w:val="006100"/>
                <w:sz w:val="17"/>
              </w:rPr>
              <w:t>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shd w:val="clear" w:color="auto" w:fill="F2F5FA"/>
          </w:tcPr>
          <w:p>
            <w:pPr>
              <w:spacing w:after="40" w:before="40" w:line="240" w:lineRule="auto"/>
            </w:pPr>
            <w:r/>
            <w:r>
              <w:rPr>
                <w:b/>
                <w:i w:val="0"/>
                <w:sz w:val="17"/>
              </w:rPr>
              <w:t>Massachusetts</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tcPr>
          <w:p>
            <w:pPr>
              <w:spacing w:after="40" w:before="40" w:line="240" w:lineRule="auto"/>
            </w:pPr>
            <w:r/>
            <w:r>
              <w:rPr>
                <w:b/>
                <w:i w:val="0"/>
                <w:sz w:val="17"/>
              </w:rPr>
              <w:t>Colorado</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shd w:val="clear" w:color="auto" w:fill="F2F5FA"/>
          </w:tcPr>
          <w:p>
            <w:pPr>
              <w:spacing w:after="40" w:before="40" w:line="240" w:lineRule="auto"/>
            </w:pPr>
            <w:r/>
            <w:r>
              <w:rPr>
                <w:b/>
                <w:i w:val="0"/>
                <w:sz w:val="17"/>
              </w:rPr>
              <w:t>Oregon</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9C6500"/>
                <w:sz w:val="17"/>
              </w:rPr>
              <w:t>At Risk</w:t>
            </w:r>
          </w:p>
        </w:tc>
        <w:tc>
          <w:tcPr>
            <w:tcW w:type="dxa" w:w="1152"/>
            <w:tcMar>
              <w:top w:w="40" w:type="dxa"/>
              <w:bottom w:w="40" w:type="dxa"/>
              <w:start w:w="80" w:type="dxa"/>
              <w:end w:w="80" w:type="dxa"/>
            </w:tcMar>
            <w:shd w:val="clear" w:color="auto" w:fill="F2F5FA"/>
          </w:tcPr>
          <w:p>
            <w:pPr>
              <w:spacing w:after="40" w:before="40" w:line="240" w:lineRule="auto"/>
              <w:jc w:val="center"/>
            </w:pPr>
            <w:r/>
            <w:r>
              <w:rPr>
                <w:b/>
                <w:i w:val="0"/>
                <w:color w:val="9C0006"/>
                <w:sz w:val="17"/>
              </w:rPr>
              <w:t>Non-Compliant</w:t>
            </w:r>
          </w:p>
        </w:tc>
      </w:tr>
      <w:tr>
        <w:tc>
          <w:tcPr>
            <w:tcW w:type="dxa" w:w="1584"/>
            <w:tcMar>
              <w:top w:w="40" w:type="dxa"/>
              <w:bottom w:w="40" w:type="dxa"/>
              <w:start w:w="80" w:type="dxa"/>
              <w:end w:w="80" w:type="dxa"/>
            </w:tcMar>
          </w:tcPr>
          <w:p>
            <w:pPr>
              <w:spacing w:after="40" w:before="40" w:line="240" w:lineRule="auto"/>
            </w:pPr>
            <w:r/>
            <w:r>
              <w:rPr>
                <w:b/>
                <w:i w:val="0"/>
                <w:sz w:val="17"/>
              </w:rPr>
              <w:t>Washington</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368"/>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c>
          <w:tcPr>
            <w:tcW w:type="dxa" w:w="1152"/>
            <w:tcMar>
              <w:top w:w="40" w:type="dxa"/>
              <w:bottom w:w="40" w:type="dxa"/>
              <w:start w:w="80" w:type="dxa"/>
              <w:end w:w="80" w:type="dxa"/>
            </w:tcMar>
          </w:tcPr>
          <w:p>
            <w:pPr>
              <w:spacing w:after="40" w:before="40" w:line="240" w:lineRule="auto"/>
              <w:jc w:val="center"/>
            </w:pPr>
            <w:r/>
            <w:r>
              <w:rPr>
                <w:b/>
                <w:i w:val="0"/>
                <w:color w:val="9C0006"/>
                <w:sz w:val="17"/>
              </w:rPr>
              <w:t>Non-Compliant</w:t>
            </w:r>
          </w:p>
        </w:tc>
      </w:tr>
    </w:tbl>
    <w:p>
      <w:pPr>
        <w:spacing w:after="80"/>
      </w:pPr>
    </w:p>
    <w:p>
      <w:pPr>
        <w:spacing w:after="120"/>
        <w:jc w:val="both"/>
      </w:pPr>
      <w:r>
        <w:t>The current states (NJ, NY, CT) are non-compliant across the sick leave, family leave, and medical leave dimensions, with employer-obligation registration compliant (withholdings are active) but private-plan approvals unfiled. The expansion states (MA, CO, OR, WA) are non-compliant across nearly every dimension, driven principally by the absence of state program registrations and by policy provisions (waiting period, carryover, PTO payout) that do not satisfy those states' requirements.</w:t>
      </w:r>
    </w:p>
    <w:p>
      <w:pPr>
        <w:keepNext/>
        <w:spacing w:before="280" w:after="80"/>
        <w:pBdr>
          <w:bottom w:val="single" w:sz="6" w:space="2" w:color="1F4E78"/>
        </w:pBdr>
      </w:pPr>
      <w:r>
        <w:rPr>
          <w:b/>
          <w:color w:val="1F4E78"/>
          <w:sz w:val="26"/>
        </w:rPr>
        <w:t>V.  Critical Deficiencies</w:t>
      </w:r>
    </w:p>
    <w:p>
      <w:pPr>
        <w:spacing w:after="120"/>
        <w:jc w:val="both"/>
      </w:pPr>
      <w:r>
        <w:t>Critical deficiencies involve active legal exposure, imminent regulatory deadlines at risk, or deficiencies that have already resulted in (or are likely to imminently result in) regulatory action, penalties, or litigation.</w:t>
      </w:r>
    </w:p>
    <w:p>
      <w:pPr>
        <w:keepNext/>
        <w:spacing w:before="200" w:after="60"/>
      </w:pPr>
      <w:r>
        <w:rPr>
          <w:b/>
          <w:color w:val="1F4E78"/>
          <w:sz w:val="23"/>
        </w:rPr>
        <w:t>C1.  Narrow Family-Member Definition and Covered-Uses Scope in the Paid Sick Leave Policy (All Seven States; Active NJ DOL Complaint)</w:t>
      </w:r>
    </w:p>
    <w:p>
      <w:pPr>
        <w:spacing w:after="120"/>
        <w:jc w:val="both"/>
      </w:pPr>
      <w:r>
        <w:t>The Company's paid sick leave policy (Handbook § 6.2) defines "family member" as only a spouse, child, or parent, and limits covered uses to the employee's own illness, injury, or medical appointment. This is materially narrower than the statutory definition and covered-uses scope in every jurisdiction reviewed. New Jersey's Earned Sick Leave Act, for example, defines "family member" to include a domestic partner, civil union partner, the child of a domestic or civil union partner, grandparents, grandchildren, siblings, any blood relative, and any individual whose close association with the employee is the equivalent of a family relationship (N.J.S.A. 34:11D-1), and requires that sick leave be usable for the care of a family member, preventive care, absences relating to domestic or sexual violence, public health emergency closures, and school-related functions (N.J.S.A. 34:11D-3). The other six jurisdictions impose comparable or broader requirements.</w:t>
      </w:r>
    </w:p>
    <w:p>
      <w:pPr>
        <w:spacing w:after="120"/>
        <w:jc w:val="both"/>
      </w:pPr>
      <w:r>
        <w:t xml:space="preserve">This deficiency is the direct subject of the active NJ DOL complaint filed by Carla Muñoz (Case No. NJ-ESL-2025-04117), in which a warehouse associate was denied the use of accrued sick leave to care for her domestic partner's child—a relationship expressly covered by the New Jersey statute. The Company's February 21, 2025 response acknowledged that the policy language "may not fully reflect" the Act's requirements. Because the same narrow definition and covered-uses list apply company-wide, the deficiency is systemic across all seven jurisdictions and creates exposure to additional complaints, audits, and claims in each state. </w:t>
      </w:r>
      <w:r>
        <w:rPr>
          <w:b/>
        </w:rPr>
        <w:t>Recommended action:</w:t>
      </w:r>
      <w:r>
        <w:t xml:space="preserve"> redraft the family-member definition and covered-uses list to the broadest applicable state standard; train all supervisors and HR staff; and make Ms. Muñoz whole for any lost wages or expended PTO. Target: July 1, 2025 (revised Handbook).</w:t>
      </w:r>
    </w:p>
    <w:p>
      <w:pPr>
        <w:keepNext/>
        <w:spacing w:before="200" w:after="60"/>
      </w:pPr>
      <w:r>
        <w:rPr>
          <w:b/>
          <w:color w:val="1F4E78"/>
          <w:sz w:val="23"/>
        </w:rPr>
        <w:t>C2.  Self-Funded Paid Family Leave Plan Below Statutory Minimums in All Seven States; No Private Plan Approvals Filed</w:t>
      </w:r>
    </w:p>
    <w:p>
      <w:pPr>
        <w:spacing w:after="120"/>
        <w:jc w:val="both"/>
      </w:pPr>
      <w:r>
        <w:t>The Company self-funds its paid family leave benefit at 50% of the employee's average weekly wage, capped at $850 per week, for up to eight weeks (Handbook § 6.3). The Company does not participate as the contributing employer in any state family leave insurance program; PinnacleHR withholds only the mandatory employee-side contributions in New Jersey, New York, and Connecticut. The Company has never filed a private plan application (or voluntary plan application) in any jurisdiction.</w:t>
      </w:r>
    </w:p>
    <w:p>
      <w:pPr>
        <w:spacing w:after="120"/>
        <w:jc w:val="both"/>
      </w:pPr>
      <w:r>
        <w:t xml:space="preserve">This self-funded benefit falls below the statutory benefit level in every jurisdiction on one or more of rate, weekly cap, and duration. It does not qualify as a compliant private plan substitute in any state, because each state that permits a private plan alternative requires the private plan to provide benefits equal to or greater than the state program in all respects. In Colorado, no private-employer opt-out is available at all—private employers must participate in FAMLI. The result is that employees in the current states are paying into state programs through payroll withholdings while the Company maintains a sub-statutory self-funded plan that has not been approved as a substitute, creating dual-coverage confusion and potential restitution exposure. A detailed state-by-state equivalency analysis appears in Section VIII. </w:t>
      </w:r>
      <w:r>
        <w:rPr>
          <w:b/>
        </w:rPr>
        <w:t>Recommended action:</w:t>
      </w:r>
      <w:r>
        <w:t xml:space="preserve"> determine, for each state, whether to (a) participate in the state program and treat the self-funded benefit as supplemental, (b) seek an approved private/voluntary plan with benefits enhanced to meet or exceed the statutory minimum, or (c) discontinue the self-funded plan to avoid employee confusion. In Colorado, participation in FAMLI is mandatory. Decision target: July 1, 2025.</w:t>
      </w:r>
    </w:p>
    <w:p>
      <w:pPr>
        <w:keepNext/>
        <w:spacing w:before="200" w:after="60"/>
      </w:pPr>
      <w:r>
        <w:rPr>
          <w:b/>
          <w:color w:val="1F4E78"/>
          <w:sz w:val="23"/>
        </w:rPr>
        <w:t>C3.  No Employer-Funded Paid Medical Leave; HR Misdirection to Voluntary STD (NJ, NY, CT Active; MA, CO, OR, WA Prospective)</w:t>
      </w:r>
    </w:p>
    <w:p>
      <w:pPr>
        <w:spacing w:after="120"/>
        <w:jc w:val="both"/>
      </w:pPr>
      <w:r>
        <w:t>The Company provides no employer-funded paid medical leave for an employee's own serious health condition (Handbook § 6.4). Employees are directed to their accrued sick leave (capped at 40 hours for full-time employees) and to the voluntary short-term disability plan administered by Keystone Benefit Administrators, which is entirely employee-paid and in which fewer than 30% of Connecticut hourly staff are enrolled. Meanwhile, PinnacleHR withholds employee contributions for New Jersey TDI, New York DBL, and Connecticut Paid Leave—all of which cover the employee's own medical condition—and the four expansion states each mandate paid medical leave for an employee's own serious health condition.</w:t>
      </w:r>
    </w:p>
    <w:p>
      <w:pPr>
        <w:spacing w:after="120"/>
        <w:jc w:val="both"/>
      </w:pPr>
      <w:r>
        <w:t xml:space="preserve">The internal email thread (March 10–17, 2025) documents that HR staff at multiple facilities have been directing employees who inquire about paid medical leave for their own conditions to the voluntary Keystone STD plan rather than to the state programs those employees fund. At least seven affected employees have been identified (four in Bridgeport, CT; two in Edison, NJ; one in Queens, NY). This misdirection denies employees awareness of and access to state-level entitlements they are paying for, and creates grounds for retroactive claims and additional agency complaints—precisely the pattern that produced the Muñoz matter. </w:t>
      </w:r>
      <w:r>
        <w:rPr>
          <w:b/>
        </w:rPr>
        <w:t>Recommended action:</w:t>
      </w:r>
      <w:r>
        <w:t xml:space="preserve"> establish correct claims-routing to the applicable state program in each state; train all HR staff; audit the identified affected employees for potential restitution; and communicate state-program access clearly. Interim guidance issued by Ms. Thorsen (not to deny or delay leave, and to escalate state-program questions) should remain in effect. Target: immediate (interim); full remediation by July 1, 2025.</w:t>
      </w:r>
    </w:p>
    <w:p>
      <w:pPr>
        <w:keepNext/>
        <w:spacing w:before="200" w:after="60"/>
      </w:pPr>
      <w:r>
        <w:rPr>
          <w:b/>
          <w:color w:val="1F4E78"/>
          <w:sz w:val="23"/>
        </w:rPr>
        <w:t>C4.  Massachusetts PFML Registration Not Complete (Imminent Deadline)</w:t>
      </w:r>
    </w:p>
    <w:p>
      <w:pPr>
        <w:spacing w:after="120"/>
        <w:jc w:val="both"/>
      </w:pPr>
      <w:r>
        <w:t xml:space="preserve">The Company has not registered with the Massachusetts Paid Family and Medical Leave (MA PFML) program administered by the Massachusetts Department of Family and Medical Leave. MA PFML requires employer registration and contribution remittance from the first day any covered employee works in the state. The Worcester facility is scheduled to open on August 1, 2025. PinnacleHR has confirmed that it cannot configure withholding until it receives the Company's registration confirmation, and that its configuration lead time is approximately six to eight weeks. Accordingly, registration must be completed no later than approximately June 1, 2025 to ensure withholding is operational by the opening date—less than two weeks from the date of this memorandum. </w:t>
      </w:r>
      <w:r>
        <w:rPr>
          <w:b/>
        </w:rPr>
        <w:t>Recommended action:</w:t>
      </w:r>
      <w:r>
        <w:t xml:space="preserve"> register with MA DFML immediately; provide registration confirmation to PinnacleHR; configure withholding; and order required workplace postings. Target: register by June 1, 2025.</w:t>
      </w:r>
    </w:p>
    <w:p>
      <w:pPr>
        <w:keepNext/>
        <w:spacing w:before="200" w:after="60"/>
      </w:pPr>
      <w:r>
        <w:rPr>
          <w:b/>
          <w:color w:val="1F4E78"/>
          <w:sz w:val="23"/>
        </w:rPr>
        <w:t>C5.  Colorado FAMLI Registration Not Complete (April 2025 Remote Hires; May Already Be Overdue)</w:t>
      </w:r>
    </w:p>
    <w:p>
      <w:pPr>
        <w:spacing w:after="120"/>
        <w:jc w:val="both"/>
      </w:pPr>
      <w:r>
        <w:t xml:space="preserve">The Company has not registered with the Colorado Family and Medical Leave Insurance (FAMLI) program. Three Colorado-based salaried employees were hired in April 2025 to work remotely in advance of the Aurora facility's November 1, 2025 opening. If the FAMLI registration and contribution obligation is triggered by the first date a Colorado-based employee performs work—rather than by the facility opening—then the Company's registration may already be overdue. Even under the more favorable interpretation that the obligation attaches to the November 1, 2025 opening, the six-to-eight-week PinnacleHR configuration lead time requires registration no later than approximately mid-August 2025. Colorado does not permit private-employer self-funding in lieu of FAMLI participation. </w:t>
      </w:r>
      <w:r>
        <w:rPr>
          <w:b/>
        </w:rPr>
        <w:t>Recommended action:</w:t>
      </w:r>
      <w:r>
        <w:t xml:space="preserve"> confirm the applicable trigger date with counsel; register with the CO FAMLI Division immediately; configure withholding; and address the exposure relating to the April 2025 remote hires. Target: immediate; no later than September 1, 2025.</w:t>
      </w:r>
    </w:p>
    <w:p>
      <w:pPr>
        <w:keepNext/>
        <w:spacing w:before="280" w:after="80"/>
        <w:pBdr>
          <w:bottom w:val="single" w:sz="6" w:space="2" w:color="1F4E78"/>
        </w:pBdr>
      </w:pPr>
      <w:r>
        <w:rPr>
          <w:b/>
          <w:color w:val="1F4E78"/>
          <w:sz w:val="26"/>
        </w:rPr>
        <w:t>VI.  High-Severity Deficiencies</w:t>
      </w:r>
    </w:p>
    <w:p>
      <w:pPr>
        <w:spacing w:after="120"/>
        <w:jc w:val="both"/>
      </w:pPr>
      <w:r>
        <w:t>High-severity deficiencies involve non-compliance that is likely to result in enforcement action, monetary penalties, or employee claims if not remediated before operations commence in the applicable jurisdiction or within the near term.</w:t>
      </w:r>
    </w:p>
    <w:p>
      <w:pPr>
        <w:keepNext/>
        <w:spacing w:before="200" w:after="60"/>
      </w:pPr>
      <w:r>
        <w:rPr>
          <w:b/>
          <w:color w:val="1F4E78"/>
          <w:sz w:val="23"/>
        </w:rPr>
        <w:t>H1.  Sick Leave Accrual Rate (1 hour / 40 hours vs. required 1 hour / 30 hours)</w:t>
      </w:r>
    </w:p>
    <w:p>
      <w:pPr>
        <w:spacing w:after="120"/>
        <w:jc w:val="both"/>
      </w:pPr>
      <w:r>
        <w:t xml:space="preserve">The Company accrues sick leave at one hour per 40 hours worked. New Jersey, New York, Massachusetts, Colorado, and Oregon each require one hour per 30 hours worked. (Washington requires one hour per 40 hours and is compliant on this dimension.) The slower accrual rate means employees in the affected states accrue less sick leave than mandated. </w:t>
      </w:r>
      <w:r>
        <w:rPr>
          <w:b/>
        </w:rPr>
        <w:t>Action:</w:t>
      </w:r>
      <w:r>
        <w:t xml:space="preserve"> adjust the accrual rate to one hour per 30 hours worked in NJ, NY, MA, CO, and OR. Target: July 1, 2025.</w:t>
      </w:r>
    </w:p>
    <w:p>
      <w:pPr>
        <w:keepNext/>
        <w:spacing w:before="200" w:after="60"/>
      </w:pPr>
      <w:r>
        <w:rPr>
          <w:b/>
          <w:color w:val="1F4E78"/>
          <w:sz w:val="23"/>
        </w:rPr>
        <w:t>H2.  Part-Time Sick Leave Cap (24 hours vs. 40 hours) and Washington Accrual Cap</w:t>
      </w:r>
    </w:p>
    <w:p>
      <w:pPr>
        <w:spacing w:after="120"/>
        <w:jc w:val="both"/>
      </w:pPr>
      <w:r>
        <w:t xml:space="preserve">The Company caps part-time employees' sick leave accrual at 24 hours per year. New Jersey, Connecticut, Massachusetts, and Oregon each require 40 hours per year for all employees regardless of full- or part-time status. In Washington, no accrual cap is permitted at all (an employer may cap annual use, but not accrual); the Company's accrual cap is therefore non-compliant for all Washington classifications. </w:t>
      </w:r>
      <w:r>
        <w:rPr>
          <w:b/>
        </w:rPr>
        <w:t>Action:</w:t>
      </w:r>
      <w:r>
        <w:t xml:space="preserve"> eliminate the full-time/part-time cap distinction and apply at least a 40-hour minimum to all employees in NJ, CT, MA, and OR; remove the accrual cap in Washington (a use cap of up to 40 hours is permissible). Target: July 1, 2025.</w:t>
      </w:r>
    </w:p>
    <w:p>
      <w:pPr>
        <w:keepNext/>
        <w:spacing w:before="200" w:after="60"/>
      </w:pPr>
      <w:r>
        <w:rPr>
          <w:b/>
          <w:color w:val="1F4E78"/>
          <w:sz w:val="23"/>
        </w:rPr>
        <w:t>H3.  120-Day Waiting Period Before Use of Sick Leave</w:t>
      </w:r>
    </w:p>
    <w:p>
      <w:pPr>
        <w:spacing w:after="120"/>
        <w:jc w:val="both"/>
      </w:pPr>
      <w:r>
        <w:t xml:space="preserve">The Company imposes a uniform 120-day waiting period before employees may use accrued sick leave. New York permits no waiting period; Colorado permits no waiting period; and Massachusetts, Oregon, and Washington each permit use after 90 days. (New Jersey's 120-day maximum is compliant.) The 120-day policy is non-compliant in five jurisdictions. The sample leave-tracking workbooks confirm that employees have been denied sick leave during the waiting period (e.g., a Newark employee denied on March 18, 2025; a Queens employee denied on January 28, 2025). </w:t>
      </w:r>
      <w:r>
        <w:rPr>
          <w:b/>
        </w:rPr>
        <w:t>Action:</w:t>
      </w:r>
      <w:r>
        <w:t xml:space="preserve"> reduce the waiting period to 90 days in MA, OR, and WA; eliminate it in NY and CO. Target: July 1, 2025.</w:t>
      </w:r>
    </w:p>
    <w:p>
      <w:pPr>
        <w:keepNext/>
        <w:spacing w:before="200" w:after="60"/>
      </w:pPr>
      <w:r>
        <w:rPr>
          <w:b/>
          <w:color w:val="1F4E78"/>
          <w:sz w:val="23"/>
        </w:rPr>
        <w:t>H4.  No Carryover of Sick Leave</w:t>
      </w:r>
    </w:p>
    <w:p>
      <w:pPr>
        <w:spacing w:after="120"/>
        <w:jc w:val="both"/>
      </w:pPr>
      <w:r>
        <w:t xml:space="preserve">The Company resets sick leave balances to zero on January 1 and permits no carryover. New Jersey, New York, Massachusetts, Colorado, Oregon, and Washington each require carryover of unused sick leave (or permit frontloading as an alternative). The no-carryover rule causes employees to forfeit accrued leave at year-end in violation of these requirements. </w:t>
      </w:r>
      <w:r>
        <w:rPr>
          <w:b/>
        </w:rPr>
        <w:t>Action:</w:t>
      </w:r>
      <w:r>
        <w:t xml:space="preserve"> implement carryover (or frontloading) per each state's requirements. Target: July 1, 2025.</w:t>
      </w:r>
    </w:p>
    <w:p>
      <w:pPr>
        <w:keepNext/>
        <w:spacing w:before="200" w:after="60"/>
      </w:pPr>
      <w:r>
        <w:rPr>
          <w:b/>
          <w:color w:val="1F4E78"/>
          <w:sz w:val="23"/>
        </w:rPr>
        <w:t>H5.  New York Sick Leave Cap (40 hours vs. 56 hours for 100+ Employees)</w:t>
      </w:r>
    </w:p>
    <w:p>
      <w:pPr>
        <w:spacing w:after="120"/>
        <w:jc w:val="both"/>
      </w:pPr>
      <w:r>
        <w:t xml:space="preserve">New York requires employers with 100 or more employees to provide up to 56 hours of paid sick leave per year. Vantage has 680 New York employees but provides only 40 hours (full-time) and 24 hours (part-time). </w:t>
      </w:r>
      <w:r>
        <w:rPr>
          <w:b/>
        </w:rPr>
        <w:t>Action:</w:t>
      </w:r>
      <w:r>
        <w:t xml:space="preserve"> increase the New York sick leave cap to 56 hours per year for all NY employees. Target: July 1, 2025.</w:t>
      </w:r>
    </w:p>
    <w:p>
      <w:pPr>
        <w:keepNext/>
        <w:spacing w:before="200" w:after="60"/>
      </w:pPr>
      <w:r>
        <w:rPr>
          <w:b/>
          <w:color w:val="1F4E78"/>
          <w:sz w:val="23"/>
        </w:rPr>
        <w:t>H6.  PTO / Vacation Payout on Separation (MA, CO, WA)</w:t>
      </w:r>
    </w:p>
    <w:p>
      <w:pPr>
        <w:spacing w:after="120"/>
        <w:jc w:val="both"/>
      </w:pPr>
      <w:r>
        <w:t xml:space="preserve">The Company's PTO policy pays out accrued unused vacation only in Connecticut. In Massachusetts, accrued vacation is a wage under the Wage Act (M.G.L. c. 149 § 148) and must be paid on separation regardless of policy; "use it or lose it" forfeiture is void. In Colorado, accrued vacation is a wage (C.R.S. § 8-4-101 et seq.) and must be paid in full on separation; forfeiture policies are void (C.R.S. § 8-4-109). In Washington, accrued vacation is a wage (RCW 49.52.010) and must be paid on separation; forfeiture is not permitted. The Company's no-payout policy is non-compliant in all three states, and the 5-day carryover cap with year-end forfeiture is likely non-compliant as a de facto forfeiture of earned vacation. Exposure includes treble damages (MA, CO) and double damages (WA) plus attorney's fees. A Colorado candidate has already flagged this issue. </w:t>
      </w:r>
      <w:r>
        <w:rPr>
          <w:b/>
        </w:rPr>
        <w:t>Action:</w:t>
      </w:r>
      <w:r>
        <w:t xml:space="preserve"> amend the PTO payout policy to provide full payout of accrued unused vacation in MA, CO, and WA; review the 5-day carryover cap. Target: before the first employee in each state (MA by August 1, 2025; CO by November 1, 2025; WA by May 1, 2026).</w:t>
      </w:r>
    </w:p>
    <w:p>
      <w:pPr>
        <w:keepNext/>
        <w:spacing w:before="200" w:after="60"/>
      </w:pPr>
      <w:r>
        <w:rPr>
          <w:b/>
          <w:color w:val="1F4E78"/>
          <w:sz w:val="23"/>
        </w:rPr>
        <w:t>H7.  Washington Paid Sick Leave Payout on Separation</w:t>
      </w:r>
    </w:p>
    <w:p>
      <w:pPr>
        <w:spacing w:after="120"/>
        <w:jc w:val="both"/>
      </w:pPr>
      <w:r>
        <w:t xml:space="preserve">Washington requires employers to pay out all accrued, unused paid sick leave on separation (RCW 49.46.210); accrued sick leave is a wage. The Company's no-payout policy is non-compliant. </w:t>
      </w:r>
      <w:r>
        <w:rPr>
          <w:b/>
        </w:rPr>
        <w:t>Action:</w:t>
      </w:r>
      <w:r>
        <w:t xml:space="preserve"> provide payout of accrued unused sick leave on separation for Washington employees. Target: by May 1, 2026 (WA opening).</w:t>
      </w:r>
    </w:p>
    <w:p>
      <w:pPr>
        <w:keepNext/>
        <w:spacing w:before="200" w:after="60"/>
      </w:pPr>
      <w:r>
        <w:rPr>
          <w:b/>
          <w:color w:val="1F4E78"/>
          <w:sz w:val="23"/>
        </w:rPr>
        <w:t>H8.  Military Exigency (and, in CT/CO/OR, Own-Medical and Safe Leave) Omitted from PFL Qualifying Reasons</w:t>
      </w:r>
    </w:p>
    <w:p>
      <w:pPr>
        <w:spacing w:after="120"/>
        <w:jc w:val="both"/>
      </w:pPr>
      <w:r>
        <w:t xml:space="preserve">The Company's paid family leave policy covers only bonding and caregiving for a family member with a serious health condition. Every state program also covers qualifying military exigency. Connecticut, Colorado, and Oregon additionally cover the employee's own serious health condition and safe leave (domestic violence, sexual assault, stalking). </w:t>
      </w:r>
      <w:r>
        <w:rPr>
          <w:b/>
        </w:rPr>
        <w:t>Action:</w:t>
      </w:r>
      <w:r>
        <w:t xml:space="preserve"> add military exigency (and own-medical/safe leave where applicable) to the qualifying reasons. Target: July 1, 2025.</w:t>
      </w:r>
    </w:p>
    <w:p>
      <w:pPr>
        <w:keepNext/>
        <w:spacing w:before="200" w:after="60"/>
      </w:pPr>
      <w:r>
        <w:rPr>
          <w:b/>
          <w:color w:val="1F4E78"/>
          <w:sz w:val="23"/>
        </w:rPr>
        <w:t>H9.  Paid Family Leave Notice Requirement Lacks an Unforeseeable-Leave Carve-Out</w:t>
      </w:r>
    </w:p>
    <w:p>
      <w:pPr>
        <w:spacing w:after="120"/>
        <w:jc w:val="both"/>
      </w:pPr>
      <w:r>
        <w:t xml:space="preserve">The Company's PFL policy requires 30 days' advance notice for all paid family leave and does not distinguish foreseeable from unforeseeable leave. Every state program requires 30 days for foreseeable leave but only "as soon as practicable" for unforeseeable leave. The policy's silence could be read to require 30 days in emergencies, and the internal email thread documents an instance in which a Connecticut employee gave 10 days' notice for an unforeseeable hospitalization and was initially challenged by HR. Inconsistent application across sites creates discrimination risk. </w:t>
      </w:r>
      <w:r>
        <w:rPr>
          <w:b/>
        </w:rPr>
        <w:t>Action:</w:t>
      </w:r>
      <w:r>
        <w:t xml:space="preserve"> rewrite the notice provision to distinguish foreseeable (30 days) from unforeseeable (as soon as practicable) leave per state. Target: July 1, 2025.</w:t>
      </w:r>
    </w:p>
    <w:p>
      <w:pPr>
        <w:keepNext/>
        <w:spacing w:before="200" w:after="60"/>
      </w:pPr>
      <w:r>
        <w:rPr>
          <w:b/>
          <w:color w:val="1F4E78"/>
          <w:sz w:val="23"/>
        </w:rPr>
        <w:t>H10.  Oregon (PLO) and Washington (WA PFML) Registrations Not Complete</w:t>
      </w:r>
    </w:p>
    <w:p>
      <w:pPr>
        <w:spacing w:after="120"/>
        <w:jc w:val="both"/>
      </w:pPr>
      <w:r>
        <w:t xml:space="preserve">The Company has not registered with Paid Leave Oregon or the Washington Paid Family and Medical Leave program. Factoring PinnacleHR's configuration lead time, registration should be complete by approximately December 1, 2025 (Oregon) and March 1, 2026 (Washington) to ensure withholding is operational by the respective facility openings (February 1, 2026 and May 1, 2026). </w:t>
      </w:r>
      <w:r>
        <w:rPr>
          <w:b/>
        </w:rPr>
        <w:t>Action:</w:t>
      </w:r>
      <w:r>
        <w:t xml:space="preserve"> register with the OR Employment Department and the WA Employment Security Department; configure withholding. Target: OR by December 1, 2025; WA by March 1, 2026.</w:t>
      </w:r>
    </w:p>
    <w:p>
      <w:pPr>
        <w:keepNext/>
        <w:spacing w:before="200" w:after="60"/>
      </w:pPr>
      <w:r>
        <w:rPr>
          <w:b/>
          <w:color w:val="1F4E78"/>
          <w:sz w:val="23"/>
        </w:rPr>
        <w:t>H11.  PFL Eligibility Criteria More Restrictive Than State Programs (CT, MA, CO, OR, WA)</w:t>
      </w:r>
    </w:p>
    <w:p>
      <w:pPr>
        <w:spacing w:after="120"/>
        <w:jc w:val="both"/>
      </w:pPr>
      <w:r>
        <w:t xml:space="preserve">The Company's PFL eligibility (12 months of employment plus 1,000 hours worked) is more restrictive than the eligibility criteria of the state programs in Connecticut, Massachusetts, Colorado, Oregon, and Washington, each of which uses a wage- or hours-based threshold with no comparable months-of-tenure requirement. Employees who satisfy the state criteria but not the Company's would be denied the company benefit despite being entitled under the state program. This overlaps with the structural self-funded plan issue (C2) and should be resolved as part of that decision. </w:t>
      </w:r>
      <w:r>
        <w:rPr>
          <w:b/>
        </w:rPr>
        <w:t>Action:</w:t>
      </w:r>
      <w:r>
        <w:t xml:space="preserve"> align eligibility to state criteria or rely on the state program. Target: July 1, 2025.</w:t>
      </w:r>
    </w:p>
    <w:p>
      <w:pPr>
        <w:keepNext/>
        <w:spacing w:before="280" w:after="80"/>
        <w:pBdr>
          <w:bottom w:val="single" w:sz="6" w:space="2" w:color="1F4E78"/>
        </w:pBdr>
      </w:pPr>
      <w:r>
        <w:rPr>
          <w:b/>
          <w:color w:val="1F4E78"/>
          <w:sz w:val="26"/>
        </w:rPr>
        <w:t>VII.  Moderate-Severity Deficiencies</w:t>
      </w:r>
    </w:p>
    <w:p>
      <w:pPr>
        <w:spacing w:after="120"/>
        <w:jc w:val="both"/>
      </w:pPr>
      <w:r>
        <w:t>Moderate deficiencies involve technical non-compliance, best-practice gaps, or policy ambiguities that may not give rise to immediate enforcement but expose the Company to risk over time or in the event of a complaint or audit.</w:t>
      </w:r>
    </w:p>
    <w:p>
      <w:pPr>
        <w:keepNext/>
        <w:spacing w:before="200" w:after="60"/>
      </w:pPr>
      <w:r>
        <w:rPr>
          <w:b/>
          <w:color w:val="1F4E78"/>
          <w:sz w:val="23"/>
        </w:rPr>
        <w:t>M1.  Manual Spreadsheet-Based Leave Tracking (All Seven States)</w:t>
      </w:r>
    </w:p>
    <w:p>
      <w:pPr>
        <w:spacing w:after="120"/>
        <w:jc w:val="both"/>
      </w:pPr>
      <w:r>
        <w:t xml:space="preserve">The Company tracks sick leave accruals, usage, and balances through manual Excel workbooks maintained by two HR coordinators, one per state. The system has no state-specific rule differentiation, no automated alerts for accrual caps or carryover deadlines, no audit trail, and no integration with the HRIS (WorkBridge Pro) or time-and-attendance system (ClockSync Enterprise). Recent internal audits identified errors, including a part-time New Jersey employee whose balance was incorrectly capped at 24 hours and inconsistent application of the 120-day waiting period across facilities. Scaling this approach from three states and 2,140 employees to seven states and 2,560 employees is not sustainable and will compound error rates. This is addressed further in Section IX. </w:t>
      </w:r>
      <w:r>
        <w:rPr>
          <w:b/>
        </w:rPr>
        <w:t>Action:</w:t>
      </w:r>
      <w:r>
        <w:t xml:space="preserve"> evaluate and implement a dedicated leave management system; estimated $40,000–$75,000 and three to six months. Target: RFP by July 1, 2025; system live by Q1 2026.</w:t>
      </w:r>
    </w:p>
    <w:p>
      <w:pPr>
        <w:keepNext/>
        <w:spacing w:before="200" w:after="60"/>
      </w:pPr>
      <w:r>
        <w:rPr>
          <w:b/>
          <w:color w:val="1F4E78"/>
          <w:sz w:val="23"/>
        </w:rPr>
        <w:t>M2.  Medical Documentation Threshold (2 Workdays vs. 3–4 Days)</w:t>
      </w:r>
    </w:p>
    <w:p>
      <w:pPr>
        <w:spacing w:after="120"/>
        <w:jc w:val="both"/>
      </w:pPr>
      <w:r>
        <w:t xml:space="preserve">The Company requires a doctor's note after two consecutive scheduled workdays of absence. Most states permit documentation to be required only after three or more consecutive days (four in Connecticut). The two-workday threshold is more stringent than the statutory allowance and may improperly require documentation for short absences. </w:t>
      </w:r>
      <w:r>
        <w:rPr>
          <w:b/>
        </w:rPr>
        <w:t>Action:</w:t>
      </w:r>
      <w:r>
        <w:t xml:space="preserve"> align the documentation threshold to the applicable state standard. Target: July 1, 2025.</w:t>
      </w:r>
    </w:p>
    <w:p>
      <w:pPr>
        <w:keepNext/>
        <w:spacing w:before="200" w:after="60"/>
      </w:pPr>
      <w:r>
        <w:rPr>
          <w:b/>
          <w:color w:val="1F4E78"/>
          <w:sz w:val="23"/>
        </w:rPr>
        <w:t>M3.  Workplace Postings and Individual Employee Notices (All Seven States)</w:t>
      </w:r>
    </w:p>
    <w:p>
      <w:pPr>
        <w:spacing w:after="120"/>
        <w:jc w:val="both"/>
      </w:pPr>
      <w:r>
        <w:t xml:space="preserve">The Handbook does not address workplace posting or individual-notice obligations, which each state imposes. Posting status in the current states is unconfirmed; required postings are not in place for the expansion states. Posting violations are easily cited in audits and complaints. </w:t>
      </w:r>
      <w:r>
        <w:rPr>
          <w:b/>
        </w:rPr>
        <w:t>Action:</w:t>
      </w:r>
      <w:r>
        <w:t xml:space="preserve"> inventory required postings per state; display at all facilities; provide individual notices at hire. Target: current states immediately; expansion states by each opening date.</w:t>
      </w:r>
    </w:p>
    <w:p>
      <w:pPr>
        <w:keepNext/>
        <w:spacing w:before="200" w:after="60"/>
      </w:pPr>
      <w:r>
        <w:rPr>
          <w:b/>
          <w:color w:val="1F4E78"/>
          <w:sz w:val="23"/>
        </w:rPr>
        <w:t>M4.  Oregon PTO Payout and Carryover Cap</w:t>
      </w:r>
    </w:p>
    <w:p>
      <w:pPr>
        <w:spacing w:after="120"/>
        <w:jc w:val="both"/>
      </w:pPr>
      <w:r>
        <w:t xml:space="preserve">Oregon does not mandate vacation payout by statute, and "use it or lose it" is generally enforceable if clearly communicated in writing at hire. The Company's policy does not include Oregon-specific language, and the 5-day carryover cap should be reviewed for clarity. </w:t>
      </w:r>
      <w:r>
        <w:rPr>
          <w:b/>
        </w:rPr>
        <w:t>Action:</w:t>
      </w:r>
      <w:r>
        <w:t xml:space="preserve"> add explicit Oregon-specific PTO payout/carryover language; review the carryover cap. Target: by February 1, 2026 (OR opening).</w:t>
      </w:r>
    </w:p>
    <w:p>
      <w:pPr>
        <w:keepNext/>
        <w:spacing w:before="200" w:after="60"/>
      </w:pPr>
      <w:r>
        <w:rPr>
          <w:b/>
          <w:color w:val="1F4E78"/>
          <w:sz w:val="23"/>
        </w:rPr>
        <w:t>M5.  Recordkeeping and Audit-Trail Deficiencies (All Seven States)</w:t>
      </w:r>
    </w:p>
    <w:p>
      <w:pPr>
        <w:spacing w:after="120"/>
        <w:jc w:val="both"/>
      </w:pPr>
      <w:r>
        <w:t xml:space="preserve">Balance corrections in the manual spreadsheets are unlogged; there is no record of original entries, change dates, or reasons for correction. This weakens the Company's ability to defend against audits or complaints (including the Muñoz matter) and to demonstrate compliance with accrual and carryover rules. </w:t>
      </w:r>
      <w:r>
        <w:rPr>
          <w:b/>
        </w:rPr>
        <w:t>Action:</w:t>
      </w:r>
      <w:r>
        <w:t xml:space="preserve"> implement change logging (interim: versioned spreadsheets; long-term: leave management system). Target: interim immediately; long-term with system rollout.</w:t>
      </w:r>
    </w:p>
    <w:p>
      <w:pPr>
        <w:keepNext/>
        <w:spacing w:before="200" w:after="60"/>
      </w:pPr>
      <w:r>
        <w:rPr>
          <w:b/>
          <w:color w:val="1F4E78"/>
          <w:sz w:val="23"/>
        </w:rPr>
        <w:t>M6.  Colorado 5-Day PTO Carryover Cap (De Facto Forfeiture Risk)</w:t>
      </w:r>
    </w:p>
    <w:p>
      <w:pPr>
        <w:spacing w:after="120"/>
        <w:jc w:val="both"/>
      </w:pPr>
      <w:r>
        <w:t xml:space="preserve">The 5-day carryover cap, combined with year-end forfeiture, may be scrutinized in Colorado as a de facto forfeiture of earned vacation, which Colorado law prohibits (see H6). </w:t>
      </w:r>
      <w:r>
        <w:rPr>
          <w:b/>
        </w:rPr>
        <w:t>Action:</w:t>
      </w:r>
      <w:r>
        <w:t xml:space="preserve"> review and likely revise the carryover cap for CO (and MA/WA) to avoid forfeiture of earned vacation. Target: by November 1, 2025 (CO opening).</w:t>
      </w:r>
    </w:p>
    <w:p>
      <w:pPr>
        <w:keepNext/>
        <w:spacing w:before="280" w:after="80"/>
        <w:pBdr>
          <w:bottom w:val="single" w:sz="6" w:space="2" w:color="1F4E78"/>
        </w:pBdr>
      </w:pPr>
      <w:r>
        <w:rPr>
          <w:b/>
          <w:color w:val="1F4E78"/>
          <w:sz w:val="26"/>
        </w:rPr>
        <w:t>VIII.  Self-Funded Paid Family Leave Plan — Detailed Equivalency Analysis</w:t>
      </w:r>
    </w:p>
    <w:p>
      <w:pPr>
        <w:spacing w:after="120"/>
        <w:jc w:val="both"/>
      </w:pPr>
      <w:r>
        <w:t>The engagement letter specifically directed analysis of the Company's self-funded paid family leave approach against each state's mandated benefit levels, contribution structures, and eligibility criteria, and an evaluation of whether the self-funded plan qualifies as a compliant private plan alternative. The table below summarizes that analysis. In every jurisdiction, the self-funded benefit (50% of AWW, capped at $850/week, for up to 8 weeks, family leave only) is below the statutory benefit on one or more dimensions, and no private plan approval has been filed in any state. The plan therefore does not qualify as a compliant private plan substitute anywhere. In Colorado, no private-employer opt-out exists.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720"/>
            <w:shd w:val="clear" w:color="auto" w:fill="1F4E78"/>
            <w:tcMar>
              <w:top w:w="40" w:type="dxa"/>
              <w:bottom w:w="40" w:type="dxa"/>
              <w:start w:w="80" w:type="dxa"/>
              <w:end w:w="80" w:type="dxa"/>
            </w:tcMar>
          </w:tcPr>
          <w:p>
            <w:pPr>
              <w:spacing w:after="40" w:before="40" w:line="240" w:lineRule="auto"/>
              <w:jc w:val="center"/>
            </w:pPr>
            <w:r/>
            <w:r>
              <w:rPr>
                <w:b/>
                <w:i w:val="0"/>
                <w:color w:val="FFFFFF"/>
                <w:sz w:val="17"/>
              </w:rPr>
              <w:t>State</w:t>
            </w:r>
          </w:p>
        </w:tc>
        <w:tc>
          <w:tcPr>
            <w:tcW w:type="dxa" w:w="864"/>
            <w:shd w:val="clear" w:color="auto" w:fill="1F4E78"/>
            <w:tcMar>
              <w:top w:w="40" w:type="dxa"/>
              <w:bottom w:w="40" w:type="dxa"/>
              <w:start w:w="80" w:type="dxa"/>
              <w:end w:w="80" w:type="dxa"/>
            </w:tcMar>
          </w:tcPr>
          <w:p>
            <w:pPr>
              <w:spacing w:after="40" w:before="40" w:line="240" w:lineRule="auto"/>
              <w:jc w:val="center"/>
            </w:pPr>
            <w:r/>
            <w:r>
              <w:rPr>
                <w:b/>
                <w:i w:val="0"/>
                <w:color w:val="FFFFFF"/>
                <w:sz w:val="17"/>
              </w:rPr>
              <w:t>Program</w:t>
            </w:r>
          </w:p>
        </w:tc>
        <w:tc>
          <w:tcPr>
            <w:tcW w:type="dxa" w:w="2880"/>
            <w:shd w:val="clear" w:color="auto" w:fill="1F4E78"/>
            <w:tcMar>
              <w:top w:w="40" w:type="dxa"/>
              <w:bottom w:w="40" w:type="dxa"/>
              <w:start w:w="80" w:type="dxa"/>
              <w:end w:w="80" w:type="dxa"/>
            </w:tcMar>
          </w:tcPr>
          <w:p>
            <w:pPr>
              <w:spacing w:after="40" w:before="40" w:line="240" w:lineRule="auto"/>
              <w:jc w:val="center"/>
            </w:pPr>
            <w:r/>
            <w:r>
              <w:rPr>
                <w:b/>
                <w:i w:val="0"/>
                <w:color w:val="FFFFFF"/>
                <w:sz w:val="17"/>
              </w:rPr>
              <w:t>Statutory Benefit (2025)</w:t>
            </w:r>
          </w:p>
        </w:tc>
        <w:tc>
          <w:tcPr>
            <w:tcW w:type="dxa" w:w="2160"/>
            <w:shd w:val="clear" w:color="auto" w:fill="1F4E78"/>
            <w:tcMar>
              <w:top w:w="40" w:type="dxa"/>
              <w:bottom w:w="40" w:type="dxa"/>
              <w:start w:w="80" w:type="dxa"/>
              <w:end w:w="80" w:type="dxa"/>
            </w:tcMar>
          </w:tcPr>
          <w:p>
            <w:pPr>
              <w:spacing w:after="40" w:before="40" w:line="240" w:lineRule="auto"/>
              <w:jc w:val="center"/>
            </w:pPr>
            <w:r/>
            <w:r>
              <w:rPr>
                <w:b/>
                <w:i w:val="0"/>
                <w:color w:val="FFFFFF"/>
                <w:sz w:val="17"/>
              </w:rPr>
              <w:t>Vantage Self-Funded</w:t>
            </w:r>
          </w:p>
        </w:tc>
        <w:tc>
          <w:tcPr>
            <w:tcW w:type="dxa" w:w="2160"/>
            <w:shd w:val="clear" w:color="auto" w:fill="1F4E78"/>
            <w:tcMar>
              <w:top w:w="40" w:type="dxa"/>
              <w:bottom w:w="40" w:type="dxa"/>
              <w:start w:w="80" w:type="dxa"/>
              <w:end w:w="80" w:type="dxa"/>
            </w:tcMar>
          </w:tcPr>
          <w:p>
            <w:pPr>
              <w:spacing w:after="40" w:before="40" w:line="240" w:lineRule="auto"/>
              <w:jc w:val="center"/>
            </w:pPr>
            <w:r/>
            <w:r>
              <w:rPr>
                <w:b/>
                <w:i w:val="0"/>
                <w:color w:val="FFFFFF"/>
                <w:sz w:val="17"/>
              </w:rPr>
              <w:t>Private Plan Permitted?</w:t>
            </w:r>
          </w:p>
        </w:tc>
        <w:tc>
          <w:tcPr>
            <w:tcW w:type="dxa" w:w="1296"/>
            <w:shd w:val="clear" w:color="auto" w:fill="1F4E78"/>
            <w:tcMar>
              <w:top w:w="40" w:type="dxa"/>
              <w:bottom w:w="40" w:type="dxa"/>
              <w:start w:w="80" w:type="dxa"/>
              <w:end w:w="80" w:type="dxa"/>
            </w:tcMar>
          </w:tcPr>
          <w:p>
            <w:pPr>
              <w:spacing w:after="40" w:before="40" w:line="240" w:lineRule="auto"/>
              <w:jc w:val="center"/>
            </w:pPr>
            <w:r/>
            <w:r>
              <w:rPr>
                <w:b/>
                <w:i w:val="0"/>
                <w:color w:val="FFFFFF"/>
                <w:sz w:val="17"/>
              </w:rPr>
              <w:t>Approval Filed?</w:t>
            </w:r>
          </w:p>
        </w:tc>
      </w:tr>
      <w:tr>
        <w:tc>
          <w:tcPr>
            <w:tcW w:type="dxa" w:w="720"/>
            <w:tcMar>
              <w:top w:w="40" w:type="dxa"/>
              <w:bottom w:w="40" w:type="dxa"/>
              <w:start w:w="80" w:type="dxa"/>
              <w:end w:w="80" w:type="dxa"/>
            </w:tcMar>
          </w:tcPr>
          <w:p>
            <w:pPr>
              <w:spacing w:after="40" w:before="40" w:line="240" w:lineRule="auto"/>
            </w:pPr>
            <w:r/>
            <w:r>
              <w:rPr>
                <w:b/>
                <w:i w:val="0"/>
                <w:sz w:val="17"/>
              </w:rPr>
              <w:t>NJ</w:t>
            </w:r>
          </w:p>
        </w:tc>
        <w:tc>
          <w:tcPr>
            <w:tcW w:type="dxa" w:w="864"/>
            <w:tcMar>
              <w:top w:w="40" w:type="dxa"/>
              <w:bottom w:w="40" w:type="dxa"/>
              <w:start w:w="80" w:type="dxa"/>
              <w:end w:w="80" w:type="dxa"/>
            </w:tcMar>
          </w:tcPr>
          <w:p>
            <w:pPr>
              <w:spacing w:after="40" w:before="40" w:line="240" w:lineRule="auto"/>
            </w:pPr>
            <w:r/>
            <w:r>
              <w:rPr>
                <w:b w:val="0"/>
                <w:i w:val="0"/>
                <w:sz w:val="17"/>
              </w:rPr>
              <w:t>FLI</w:t>
            </w:r>
          </w:p>
        </w:tc>
        <w:tc>
          <w:tcPr>
            <w:tcW w:type="dxa" w:w="2880"/>
            <w:tcMar>
              <w:top w:w="40" w:type="dxa"/>
              <w:bottom w:w="40" w:type="dxa"/>
              <w:start w:w="80" w:type="dxa"/>
              <w:end w:w="80" w:type="dxa"/>
            </w:tcMar>
          </w:tcPr>
          <w:p>
            <w:pPr>
              <w:spacing w:after="40" w:before="40" w:line="240" w:lineRule="auto"/>
            </w:pPr>
            <w:r/>
            <w:r>
              <w:rPr>
                <w:b w:val="0"/>
                <w:i w:val="0"/>
                <w:sz w:val="17"/>
              </w:rPr>
              <w:t>85% of AWW; ~$1,067/wk; 12 wks</w:t>
            </w:r>
          </w:p>
        </w:tc>
        <w:tc>
          <w:tcPr>
            <w:tcW w:type="dxa" w:w="2160"/>
            <w:tcMar>
              <w:top w:w="40" w:type="dxa"/>
              <w:bottom w:w="40" w:type="dxa"/>
              <w:start w:w="80" w:type="dxa"/>
              <w:end w:w="80" w:type="dxa"/>
            </w:tcMar>
          </w:tcPr>
          <w:p>
            <w:pPr>
              <w:spacing w:after="40" w:before="40" w:line="240" w:lineRule="auto"/>
            </w:pPr>
            <w:r/>
            <w:r>
              <w:rPr>
                <w:b w:val="0"/>
                <w:i w:val="0"/>
                <w:sz w:val="17"/>
              </w:rPr>
              <w:t>50% / $850 / 8 wks</w:t>
            </w:r>
          </w:p>
        </w:tc>
        <w:tc>
          <w:tcPr>
            <w:tcW w:type="dxa" w:w="2160"/>
            <w:tcMar>
              <w:top w:w="40" w:type="dxa"/>
              <w:bottom w:w="40" w:type="dxa"/>
              <w:start w:w="80" w:type="dxa"/>
              <w:end w:w="80" w:type="dxa"/>
            </w:tcMar>
          </w:tcPr>
          <w:p>
            <w:pPr>
              <w:spacing w:after="40" w:before="40" w:line="240" w:lineRule="auto"/>
            </w:pPr>
            <w:r/>
            <w:r>
              <w:rPr>
                <w:b w:val="0"/>
                <w:i w:val="0"/>
                <w:sz w:val="17"/>
              </w:rPr>
              <w:t>Yes (must meet/exceed)</w:t>
            </w:r>
          </w:p>
        </w:tc>
        <w:tc>
          <w:tcPr>
            <w:tcW w:type="dxa" w:w="1296"/>
            <w:tcMar>
              <w:top w:w="40" w:type="dxa"/>
              <w:bottom w:w="40" w:type="dxa"/>
              <w:start w:w="80" w:type="dxa"/>
              <w:end w:w="80" w:type="dxa"/>
            </w:tcMar>
          </w:tcPr>
          <w:p>
            <w:pPr>
              <w:spacing w:after="40" w:before="40" w:line="240" w:lineRule="auto"/>
            </w:pPr>
            <w:r/>
            <w:r>
              <w:rPr>
                <w:b/>
                <w:i w:val="0"/>
                <w:color w:val="9C0006"/>
                <w:sz w:val="17"/>
              </w:rPr>
              <w:t>No</w:t>
            </w:r>
          </w:p>
        </w:tc>
      </w:tr>
      <w:tr>
        <w:tc>
          <w:tcPr>
            <w:tcW w:type="dxa" w:w="720"/>
            <w:tcMar>
              <w:top w:w="40" w:type="dxa"/>
              <w:bottom w:w="40" w:type="dxa"/>
              <w:start w:w="80" w:type="dxa"/>
              <w:end w:w="80" w:type="dxa"/>
            </w:tcMar>
            <w:shd w:val="clear" w:color="auto" w:fill="F2F5FA"/>
          </w:tcPr>
          <w:p>
            <w:pPr>
              <w:spacing w:after="40" w:before="40" w:line="240" w:lineRule="auto"/>
            </w:pPr>
            <w:r/>
            <w:r>
              <w:rPr>
                <w:b/>
                <w:i w:val="0"/>
                <w:sz w:val="17"/>
              </w:rPr>
              <w:t>NY</w:t>
            </w:r>
          </w:p>
        </w:tc>
        <w:tc>
          <w:tcPr>
            <w:tcW w:type="dxa" w:w="864"/>
            <w:tcMar>
              <w:top w:w="40" w:type="dxa"/>
              <w:bottom w:w="40" w:type="dxa"/>
              <w:start w:w="80" w:type="dxa"/>
              <w:end w:w="80" w:type="dxa"/>
            </w:tcMar>
            <w:shd w:val="clear" w:color="auto" w:fill="F2F5FA"/>
          </w:tcPr>
          <w:p>
            <w:pPr>
              <w:spacing w:after="40" w:before="40" w:line="240" w:lineRule="auto"/>
            </w:pPr>
            <w:r/>
            <w:r>
              <w:rPr>
                <w:b w:val="0"/>
                <w:i w:val="0"/>
                <w:sz w:val="17"/>
              </w:rPr>
              <w:t>PFL</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7"/>
              </w:rPr>
              <w:t>67% of AWW; $1,177.32/wk; 12 wks</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50% / $850 / 8 wks</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Yes (must meet/exceed)</w:t>
            </w:r>
          </w:p>
        </w:tc>
        <w:tc>
          <w:tcPr>
            <w:tcW w:type="dxa" w:w="1296"/>
            <w:tcMar>
              <w:top w:w="40" w:type="dxa"/>
              <w:bottom w:w="40" w:type="dxa"/>
              <w:start w:w="80" w:type="dxa"/>
              <w:end w:w="80" w:type="dxa"/>
            </w:tcMar>
            <w:shd w:val="clear" w:color="auto" w:fill="F2F5FA"/>
          </w:tcPr>
          <w:p>
            <w:pPr>
              <w:spacing w:after="40" w:before="40" w:line="240" w:lineRule="auto"/>
            </w:pPr>
            <w:r/>
            <w:r>
              <w:rPr>
                <w:b/>
                <w:i w:val="0"/>
                <w:color w:val="9C0006"/>
                <w:sz w:val="17"/>
              </w:rPr>
              <w:t>No</w:t>
            </w:r>
          </w:p>
        </w:tc>
      </w:tr>
      <w:tr>
        <w:tc>
          <w:tcPr>
            <w:tcW w:type="dxa" w:w="720"/>
            <w:tcMar>
              <w:top w:w="40" w:type="dxa"/>
              <w:bottom w:w="40" w:type="dxa"/>
              <w:start w:w="80" w:type="dxa"/>
              <w:end w:w="80" w:type="dxa"/>
            </w:tcMar>
          </w:tcPr>
          <w:p>
            <w:pPr>
              <w:spacing w:after="40" w:before="40" w:line="240" w:lineRule="auto"/>
            </w:pPr>
            <w:r/>
            <w:r>
              <w:rPr>
                <w:b/>
                <w:i w:val="0"/>
                <w:sz w:val="17"/>
              </w:rPr>
              <w:t>CT</w:t>
            </w:r>
          </w:p>
        </w:tc>
        <w:tc>
          <w:tcPr>
            <w:tcW w:type="dxa" w:w="864"/>
            <w:tcMar>
              <w:top w:w="40" w:type="dxa"/>
              <w:bottom w:w="40" w:type="dxa"/>
              <w:start w:w="80" w:type="dxa"/>
              <w:end w:w="80" w:type="dxa"/>
            </w:tcMar>
          </w:tcPr>
          <w:p>
            <w:pPr>
              <w:spacing w:after="40" w:before="40" w:line="240" w:lineRule="auto"/>
            </w:pPr>
            <w:r/>
            <w:r>
              <w:rPr>
                <w:b w:val="0"/>
                <w:i w:val="0"/>
                <w:sz w:val="17"/>
              </w:rPr>
              <w:t>PL</w:t>
            </w:r>
          </w:p>
        </w:tc>
        <w:tc>
          <w:tcPr>
            <w:tcW w:type="dxa" w:w="2880"/>
            <w:tcMar>
              <w:top w:w="40" w:type="dxa"/>
              <w:bottom w:w="40" w:type="dxa"/>
              <w:start w:w="80" w:type="dxa"/>
              <w:end w:w="80" w:type="dxa"/>
            </w:tcMar>
          </w:tcPr>
          <w:p>
            <w:pPr>
              <w:spacing w:after="40" w:before="40" w:line="240" w:lineRule="auto"/>
            </w:pPr>
            <w:r/>
            <w:r>
              <w:rPr>
                <w:b w:val="0"/>
                <w:i w:val="0"/>
                <w:sz w:val="17"/>
              </w:rPr>
              <w:t>95%/60% tiered; ~$941/wk; 12 wks (+2)</w:t>
            </w:r>
          </w:p>
        </w:tc>
        <w:tc>
          <w:tcPr>
            <w:tcW w:type="dxa" w:w="2160"/>
            <w:tcMar>
              <w:top w:w="40" w:type="dxa"/>
              <w:bottom w:w="40" w:type="dxa"/>
              <w:start w:w="80" w:type="dxa"/>
              <w:end w:w="80" w:type="dxa"/>
            </w:tcMar>
          </w:tcPr>
          <w:p>
            <w:pPr>
              <w:spacing w:after="40" w:before="40" w:line="240" w:lineRule="auto"/>
            </w:pPr>
            <w:r/>
            <w:r>
              <w:rPr>
                <w:b w:val="0"/>
                <w:i w:val="0"/>
                <w:sz w:val="17"/>
              </w:rPr>
              <w:t>50% / $850 / 8 wks (family only)</w:t>
            </w:r>
          </w:p>
        </w:tc>
        <w:tc>
          <w:tcPr>
            <w:tcW w:type="dxa" w:w="2160"/>
            <w:tcMar>
              <w:top w:w="40" w:type="dxa"/>
              <w:bottom w:w="40" w:type="dxa"/>
              <w:start w:w="80" w:type="dxa"/>
              <w:end w:w="80" w:type="dxa"/>
            </w:tcMar>
          </w:tcPr>
          <w:p>
            <w:pPr>
              <w:spacing w:after="40" w:before="40" w:line="240" w:lineRule="auto"/>
            </w:pPr>
            <w:r/>
            <w:r>
              <w:rPr>
                <w:b w:val="0"/>
                <w:i w:val="0"/>
                <w:sz w:val="17"/>
              </w:rPr>
              <w:t>Yes (must meet/exceed)</w:t>
            </w:r>
          </w:p>
        </w:tc>
        <w:tc>
          <w:tcPr>
            <w:tcW w:type="dxa" w:w="1296"/>
            <w:tcMar>
              <w:top w:w="40" w:type="dxa"/>
              <w:bottom w:w="40" w:type="dxa"/>
              <w:start w:w="80" w:type="dxa"/>
              <w:end w:w="80" w:type="dxa"/>
            </w:tcMar>
          </w:tcPr>
          <w:p>
            <w:pPr>
              <w:spacing w:after="40" w:before="40" w:line="240" w:lineRule="auto"/>
            </w:pPr>
            <w:r/>
            <w:r>
              <w:rPr>
                <w:b/>
                <w:i w:val="0"/>
                <w:color w:val="9C0006"/>
                <w:sz w:val="17"/>
              </w:rPr>
              <w:t>No</w:t>
            </w:r>
          </w:p>
        </w:tc>
      </w:tr>
      <w:tr>
        <w:tc>
          <w:tcPr>
            <w:tcW w:type="dxa" w:w="720"/>
            <w:tcMar>
              <w:top w:w="40" w:type="dxa"/>
              <w:bottom w:w="40" w:type="dxa"/>
              <w:start w:w="80" w:type="dxa"/>
              <w:end w:w="80" w:type="dxa"/>
            </w:tcMar>
            <w:shd w:val="clear" w:color="auto" w:fill="F2F5FA"/>
          </w:tcPr>
          <w:p>
            <w:pPr>
              <w:spacing w:after="40" w:before="40" w:line="240" w:lineRule="auto"/>
            </w:pPr>
            <w:r/>
            <w:r>
              <w:rPr>
                <w:b/>
                <w:i w:val="0"/>
                <w:sz w:val="17"/>
              </w:rPr>
              <w:t>MA</w:t>
            </w:r>
          </w:p>
        </w:tc>
        <w:tc>
          <w:tcPr>
            <w:tcW w:type="dxa" w:w="864"/>
            <w:tcMar>
              <w:top w:w="40" w:type="dxa"/>
              <w:bottom w:w="40" w:type="dxa"/>
              <w:start w:w="80" w:type="dxa"/>
              <w:end w:w="80" w:type="dxa"/>
            </w:tcMar>
            <w:shd w:val="clear" w:color="auto" w:fill="F2F5FA"/>
          </w:tcPr>
          <w:p>
            <w:pPr>
              <w:spacing w:after="40" w:before="40" w:line="240" w:lineRule="auto"/>
            </w:pPr>
            <w:r/>
            <w:r>
              <w:rPr>
                <w:b w:val="0"/>
                <w:i w:val="0"/>
                <w:sz w:val="17"/>
              </w:rPr>
              <w:t>PFML</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7"/>
              </w:rPr>
              <w:t>80%/50% tiered; ~$1,170.64/wk; 12 wks</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50% / $850 / 8 wks</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Yes (must meet/exceed)</w:t>
            </w:r>
          </w:p>
        </w:tc>
        <w:tc>
          <w:tcPr>
            <w:tcW w:type="dxa" w:w="1296"/>
            <w:tcMar>
              <w:top w:w="40" w:type="dxa"/>
              <w:bottom w:w="40" w:type="dxa"/>
              <w:start w:w="80" w:type="dxa"/>
              <w:end w:w="80" w:type="dxa"/>
            </w:tcMar>
            <w:shd w:val="clear" w:color="auto" w:fill="F2F5FA"/>
          </w:tcPr>
          <w:p>
            <w:pPr>
              <w:spacing w:after="40" w:before="40" w:line="240" w:lineRule="auto"/>
            </w:pPr>
            <w:r/>
            <w:r>
              <w:rPr>
                <w:b/>
                <w:i w:val="0"/>
                <w:color w:val="9C0006"/>
                <w:sz w:val="17"/>
              </w:rPr>
              <w:t>No</w:t>
            </w:r>
          </w:p>
        </w:tc>
      </w:tr>
      <w:tr>
        <w:tc>
          <w:tcPr>
            <w:tcW w:type="dxa" w:w="720"/>
            <w:tcMar>
              <w:top w:w="40" w:type="dxa"/>
              <w:bottom w:w="40" w:type="dxa"/>
              <w:start w:w="80" w:type="dxa"/>
              <w:end w:w="80" w:type="dxa"/>
            </w:tcMar>
          </w:tcPr>
          <w:p>
            <w:pPr>
              <w:spacing w:after="40" w:before="40" w:line="240" w:lineRule="auto"/>
            </w:pPr>
            <w:r/>
            <w:r>
              <w:rPr>
                <w:b/>
                <w:i w:val="0"/>
                <w:sz w:val="17"/>
              </w:rPr>
              <w:t>CO</w:t>
            </w:r>
          </w:p>
        </w:tc>
        <w:tc>
          <w:tcPr>
            <w:tcW w:type="dxa" w:w="864"/>
            <w:tcMar>
              <w:top w:w="40" w:type="dxa"/>
              <w:bottom w:w="40" w:type="dxa"/>
              <w:start w:w="80" w:type="dxa"/>
              <w:end w:w="80" w:type="dxa"/>
            </w:tcMar>
          </w:tcPr>
          <w:p>
            <w:pPr>
              <w:spacing w:after="40" w:before="40" w:line="240" w:lineRule="auto"/>
            </w:pPr>
            <w:r/>
            <w:r>
              <w:rPr>
                <w:b w:val="0"/>
                <w:i w:val="0"/>
                <w:sz w:val="17"/>
              </w:rPr>
              <w:t>FAMLI</w:t>
            </w:r>
          </w:p>
        </w:tc>
        <w:tc>
          <w:tcPr>
            <w:tcW w:type="dxa" w:w="2880"/>
            <w:tcMar>
              <w:top w:w="40" w:type="dxa"/>
              <w:bottom w:w="40" w:type="dxa"/>
              <w:start w:w="80" w:type="dxa"/>
              <w:end w:w="80" w:type="dxa"/>
            </w:tcMar>
          </w:tcPr>
          <w:p>
            <w:pPr>
              <w:spacing w:after="40" w:before="40" w:line="240" w:lineRule="auto"/>
            </w:pPr>
            <w:r/>
            <w:r>
              <w:rPr>
                <w:b w:val="0"/>
                <w:i w:val="0"/>
                <w:sz w:val="17"/>
              </w:rPr>
              <w:t>90%/50% tiered; ~$1,100/wk; 12 wks</w:t>
            </w:r>
          </w:p>
        </w:tc>
        <w:tc>
          <w:tcPr>
            <w:tcW w:type="dxa" w:w="2160"/>
            <w:tcMar>
              <w:top w:w="40" w:type="dxa"/>
              <w:bottom w:w="40" w:type="dxa"/>
              <w:start w:w="80" w:type="dxa"/>
              <w:end w:w="80" w:type="dxa"/>
            </w:tcMar>
          </w:tcPr>
          <w:p>
            <w:pPr>
              <w:spacing w:after="40" w:before="40" w:line="240" w:lineRule="auto"/>
            </w:pPr>
            <w:r/>
            <w:r>
              <w:rPr>
                <w:b w:val="0"/>
                <w:i w:val="0"/>
                <w:sz w:val="17"/>
              </w:rPr>
              <w:t>50% / $850 / 8 wks</w:t>
            </w:r>
          </w:p>
        </w:tc>
        <w:tc>
          <w:tcPr>
            <w:tcW w:type="dxa" w:w="2160"/>
            <w:tcMar>
              <w:top w:w="40" w:type="dxa"/>
              <w:bottom w:w="40" w:type="dxa"/>
              <w:start w:w="80" w:type="dxa"/>
              <w:end w:w="80" w:type="dxa"/>
            </w:tcMar>
          </w:tcPr>
          <w:p>
            <w:pPr>
              <w:spacing w:after="40" w:before="40" w:line="240" w:lineRule="auto"/>
            </w:pPr>
            <w:r/>
            <w:r>
              <w:rPr>
                <w:b/>
                <w:i w:val="0"/>
                <w:color w:val="9C0006"/>
                <w:sz w:val="17"/>
              </w:rPr>
              <w:t>No (must participate)</w:t>
            </w:r>
          </w:p>
        </w:tc>
        <w:tc>
          <w:tcPr>
            <w:tcW w:type="dxa" w:w="1296"/>
            <w:tcMar>
              <w:top w:w="40" w:type="dxa"/>
              <w:bottom w:w="40" w:type="dxa"/>
              <w:start w:w="80" w:type="dxa"/>
              <w:end w:w="80" w:type="dxa"/>
            </w:tcMar>
          </w:tcPr>
          <w:p>
            <w:pPr>
              <w:spacing w:after="40" w:before="40" w:line="240" w:lineRule="auto"/>
            </w:pPr>
            <w:r/>
            <w:r>
              <w:rPr>
                <w:b/>
                <w:i w:val="0"/>
                <w:color w:val="9C0006"/>
                <w:sz w:val="17"/>
              </w:rPr>
              <w:t>N/A</w:t>
            </w:r>
          </w:p>
        </w:tc>
      </w:tr>
      <w:tr>
        <w:tc>
          <w:tcPr>
            <w:tcW w:type="dxa" w:w="720"/>
            <w:tcMar>
              <w:top w:w="40" w:type="dxa"/>
              <w:bottom w:w="40" w:type="dxa"/>
              <w:start w:w="80" w:type="dxa"/>
              <w:end w:w="80" w:type="dxa"/>
            </w:tcMar>
            <w:shd w:val="clear" w:color="auto" w:fill="F2F5FA"/>
          </w:tcPr>
          <w:p>
            <w:pPr>
              <w:spacing w:after="40" w:before="40" w:line="240" w:lineRule="auto"/>
            </w:pPr>
            <w:r/>
            <w:r>
              <w:rPr>
                <w:b/>
                <w:i w:val="0"/>
                <w:sz w:val="17"/>
              </w:rPr>
              <w:t>OR</w:t>
            </w:r>
          </w:p>
        </w:tc>
        <w:tc>
          <w:tcPr>
            <w:tcW w:type="dxa" w:w="864"/>
            <w:tcMar>
              <w:top w:w="40" w:type="dxa"/>
              <w:bottom w:w="40" w:type="dxa"/>
              <w:start w:w="80" w:type="dxa"/>
              <w:end w:w="80" w:type="dxa"/>
            </w:tcMar>
            <w:shd w:val="clear" w:color="auto" w:fill="F2F5FA"/>
          </w:tcPr>
          <w:p>
            <w:pPr>
              <w:spacing w:after="40" w:before="40" w:line="240" w:lineRule="auto"/>
            </w:pPr>
            <w:r/>
            <w:r>
              <w:rPr>
                <w:b w:val="0"/>
                <w:i w:val="0"/>
                <w:sz w:val="17"/>
              </w:rPr>
              <w:t>PLO</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7"/>
              </w:rPr>
              <w:t>100%/50% tiered; ~$1,523.63/wk; 12 wks (+2)</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50% / $850 / 8 wks</w:t>
            </w:r>
          </w:p>
        </w:tc>
        <w:tc>
          <w:tcPr>
            <w:tcW w:type="dxa" w:w="2160"/>
            <w:tcMar>
              <w:top w:w="40" w:type="dxa"/>
              <w:bottom w:w="40" w:type="dxa"/>
              <w:start w:w="80" w:type="dxa"/>
              <w:end w:w="80" w:type="dxa"/>
            </w:tcMar>
            <w:shd w:val="clear" w:color="auto" w:fill="F2F5FA"/>
          </w:tcPr>
          <w:p>
            <w:pPr>
              <w:spacing w:after="40" w:before="40" w:line="240" w:lineRule="auto"/>
            </w:pPr>
            <w:r/>
            <w:r>
              <w:rPr>
                <w:b w:val="0"/>
                <w:i w:val="0"/>
                <w:sz w:val="17"/>
              </w:rPr>
              <w:t>Yes (must meet/exceed)</w:t>
            </w:r>
          </w:p>
        </w:tc>
        <w:tc>
          <w:tcPr>
            <w:tcW w:type="dxa" w:w="1296"/>
            <w:tcMar>
              <w:top w:w="40" w:type="dxa"/>
              <w:bottom w:w="40" w:type="dxa"/>
              <w:start w:w="80" w:type="dxa"/>
              <w:end w:w="80" w:type="dxa"/>
            </w:tcMar>
            <w:shd w:val="clear" w:color="auto" w:fill="F2F5FA"/>
          </w:tcPr>
          <w:p>
            <w:pPr>
              <w:spacing w:after="40" w:before="40" w:line="240" w:lineRule="auto"/>
            </w:pPr>
            <w:r/>
            <w:r>
              <w:rPr>
                <w:b/>
                <w:i w:val="0"/>
                <w:color w:val="9C0006"/>
                <w:sz w:val="17"/>
              </w:rPr>
              <w:t>No</w:t>
            </w:r>
          </w:p>
        </w:tc>
      </w:tr>
      <w:tr>
        <w:tc>
          <w:tcPr>
            <w:tcW w:type="dxa" w:w="720"/>
            <w:tcMar>
              <w:top w:w="40" w:type="dxa"/>
              <w:bottom w:w="40" w:type="dxa"/>
              <w:start w:w="80" w:type="dxa"/>
              <w:end w:w="80" w:type="dxa"/>
            </w:tcMar>
          </w:tcPr>
          <w:p>
            <w:pPr>
              <w:spacing w:after="40" w:before="40" w:line="240" w:lineRule="auto"/>
            </w:pPr>
            <w:r/>
            <w:r>
              <w:rPr>
                <w:b/>
                <w:i w:val="0"/>
                <w:sz w:val="17"/>
              </w:rPr>
              <w:t>WA</w:t>
            </w:r>
          </w:p>
        </w:tc>
        <w:tc>
          <w:tcPr>
            <w:tcW w:type="dxa" w:w="864"/>
            <w:tcMar>
              <w:top w:w="40" w:type="dxa"/>
              <w:bottom w:w="40" w:type="dxa"/>
              <w:start w:w="80" w:type="dxa"/>
              <w:end w:w="80" w:type="dxa"/>
            </w:tcMar>
          </w:tcPr>
          <w:p>
            <w:pPr>
              <w:spacing w:after="40" w:before="40" w:line="240" w:lineRule="auto"/>
            </w:pPr>
            <w:r/>
            <w:r>
              <w:rPr>
                <w:b w:val="0"/>
                <w:i w:val="0"/>
                <w:sz w:val="17"/>
              </w:rPr>
              <w:t>PFML</w:t>
            </w:r>
          </w:p>
        </w:tc>
        <w:tc>
          <w:tcPr>
            <w:tcW w:type="dxa" w:w="2880"/>
            <w:tcMar>
              <w:top w:w="40" w:type="dxa"/>
              <w:bottom w:w="40" w:type="dxa"/>
              <w:start w:w="80" w:type="dxa"/>
              <w:end w:w="80" w:type="dxa"/>
            </w:tcMar>
          </w:tcPr>
          <w:p>
            <w:pPr>
              <w:spacing w:after="40" w:before="40" w:line="240" w:lineRule="auto"/>
            </w:pPr>
            <w:r/>
            <w:r>
              <w:rPr>
                <w:b w:val="0"/>
                <w:i w:val="0"/>
                <w:sz w:val="17"/>
              </w:rPr>
              <w:t>90%/50% tiered; ~$1,526/wk; 12 wks</w:t>
            </w:r>
          </w:p>
        </w:tc>
        <w:tc>
          <w:tcPr>
            <w:tcW w:type="dxa" w:w="2160"/>
            <w:tcMar>
              <w:top w:w="40" w:type="dxa"/>
              <w:bottom w:w="40" w:type="dxa"/>
              <w:start w:w="80" w:type="dxa"/>
              <w:end w:w="80" w:type="dxa"/>
            </w:tcMar>
          </w:tcPr>
          <w:p>
            <w:pPr>
              <w:spacing w:after="40" w:before="40" w:line="240" w:lineRule="auto"/>
            </w:pPr>
            <w:r/>
            <w:r>
              <w:rPr>
                <w:b w:val="0"/>
                <w:i w:val="0"/>
                <w:sz w:val="17"/>
              </w:rPr>
              <w:t>50% / $850 / 8 wks</w:t>
            </w:r>
          </w:p>
        </w:tc>
        <w:tc>
          <w:tcPr>
            <w:tcW w:type="dxa" w:w="2160"/>
            <w:tcMar>
              <w:top w:w="40" w:type="dxa"/>
              <w:bottom w:w="40" w:type="dxa"/>
              <w:start w:w="80" w:type="dxa"/>
              <w:end w:w="80" w:type="dxa"/>
            </w:tcMar>
          </w:tcPr>
          <w:p>
            <w:pPr>
              <w:spacing w:after="40" w:before="40" w:line="240" w:lineRule="auto"/>
            </w:pPr>
            <w:r/>
            <w:r>
              <w:rPr>
                <w:b w:val="0"/>
                <w:i w:val="0"/>
                <w:sz w:val="17"/>
              </w:rPr>
              <w:t>Yes (voluntary plan; must meet/exceed)</w:t>
            </w:r>
          </w:p>
        </w:tc>
        <w:tc>
          <w:tcPr>
            <w:tcW w:type="dxa" w:w="1296"/>
            <w:tcMar>
              <w:top w:w="40" w:type="dxa"/>
              <w:bottom w:w="40" w:type="dxa"/>
              <w:start w:w="80" w:type="dxa"/>
              <w:end w:w="80" w:type="dxa"/>
            </w:tcMar>
          </w:tcPr>
          <w:p>
            <w:pPr>
              <w:spacing w:after="40" w:before="40" w:line="240" w:lineRule="auto"/>
            </w:pPr>
            <w:r/>
            <w:r>
              <w:rPr>
                <w:b/>
                <w:i w:val="0"/>
                <w:color w:val="9C0006"/>
                <w:sz w:val="17"/>
              </w:rPr>
              <w:t>No</w:t>
            </w:r>
          </w:p>
        </w:tc>
      </w:tr>
    </w:tbl>
    <w:p>
      <w:pPr>
        <w:spacing w:after="80"/>
      </w:pPr>
    </w:p>
    <w:p>
      <w:pPr>
        <w:spacing w:after="120"/>
        <w:jc w:val="both"/>
      </w:pPr>
      <w:r>
        <w:t>Three structural options are available, and we recommend that the Company select an approach on a state-by-state basis:</w:t>
      </w:r>
    </w:p>
    <w:p>
      <w:pPr>
        <w:pStyle w:val="ListBullet"/>
        <w:spacing w:after="60"/>
        <w:ind w:left="432"/>
      </w:pPr>
      <w:r>
        <w:rPr>
          <w:b/>
        </w:rPr>
        <w:t>Option A — Participate in the state program and treat the self-funded benefit as supplemental.</w:t>
      </w:r>
      <w:r>
        <w:t xml:space="preserve"> This is the lowest-risk approach and is the only compliant option in Colorado. Employees receive the full state benefit; the Company may, if desired, supplement to a higher level. The Company would register, remit employer contributions where required, and direct employees to file claims through the state program. This eliminates the dual-coverage confusion and the misdirection risk identified in C3.</w:t>
      </w:r>
    </w:p>
    <w:p>
      <w:pPr>
        <w:pStyle w:val="ListBullet"/>
        <w:spacing w:after="60"/>
        <w:ind w:left="432"/>
      </w:pPr>
      <w:r>
        <w:rPr>
          <w:b/>
        </w:rPr>
        <w:t>Option B — Seek an approved private/voluntary plan with enhanced benefits.</w:t>
      </w:r>
      <w:r>
        <w:t xml:space="preserve"> Available in NJ, NY, CT, MA, OR, and WA (not CO). The Company would enhance the self-funded benefit to meet or exceed the statutory minimum in all respects (rate, cap, duration, covered leave types, eligibility) and file for approval with the relevant state agency. This preserves a uniform company-administered experience but requires materially higher benefit levels and ongoing equivalency maintenance.</w:t>
      </w:r>
    </w:p>
    <w:p>
      <w:pPr>
        <w:pStyle w:val="ListBullet"/>
        <w:spacing w:after="60"/>
        <w:ind w:left="432"/>
      </w:pPr>
      <w:r>
        <w:rPr>
          <w:b/>
        </w:rPr>
        <w:t>Option C — Discontinue the self-funded plan.</w:t>
      </w:r>
      <w:r>
        <w:t xml:space="preserve"> The Company would rely entirely on the state programs (supplemented by voluntary STD where offered). This eliminates employee confusion and the administrative burden of maintaining a sub-statutory parallel plan, but reduces the Company's ability to offer a uniform, branded benefit.</w:t>
      </w:r>
    </w:p>
    <w:p>
      <w:pPr>
        <w:spacing w:after="120"/>
        <w:jc w:val="both"/>
      </w:pPr>
      <w:r>
        <w:t xml:space="preserve">We recommend </w:t>
      </w:r>
      <w:r>
        <w:rPr>
          <w:b/>
        </w:rPr>
        <w:t>Option A as the default</w:t>
      </w:r>
      <w:r>
        <w:t>, with Option B considered only where the Company places significant value on a uniform company-administered experience and is prepared to fund enhanced benefits. In Colorado, Option A is mandatory. A decision should be made by July 1, 2025 to allow implementation before the Massachusetts opening and to inform the revised Handbook.</w:t>
      </w:r>
    </w:p>
    <w:p>
      <w:pPr>
        <w:keepNext/>
        <w:spacing w:before="280" w:after="80"/>
        <w:pBdr>
          <w:bottom w:val="single" w:sz="6" w:space="2" w:color="1F4E78"/>
        </w:pBdr>
      </w:pPr>
      <w:r>
        <w:rPr>
          <w:b/>
          <w:color w:val="1F4E78"/>
          <w:sz w:val="26"/>
        </w:rPr>
        <w:t>IX.  Operational Risks — Manual Spreadsheet Leave Tracking</w:t>
      </w:r>
    </w:p>
    <w:p>
      <w:pPr>
        <w:spacing w:after="120"/>
        <w:jc w:val="both"/>
      </w:pPr>
      <w:r>
        <w:t>The engagement letter directed assessment of the operational risks associated with the Company's manual, spreadsheet-based leave tracking as it scales to seven jurisdictions. The current system—one Excel workbook per state, maintained by two HR coordinators who manually extract hours from ClockSync, cross-reference the WorkBridge Pro roster, and apply accrual formulas—presents the following risks:</w:t>
      </w:r>
    </w:p>
    <w:p>
      <w:pPr>
        <w:pStyle w:val="ListBullet"/>
        <w:spacing w:after="60"/>
        <w:ind w:left="432"/>
      </w:pPr>
      <w:r>
        <w:rPr>
          <w:b/>
        </w:rPr>
        <w:t>No state-specific rule differentiation.</w:t>
      </w:r>
      <w:r>
        <w:t xml:space="preserve"> The workbooks apply a single company-wide policy and do not encode the differing accrual rates, caps, waiting periods, carryover provisions, and benefit formulas of each state. As documented in the sample workbooks, part-time accrual caps and waiting-period eligibility have been applied inconsistently.</w:t>
      </w:r>
    </w:p>
    <w:p>
      <w:pPr>
        <w:pStyle w:val="ListBullet"/>
        <w:spacing w:after="60"/>
        <w:ind w:left="432"/>
      </w:pPr>
      <w:r>
        <w:rPr>
          <w:b/>
        </w:rPr>
        <w:t>No automated alerts.</w:t>
      </w:r>
      <w:r>
        <w:t xml:space="preserve"> The system provides no notification when an employee reaches an accrual cap, becomes eligible to use leave after a waiting period, or approaches a carryover deadline. With 2,560 projected employees, manual monitoring is not scalable.</w:t>
      </w:r>
    </w:p>
    <w:p>
      <w:pPr>
        <w:pStyle w:val="ListBullet"/>
        <w:spacing w:after="60"/>
        <w:ind w:left="432"/>
      </w:pPr>
      <w:r>
        <w:rPr>
          <w:b/>
        </w:rPr>
        <w:t>No audit trail.</w:t>
      </w:r>
      <w:r>
        <w:t xml:space="preserve"> Changes to balances are unlogged. In the event of an audit or complaint (including the Muñoz matter), the Company cannot demonstrate how a particular balance was determined. The sample workbooks include a negative balance (a data entry error) and notes confirming forfeited year-end balances under the non-compliant no-carryover policy.</w:t>
      </w:r>
    </w:p>
    <w:p>
      <w:pPr>
        <w:pStyle w:val="ListBullet"/>
        <w:spacing w:after="60"/>
        <w:ind w:left="432"/>
      </w:pPr>
      <w:r>
        <w:rPr>
          <w:b/>
        </w:rPr>
        <w:t>No system integration.</w:t>
      </w:r>
      <w:r>
        <w:t xml:space="preserve"> The spreadsheets are standalone; hours-worked and demographic data must be manually transcribed from ClockSync and WorkBridge Pro, creating transcription-error risk and data inconsistency.</w:t>
      </w:r>
    </w:p>
    <w:p>
      <w:pPr>
        <w:pStyle w:val="ListBullet"/>
        <w:spacing w:after="60"/>
        <w:ind w:left="432"/>
      </w:pPr>
      <w:r>
        <w:rPr>
          <w:b/>
        </w:rPr>
        <w:t>Limited scope.</w:t>
      </w:r>
      <w:r>
        <w:t xml:space="preserve"> The system tracks only earned sick leave. Paid family leave is tracked through a separate paper process; PTO is tracked in WorkBridge Pro. There is no single comprehensive view of an employee's leave entitlements and usage.</w:t>
      </w:r>
    </w:p>
    <w:p>
      <w:pPr>
        <w:pStyle w:val="ListBullet"/>
        <w:spacing w:after="60"/>
        <w:ind w:left="432"/>
      </w:pPr>
      <w:r>
        <w:rPr>
          <w:b/>
        </w:rPr>
        <w:t>Non-linear scaling.</w:t>
      </w:r>
      <w:r>
        <w:t xml:space="preserve"> Expanding from three to seven workbooks increases coordinator workload by an estimated 50–75% and introduces four additional sets of regulatory rules, increasing both cognitive burden and error probability.</w:t>
      </w:r>
    </w:p>
    <w:p>
      <w:pPr>
        <w:spacing w:after="120"/>
        <w:jc w:val="both"/>
      </w:pPr>
      <w:r>
        <w:t xml:space="preserve">Several expansion states impose specific recordkeeping requirements regarding leave accruals and usage. The manual system, in its current form, is unlikely to satisfy those requirements at scale. </w:t>
      </w:r>
      <w:r>
        <w:rPr>
          <w:b/>
        </w:rPr>
        <w:t>Recommended action:</w:t>
      </w:r>
      <w:r>
        <w:t xml:space="preserve"> issue an RFP for a dedicated leave management system that integrates with WorkBridge Pro and ClockSync and can be configured with state-specific rules for all seven jurisdictions (estimated $40,000–$75,000; three to six months to implement). In the interim, implement versioned spreadsheets with change logging and a documented state-rule reference for coordinators. Target: RFP by July 1, 2025; system live by Q1 2026.</w:t>
      </w:r>
    </w:p>
    <w:p>
      <w:pPr>
        <w:keepNext/>
        <w:spacing w:before="280" w:after="80"/>
        <w:pBdr>
          <w:bottom w:val="single" w:sz="6" w:space="2" w:color="1F4E78"/>
        </w:pBdr>
      </w:pPr>
      <w:r>
        <w:rPr>
          <w:b/>
          <w:color w:val="1F4E78"/>
          <w:sz w:val="26"/>
        </w:rPr>
        <w:t>X.  Prioritized Remediation Plan</w:t>
      </w:r>
    </w:p>
    <w:p>
      <w:pPr>
        <w:spacing w:after="120"/>
        <w:jc w:val="both"/>
      </w:pPr>
      <w:r>
        <w:t>The following plan sequences remediation against the Company's facility opening schedule and the July 1, 2025 target date for the revised Employee Handbook. Owners are identified per the engagement letter and the HR Expansion Plan Memorandum.</w:t>
      </w:r>
    </w:p>
    <w:p>
      <w:pPr>
        <w:keepNext/>
        <w:spacing w:before="200" w:after="60"/>
      </w:pPr>
      <w:r>
        <w:rPr>
          <w:b/>
          <w:color w:val="1F4E78"/>
          <w:sz w:val="23"/>
        </w:rPr>
        <w:t>Immediate Actions (May–June 2025)</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
            <w:shd w:val="clear" w:color="auto" w:fill="1F4E78"/>
            <w:tcMar>
              <w:top w:w="40" w:type="dxa"/>
              <w:bottom w:w="40" w:type="dxa"/>
              <w:start w:w="80" w:type="dxa"/>
              <w:end w:w="80" w:type="dxa"/>
            </w:tcMar>
          </w:tcPr>
          <w:p>
            <w:pPr>
              <w:spacing w:after="40" w:before="40" w:line="240" w:lineRule="auto"/>
              <w:jc w:val="center"/>
            </w:pPr>
            <w:r/>
            <w:r>
              <w:rPr>
                <w:b/>
                <w:i w:val="0"/>
                <w:color w:val="FFFFFF"/>
                <w:sz w:val="18"/>
              </w:rPr>
              <w:t>#</w:t>
            </w:r>
          </w:p>
        </w:tc>
        <w:tc>
          <w:tcPr>
            <w:tcW w:type="dxa" w:w="5184"/>
            <w:shd w:val="clear" w:color="auto" w:fill="1F4E78"/>
            <w:tcMar>
              <w:top w:w="40" w:type="dxa"/>
              <w:bottom w:w="40" w:type="dxa"/>
              <w:start w:w="80" w:type="dxa"/>
              <w:end w:w="80" w:type="dxa"/>
            </w:tcMar>
          </w:tcPr>
          <w:p>
            <w:pPr>
              <w:spacing w:after="40" w:before="40" w:line="240" w:lineRule="auto"/>
              <w:jc w:val="center"/>
            </w:pPr>
            <w:r/>
            <w:r>
              <w:rPr>
                <w:b/>
                <w:i w:val="0"/>
                <w:color w:val="FFFFFF"/>
                <w:sz w:val="18"/>
              </w:rPr>
              <w:t>Action Item</w:t>
            </w:r>
          </w:p>
        </w:tc>
        <w:tc>
          <w:tcPr>
            <w:tcW w:type="dxa" w:w="2880"/>
            <w:shd w:val="clear" w:color="auto" w:fill="1F4E78"/>
            <w:tcMar>
              <w:top w:w="40" w:type="dxa"/>
              <w:bottom w:w="40" w:type="dxa"/>
              <w:start w:w="80" w:type="dxa"/>
              <w:end w:w="80" w:type="dxa"/>
            </w:tcMar>
          </w:tcPr>
          <w:p>
            <w:pPr>
              <w:spacing w:after="40" w:before="40" w:line="240" w:lineRule="auto"/>
              <w:jc w:val="center"/>
            </w:pPr>
            <w:r/>
            <w:r>
              <w:rPr>
                <w:b/>
                <w:i w:val="0"/>
                <w:color w:val="FFFFFF"/>
                <w:sz w:val="18"/>
              </w:rPr>
              <w:t>Owner</w:t>
            </w:r>
          </w:p>
        </w:tc>
        <w:tc>
          <w:tcPr>
            <w:tcW w:type="dxa" w:w="1440"/>
            <w:shd w:val="clear" w:color="auto" w:fill="1F4E78"/>
            <w:tcMar>
              <w:top w:w="40" w:type="dxa"/>
              <w:bottom w:w="40" w:type="dxa"/>
              <w:start w:w="80" w:type="dxa"/>
              <w:end w:w="80" w:type="dxa"/>
            </w:tcMar>
          </w:tcPr>
          <w:p>
            <w:pPr>
              <w:spacing w:after="40" w:before="40" w:line="240" w:lineRule="auto"/>
              <w:jc w:val="center"/>
            </w:pPr>
            <w:r/>
            <w:r>
              <w:rPr>
                <w:b/>
                <w:i w:val="0"/>
                <w:color w:val="FFFFFF"/>
                <w:sz w:val="18"/>
              </w:rPr>
              <w:t>Deadline</w:t>
            </w:r>
          </w:p>
        </w:tc>
      </w:tr>
      <w:tr>
        <w:tc>
          <w:tcPr>
            <w:tcW w:type="dxa" w:w="432"/>
            <w:tcMar>
              <w:top w:w="40" w:type="dxa"/>
              <w:bottom w:w="40" w:type="dxa"/>
              <w:start w:w="80" w:type="dxa"/>
              <w:end w:w="80" w:type="dxa"/>
            </w:tcMar>
          </w:tcPr>
          <w:p>
            <w:pPr>
              <w:spacing w:after="40" w:before="40" w:line="240" w:lineRule="auto"/>
            </w:pPr>
            <w:r/>
            <w:r>
              <w:rPr>
                <w:b w:val="0"/>
                <w:i w:val="0"/>
                <w:sz w:val="18"/>
              </w:rPr>
              <w:t>1</w:t>
            </w:r>
          </w:p>
        </w:tc>
        <w:tc>
          <w:tcPr>
            <w:tcW w:type="dxa" w:w="5184"/>
            <w:tcMar>
              <w:top w:w="40" w:type="dxa"/>
              <w:bottom w:w="40" w:type="dxa"/>
              <w:start w:w="80" w:type="dxa"/>
              <w:end w:w="80" w:type="dxa"/>
            </w:tcMar>
          </w:tcPr>
          <w:p>
            <w:pPr>
              <w:spacing w:after="40" w:before="40" w:line="240" w:lineRule="auto"/>
            </w:pPr>
            <w:r/>
            <w:r>
              <w:rPr>
                <w:b w:val="0"/>
                <w:i w:val="0"/>
                <w:sz w:val="18"/>
              </w:rPr>
              <w:t>Register with MA DFML (MA PFML); provide confirmation to PinnacleHR; begin withholding configuration.</w:t>
            </w:r>
          </w:p>
        </w:tc>
        <w:tc>
          <w:tcPr>
            <w:tcW w:type="dxa" w:w="2880"/>
            <w:tcMar>
              <w:top w:w="40" w:type="dxa"/>
              <w:bottom w:w="40" w:type="dxa"/>
              <w:start w:w="80" w:type="dxa"/>
              <w:end w:w="80" w:type="dxa"/>
            </w:tcMar>
          </w:tcPr>
          <w:p>
            <w:pPr>
              <w:spacing w:after="40" w:before="40" w:line="240" w:lineRule="auto"/>
            </w:pPr>
            <w:r/>
            <w:r>
              <w:rPr>
                <w:b w:val="0"/>
                <w:i w:val="0"/>
                <w:sz w:val="18"/>
              </w:rPr>
              <w:t>HR (Delgado) + Legal (Thorsen); PinnacleHR (Samuelson)</w:t>
            </w:r>
          </w:p>
        </w:tc>
        <w:tc>
          <w:tcPr>
            <w:tcW w:type="dxa" w:w="1440"/>
            <w:tcMar>
              <w:top w:w="40" w:type="dxa"/>
              <w:bottom w:w="40" w:type="dxa"/>
              <w:start w:w="80" w:type="dxa"/>
              <w:end w:w="80" w:type="dxa"/>
            </w:tcMar>
          </w:tcPr>
          <w:p>
            <w:pPr>
              <w:spacing w:after="40" w:before="40" w:line="240" w:lineRule="auto"/>
            </w:pPr>
            <w:r/>
            <w:r>
              <w:rPr>
                <w:b w:val="0"/>
                <w:i w:val="0"/>
                <w:sz w:val="18"/>
              </w:rPr>
              <w:t>June 1, 2025</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2</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Confirm CO FAMLI trigger date for April 2025 remote hires; register with CO FAMLI Division; address remote-hire exposure.</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Legal (Thorsen) + 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Immediate</w:t>
            </w:r>
          </w:p>
        </w:tc>
      </w:tr>
      <w:tr>
        <w:tc>
          <w:tcPr>
            <w:tcW w:type="dxa" w:w="432"/>
            <w:tcMar>
              <w:top w:w="40" w:type="dxa"/>
              <w:bottom w:w="40" w:type="dxa"/>
              <w:start w:w="80" w:type="dxa"/>
              <w:end w:w="80" w:type="dxa"/>
            </w:tcMar>
          </w:tcPr>
          <w:p>
            <w:pPr>
              <w:spacing w:after="40" w:before="40" w:line="240" w:lineRule="auto"/>
            </w:pPr>
            <w:r/>
            <w:r>
              <w:rPr>
                <w:b w:val="0"/>
                <w:i w:val="0"/>
                <w:sz w:val="18"/>
              </w:rPr>
              <w:t>3</w:t>
            </w:r>
          </w:p>
        </w:tc>
        <w:tc>
          <w:tcPr>
            <w:tcW w:type="dxa" w:w="5184"/>
            <w:tcMar>
              <w:top w:w="40" w:type="dxa"/>
              <w:bottom w:w="40" w:type="dxa"/>
              <w:start w:w="80" w:type="dxa"/>
              <w:end w:w="80" w:type="dxa"/>
            </w:tcMar>
          </w:tcPr>
          <w:p>
            <w:pPr>
              <w:spacing w:after="40" w:before="40" w:line="240" w:lineRule="auto"/>
            </w:pPr>
            <w:r/>
            <w:r>
              <w:rPr>
                <w:b w:val="0"/>
                <w:i w:val="0"/>
                <w:sz w:val="18"/>
              </w:rPr>
              <w:t>Maintain interim guidance: do not deny/delay unforeseeable leave; do not turn away own-medical inquiries without checking state program; escalate uncertain cases.</w:t>
            </w:r>
          </w:p>
        </w:tc>
        <w:tc>
          <w:tcPr>
            <w:tcW w:type="dxa" w:w="2880"/>
            <w:tcMar>
              <w:top w:w="40" w:type="dxa"/>
              <w:bottom w:w="40" w:type="dxa"/>
              <w:start w:w="80" w:type="dxa"/>
              <w:end w:w="80" w:type="dxa"/>
            </w:tcMar>
          </w:tcPr>
          <w:p>
            <w:pPr>
              <w:spacing w:after="40" w:before="40" w:line="240" w:lineRule="auto"/>
            </w:pPr>
            <w:r/>
            <w:r>
              <w:rPr>
                <w:b w:val="0"/>
                <w:i w:val="0"/>
                <w:sz w:val="18"/>
              </w:rPr>
              <w:t>HR (Delgado)</w:t>
            </w:r>
          </w:p>
        </w:tc>
        <w:tc>
          <w:tcPr>
            <w:tcW w:type="dxa" w:w="1440"/>
            <w:tcMar>
              <w:top w:w="40" w:type="dxa"/>
              <w:bottom w:w="40" w:type="dxa"/>
              <w:start w:w="80" w:type="dxa"/>
              <w:end w:w="80" w:type="dxa"/>
            </w:tcMar>
          </w:tcPr>
          <w:p>
            <w:pPr>
              <w:spacing w:after="40" w:before="40" w:line="240" w:lineRule="auto"/>
            </w:pPr>
            <w:r/>
            <w:r>
              <w:rPr>
                <w:b w:val="0"/>
                <w:i w:val="0"/>
                <w:sz w:val="18"/>
              </w:rPr>
              <w:t>In effect</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4</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Compile and provide to H&amp;C the list of CT/NJ/NY own-medical inquiries (dates, names, HR responses) for restitution assessment.</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May 2025</w:t>
            </w:r>
          </w:p>
        </w:tc>
      </w:tr>
    </w:tbl>
    <w:p>
      <w:pPr>
        <w:keepNext/>
        <w:spacing w:before="200" w:after="60"/>
      </w:pPr>
      <w:r>
        <w:rPr>
          <w:b/>
          <w:color w:val="1F4E78"/>
          <w:sz w:val="23"/>
        </w:rPr>
        <w:t>By July 1, 2025 (Revised Employee Handbook)</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
            <w:shd w:val="clear" w:color="auto" w:fill="1F4E78"/>
            <w:tcMar>
              <w:top w:w="40" w:type="dxa"/>
              <w:bottom w:w="40" w:type="dxa"/>
              <w:start w:w="80" w:type="dxa"/>
              <w:end w:w="80" w:type="dxa"/>
            </w:tcMar>
          </w:tcPr>
          <w:p>
            <w:pPr>
              <w:spacing w:after="40" w:before="40" w:line="240" w:lineRule="auto"/>
              <w:jc w:val="center"/>
            </w:pPr>
            <w:r/>
            <w:r>
              <w:rPr>
                <w:b/>
                <w:i w:val="0"/>
                <w:color w:val="FFFFFF"/>
                <w:sz w:val="18"/>
              </w:rPr>
              <w:t>#</w:t>
            </w:r>
          </w:p>
        </w:tc>
        <w:tc>
          <w:tcPr>
            <w:tcW w:type="dxa" w:w="5184"/>
            <w:shd w:val="clear" w:color="auto" w:fill="1F4E78"/>
            <w:tcMar>
              <w:top w:w="40" w:type="dxa"/>
              <w:bottom w:w="40" w:type="dxa"/>
              <w:start w:w="80" w:type="dxa"/>
              <w:end w:w="80" w:type="dxa"/>
            </w:tcMar>
          </w:tcPr>
          <w:p>
            <w:pPr>
              <w:spacing w:after="40" w:before="40" w:line="240" w:lineRule="auto"/>
              <w:jc w:val="center"/>
            </w:pPr>
            <w:r/>
            <w:r>
              <w:rPr>
                <w:b/>
                <w:i w:val="0"/>
                <w:color w:val="FFFFFF"/>
                <w:sz w:val="18"/>
              </w:rPr>
              <w:t>Action Item</w:t>
            </w:r>
          </w:p>
        </w:tc>
        <w:tc>
          <w:tcPr>
            <w:tcW w:type="dxa" w:w="2880"/>
            <w:shd w:val="clear" w:color="auto" w:fill="1F4E78"/>
            <w:tcMar>
              <w:top w:w="40" w:type="dxa"/>
              <w:bottom w:w="40" w:type="dxa"/>
              <w:start w:w="80" w:type="dxa"/>
              <w:end w:w="80" w:type="dxa"/>
            </w:tcMar>
          </w:tcPr>
          <w:p>
            <w:pPr>
              <w:spacing w:after="40" w:before="40" w:line="240" w:lineRule="auto"/>
              <w:jc w:val="center"/>
            </w:pPr>
            <w:r/>
            <w:r>
              <w:rPr>
                <w:b/>
                <w:i w:val="0"/>
                <w:color w:val="FFFFFF"/>
                <w:sz w:val="18"/>
              </w:rPr>
              <w:t>Owner</w:t>
            </w:r>
          </w:p>
        </w:tc>
        <w:tc>
          <w:tcPr>
            <w:tcW w:type="dxa" w:w="1440"/>
            <w:shd w:val="clear" w:color="auto" w:fill="1F4E78"/>
            <w:tcMar>
              <w:top w:w="40" w:type="dxa"/>
              <w:bottom w:w="40" w:type="dxa"/>
              <w:start w:w="80" w:type="dxa"/>
              <w:end w:w="80" w:type="dxa"/>
            </w:tcMar>
          </w:tcPr>
          <w:p>
            <w:pPr>
              <w:spacing w:after="40" w:before="40" w:line="240" w:lineRule="auto"/>
              <w:jc w:val="center"/>
            </w:pPr>
            <w:r/>
            <w:r>
              <w:rPr>
                <w:b/>
                <w:i w:val="0"/>
                <w:color w:val="FFFFFF"/>
                <w:sz w:val="18"/>
              </w:rPr>
              <w:t>Deadline</w:t>
            </w:r>
          </w:p>
        </w:tc>
      </w:tr>
      <w:tr>
        <w:tc>
          <w:tcPr>
            <w:tcW w:type="dxa" w:w="432"/>
            <w:tcMar>
              <w:top w:w="40" w:type="dxa"/>
              <w:bottom w:w="40" w:type="dxa"/>
              <w:start w:w="80" w:type="dxa"/>
              <w:end w:w="80" w:type="dxa"/>
            </w:tcMar>
          </w:tcPr>
          <w:p>
            <w:pPr>
              <w:spacing w:after="40" w:before="40" w:line="240" w:lineRule="auto"/>
            </w:pPr>
            <w:r/>
            <w:r>
              <w:rPr>
                <w:b w:val="0"/>
                <w:i w:val="0"/>
                <w:sz w:val="18"/>
              </w:rPr>
              <w:t>5</w:t>
            </w:r>
          </w:p>
        </w:tc>
        <w:tc>
          <w:tcPr>
            <w:tcW w:type="dxa" w:w="5184"/>
            <w:tcMar>
              <w:top w:w="40" w:type="dxa"/>
              <w:bottom w:w="40" w:type="dxa"/>
              <w:start w:w="80" w:type="dxa"/>
              <w:end w:w="80" w:type="dxa"/>
            </w:tcMar>
          </w:tcPr>
          <w:p>
            <w:pPr>
              <w:spacing w:after="40" w:before="40" w:line="240" w:lineRule="auto"/>
            </w:pPr>
            <w:r/>
            <w:r>
              <w:rPr>
                <w:b w:val="0"/>
                <w:i w:val="0"/>
                <w:sz w:val="18"/>
              </w:rPr>
              <w:t>Redraft paid sick leave policy: broaden family-member definition and covered-uses list to broadest applicable state standard; adjust accrual rate (1/30), eliminate PT cap, implement carryover, reduce/remove waiting period per state, raise NY cap to 56 hrs.</w:t>
            </w:r>
          </w:p>
        </w:tc>
        <w:tc>
          <w:tcPr>
            <w:tcW w:type="dxa" w:w="2880"/>
            <w:tcMar>
              <w:top w:w="40" w:type="dxa"/>
              <w:bottom w:w="40" w:type="dxa"/>
              <w:start w:w="80" w:type="dxa"/>
              <w:end w:w="80" w:type="dxa"/>
            </w:tcMar>
          </w:tcPr>
          <w:p>
            <w:pPr>
              <w:spacing w:after="40" w:before="40" w:line="240" w:lineRule="auto"/>
            </w:pPr>
            <w:r/>
            <w:r>
              <w:rPr>
                <w:b w:val="0"/>
                <w:i w:val="0"/>
                <w:sz w:val="18"/>
              </w:rPr>
              <w:t>Legal (H&amp;C) + HR (Delgado)</w:t>
            </w:r>
          </w:p>
        </w:tc>
        <w:tc>
          <w:tcPr>
            <w:tcW w:type="dxa" w:w="1440"/>
            <w:tcMar>
              <w:top w:w="40" w:type="dxa"/>
              <w:bottom w:w="40" w:type="dxa"/>
              <w:start w:w="80" w:type="dxa"/>
              <w:end w:w="80" w:type="dxa"/>
            </w:tcMar>
          </w:tcPr>
          <w:p>
            <w:pPr>
              <w:spacing w:after="40" w:before="40" w:line="240" w:lineRule="auto"/>
            </w:pPr>
            <w:r/>
            <w:r>
              <w:rPr>
                <w:b w:val="0"/>
                <w:i w:val="0"/>
                <w:sz w:val="18"/>
              </w:rPr>
              <w:t>July 1, 2025</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6</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Redraft paid family leave policy: add military exigency (and own-medical/safe leave where applicable); add unforeseeable-notice carve-out; align eligibility to state criteria.</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Legal (H&amp;C) + 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July 1, 2025</w:t>
            </w:r>
          </w:p>
        </w:tc>
      </w:tr>
      <w:tr>
        <w:tc>
          <w:tcPr>
            <w:tcW w:type="dxa" w:w="432"/>
            <w:tcMar>
              <w:top w:w="40" w:type="dxa"/>
              <w:bottom w:w="40" w:type="dxa"/>
              <w:start w:w="80" w:type="dxa"/>
              <w:end w:w="80" w:type="dxa"/>
            </w:tcMar>
          </w:tcPr>
          <w:p>
            <w:pPr>
              <w:spacing w:after="40" w:before="40" w:line="240" w:lineRule="auto"/>
            </w:pPr>
            <w:r/>
            <w:r>
              <w:rPr>
                <w:b w:val="0"/>
                <w:i w:val="0"/>
                <w:sz w:val="18"/>
              </w:rPr>
              <w:t>7</w:t>
            </w:r>
          </w:p>
        </w:tc>
        <w:tc>
          <w:tcPr>
            <w:tcW w:type="dxa" w:w="5184"/>
            <w:tcMar>
              <w:top w:w="40" w:type="dxa"/>
              <w:bottom w:w="40" w:type="dxa"/>
              <w:start w:w="80" w:type="dxa"/>
              <w:end w:w="80" w:type="dxa"/>
            </w:tcMar>
          </w:tcPr>
          <w:p>
            <w:pPr>
              <w:spacing w:after="40" w:before="40" w:line="240" w:lineRule="auto"/>
            </w:pPr>
            <w:r/>
            <w:r>
              <w:rPr>
                <w:b w:val="0"/>
                <w:i w:val="0"/>
                <w:sz w:val="18"/>
              </w:rPr>
              <w:t>Decide self-funded PFL structural approach per state (Section VIII); implement registrations/applications as needed.</w:t>
            </w:r>
          </w:p>
        </w:tc>
        <w:tc>
          <w:tcPr>
            <w:tcW w:type="dxa" w:w="2880"/>
            <w:tcMar>
              <w:top w:w="40" w:type="dxa"/>
              <w:bottom w:w="40" w:type="dxa"/>
              <w:start w:w="80" w:type="dxa"/>
              <w:end w:w="80" w:type="dxa"/>
            </w:tcMar>
          </w:tcPr>
          <w:p>
            <w:pPr>
              <w:spacing w:after="40" w:before="40" w:line="240" w:lineRule="auto"/>
            </w:pPr>
            <w:r/>
            <w:r>
              <w:rPr>
                <w:b w:val="0"/>
                <w:i w:val="0"/>
                <w:sz w:val="18"/>
              </w:rPr>
              <w:t>Legal (Thorsen) + HR (Delgado)</w:t>
            </w:r>
          </w:p>
        </w:tc>
        <w:tc>
          <w:tcPr>
            <w:tcW w:type="dxa" w:w="1440"/>
            <w:tcMar>
              <w:top w:w="40" w:type="dxa"/>
              <w:bottom w:w="40" w:type="dxa"/>
              <w:start w:w="80" w:type="dxa"/>
              <w:end w:w="80" w:type="dxa"/>
            </w:tcMar>
          </w:tcPr>
          <w:p>
            <w:pPr>
              <w:spacing w:after="40" w:before="40" w:line="240" w:lineRule="auto"/>
            </w:pPr>
            <w:r/>
            <w:r>
              <w:rPr>
                <w:b w:val="0"/>
                <w:i w:val="0"/>
                <w:sz w:val="18"/>
              </w:rPr>
              <w:t>Decision by July 1, 2025</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8</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Amend PTO payout policy for MA, CO, WA (mandatory payout); review 5-day carryover cap; add OR-specific language.</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Legal (H&amp;C) + 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July 1, 2025</w:t>
            </w:r>
          </w:p>
        </w:tc>
      </w:tr>
      <w:tr>
        <w:tc>
          <w:tcPr>
            <w:tcW w:type="dxa" w:w="432"/>
            <w:tcMar>
              <w:top w:w="40" w:type="dxa"/>
              <w:bottom w:w="40" w:type="dxa"/>
              <w:start w:w="80" w:type="dxa"/>
              <w:end w:w="80" w:type="dxa"/>
            </w:tcMar>
          </w:tcPr>
          <w:p>
            <w:pPr>
              <w:spacing w:after="40" w:before="40" w:line="240" w:lineRule="auto"/>
            </w:pPr>
            <w:r/>
            <w:r>
              <w:rPr>
                <w:b w:val="0"/>
                <w:i w:val="0"/>
                <w:sz w:val="18"/>
              </w:rPr>
              <w:t>9</w:t>
            </w:r>
          </w:p>
        </w:tc>
        <w:tc>
          <w:tcPr>
            <w:tcW w:type="dxa" w:w="5184"/>
            <w:tcMar>
              <w:top w:w="40" w:type="dxa"/>
              <w:bottom w:w="40" w:type="dxa"/>
              <w:start w:w="80" w:type="dxa"/>
              <w:end w:w="80" w:type="dxa"/>
            </w:tcMar>
          </w:tcPr>
          <w:p>
            <w:pPr>
              <w:spacing w:after="40" w:before="40" w:line="240" w:lineRule="auto"/>
            </w:pPr>
            <w:r/>
            <w:r>
              <w:rPr>
                <w:b w:val="0"/>
                <w:i w:val="0"/>
                <w:sz w:val="18"/>
              </w:rPr>
              <w:t>Align medical documentation threshold to state standards (3+ days; 4+ in CT).</w:t>
            </w:r>
          </w:p>
        </w:tc>
        <w:tc>
          <w:tcPr>
            <w:tcW w:type="dxa" w:w="2880"/>
            <w:tcMar>
              <w:top w:w="40" w:type="dxa"/>
              <w:bottom w:w="40" w:type="dxa"/>
              <w:start w:w="80" w:type="dxa"/>
              <w:end w:w="80" w:type="dxa"/>
            </w:tcMar>
          </w:tcPr>
          <w:p>
            <w:pPr>
              <w:spacing w:after="40" w:before="40" w:line="240" w:lineRule="auto"/>
            </w:pPr>
            <w:r/>
            <w:r>
              <w:rPr>
                <w:b w:val="0"/>
                <w:i w:val="0"/>
                <w:sz w:val="18"/>
              </w:rPr>
              <w:t>Legal (H&amp;C) + HR (Delgado)</w:t>
            </w:r>
          </w:p>
        </w:tc>
        <w:tc>
          <w:tcPr>
            <w:tcW w:type="dxa" w:w="1440"/>
            <w:tcMar>
              <w:top w:w="40" w:type="dxa"/>
              <w:bottom w:w="40" w:type="dxa"/>
              <w:start w:w="80" w:type="dxa"/>
              <w:end w:w="80" w:type="dxa"/>
            </w:tcMar>
          </w:tcPr>
          <w:p>
            <w:pPr>
              <w:spacing w:after="40" w:before="40" w:line="240" w:lineRule="auto"/>
            </w:pPr>
            <w:r/>
            <w:r>
              <w:rPr>
                <w:b w:val="0"/>
                <w:i w:val="0"/>
                <w:sz w:val="18"/>
              </w:rPr>
              <w:t>July 1, 2025</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10</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Inventory and display required workplace postings; implement individual-notice-at-hire process for all states.</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July 1, 2025</w:t>
            </w:r>
          </w:p>
        </w:tc>
      </w:tr>
      <w:tr>
        <w:tc>
          <w:tcPr>
            <w:tcW w:type="dxa" w:w="432"/>
            <w:tcMar>
              <w:top w:w="40" w:type="dxa"/>
              <w:bottom w:w="40" w:type="dxa"/>
              <w:start w:w="80" w:type="dxa"/>
              <w:end w:w="80" w:type="dxa"/>
            </w:tcMar>
          </w:tcPr>
          <w:p>
            <w:pPr>
              <w:spacing w:after="40" w:before="40" w:line="240" w:lineRule="auto"/>
            </w:pPr>
            <w:r/>
            <w:r>
              <w:rPr>
                <w:b w:val="0"/>
                <w:i w:val="0"/>
                <w:sz w:val="18"/>
              </w:rPr>
              <w:t>11</w:t>
            </w:r>
          </w:p>
        </w:tc>
        <w:tc>
          <w:tcPr>
            <w:tcW w:type="dxa" w:w="5184"/>
            <w:tcMar>
              <w:top w:w="40" w:type="dxa"/>
              <w:bottom w:w="40" w:type="dxa"/>
              <w:start w:w="80" w:type="dxa"/>
              <w:end w:w="80" w:type="dxa"/>
            </w:tcMar>
          </w:tcPr>
          <w:p>
            <w:pPr>
              <w:spacing w:after="40" w:before="40" w:line="240" w:lineRule="auto"/>
            </w:pPr>
            <w:r/>
            <w:r>
              <w:rPr>
                <w:b w:val="0"/>
                <w:i w:val="0"/>
                <w:sz w:val="18"/>
              </w:rPr>
              <w:t>Issue RFP for dedicated leave management system; begin vendor demonstrations.</w:t>
            </w:r>
          </w:p>
        </w:tc>
        <w:tc>
          <w:tcPr>
            <w:tcW w:type="dxa" w:w="2880"/>
            <w:tcMar>
              <w:top w:w="40" w:type="dxa"/>
              <w:bottom w:w="40" w:type="dxa"/>
              <w:start w:w="80" w:type="dxa"/>
              <w:end w:w="80" w:type="dxa"/>
            </w:tcMar>
          </w:tcPr>
          <w:p>
            <w:pPr>
              <w:spacing w:after="40" w:before="40" w:line="240" w:lineRule="auto"/>
            </w:pPr>
            <w:r/>
            <w:r>
              <w:rPr>
                <w:b w:val="0"/>
                <w:i w:val="0"/>
                <w:sz w:val="18"/>
              </w:rPr>
              <w:t>HR (Delgado) + IT</w:t>
            </w:r>
          </w:p>
        </w:tc>
        <w:tc>
          <w:tcPr>
            <w:tcW w:type="dxa" w:w="1440"/>
            <w:tcMar>
              <w:top w:w="40" w:type="dxa"/>
              <w:bottom w:w="40" w:type="dxa"/>
              <w:start w:w="80" w:type="dxa"/>
              <w:end w:w="80" w:type="dxa"/>
            </w:tcMar>
          </w:tcPr>
          <w:p>
            <w:pPr>
              <w:spacing w:after="40" w:before="40" w:line="240" w:lineRule="auto"/>
            </w:pPr>
            <w:r/>
            <w:r>
              <w:rPr>
                <w:b w:val="0"/>
                <w:i w:val="0"/>
                <w:sz w:val="18"/>
              </w:rPr>
              <w:t>July 1, 2025</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12</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Conduct supervisor and HR training on revised leave policies (family-member definition, covered uses, notice, claims routing).</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HR (Delgado) + Legal (H&amp;C)</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July 1, 2025</w:t>
            </w:r>
          </w:p>
        </w:tc>
      </w:tr>
    </w:tbl>
    <w:p>
      <w:pPr>
        <w:keepNext/>
        <w:spacing w:before="200" w:after="60"/>
      </w:pPr>
      <w:r>
        <w:rPr>
          <w:b/>
          <w:color w:val="1F4E78"/>
          <w:sz w:val="23"/>
        </w:rPr>
        <w:t>By Each Expansion-State Opening</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shd w:val="clear" w:color="auto" w:fill="1F4E78"/>
            <w:tcMar>
              <w:top w:w="40" w:type="dxa"/>
              <w:bottom w:w="40" w:type="dxa"/>
              <w:start w:w="80" w:type="dxa"/>
              <w:end w:w="80" w:type="dxa"/>
            </w:tcMar>
          </w:tcPr>
          <w:p>
            <w:pPr>
              <w:spacing w:after="40" w:before="40" w:line="240" w:lineRule="auto"/>
              <w:jc w:val="center"/>
            </w:pPr>
            <w:r/>
            <w:r>
              <w:rPr>
                <w:b/>
                <w:i w:val="0"/>
                <w:color w:val="FFFFFF"/>
                <w:sz w:val="18"/>
              </w:rPr>
              <w:t>State</w:t>
            </w:r>
          </w:p>
        </w:tc>
        <w:tc>
          <w:tcPr>
            <w:tcW w:type="dxa" w:w="1296"/>
            <w:shd w:val="clear" w:color="auto" w:fill="1F4E78"/>
            <w:tcMar>
              <w:top w:w="40" w:type="dxa"/>
              <w:bottom w:w="40" w:type="dxa"/>
              <w:start w:w="80" w:type="dxa"/>
              <w:end w:w="80" w:type="dxa"/>
            </w:tcMar>
          </w:tcPr>
          <w:p>
            <w:pPr>
              <w:spacing w:after="40" w:before="40" w:line="240" w:lineRule="auto"/>
              <w:jc w:val="center"/>
            </w:pPr>
            <w:r/>
            <w:r>
              <w:rPr>
                <w:b/>
                <w:i w:val="0"/>
                <w:color w:val="FFFFFF"/>
                <w:sz w:val="18"/>
              </w:rPr>
              <w:t>Opening</w:t>
            </w:r>
          </w:p>
        </w:tc>
        <w:tc>
          <w:tcPr>
            <w:tcW w:type="dxa" w:w="5184"/>
            <w:shd w:val="clear" w:color="auto" w:fill="1F4E78"/>
            <w:tcMar>
              <w:top w:w="40" w:type="dxa"/>
              <w:bottom w:w="40" w:type="dxa"/>
              <w:start w:w="80" w:type="dxa"/>
              <w:end w:w="80" w:type="dxa"/>
            </w:tcMar>
          </w:tcPr>
          <w:p>
            <w:pPr>
              <w:spacing w:after="40" w:before="40" w:line="240" w:lineRule="auto"/>
              <w:jc w:val="center"/>
            </w:pPr>
            <w:r/>
            <w:r>
              <w:rPr>
                <w:b/>
                <w:i w:val="0"/>
                <w:color w:val="FFFFFF"/>
                <w:sz w:val="18"/>
              </w:rPr>
              <w:t>Key Actions</w:t>
            </w:r>
          </w:p>
        </w:tc>
        <w:tc>
          <w:tcPr>
            <w:tcW w:type="dxa" w:w="2016"/>
            <w:shd w:val="clear" w:color="auto" w:fill="1F4E78"/>
            <w:tcMar>
              <w:top w:w="40" w:type="dxa"/>
              <w:bottom w:w="40" w:type="dxa"/>
              <w:start w:w="80" w:type="dxa"/>
              <w:end w:w="80" w:type="dxa"/>
            </w:tcMar>
          </w:tcPr>
          <w:p>
            <w:pPr>
              <w:spacing w:after="40" w:before="40" w:line="240" w:lineRule="auto"/>
              <w:jc w:val="center"/>
            </w:pPr>
            <w:r/>
            <w:r>
              <w:rPr>
                <w:b/>
                <w:i w:val="0"/>
                <w:color w:val="FFFFFF"/>
                <w:sz w:val="18"/>
              </w:rPr>
              <w:t>Registration Deadline</w:t>
            </w:r>
          </w:p>
        </w:tc>
      </w:tr>
      <w:tr>
        <w:tc>
          <w:tcPr>
            <w:tcW w:type="dxa" w:w="720"/>
            <w:tcMar>
              <w:top w:w="40" w:type="dxa"/>
              <w:bottom w:w="40" w:type="dxa"/>
              <w:start w:w="80" w:type="dxa"/>
              <w:end w:w="80" w:type="dxa"/>
            </w:tcMar>
          </w:tcPr>
          <w:p>
            <w:pPr>
              <w:spacing w:after="40" w:before="40" w:line="240" w:lineRule="auto"/>
            </w:pPr>
            <w:r/>
            <w:r>
              <w:rPr>
                <w:b/>
                <w:i w:val="0"/>
                <w:sz w:val="18"/>
              </w:rPr>
              <w:t>MA</w:t>
            </w:r>
          </w:p>
        </w:tc>
        <w:tc>
          <w:tcPr>
            <w:tcW w:type="dxa" w:w="1296"/>
            <w:tcMar>
              <w:top w:w="40" w:type="dxa"/>
              <w:bottom w:w="40" w:type="dxa"/>
              <w:start w:w="80" w:type="dxa"/>
              <w:end w:w="80" w:type="dxa"/>
            </w:tcMar>
          </w:tcPr>
          <w:p>
            <w:pPr>
              <w:spacing w:after="40" w:before="40" w:line="240" w:lineRule="auto"/>
            </w:pPr>
            <w:r/>
            <w:r>
              <w:rPr>
                <w:b w:val="0"/>
                <w:i w:val="0"/>
                <w:sz w:val="18"/>
              </w:rPr>
              <w:t>Aug 1, 2025</w:t>
            </w:r>
          </w:p>
        </w:tc>
        <w:tc>
          <w:tcPr>
            <w:tcW w:type="dxa" w:w="5184"/>
            <w:tcMar>
              <w:top w:w="40" w:type="dxa"/>
              <w:bottom w:w="40" w:type="dxa"/>
              <w:start w:w="80" w:type="dxa"/>
              <w:end w:w="80" w:type="dxa"/>
            </w:tcMar>
          </w:tcPr>
          <w:p>
            <w:pPr>
              <w:spacing w:after="40" w:before="40" w:line="240" w:lineRule="auto"/>
            </w:pPr>
            <w:r/>
            <w:r>
              <w:rPr>
                <w:b w:val="0"/>
                <w:i w:val="0"/>
                <w:sz w:val="18"/>
              </w:rPr>
              <w:t>Withholding operational; postings displayed; sick leave (90-day wait, carryover, 1/30); PTO payout; MA PFML participation/private plan.</w:t>
            </w:r>
          </w:p>
        </w:tc>
        <w:tc>
          <w:tcPr>
            <w:tcW w:type="dxa" w:w="2016"/>
            <w:tcMar>
              <w:top w:w="40" w:type="dxa"/>
              <w:bottom w:w="40" w:type="dxa"/>
              <w:start w:w="80" w:type="dxa"/>
              <w:end w:w="80" w:type="dxa"/>
            </w:tcMar>
          </w:tcPr>
          <w:p>
            <w:pPr>
              <w:spacing w:after="40" w:before="40" w:line="240" w:lineRule="auto"/>
            </w:pPr>
            <w:r/>
            <w:r>
              <w:rPr>
                <w:b w:val="0"/>
                <w:i w:val="0"/>
                <w:sz w:val="18"/>
              </w:rPr>
              <w:t>June 1, 2025</w:t>
            </w:r>
          </w:p>
        </w:tc>
      </w:tr>
      <w:tr>
        <w:tc>
          <w:tcPr>
            <w:tcW w:type="dxa" w:w="720"/>
            <w:tcMar>
              <w:top w:w="40" w:type="dxa"/>
              <w:bottom w:w="40" w:type="dxa"/>
              <w:start w:w="80" w:type="dxa"/>
              <w:end w:w="80" w:type="dxa"/>
            </w:tcMar>
            <w:shd w:val="clear" w:color="auto" w:fill="F2F5FA"/>
          </w:tcPr>
          <w:p>
            <w:pPr>
              <w:spacing w:after="40" w:before="40" w:line="240" w:lineRule="auto"/>
            </w:pPr>
            <w:r/>
            <w:r>
              <w:rPr>
                <w:b/>
                <w:i w:val="0"/>
                <w:sz w:val="18"/>
              </w:rPr>
              <w:t>CO</w:t>
            </w:r>
          </w:p>
        </w:tc>
        <w:tc>
          <w:tcPr>
            <w:tcW w:type="dxa" w:w="1296"/>
            <w:tcMar>
              <w:top w:w="40" w:type="dxa"/>
              <w:bottom w:w="40" w:type="dxa"/>
              <w:start w:w="80" w:type="dxa"/>
              <w:end w:w="80" w:type="dxa"/>
            </w:tcMar>
            <w:shd w:val="clear" w:color="auto" w:fill="F2F5FA"/>
          </w:tcPr>
          <w:p>
            <w:pPr>
              <w:spacing w:after="40" w:before="40" w:line="240" w:lineRule="auto"/>
            </w:pPr>
            <w:r/>
            <w:r>
              <w:rPr>
                <w:b w:val="0"/>
                <w:i w:val="0"/>
                <w:sz w:val="18"/>
              </w:rPr>
              <w:t>Nov 1, 2025</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FAMLI participation (mandatory); postings; sick leave (no wait, 48 hrs, carryover, 1/30); PTO payout; safe leave.</w:t>
            </w:r>
          </w:p>
        </w:tc>
        <w:tc>
          <w:tcPr>
            <w:tcW w:type="dxa" w:w="2016"/>
            <w:tcMar>
              <w:top w:w="40" w:type="dxa"/>
              <w:bottom w:w="40" w:type="dxa"/>
              <w:start w:w="80" w:type="dxa"/>
              <w:end w:w="80" w:type="dxa"/>
            </w:tcMar>
            <w:shd w:val="clear" w:color="auto" w:fill="F2F5FA"/>
          </w:tcPr>
          <w:p>
            <w:pPr>
              <w:spacing w:after="40" w:before="40" w:line="240" w:lineRule="auto"/>
            </w:pPr>
            <w:r/>
            <w:r>
              <w:rPr>
                <w:b w:val="0"/>
                <w:i w:val="0"/>
                <w:sz w:val="18"/>
              </w:rPr>
              <w:t>Sept 1, 2025 (or earlier)</w:t>
            </w:r>
          </w:p>
        </w:tc>
      </w:tr>
      <w:tr>
        <w:tc>
          <w:tcPr>
            <w:tcW w:type="dxa" w:w="720"/>
            <w:tcMar>
              <w:top w:w="40" w:type="dxa"/>
              <w:bottom w:w="40" w:type="dxa"/>
              <w:start w:w="80" w:type="dxa"/>
              <w:end w:w="80" w:type="dxa"/>
            </w:tcMar>
          </w:tcPr>
          <w:p>
            <w:pPr>
              <w:spacing w:after="40" w:before="40" w:line="240" w:lineRule="auto"/>
            </w:pPr>
            <w:r/>
            <w:r>
              <w:rPr>
                <w:b/>
                <w:i w:val="0"/>
                <w:sz w:val="18"/>
              </w:rPr>
              <w:t>OR</w:t>
            </w:r>
          </w:p>
        </w:tc>
        <w:tc>
          <w:tcPr>
            <w:tcW w:type="dxa" w:w="1296"/>
            <w:tcMar>
              <w:top w:w="40" w:type="dxa"/>
              <w:bottom w:w="40" w:type="dxa"/>
              <w:start w:w="80" w:type="dxa"/>
              <w:end w:w="80" w:type="dxa"/>
            </w:tcMar>
          </w:tcPr>
          <w:p>
            <w:pPr>
              <w:spacing w:after="40" w:before="40" w:line="240" w:lineRule="auto"/>
            </w:pPr>
            <w:r/>
            <w:r>
              <w:rPr>
                <w:b w:val="0"/>
                <w:i w:val="0"/>
                <w:sz w:val="18"/>
              </w:rPr>
              <w:t>Feb 1, 2026</w:t>
            </w:r>
          </w:p>
        </w:tc>
        <w:tc>
          <w:tcPr>
            <w:tcW w:type="dxa" w:w="5184"/>
            <w:tcMar>
              <w:top w:w="40" w:type="dxa"/>
              <w:bottom w:w="40" w:type="dxa"/>
              <w:start w:w="80" w:type="dxa"/>
              <w:end w:w="80" w:type="dxa"/>
            </w:tcMar>
          </w:tcPr>
          <w:p>
            <w:pPr>
              <w:spacing w:after="40" w:before="40" w:line="240" w:lineRule="auto"/>
            </w:pPr>
            <w:r/>
            <w:r>
              <w:rPr>
                <w:b w:val="0"/>
                <w:i w:val="0"/>
                <w:sz w:val="18"/>
              </w:rPr>
              <w:t>PLO registration/participation; postings; sick time (90-day wait, carryover, 1/30); safe leave; OR PTO language.</w:t>
            </w:r>
          </w:p>
        </w:tc>
        <w:tc>
          <w:tcPr>
            <w:tcW w:type="dxa" w:w="2016"/>
            <w:tcMar>
              <w:top w:w="40" w:type="dxa"/>
              <w:bottom w:w="40" w:type="dxa"/>
              <w:start w:w="80" w:type="dxa"/>
              <w:end w:w="80" w:type="dxa"/>
            </w:tcMar>
          </w:tcPr>
          <w:p>
            <w:pPr>
              <w:spacing w:after="40" w:before="40" w:line="240" w:lineRule="auto"/>
            </w:pPr>
            <w:r/>
            <w:r>
              <w:rPr>
                <w:b w:val="0"/>
                <w:i w:val="0"/>
                <w:sz w:val="18"/>
              </w:rPr>
              <w:t>Dec 1, 2025</w:t>
            </w:r>
          </w:p>
        </w:tc>
      </w:tr>
      <w:tr>
        <w:tc>
          <w:tcPr>
            <w:tcW w:type="dxa" w:w="720"/>
            <w:tcMar>
              <w:top w:w="40" w:type="dxa"/>
              <w:bottom w:w="40" w:type="dxa"/>
              <w:start w:w="80" w:type="dxa"/>
              <w:end w:w="80" w:type="dxa"/>
            </w:tcMar>
            <w:shd w:val="clear" w:color="auto" w:fill="F2F5FA"/>
          </w:tcPr>
          <w:p>
            <w:pPr>
              <w:spacing w:after="40" w:before="40" w:line="240" w:lineRule="auto"/>
            </w:pPr>
            <w:r/>
            <w:r>
              <w:rPr>
                <w:b/>
                <w:i w:val="0"/>
                <w:sz w:val="18"/>
              </w:rPr>
              <w:t>WA</w:t>
            </w:r>
          </w:p>
        </w:tc>
        <w:tc>
          <w:tcPr>
            <w:tcW w:type="dxa" w:w="1296"/>
            <w:tcMar>
              <w:top w:w="40" w:type="dxa"/>
              <w:bottom w:w="40" w:type="dxa"/>
              <w:start w:w="80" w:type="dxa"/>
              <w:end w:w="80" w:type="dxa"/>
            </w:tcMar>
            <w:shd w:val="clear" w:color="auto" w:fill="F2F5FA"/>
          </w:tcPr>
          <w:p>
            <w:pPr>
              <w:spacing w:after="40" w:before="40" w:line="240" w:lineRule="auto"/>
            </w:pPr>
            <w:r/>
            <w:r>
              <w:rPr>
                <w:b w:val="0"/>
                <w:i w:val="0"/>
                <w:sz w:val="18"/>
              </w:rPr>
              <w:t>May 1, 2026</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WA PFML registration/voluntary plan; postings; sick leave (90-day wait, carryover, no accrual cap, payout on separation); PTO payout.</w:t>
            </w:r>
          </w:p>
        </w:tc>
        <w:tc>
          <w:tcPr>
            <w:tcW w:type="dxa" w:w="2016"/>
            <w:tcMar>
              <w:top w:w="40" w:type="dxa"/>
              <w:bottom w:w="40" w:type="dxa"/>
              <w:start w:w="80" w:type="dxa"/>
              <w:end w:w="80" w:type="dxa"/>
            </w:tcMar>
            <w:shd w:val="clear" w:color="auto" w:fill="F2F5FA"/>
          </w:tcPr>
          <w:p>
            <w:pPr>
              <w:spacing w:after="40" w:before="40" w:line="240" w:lineRule="auto"/>
            </w:pPr>
            <w:r/>
            <w:r>
              <w:rPr>
                <w:b w:val="0"/>
                <w:i w:val="0"/>
                <w:sz w:val="18"/>
              </w:rPr>
              <w:t>March 1, 2026</w:t>
            </w:r>
          </w:p>
        </w:tc>
      </w:tr>
    </w:tbl>
    <w:p>
      <w:pPr>
        <w:keepNext/>
        <w:spacing w:before="200" w:after="60"/>
      </w:pPr>
      <w:r>
        <w:rPr>
          <w:b/>
          <w:color w:val="1F4E78"/>
          <w:sz w:val="23"/>
        </w:rPr>
        <w:t>Longer-Term (Q1 2026 and Beyond)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
            <w:shd w:val="clear" w:color="auto" w:fill="1F4E78"/>
            <w:tcMar>
              <w:top w:w="40" w:type="dxa"/>
              <w:bottom w:w="40" w:type="dxa"/>
              <w:start w:w="80" w:type="dxa"/>
              <w:end w:w="80" w:type="dxa"/>
            </w:tcMar>
          </w:tcPr>
          <w:p>
            <w:pPr>
              <w:spacing w:after="40" w:before="40" w:line="240" w:lineRule="auto"/>
              <w:jc w:val="center"/>
            </w:pPr>
            <w:r/>
            <w:r>
              <w:rPr>
                <w:b/>
                <w:i w:val="0"/>
                <w:color w:val="FFFFFF"/>
                <w:sz w:val="18"/>
              </w:rPr>
              <w:t>#</w:t>
            </w:r>
          </w:p>
        </w:tc>
        <w:tc>
          <w:tcPr>
            <w:tcW w:type="dxa" w:w="5184"/>
            <w:shd w:val="clear" w:color="auto" w:fill="1F4E78"/>
            <w:tcMar>
              <w:top w:w="40" w:type="dxa"/>
              <w:bottom w:w="40" w:type="dxa"/>
              <w:start w:w="80" w:type="dxa"/>
              <w:end w:w="80" w:type="dxa"/>
            </w:tcMar>
          </w:tcPr>
          <w:p>
            <w:pPr>
              <w:spacing w:after="40" w:before="40" w:line="240" w:lineRule="auto"/>
              <w:jc w:val="center"/>
            </w:pPr>
            <w:r/>
            <w:r>
              <w:rPr>
                <w:b/>
                <w:i w:val="0"/>
                <w:color w:val="FFFFFF"/>
                <w:sz w:val="18"/>
              </w:rPr>
              <w:t>Action Item</w:t>
            </w:r>
          </w:p>
        </w:tc>
        <w:tc>
          <w:tcPr>
            <w:tcW w:type="dxa" w:w="2880"/>
            <w:shd w:val="clear" w:color="auto" w:fill="1F4E78"/>
            <w:tcMar>
              <w:top w:w="40" w:type="dxa"/>
              <w:bottom w:w="40" w:type="dxa"/>
              <w:start w:w="80" w:type="dxa"/>
              <w:end w:w="80" w:type="dxa"/>
            </w:tcMar>
          </w:tcPr>
          <w:p>
            <w:pPr>
              <w:spacing w:after="40" w:before="40" w:line="240" w:lineRule="auto"/>
              <w:jc w:val="center"/>
            </w:pPr>
            <w:r/>
            <w:r>
              <w:rPr>
                <w:b/>
                <w:i w:val="0"/>
                <w:color w:val="FFFFFF"/>
                <w:sz w:val="18"/>
              </w:rPr>
              <w:t>Owner</w:t>
            </w:r>
          </w:p>
        </w:tc>
        <w:tc>
          <w:tcPr>
            <w:tcW w:type="dxa" w:w="1440"/>
            <w:shd w:val="clear" w:color="auto" w:fill="1F4E78"/>
            <w:tcMar>
              <w:top w:w="40" w:type="dxa"/>
              <w:bottom w:w="40" w:type="dxa"/>
              <w:start w:w="80" w:type="dxa"/>
              <w:end w:w="80" w:type="dxa"/>
            </w:tcMar>
          </w:tcPr>
          <w:p>
            <w:pPr>
              <w:spacing w:after="40" w:before="40" w:line="240" w:lineRule="auto"/>
              <w:jc w:val="center"/>
            </w:pPr>
            <w:r/>
            <w:r>
              <w:rPr>
                <w:b/>
                <w:i w:val="0"/>
                <w:color w:val="FFFFFF"/>
                <w:sz w:val="18"/>
              </w:rPr>
              <w:t>Deadline</w:t>
            </w:r>
          </w:p>
        </w:tc>
      </w:tr>
      <w:tr>
        <w:tc>
          <w:tcPr>
            <w:tcW w:type="dxa" w:w="432"/>
            <w:tcMar>
              <w:top w:w="40" w:type="dxa"/>
              <w:bottom w:w="40" w:type="dxa"/>
              <w:start w:w="80" w:type="dxa"/>
              <w:end w:w="80" w:type="dxa"/>
            </w:tcMar>
          </w:tcPr>
          <w:p>
            <w:pPr>
              <w:spacing w:after="40" w:before="40" w:line="240" w:lineRule="auto"/>
            </w:pPr>
            <w:r/>
            <w:r>
              <w:rPr>
                <w:b w:val="0"/>
                <w:i w:val="0"/>
                <w:sz w:val="18"/>
              </w:rPr>
              <w:t>13</w:t>
            </w:r>
          </w:p>
        </w:tc>
        <w:tc>
          <w:tcPr>
            <w:tcW w:type="dxa" w:w="5184"/>
            <w:tcMar>
              <w:top w:w="40" w:type="dxa"/>
              <w:bottom w:w="40" w:type="dxa"/>
              <w:start w:w="80" w:type="dxa"/>
              <w:end w:w="80" w:type="dxa"/>
            </w:tcMar>
          </w:tcPr>
          <w:p>
            <w:pPr>
              <w:spacing w:after="40" w:before="40" w:line="240" w:lineRule="auto"/>
            </w:pPr>
            <w:r/>
            <w:r>
              <w:rPr>
                <w:b w:val="0"/>
                <w:i w:val="0"/>
                <w:sz w:val="18"/>
              </w:rPr>
              <w:t>Implement dedicated leave management system; configure state-specific rules for all seven jurisdictions; migrate data; train staff.</w:t>
            </w:r>
          </w:p>
        </w:tc>
        <w:tc>
          <w:tcPr>
            <w:tcW w:type="dxa" w:w="2880"/>
            <w:tcMar>
              <w:top w:w="40" w:type="dxa"/>
              <w:bottom w:w="40" w:type="dxa"/>
              <w:start w:w="80" w:type="dxa"/>
              <w:end w:w="80" w:type="dxa"/>
            </w:tcMar>
          </w:tcPr>
          <w:p>
            <w:pPr>
              <w:spacing w:after="40" w:before="40" w:line="240" w:lineRule="auto"/>
            </w:pPr>
            <w:r/>
            <w:r>
              <w:rPr>
                <w:b w:val="0"/>
                <w:i w:val="0"/>
                <w:sz w:val="18"/>
              </w:rPr>
              <w:t>HR (Delgado) + IT + vendor</w:t>
            </w:r>
          </w:p>
        </w:tc>
        <w:tc>
          <w:tcPr>
            <w:tcW w:type="dxa" w:w="1440"/>
            <w:tcMar>
              <w:top w:w="40" w:type="dxa"/>
              <w:bottom w:w="40" w:type="dxa"/>
              <w:start w:w="80" w:type="dxa"/>
              <w:end w:w="80" w:type="dxa"/>
            </w:tcMar>
          </w:tcPr>
          <w:p>
            <w:pPr>
              <w:spacing w:after="40" w:before="40" w:line="240" w:lineRule="auto"/>
            </w:pPr>
            <w:r/>
            <w:r>
              <w:rPr>
                <w:b w:val="0"/>
                <w:i w:val="0"/>
                <w:sz w:val="18"/>
              </w:rPr>
              <w:t>Q1 2026</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14</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Hire two additional HR generalists (New England/East Coast; Western) and designate a leave administration specialist.</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HR (Delgado)</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Per hiring plan</w:t>
            </w:r>
          </w:p>
        </w:tc>
      </w:tr>
      <w:tr>
        <w:tc>
          <w:tcPr>
            <w:tcW w:type="dxa" w:w="432"/>
            <w:tcMar>
              <w:top w:w="40" w:type="dxa"/>
              <w:bottom w:w="40" w:type="dxa"/>
              <w:start w:w="80" w:type="dxa"/>
              <w:end w:w="80" w:type="dxa"/>
            </w:tcMar>
          </w:tcPr>
          <w:p>
            <w:pPr>
              <w:spacing w:after="40" w:before="40" w:line="240" w:lineRule="auto"/>
            </w:pPr>
            <w:r/>
            <w:r>
              <w:rPr>
                <w:b w:val="0"/>
                <w:i w:val="0"/>
                <w:sz w:val="18"/>
              </w:rPr>
              <w:t>15</w:t>
            </w:r>
          </w:p>
        </w:tc>
        <w:tc>
          <w:tcPr>
            <w:tcW w:type="dxa" w:w="5184"/>
            <w:tcMar>
              <w:top w:w="40" w:type="dxa"/>
              <w:bottom w:w="40" w:type="dxa"/>
              <w:start w:w="80" w:type="dxa"/>
              <w:end w:w="80" w:type="dxa"/>
            </w:tcMar>
          </w:tcPr>
          <w:p>
            <w:pPr>
              <w:spacing w:after="40" w:before="40" w:line="240" w:lineRule="auto"/>
            </w:pPr>
            <w:r/>
            <w:r>
              <w:rPr>
                <w:b w:val="0"/>
                <w:i w:val="0"/>
                <w:sz w:val="18"/>
              </w:rPr>
              <w:t>Conduct post-launch compliance audit within 30 days of each facility opening.</w:t>
            </w:r>
          </w:p>
        </w:tc>
        <w:tc>
          <w:tcPr>
            <w:tcW w:type="dxa" w:w="2880"/>
            <w:tcMar>
              <w:top w:w="40" w:type="dxa"/>
              <w:bottom w:w="40" w:type="dxa"/>
              <w:start w:w="80" w:type="dxa"/>
              <w:end w:w="80" w:type="dxa"/>
            </w:tcMar>
          </w:tcPr>
          <w:p>
            <w:pPr>
              <w:spacing w:after="40" w:before="40" w:line="240" w:lineRule="auto"/>
            </w:pPr>
            <w:r/>
            <w:r>
              <w:rPr>
                <w:b w:val="0"/>
                <w:i w:val="0"/>
                <w:sz w:val="18"/>
              </w:rPr>
              <w:t>Legal (H&amp;C) + HR (Delgado)</w:t>
            </w:r>
          </w:p>
        </w:tc>
        <w:tc>
          <w:tcPr>
            <w:tcW w:type="dxa" w:w="1440"/>
            <w:tcMar>
              <w:top w:w="40" w:type="dxa"/>
              <w:bottom w:w="40" w:type="dxa"/>
              <w:start w:w="80" w:type="dxa"/>
              <w:end w:w="80" w:type="dxa"/>
            </w:tcMar>
          </w:tcPr>
          <w:p>
            <w:pPr>
              <w:spacing w:after="40" w:before="40" w:line="240" w:lineRule="auto"/>
            </w:pPr>
            <w:r/>
            <w:r>
              <w:rPr>
                <w:b w:val="0"/>
                <w:i w:val="0"/>
                <w:sz w:val="18"/>
              </w:rPr>
              <w:t>30 days post-opening</w:t>
            </w:r>
          </w:p>
        </w:tc>
      </w:tr>
      <w:tr>
        <w:tc>
          <w:tcPr>
            <w:tcW w:type="dxa" w:w="432"/>
            <w:tcMar>
              <w:top w:w="40" w:type="dxa"/>
              <w:bottom w:w="40" w:type="dxa"/>
              <w:start w:w="80" w:type="dxa"/>
              <w:end w:w="80" w:type="dxa"/>
            </w:tcMar>
            <w:shd w:val="clear" w:color="auto" w:fill="F2F5FA"/>
          </w:tcPr>
          <w:p>
            <w:pPr>
              <w:spacing w:after="40" w:before="40" w:line="240" w:lineRule="auto"/>
            </w:pPr>
            <w:r/>
            <w:r>
              <w:rPr>
                <w:b w:val="0"/>
                <w:i w:val="0"/>
                <w:sz w:val="18"/>
              </w:rPr>
              <w:t>16</w:t>
            </w:r>
          </w:p>
        </w:tc>
        <w:tc>
          <w:tcPr>
            <w:tcW w:type="dxa" w:w="5184"/>
            <w:tcMar>
              <w:top w:w="40" w:type="dxa"/>
              <w:bottom w:w="40" w:type="dxa"/>
              <w:start w:w="80" w:type="dxa"/>
              <w:end w:w="80" w:type="dxa"/>
            </w:tcMar>
            <w:shd w:val="clear" w:color="auto" w:fill="F2F5FA"/>
          </w:tcPr>
          <w:p>
            <w:pPr>
              <w:spacing w:after="40" w:before="40" w:line="240" w:lineRule="auto"/>
            </w:pPr>
            <w:r/>
            <w:r>
              <w:rPr>
                <w:b w:val="0"/>
                <w:i w:val="0"/>
                <w:sz w:val="18"/>
              </w:rPr>
              <w:t>Establish periodic re-review cycle (at least annually and upon material legislative change).</w:t>
            </w:r>
          </w:p>
        </w:tc>
        <w:tc>
          <w:tcPr>
            <w:tcW w:type="dxa" w:w="2880"/>
            <w:tcMar>
              <w:top w:w="40" w:type="dxa"/>
              <w:bottom w:w="40" w:type="dxa"/>
              <w:start w:w="80" w:type="dxa"/>
              <w:end w:w="80" w:type="dxa"/>
            </w:tcMar>
            <w:shd w:val="clear" w:color="auto" w:fill="F2F5FA"/>
          </w:tcPr>
          <w:p>
            <w:pPr>
              <w:spacing w:after="40" w:before="40" w:line="240" w:lineRule="auto"/>
            </w:pPr>
            <w:r/>
            <w:r>
              <w:rPr>
                <w:b w:val="0"/>
                <w:i w:val="0"/>
                <w:sz w:val="18"/>
              </w:rPr>
              <w:t>Legal (H&amp;C)</w:t>
            </w:r>
          </w:p>
        </w:tc>
        <w:tc>
          <w:tcPr>
            <w:tcW w:type="dxa" w:w="1440"/>
            <w:tcMar>
              <w:top w:w="40" w:type="dxa"/>
              <w:bottom w:w="40" w:type="dxa"/>
              <w:start w:w="80" w:type="dxa"/>
              <w:end w:w="80" w:type="dxa"/>
            </w:tcMar>
            <w:shd w:val="clear" w:color="auto" w:fill="F2F5FA"/>
          </w:tcPr>
          <w:p>
            <w:pPr>
              <w:spacing w:after="40" w:before="40" w:line="240" w:lineRule="auto"/>
            </w:pPr>
            <w:r/>
            <w:r>
              <w:rPr>
                <w:b w:val="0"/>
                <w:i w:val="0"/>
                <w:sz w:val="18"/>
              </w:rPr>
              <w:t>Ongoing</w:t>
            </w:r>
          </w:p>
        </w:tc>
      </w:tr>
    </w:tbl>
    <w:p>
      <w:pPr>
        <w:keepNext/>
        <w:spacing w:before="280" w:after="80"/>
        <w:pBdr>
          <w:bottom w:val="single" w:sz="6" w:space="2" w:color="1F4E78"/>
        </w:pBdr>
      </w:pPr>
      <w:r>
        <w:rPr>
          <w:b/>
          <w:color w:val="1F4E78"/>
          <w:sz w:val="26"/>
        </w:rPr>
        <w:t>XI.  NJ DOL Complaint — Resolution Strategy Framework</w:t>
      </w:r>
    </w:p>
    <w:p>
      <w:pPr>
        <w:spacing w:after="120"/>
        <w:jc w:val="both"/>
      </w:pPr>
      <w:r>
        <w:t>The pending complaint (Case No. NJ-ESL-2025-04117, Carla Muñoz v. Vantage Logistics Group, Inc.) is the subject of a separate engagement and is outside the scope of this review. However, the compliance findings inform the Company's response posture, and we offer the following framework for the Company's consideration in that proceeding:</w:t>
      </w:r>
    </w:p>
    <w:p>
      <w:pPr>
        <w:pStyle w:val="ListBullet"/>
        <w:spacing w:after="60"/>
        <w:ind w:left="432"/>
      </w:pPr>
      <w:r>
        <w:rPr>
          <w:b/>
        </w:rPr>
        <w:t>Make the complainant whole.</w:t>
      </w:r>
      <w:r>
        <w:t xml:space="preserve"> Restore any PTO hours expended or pay for any unpaid time off taken by Ms. Muñoz in connection with the denied sick leave request in late January 2025. This demonstrates good faith and may mitigate penalties.</w:t>
      </w:r>
    </w:p>
    <w:p>
      <w:pPr>
        <w:pStyle w:val="ListBullet"/>
        <w:spacing w:after="60"/>
        <w:ind w:left="432"/>
      </w:pPr>
      <w:r>
        <w:rPr>
          <w:b/>
        </w:rPr>
        <w:t>Demonstrate corrective action.</w:t>
      </w:r>
      <w:r>
        <w:t xml:space="preserve"> The Company's February 21, 2025 response represented that policy review and revision would be complete by July 1, 2025. The revised Handbook should deliver on that representation, with the family-member definition and covered-uses list brought into compliance with N.J.S.A. 34:11D-1 and -3.</w:t>
      </w:r>
    </w:p>
    <w:p>
      <w:pPr>
        <w:pStyle w:val="ListBullet"/>
        <w:spacing w:after="60"/>
        <w:ind w:left="432"/>
      </w:pPr>
      <w:r>
        <w:rPr>
          <w:b/>
        </w:rPr>
        <w:t>Document supervisor training.</w:t>
      </w:r>
      <w:r>
        <w:t xml:space="preserve"> Provide records that all supervisors and HR staff at the Edison and Newark facilities have been trained on the proper administration of earned sick leave, including identification of covered family members and permissible leave purposes.</w:t>
      </w:r>
    </w:p>
    <w:p>
      <w:pPr>
        <w:pStyle w:val="ListBullet"/>
        <w:spacing w:after="60"/>
        <w:ind w:left="432"/>
      </w:pPr>
      <w:r>
        <w:rPr>
          <w:b/>
        </w:rPr>
        <w:t>Preserve privilege.</w:t>
      </w:r>
      <w:r>
        <w:t xml:space="preserve"> This memorandum and the Matrix are privileged work product. Communications with the NJ DOL in the complaint proceeding should be handled under the existing engagement; findings from this review should be shared with the Department only in non-privileged, carefully framed form and only as strategically appropriate.</w:t>
      </w:r>
    </w:p>
    <w:p>
      <w:pPr>
        <w:pStyle w:val="ListBullet"/>
        <w:spacing w:after="60"/>
        <w:ind w:left="432"/>
      </w:pPr>
      <w:r>
        <w:rPr>
          <w:b/>
        </w:rPr>
        <w:t>Anticipate broader investigation.</w:t>
      </w:r>
      <w:r>
        <w:t xml:space="preserve"> The complaint notice reserved the Department's right to investigate the Company's sick leave practices more broadly. The systemic deficiencies identified in this review (accrual rate, PT cap, no carryover, narrow family-member definition) increase the risk that a broader investigation would identify additional violations, underscoring the urgency of the July 1, 2025 remediation.</w:t>
      </w:r>
    </w:p>
    <w:p>
      <w:pPr>
        <w:keepNext/>
        <w:spacing w:before="280" w:after="80"/>
        <w:pBdr>
          <w:bottom w:val="single" w:sz="6" w:space="2" w:color="1F4E78"/>
        </w:pBdr>
      </w:pPr>
      <w:r>
        <w:rPr>
          <w:b/>
          <w:color w:val="1F4E78"/>
          <w:sz w:val="26"/>
        </w:rPr>
        <w:t>XII.  Budget Considerations</w:t>
      </w:r>
    </w:p>
    <w:p>
      <w:pPr>
        <w:spacing w:after="120"/>
        <w:jc w:val="both"/>
      </w:pPr>
      <w:r>
        <w:t>The Company has allocated a compliance remediation budget of $175,000 to cover legal fees, system updates, and policy redrafting. H&amp;C's estimated professional fees for this engagement are $28,000–$42,000. The dedicated leave management system is estimated at $40,000–$75,000, and WorkBridge Pro / ClockSync deployment at $15,000–$25,000. Two additional HR generalists (estimated $120,000–$140,000 annual salary) would be funded outside the remediation budget.</w:t>
      </w:r>
    </w:p>
    <w:p>
      <w:pPr>
        <w:spacing w:after="120"/>
        <w:jc w:val="both"/>
      </w:pPr>
      <w:r>
        <w:t>If the leave management system is drawn from the $175,000 budget, the funds available for legal fees and other compliance activities will be significantly reduced. We recommend that the Company confirm budget allocation priorities with Finance and consider whether the software investment should be pursued through a separate capital expenditure request, reserving the remediation budget primarily for legal fees and policy work. The most time-sensitive expenditures (state registrations, policy redrafting, training) are modest in cost and should not be delayed by the budget allocation discussion.</w:t>
      </w:r>
    </w:p>
    <w:p>
      <w:pPr>
        <w:keepNext/>
        <w:spacing w:before="280" w:after="80"/>
        <w:pBdr>
          <w:bottom w:val="single" w:sz="6" w:space="2" w:color="1F4E78"/>
        </w:pBdr>
      </w:pPr>
      <w:r>
        <w:rPr>
          <w:b/>
          <w:color w:val="1F4E78"/>
          <w:sz w:val="26"/>
        </w:rPr>
        <w:t>XIII.  Limitations and Recommended Next Steps</w:t>
      </w:r>
    </w:p>
    <w:p>
      <w:pPr>
        <w:spacing w:after="120"/>
        <w:jc w:val="both"/>
      </w:pPr>
      <w:r>
        <w:t>This review is based on the laws, regulations, and agency guidance in effect as of the date of this memorandum and on the information and representations provided by the Company. State paid leave law is a rapidly evolving area; legislative or regulatory changes after delivery may affect the analysis. We recommend periodic re-review, particularly as each phase of the expansion is completed and as new legislation takes effect. Local or municipal paid leave ordinances—which may impose additional requirements—are outside the scope of this engagement and should be separately evaluated for each facility location if the Company wishes to include them.</w:t>
      </w:r>
    </w:p>
    <w:p>
      <w:pPr>
        <w:spacing w:after="120"/>
        <w:jc w:val="both"/>
      </w:pPr>
      <w:r>
        <w:t>We are available to participate in a working session with the Company's legal and HR teams to discuss these findings, answer questions, and develop next steps, including any additional engagement scope the Company may wish to pursue (such as drafting the revised Handbook and leave policies, assisting with state program registrations, or evaluating leave management system vendors). Given the urgency of the Massachusetts and Colorado registration deadlines, we recommend that the Company act on the Immediate Actions in Section X without waiting for that session.</w:t>
      </w:r>
    </w:p>
    <w:p>
      <w:pPr>
        <w:spacing w:after="160"/>
      </w:pPr>
    </w:p>
    <w:p>
      <w:pPr>
        <w:spacing w:before="200" w:after="360"/>
      </w:pPr>
      <w:r>
        <w:t>Respectfully submitted,</w:t>
      </w:r>
    </w:p>
    <w:p>
      <w:pPr>
        <w:spacing w:after="0"/>
      </w:pPr>
      <w:r>
        <w:rPr>
          <w:b/>
          <w:sz w:val="22"/>
        </w:rPr>
        <w:t>HARTWELL &amp; CABOT LLP</w:t>
      </w:r>
    </w:p>
    <w:p>
      <w:pPr>
        <w:spacing w:after="0"/>
      </w:pPr>
      <w:r>
        <w:t>By:  ________________________</w:t>
      </w:r>
    </w:p>
    <w:p>
      <w:pPr>
        <w:spacing w:after="0"/>
      </w:pPr>
      <w:r>
        <w:rPr>
          <w:b/>
        </w:rPr>
        <w:t>Daniel Ikeda</w:t>
      </w:r>
    </w:p>
    <w:p>
      <w:pPr>
        <w:spacing w:after="160"/>
      </w:pPr>
      <w:r>
        <w:t>Senior Associate</w:t>
      </w:r>
    </w:p>
    <w:p>
      <w:pPr>
        <w:spacing w:after="0"/>
      </w:pPr>
      <w:r>
        <w:rPr>
          <w:i/>
          <w:color w:val="595959"/>
          <w:sz w:val="20"/>
        </w:rPr>
        <w:t>Reviewed and approved:</w:t>
      </w:r>
    </w:p>
    <w:p>
      <w:pPr>
        <w:spacing w:after="200"/>
      </w:pPr>
      <w:r>
        <w:rPr>
          <w:b/>
          <w:sz w:val="20"/>
        </w:rPr>
        <w:t>Catherine Ng, Partner</w:t>
      </w:r>
    </w:p>
    <w:p>
      <w:pPr>
        <w:pBdr>
          <w:top w:val="single" w:sz="6" w:space="1" w:color="BFBFBF"/>
        </w:pBdr>
      </w:pPr>
      <w:r>
        <w:rPr>
          <w:color w:val="595959"/>
          <w:sz w:val="17"/>
        </w:rPr>
        <w:t>cc:  Marcus Delgado, Director of Human Resources, Vantage Logistics Group, Inc.  |  Catherine Ng, Partner, Hartwell &amp; Cabot LLP</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