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F3864"/>
          <w:sz w:val="36"/>
        </w:rPr>
        <w:t>HARTWELL &amp; CABOT LLP</w:t>
      </w:r>
    </w:p>
    <w:p>
      <w:pPr>
        <w:spacing w:before="0" w:after="0" w:line="240" w:lineRule="auto"/>
        <w:jc w:val="center"/>
      </w:pPr>
      <w:r>
        <w:rPr>
          <w:rFonts w:ascii="Calibri" w:hAnsi="Calibri"/>
          <w:b w:val="0"/>
          <w:i/>
          <w:color w:val="595959"/>
          <w:sz w:val="20"/>
        </w:rPr>
        <w:t>Attorneys at Law</w:t>
      </w:r>
    </w:p>
    <w:p>
      <w:pPr>
        <w:spacing w:after="40"/>
        <w:jc w:val="center"/>
      </w:pPr>
      <w:r>
        <w:rPr>
          <w:rFonts w:ascii="Calibri" w:hAnsi="Calibri"/>
          <w:b w:val="0"/>
          <w:i w:val="0"/>
          <w:color w:val="595959"/>
          <w:sz w:val="16"/>
        </w:rPr>
        <w:t>One Gateway Center, Suite 2400, Newark, New Jersey 07102  |  225 Franklin Street, 18th Floor, Boston, Massachusetts 02110</w:t>
      </w:r>
    </w:p>
    <w:p>
      <w:pPr>
        <w:spacing w:before="80" w:after="160"/>
        <w:jc w:val="center"/>
      </w:pPr>
      <w:r>
        <w:rPr>
          <w:rFonts w:ascii="Calibri" w:hAnsi="Calibri"/>
          <w:b/>
          <w:i w:val="0"/>
          <w:color w:val="9C0006"/>
          <w:sz w:val="17"/>
        </w:rPr>
        <w:t>PRIVILEGED &amp; CONFIDENTIAL  |  ATTORNEY-CLIENT COMMUNICATION  |  ATTORNEY WORK PRODUCT</w:t>
      </w:r>
    </w:p>
    <w:p>
      <w:pPr>
        <w:spacing w:after="120"/>
        <w:pBdr>
          <w:bottom w:val="single" w:sz="12" w:space="1" w:color="1F3864"/>
        </w:pBdr>
      </w:pPr>
    </w:p>
    <w:p>
      <w:pPr>
        <w:spacing w:after="160"/>
        <w:jc w:val="center"/>
      </w:pPr>
      <w:r>
        <w:rPr>
          <w:rFonts w:ascii="Calibri" w:hAnsi="Calibri"/>
          <w:b/>
          <w:i w:val="0"/>
          <w:color w:val="1F3864"/>
          <w:sz w:val="28"/>
        </w:rPr>
        <w:t>GAP ANALYSIS AND REMEDIATION MEMORANDUM</w:t>
      </w:r>
    </w:p>
    <w:tbl>
      <w:tblPr>
        <w:tblW w:type="auto" w:w="0"/>
        <w:tblLook w:firstColumn="1" w:firstRow="1" w:lastColumn="0" w:lastRow="0" w:noHBand="0" w:noVBand="1" w:val="04A0"/>
      </w:tblPr>
      <w:tblGrid>
        <w:gridCol w:w="1152"/>
        <w:gridCol w:w="8496"/>
      </w:tblGrid>
      <w:tr>
        <w:tc>
          <w:tcPr>
            <w:tcW w:type="dxa" w:w="1152"/>
            <w:tcMar>
              <w:top w:w="20" w:type="dxa"/>
              <w:bottom w:w="20" w:type="dxa"/>
              <w:start w:w="80" w:type="dxa"/>
              <w:end w:w="80" w:type="dxa"/>
            </w:tcMar>
          </w:tcPr>
          <w:p>
            <w:pPr>
              <w:spacing w:before="0" w:after="0" w:line="240" w:lineRule="auto"/>
            </w:pPr>
            <w:r>
              <w:rPr>
                <w:rFonts w:ascii="Calibri" w:hAnsi="Calibri"/>
                <w:b/>
                <w:i w:val="0"/>
                <w:color w:val="1F3864"/>
                <w:sz w:val="20"/>
              </w:rPr>
              <w:t>TO:</w:t>
            </w:r>
          </w:p>
        </w:tc>
        <w:tc>
          <w:tcPr>
            <w:tcW w:type="dxa" w:w="8496"/>
            <w:tcMar>
              <w:top w:w="20" w:type="dxa"/>
              <w:bottom w:w="20" w:type="dxa"/>
              <w:start w:w="80" w:type="dxa"/>
              <w:end w:w="80" w:type="dxa"/>
            </w:tcMar>
          </w:tcPr>
          <w:p>
            <w:pPr>
              <w:spacing w:before="0" w:after="0" w:line="240" w:lineRule="auto"/>
            </w:pPr>
            <w:r>
              <w:rPr>
                <w:rFonts w:ascii="Calibri" w:hAnsi="Calibri"/>
                <w:b w:val="0"/>
                <w:i w:val="0"/>
                <w:color w:val="000000"/>
                <w:sz w:val="20"/>
              </w:rPr>
              <w:t>Rebecca Thorsen, Esq., Senior Vice President &amp; General Counsel, Vantage Logistics Group, Inc.</w:t>
            </w:r>
          </w:p>
        </w:tc>
      </w:tr>
      <w:tr>
        <w:tc>
          <w:tcPr>
            <w:tcW w:type="dxa" w:w="1152"/>
            <w:tcMar>
              <w:top w:w="20" w:type="dxa"/>
              <w:bottom w:w="20" w:type="dxa"/>
              <w:start w:w="80" w:type="dxa"/>
              <w:end w:w="80" w:type="dxa"/>
            </w:tcMar>
          </w:tcPr>
          <w:p>
            <w:pPr>
              <w:spacing w:before="0" w:after="0" w:line="240" w:lineRule="auto"/>
            </w:pPr>
            <w:r>
              <w:rPr>
                <w:rFonts w:ascii="Calibri" w:hAnsi="Calibri"/>
                <w:b/>
                <w:i w:val="0"/>
                <w:color w:val="1F3864"/>
                <w:sz w:val="20"/>
              </w:rPr>
              <w:t>FROM:</w:t>
            </w:r>
          </w:p>
        </w:tc>
        <w:tc>
          <w:tcPr>
            <w:tcW w:type="dxa" w:w="8496"/>
            <w:tcMar>
              <w:top w:w="20" w:type="dxa"/>
              <w:bottom w:w="20" w:type="dxa"/>
              <w:start w:w="80" w:type="dxa"/>
              <w:end w:w="80" w:type="dxa"/>
            </w:tcMar>
          </w:tcPr>
          <w:p>
            <w:pPr>
              <w:spacing w:before="0" w:after="0" w:line="240" w:lineRule="auto"/>
            </w:pPr>
            <w:r>
              <w:rPr>
                <w:rFonts w:ascii="Calibri" w:hAnsi="Calibri"/>
                <w:b w:val="0"/>
                <w:i w:val="0"/>
                <w:color w:val="000000"/>
                <w:sz w:val="20"/>
              </w:rPr>
              <w:t>Daniel Ikeda, Senior Associate  |  Catherine Ng, Partner (supervising)</w:t>
            </w:r>
          </w:p>
        </w:tc>
      </w:tr>
      <w:tr>
        <w:tc>
          <w:tcPr>
            <w:tcW w:type="dxa" w:w="1152"/>
            <w:tcMar>
              <w:top w:w="20" w:type="dxa"/>
              <w:bottom w:w="20" w:type="dxa"/>
              <w:start w:w="80" w:type="dxa"/>
              <w:end w:w="80" w:type="dxa"/>
            </w:tcMar>
          </w:tcPr>
          <w:p>
            <w:pPr>
              <w:spacing w:before="0" w:after="0" w:line="240" w:lineRule="auto"/>
            </w:pPr>
            <w:r>
              <w:rPr>
                <w:rFonts w:ascii="Calibri" w:hAnsi="Calibri"/>
                <w:b/>
                <w:i w:val="0"/>
                <w:color w:val="1F3864"/>
                <w:sz w:val="20"/>
              </w:rPr>
              <w:t>DATE:</w:t>
            </w:r>
          </w:p>
        </w:tc>
        <w:tc>
          <w:tcPr>
            <w:tcW w:type="dxa" w:w="8496"/>
            <w:tcMar>
              <w:top w:w="20" w:type="dxa"/>
              <w:bottom w:w="20" w:type="dxa"/>
              <w:start w:w="80" w:type="dxa"/>
              <w:end w:w="80" w:type="dxa"/>
            </w:tcMar>
          </w:tcPr>
          <w:p>
            <w:pPr>
              <w:spacing w:before="0" w:after="0" w:line="240" w:lineRule="auto"/>
            </w:pPr>
            <w:r>
              <w:rPr>
                <w:rFonts w:ascii="Calibri" w:hAnsi="Calibri"/>
                <w:b w:val="0"/>
                <w:i w:val="0"/>
                <w:color w:val="000000"/>
                <w:sz w:val="20"/>
              </w:rPr>
              <w:t>May 19, 2025</w:t>
            </w:r>
          </w:p>
        </w:tc>
      </w:tr>
      <w:tr>
        <w:tc>
          <w:tcPr>
            <w:tcW w:type="dxa" w:w="1152"/>
            <w:tcMar>
              <w:top w:w="20" w:type="dxa"/>
              <w:bottom w:w="20" w:type="dxa"/>
              <w:start w:w="80" w:type="dxa"/>
              <w:end w:w="80" w:type="dxa"/>
            </w:tcMar>
          </w:tcPr>
          <w:p>
            <w:pPr>
              <w:spacing w:before="0" w:after="0" w:line="240" w:lineRule="auto"/>
            </w:pPr>
            <w:r>
              <w:rPr>
                <w:rFonts w:ascii="Calibri" w:hAnsi="Calibri"/>
                <w:b/>
                <w:i w:val="0"/>
                <w:color w:val="1F3864"/>
                <w:sz w:val="20"/>
              </w:rPr>
              <w:t>RE:</w:t>
            </w:r>
          </w:p>
        </w:tc>
        <w:tc>
          <w:tcPr>
            <w:tcW w:type="dxa" w:w="8496"/>
            <w:tcMar>
              <w:top w:w="20" w:type="dxa"/>
              <w:bottom w:w="20" w:type="dxa"/>
              <w:start w:w="80" w:type="dxa"/>
              <w:end w:w="80" w:type="dxa"/>
            </w:tcMar>
          </w:tcPr>
          <w:p>
            <w:pPr>
              <w:spacing w:before="0" w:after="0" w:line="240" w:lineRule="auto"/>
            </w:pPr>
            <w:r>
              <w:rPr>
                <w:rFonts w:ascii="Calibri" w:hAnsi="Calibri"/>
                <w:b w:val="0"/>
                <w:i w:val="0"/>
                <w:color w:val="000000"/>
                <w:sz w:val="20"/>
              </w:rPr>
              <w:t>Multi-State Paid Leave Compliance Review — Gap Analysis, Risk Assessment, and Prioritized Remediation Plan (NJ, NY, CT, MA, CO, OR, WA)</w:t>
            </w:r>
          </w:p>
        </w:tc>
      </w:tr>
    </w:tbl>
    <w:p>
      <w:pPr>
        <w:spacing w:before="80" w:after="160"/>
        <w:pBdr>
          <w:bottom w:val="single" w:sz="6" w:space="1" w:color="BFBFBF"/>
        </w:pBdr>
      </w:pPr>
    </w:p>
    <w:p>
      <w:pPr>
        <w:keepNext/>
        <w:spacing w:before="280" w:after="80"/>
        <w:pBdr>
          <w:bottom w:val="single" w:sz="6" w:space="2" w:color="1F3864"/>
        </w:pBdr>
      </w:pPr>
      <w:r>
        <w:rPr>
          <w:rFonts w:ascii="Calibri" w:hAnsi="Calibri"/>
          <w:b/>
          <w:i w:val="0"/>
          <w:color w:val="1F3864"/>
          <w:sz w:val="25"/>
        </w:rPr>
        <w:t>I.  Executive Summary</w:t>
      </w:r>
    </w:p>
    <w:p>
      <w:pPr>
        <w:spacing w:after="120" w:line="259" w:lineRule="auto"/>
        <w:jc w:val="both"/>
      </w:pPr>
      <w:r>
        <w:rPr>
          <w:rFonts w:ascii="Calibri" w:hAnsi="Calibri"/>
          <w:b w:val="0"/>
          <w:i w:val="0"/>
          <w:color w:val="000000"/>
          <w:sz w:val="21"/>
        </w:rPr>
        <w:t>Hartwell &amp; Cabot LLP ("H&amp;C" or the "Firm") has completed the multi-state paid leave compliance review of Vantage Logistics Group, Inc. ("Vantage" or the "Company") commissioned under the engagement letter dated April 14, 2025. This memorandum, together with the accompanying Multi-State Compliance Matrix ("the Matrix"), identifies all material compliance deficiencies between the Company's current paid leave policies and practices—as set forth in the Employee Handbook (Rev. January 15, 2022) and as implemented in practice—and the statutory and regulatory requirements of the seven jurisdictions in which the Company operates or plans to operate: New Jersey, New York, and Connecticut (current operations), and Massachusetts, Colorado, Oregon, and Washington (planned expansion). Each deficiency is classified by severity—Critical, High, or Moderate—and is accompanied by a prioritized remediation plan tied to the Company's facility opening schedule and the July 1, 2025 target date for a revised Employee Handbook.</w:t>
      </w:r>
    </w:p>
    <w:p>
      <w:pPr>
        <w:spacing w:after="120" w:line="259" w:lineRule="auto"/>
        <w:jc w:val="both"/>
      </w:pPr>
      <w:r>
        <w:rPr>
          <w:rFonts w:ascii="Calibri" w:hAnsi="Calibri"/>
          <w:b w:val="0"/>
          <w:i w:val="0"/>
          <w:color w:val="000000"/>
          <w:sz w:val="21"/>
        </w:rPr>
        <w:t>The review identifies systemic, cross-jurisdictional non-compliance. Of the 210 dimension-level comparisons captured in the Matrix, 140 are non-compliant (red), 31 are at risk (yellow), and 39 are compliant (green). The Company's paid sick leave policy is non-compliant in all seven states; its self-funded paid family leave plan falls below the statutory minimum in all seven states and has never been approved as a private-plan substitute in any jurisdiction; and the Company provides no employer-funded paid medical leave for an employee's own serious health condition in any state, even though employees in New Jersey, New York, and Connecticut are already funding state programs through payroll withholdings. The Company has not registered with the paid leave insurance program in any of the four expansion states, and its PTO payout policy is unlawful in four of the seven jurisdictions. The Company also faces an active enforcement matter before the New Jersey Department of Labor (Case No. NJ-ESL-2025-04117) that has already exposed the core deficiencies in its sick leave policy.</w:t>
      </w:r>
    </w:p>
    <w:p>
      <w:pPr>
        <w:spacing w:after="120" w:line="259" w:lineRule="auto"/>
        <w:jc w:val="both"/>
      </w:pPr>
      <w:r>
        <w:rPr>
          <w:rFonts w:ascii="Calibri" w:hAnsi="Calibri"/>
          <w:b w:val="0"/>
          <w:i w:val="0"/>
          <w:color w:val="000000"/>
          <w:sz w:val="21"/>
        </w:rPr>
        <w:t>Four items warrant immediate attention as Critical: (1) Massachusetts PFML registration, which must be completed by approximately June 1, 2025 to allow PinnacleHR Solutions, Inc. ("PinnacleHR") its six-to-eight-week configuration lead time before the August 1, 2025 facility opening; (2) Colorado FAMLI registration, which may already be triggered by the three remote Colorado employees hired in April 2025 and for which no private-employer opt-out exists; (3) the New Jersey Earned Sick Leave Act violations underlying the Muñoz complaint; and (4) the structural inadequacy of the self-funded paid family leave plan across all seven jurisdictions. H&amp;C has flagged the Massachusetts and Colorado registration urgency separately and in advance of this deliverable, consistent with the engagement letter.</w:t>
      </w:r>
    </w:p>
    <w:p>
      <w:pPr>
        <w:keepNext/>
        <w:spacing w:before="280" w:after="80"/>
        <w:pBdr>
          <w:bottom w:val="single" w:sz="6" w:space="2" w:color="1F3864"/>
        </w:pBdr>
      </w:pPr>
      <w:r>
        <w:rPr>
          <w:rFonts w:ascii="Calibri" w:hAnsi="Calibri"/>
          <w:b/>
          <w:i w:val="0"/>
          <w:color w:val="1F3864"/>
          <w:sz w:val="25"/>
        </w:rPr>
        <w:t>II.  Scope, Methodology, and Limitations</w:t>
      </w:r>
    </w:p>
    <w:p>
      <w:pPr>
        <w:spacing w:after="120" w:line="259" w:lineRule="auto"/>
        <w:jc w:val="both"/>
      </w:pPr>
      <w:r>
        <w:rPr>
          <w:rFonts w:ascii="Calibri" w:hAnsi="Calibri"/>
          <w:b w:val="0"/>
          <w:i w:val="0"/>
          <w:color w:val="000000"/>
          <w:sz w:val="21"/>
        </w:rPr>
        <w:t>Scope. The review covers five dimensions for each jurisdiction: (1) paid sick leave; (2) paid family leave; (3) paid medical leave (an employee's own serious health condition); (4) employer obligations (state program registration, contribution rates and wage bases, payroll withholding, recordkeeping, and workplace posting and individual notice); and (5) PTO/vacation payout on separation. The Matrix presents the governing state requirement for each dimension alongside the Company's current policy or practice, with color-coded gap indicators (red / yellow / green).</w:t>
      </w:r>
    </w:p>
    <w:p>
      <w:pPr>
        <w:spacing w:after="120" w:line="259" w:lineRule="auto"/>
        <w:jc w:val="both"/>
      </w:pPr>
      <w:r>
        <w:rPr>
          <w:rFonts w:ascii="Calibri" w:hAnsi="Calibri"/>
          <w:b w:val="0"/>
          <w:i w:val="0"/>
          <w:color w:val="000000"/>
          <w:sz w:val="21"/>
        </w:rPr>
        <w:t>Methodology. H&amp;C analyzed the Employee Handbook (Rev. January 15, 2022), the PinnacleHR payroll withholding summary dated April 10, 2025, the HR leave-tracking sample, the NJ DOL complaint correspondence (Case No. NJ-ESL-2025-04117), and internal HR correspondence between Marcus Delgado and Rebecca Thorsen. H&amp;C applied the statutes, regulations, and agency guidance in effect as of May 19, 2025 for each jurisdiction. Where the Company's written policy is silent or ambiguous, H&amp;C assessed the policy against the information provided regarding actual practice.</w:t>
      </w:r>
    </w:p>
    <w:p>
      <w:pPr>
        <w:spacing w:after="120" w:line="259" w:lineRule="auto"/>
        <w:jc w:val="both"/>
      </w:pPr>
      <w:r>
        <w:rPr>
          <w:rFonts w:ascii="Calibri" w:hAnsi="Calibri"/>
          <w:b w:val="0"/>
          <w:i w:val="0"/>
          <w:color w:val="000000"/>
          <w:sz w:val="21"/>
        </w:rPr>
        <w:t>Limitations. This memorandum is based on the accuracy and completeness of the information and representations provided by the Company. State paid leave law is a rapidly evolving area; legislative or regulatory changes after the deliverable date may affect the analysis. The review does not address federal FMLA compliance, local or municipal paid leave ordinances, workers' compensation, or unemployment insurance, each of which is outside the engagement scope. This memorandum does not constitute a guarantee of any particular compliance outcome and does not constitute representation of the Company in the pending NJ DOL matter, which continues under the separate engagement dated February 15, 2025.</w:t>
      </w:r>
    </w:p>
    <w:p>
      <w:pPr>
        <w:keepNext/>
        <w:spacing w:before="280" w:after="80"/>
        <w:pBdr>
          <w:bottom w:val="single" w:sz="6" w:space="2" w:color="1F3864"/>
        </w:pBdr>
      </w:pPr>
      <w:r>
        <w:rPr>
          <w:rFonts w:ascii="Calibri" w:hAnsi="Calibri"/>
          <w:b/>
          <w:i w:val="0"/>
          <w:color w:val="1F3864"/>
          <w:sz w:val="25"/>
        </w:rPr>
        <w:t>III.  Summary of Compliance Posture</w:t>
      </w:r>
    </w:p>
    <w:p>
      <w:pPr>
        <w:spacing w:after="120" w:line="259" w:lineRule="auto"/>
        <w:jc w:val="both"/>
      </w:pPr>
      <w:r>
        <w:rPr>
          <w:rFonts w:ascii="Calibri" w:hAnsi="Calibri"/>
          <w:b w:val="0"/>
          <w:i w:val="0"/>
          <w:color w:val="000000"/>
          <w:sz w:val="21"/>
        </w:rPr>
        <w:t>The table below summarizes the overall compliance posture by category and jurisdiction, reflecting the dominant gap status across the dimensions within each category. The Matrix contains the full dimension-level detail (210 comparisons across 30 dimensions and seven jurisdictions).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rPr>
          <w:tblHeader w:val="true"/>
        </w:trPr>
        <w:tc>
          <w:tcPr>
            <w:tcW w:type="dxa" w:w="2448"/>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Category</w:t>
            </w:r>
          </w:p>
        </w:tc>
        <w:tc>
          <w:tcPr>
            <w:tcW w:type="dxa" w:w="893"/>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NJ</w:t>
            </w:r>
          </w:p>
        </w:tc>
        <w:tc>
          <w:tcPr>
            <w:tcW w:type="dxa" w:w="893"/>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NY</w:t>
            </w:r>
          </w:p>
        </w:tc>
        <w:tc>
          <w:tcPr>
            <w:tcW w:type="dxa" w:w="893"/>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CT</w:t>
            </w:r>
          </w:p>
        </w:tc>
        <w:tc>
          <w:tcPr>
            <w:tcW w:type="dxa" w:w="893"/>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MA</w:t>
            </w:r>
          </w:p>
        </w:tc>
        <w:tc>
          <w:tcPr>
            <w:tcW w:type="dxa" w:w="893"/>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CO</w:t>
            </w:r>
          </w:p>
        </w:tc>
        <w:tc>
          <w:tcPr>
            <w:tcW w:type="dxa" w:w="893"/>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OR</w:t>
            </w:r>
          </w:p>
        </w:tc>
        <w:tc>
          <w:tcPr>
            <w:tcW w:type="dxa" w:w="893"/>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WA</w:t>
            </w:r>
          </w:p>
        </w:tc>
        <w:tc>
          <w:tcPr>
            <w:tcW w:type="dxa" w:w="1296"/>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R/Y/G</w:t>
            </w:r>
          </w:p>
        </w:tc>
      </w:tr>
      <w:tr>
        <w:tc>
          <w:tcPr>
            <w:tcW w:type="dxa" w:w="2448"/>
            <w:shd w:val="clear" w:color="auto" w:fill="D9E1F2"/>
            <w:tcMar>
              <w:top w:w="40" w:type="dxa"/>
              <w:bottom w:w="40" w:type="dxa"/>
              <w:start w:w="80" w:type="dxa"/>
              <w:end w:w="80" w:type="dxa"/>
            </w:tcMar>
          </w:tcPr>
          <w:p>
            <w:pPr>
              <w:spacing w:before="0" w:after="0" w:line="240" w:lineRule="auto"/>
            </w:pPr>
            <w:r>
              <w:rPr>
                <w:rFonts w:ascii="Calibri" w:hAnsi="Calibri"/>
                <w:b/>
                <w:i w:val="0"/>
                <w:color w:val="000000"/>
                <w:sz w:val="18"/>
              </w:rPr>
              <w:t>Paid Sick Leave</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1296"/>
            <w:tcMar>
              <w:top w:w="40" w:type="dxa"/>
              <w:bottom w:w="40" w:type="dxa"/>
              <w:start w:w="80" w:type="dxa"/>
              <w:end w:w="80" w:type="dxa"/>
            </w:tcMar>
          </w:tcPr>
          <w:p>
            <w:pPr>
              <w:spacing w:before="0" w:after="0" w:line="240" w:lineRule="auto"/>
              <w:jc w:val="center"/>
            </w:pPr>
            <w:r>
              <w:rPr>
                <w:rFonts w:ascii="Calibri" w:hAnsi="Calibri"/>
                <w:b/>
                <w:i w:val="0"/>
                <w:color w:val="000000"/>
                <w:sz w:val="18"/>
              </w:rPr>
              <w:t>7/0/0</w:t>
            </w:r>
          </w:p>
        </w:tc>
      </w:tr>
      <w:tr>
        <w:tc>
          <w:tcPr>
            <w:tcW w:type="dxa" w:w="2448"/>
            <w:shd w:val="clear" w:color="auto" w:fill="D9E1F2"/>
            <w:tcMar>
              <w:top w:w="40" w:type="dxa"/>
              <w:bottom w:w="40" w:type="dxa"/>
              <w:start w:w="80" w:type="dxa"/>
              <w:end w:w="80" w:type="dxa"/>
            </w:tcMar>
          </w:tcPr>
          <w:p>
            <w:pPr>
              <w:spacing w:before="0" w:after="0" w:line="240" w:lineRule="auto"/>
            </w:pPr>
            <w:r>
              <w:rPr>
                <w:rFonts w:ascii="Calibri" w:hAnsi="Calibri"/>
                <w:b/>
                <w:i w:val="0"/>
                <w:color w:val="000000"/>
                <w:sz w:val="18"/>
              </w:rPr>
              <w:t>Paid Family Leave</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1296"/>
            <w:tcMar>
              <w:top w:w="40" w:type="dxa"/>
              <w:bottom w:w="40" w:type="dxa"/>
              <w:start w:w="80" w:type="dxa"/>
              <w:end w:w="80" w:type="dxa"/>
            </w:tcMar>
          </w:tcPr>
          <w:p>
            <w:pPr>
              <w:spacing w:before="0" w:after="0" w:line="240" w:lineRule="auto"/>
              <w:jc w:val="center"/>
            </w:pPr>
            <w:r>
              <w:rPr>
                <w:rFonts w:ascii="Calibri" w:hAnsi="Calibri"/>
                <w:b/>
                <w:i w:val="0"/>
                <w:color w:val="000000"/>
                <w:sz w:val="18"/>
              </w:rPr>
              <w:t>7/0/0</w:t>
            </w:r>
          </w:p>
        </w:tc>
      </w:tr>
      <w:tr>
        <w:tc>
          <w:tcPr>
            <w:tcW w:type="dxa" w:w="2448"/>
            <w:shd w:val="clear" w:color="auto" w:fill="D9E1F2"/>
            <w:tcMar>
              <w:top w:w="40" w:type="dxa"/>
              <w:bottom w:w="40" w:type="dxa"/>
              <w:start w:w="80" w:type="dxa"/>
              <w:end w:w="80" w:type="dxa"/>
            </w:tcMar>
          </w:tcPr>
          <w:p>
            <w:pPr>
              <w:spacing w:before="0" w:after="0" w:line="240" w:lineRule="auto"/>
            </w:pPr>
            <w:r>
              <w:rPr>
                <w:rFonts w:ascii="Calibri" w:hAnsi="Calibri"/>
                <w:b/>
                <w:i w:val="0"/>
                <w:color w:val="000000"/>
                <w:sz w:val="18"/>
              </w:rPr>
              <w:t>Paid Medical Leave</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1296"/>
            <w:tcMar>
              <w:top w:w="40" w:type="dxa"/>
              <w:bottom w:w="40" w:type="dxa"/>
              <w:start w:w="80" w:type="dxa"/>
              <w:end w:w="80" w:type="dxa"/>
            </w:tcMar>
          </w:tcPr>
          <w:p>
            <w:pPr>
              <w:spacing w:before="0" w:after="0" w:line="240" w:lineRule="auto"/>
              <w:jc w:val="center"/>
            </w:pPr>
            <w:r>
              <w:rPr>
                <w:rFonts w:ascii="Calibri" w:hAnsi="Calibri"/>
                <w:b/>
                <w:i w:val="0"/>
                <w:color w:val="000000"/>
                <w:sz w:val="18"/>
              </w:rPr>
              <w:t>7/0/0</w:t>
            </w:r>
          </w:p>
        </w:tc>
      </w:tr>
      <w:tr>
        <w:tc>
          <w:tcPr>
            <w:tcW w:type="dxa" w:w="2448"/>
            <w:shd w:val="clear" w:color="auto" w:fill="D9E1F2"/>
            <w:tcMar>
              <w:top w:w="40" w:type="dxa"/>
              <w:bottom w:w="40" w:type="dxa"/>
              <w:start w:w="80" w:type="dxa"/>
              <w:end w:w="80" w:type="dxa"/>
            </w:tcMar>
          </w:tcPr>
          <w:p>
            <w:pPr>
              <w:spacing w:before="0" w:after="0" w:line="240" w:lineRule="auto"/>
            </w:pPr>
            <w:r>
              <w:rPr>
                <w:rFonts w:ascii="Calibri" w:hAnsi="Calibri"/>
                <w:b/>
                <w:i w:val="0"/>
                <w:color w:val="000000"/>
                <w:sz w:val="18"/>
              </w:rPr>
              <w:t>Employer Obligations</w:t>
            </w:r>
          </w:p>
        </w:tc>
        <w:tc>
          <w:tcPr>
            <w:tcW w:type="dxa" w:w="893"/>
            <w:shd w:val="clear" w:color="auto" w:fill="FFEB9C"/>
            <w:tcMar>
              <w:top w:w="40" w:type="dxa"/>
              <w:bottom w:w="40" w:type="dxa"/>
              <w:start w:w="80" w:type="dxa"/>
              <w:end w:w="80" w:type="dxa"/>
            </w:tcMar>
          </w:tcPr>
          <w:p>
            <w:pPr>
              <w:spacing w:before="0" w:after="0" w:line="240" w:lineRule="auto"/>
              <w:jc w:val="center"/>
            </w:pPr>
            <w:r>
              <w:rPr>
                <w:rFonts w:ascii="Calibri" w:hAnsi="Calibri"/>
                <w:b/>
                <w:i w:val="0"/>
                <w:color w:val="9C6500"/>
                <w:sz w:val="16"/>
              </w:rPr>
              <w:t>At risk</w:t>
            </w:r>
          </w:p>
        </w:tc>
        <w:tc>
          <w:tcPr>
            <w:tcW w:type="dxa" w:w="893"/>
            <w:shd w:val="clear" w:color="auto" w:fill="FFEB9C"/>
            <w:tcMar>
              <w:top w:w="40" w:type="dxa"/>
              <w:bottom w:w="40" w:type="dxa"/>
              <w:start w:w="80" w:type="dxa"/>
              <w:end w:w="80" w:type="dxa"/>
            </w:tcMar>
          </w:tcPr>
          <w:p>
            <w:pPr>
              <w:spacing w:before="0" w:after="0" w:line="240" w:lineRule="auto"/>
              <w:jc w:val="center"/>
            </w:pPr>
            <w:r>
              <w:rPr>
                <w:rFonts w:ascii="Calibri" w:hAnsi="Calibri"/>
                <w:b/>
                <w:i w:val="0"/>
                <w:color w:val="9C6500"/>
                <w:sz w:val="16"/>
              </w:rPr>
              <w:t>At risk</w:t>
            </w:r>
          </w:p>
        </w:tc>
        <w:tc>
          <w:tcPr>
            <w:tcW w:type="dxa" w:w="893"/>
            <w:shd w:val="clear" w:color="auto" w:fill="FFEB9C"/>
            <w:tcMar>
              <w:top w:w="40" w:type="dxa"/>
              <w:bottom w:w="40" w:type="dxa"/>
              <w:start w:w="80" w:type="dxa"/>
              <w:end w:w="80" w:type="dxa"/>
            </w:tcMar>
          </w:tcPr>
          <w:p>
            <w:pPr>
              <w:spacing w:before="0" w:after="0" w:line="240" w:lineRule="auto"/>
              <w:jc w:val="center"/>
            </w:pPr>
            <w:r>
              <w:rPr>
                <w:rFonts w:ascii="Calibri" w:hAnsi="Calibri"/>
                <w:b/>
                <w:i w:val="0"/>
                <w:color w:val="9C6500"/>
                <w:sz w:val="16"/>
              </w:rPr>
              <w:t>At risk</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1296"/>
            <w:tcMar>
              <w:top w:w="40" w:type="dxa"/>
              <w:bottom w:w="40" w:type="dxa"/>
              <w:start w:w="80" w:type="dxa"/>
              <w:end w:w="80" w:type="dxa"/>
            </w:tcMar>
          </w:tcPr>
          <w:p>
            <w:pPr>
              <w:spacing w:before="0" w:after="0" w:line="240" w:lineRule="auto"/>
              <w:jc w:val="center"/>
            </w:pPr>
            <w:r>
              <w:rPr>
                <w:rFonts w:ascii="Calibri" w:hAnsi="Calibri"/>
                <w:b/>
                <w:i w:val="0"/>
                <w:color w:val="000000"/>
                <w:sz w:val="18"/>
              </w:rPr>
              <w:t>4/3/0</w:t>
            </w:r>
          </w:p>
        </w:tc>
      </w:tr>
      <w:tr>
        <w:tc>
          <w:tcPr>
            <w:tcW w:type="dxa" w:w="2448"/>
            <w:shd w:val="clear" w:color="auto" w:fill="D9E1F2"/>
            <w:tcMar>
              <w:top w:w="40" w:type="dxa"/>
              <w:bottom w:w="40" w:type="dxa"/>
              <w:start w:w="80" w:type="dxa"/>
              <w:end w:w="80" w:type="dxa"/>
            </w:tcMar>
          </w:tcPr>
          <w:p>
            <w:pPr>
              <w:spacing w:before="0" w:after="0" w:line="240" w:lineRule="auto"/>
            </w:pPr>
            <w:r>
              <w:rPr>
                <w:rFonts w:ascii="Calibri" w:hAnsi="Calibri"/>
                <w:b/>
                <w:i w:val="0"/>
                <w:color w:val="000000"/>
                <w:sz w:val="18"/>
              </w:rPr>
              <w:t>PTO Payout on Separation</w:t>
            </w:r>
          </w:p>
        </w:tc>
        <w:tc>
          <w:tcPr>
            <w:tcW w:type="dxa" w:w="893"/>
            <w:shd w:val="clear" w:color="auto" w:fill="C6EFCE"/>
            <w:tcMar>
              <w:top w:w="40" w:type="dxa"/>
              <w:bottom w:w="40" w:type="dxa"/>
              <w:start w:w="80" w:type="dxa"/>
              <w:end w:w="80" w:type="dxa"/>
            </w:tcMar>
          </w:tcPr>
          <w:p>
            <w:pPr>
              <w:spacing w:before="0" w:after="0" w:line="240" w:lineRule="auto"/>
              <w:jc w:val="center"/>
            </w:pPr>
            <w:r>
              <w:rPr>
                <w:rFonts w:ascii="Calibri" w:hAnsi="Calibri"/>
                <w:b/>
                <w:i w:val="0"/>
                <w:color w:val="006100"/>
                <w:sz w:val="16"/>
              </w:rPr>
              <w:t>Compliant</w:t>
            </w:r>
          </w:p>
        </w:tc>
        <w:tc>
          <w:tcPr>
            <w:tcW w:type="dxa" w:w="893"/>
            <w:shd w:val="clear" w:color="auto" w:fill="C6EFCE"/>
            <w:tcMar>
              <w:top w:w="40" w:type="dxa"/>
              <w:bottom w:w="40" w:type="dxa"/>
              <w:start w:w="80" w:type="dxa"/>
              <w:end w:w="80" w:type="dxa"/>
            </w:tcMar>
          </w:tcPr>
          <w:p>
            <w:pPr>
              <w:spacing w:before="0" w:after="0" w:line="240" w:lineRule="auto"/>
              <w:jc w:val="center"/>
            </w:pPr>
            <w:r>
              <w:rPr>
                <w:rFonts w:ascii="Calibri" w:hAnsi="Calibri"/>
                <w:b/>
                <w:i w:val="0"/>
                <w:color w:val="006100"/>
                <w:sz w:val="16"/>
              </w:rPr>
              <w:t>Compliant</w:t>
            </w:r>
          </w:p>
        </w:tc>
        <w:tc>
          <w:tcPr>
            <w:tcW w:type="dxa" w:w="893"/>
            <w:shd w:val="clear" w:color="auto" w:fill="C6EFCE"/>
            <w:tcMar>
              <w:top w:w="40" w:type="dxa"/>
              <w:bottom w:w="40" w:type="dxa"/>
              <w:start w:w="80" w:type="dxa"/>
              <w:end w:w="80" w:type="dxa"/>
            </w:tcMar>
          </w:tcPr>
          <w:p>
            <w:pPr>
              <w:spacing w:before="0" w:after="0" w:line="240" w:lineRule="auto"/>
              <w:jc w:val="center"/>
            </w:pPr>
            <w:r>
              <w:rPr>
                <w:rFonts w:ascii="Calibri" w:hAnsi="Calibri"/>
                <w:b/>
                <w:i w:val="0"/>
                <w:color w:val="006100"/>
                <w:sz w:val="16"/>
              </w:rPr>
              <w:t>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893"/>
            <w:shd w:val="clear" w:color="auto" w:fill="FFC7CE"/>
            <w:tcMar>
              <w:top w:w="40" w:type="dxa"/>
              <w:bottom w:w="40" w:type="dxa"/>
              <w:start w:w="80" w:type="dxa"/>
              <w:end w:w="80" w:type="dxa"/>
            </w:tcMar>
          </w:tcPr>
          <w:p>
            <w:pPr>
              <w:spacing w:before="0" w:after="0" w:line="240" w:lineRule="auto"/>
              <w:jc w:val="center"/>
            </w:pPr>
            <w:r>
              <w:rPr>
                <w:rFonts w:ascii="Calibri" w:hAnsi="Calibri"/>
                <w:b/>
                <w:i w:val="0"/>
                <w:color w:val="9C0006"/>
                <w:sz w:val="16"/>
              </w:rPr>
              <w:t>Non-compliant</w:t>
            </w:r>
          </w:p>
        </w:tc>
        <w:tc>
          <w:tcPr>
            <w:tcW w:type="dxa" w:w="1296"/>
            <w:tcMar>
              <w:top w:w="40" w:type="dxa"/>
              <w:bottom w:w="40" w:type="dxa"/>
              <w:start w:w="80" w:type="dxa"/>
              <w:end w:w="80" w:type="dxa"/>
            </w:tcMar>
          </w:tcPr>
          <w:p>
            <w:pPr>
              <w:spacing w:before="0" w:after="0" w:line="240" w:lineRule="auto"/>
              <w:jc w:val="center"/>
            </w:pPr>
            <w:r>
              <w:rPr>
                <w:rFonts w:ascii="Calibri" w:hAnsi="Calibri"/>
                <w:b/>
                <w:i w:val="0"/>
                <w:color w:val="000000"/>
                <w:sz w:val="18"/>
              </w:rPr>
              <w:t>4/0/3</w:t>
            </w:r>
          </w:p>
        </w:tc>
      </w:tr>
      <w:tr>
        <w:tc>
          <w:tcPr>
            <w:tcW w:type="dxa" w:w="2448"/>
            <w:shd w:val="clear" w:color="auto" w:fill="1F3864"/>
            <w:tcMar>
              <w:top w:w="40" w:type="dxa"/>
              <w:bottom w:w="40" w:type="dxa"/>
              <w:start w:w="80" w:type="dxa"/>
              <w:end w:w="80" w:type="dxa"/>
            </w:tcMar>
          </w:tcPr>
          <w:p>
            <w:pPr>
              <w:spacing w:before="0" w:after="0" w:line="240" w:lineRule="auto"/>
            </w:pPr>
            <w:r>
              <w:rPr>
                <w:rFonts w:ascii="Calibri" w:hAnsi="Calibri"/>
                <w:b/>
                <w:i w:val="0"/>
                <w:color w:val="FFFFFF"/>
                <w:sz w:val="18"/>
              </w:rPr>
              <w:t>TOTAL (all dimensions)</w:t>
            </w:r>
          </w:p>
        </w:tc>
        <w:tc>
          <w:tcPr>
            <w:tcW w:type="dxa" w:w="893"/>
            <w:tcMar>
              <w:top w:w="40" w:type="dxa"/>
              <w:bottom w:w="40" w:type="dxa"/>
              <w:start w:w="80" w:type="dxa"/>
              <w:end w:w="80" w:type="dxa"/>
            </w:tcMar>
            <w:shd w:val="clear" w:color="auto" w:fill="FFC7CE"/>
          </w:tcPr>
          <w:p>
            <w:pPr>
              <w:spacing w:before="0" w:after="0" w:line="240" w:lineRule="auto"/>
              <w:jc w:val="center"/>
            </w:pPr>
            <w:r>
              <w:rPr>
                <w:rFonts w:ascii="Calibri" w:hAnsi="Calibri"/>
                <w:b/>
                <w:i w:val="0"/>
                <w:color w:val="9C0006"/>
                <w:sz w:val="16"/>
              </w:rPr>
              <w:t>3R 1Y 1G</w:t>
            </w:r>
          </w:p>
        </w:tc>
        <w:tc>
          <w:tcPr>
            <w:tcW w:type="dxa" w:w="893"/>
            <w:tcMar>
              <w:top w:w="40" w:type="dxa"/>
              <w:bottom w:w="40" w:type="dxa"/>
              <w:start w:w="80" w:type="dxa"/>
              <w:end w:w="80" w:type="dxa"/>
            </w:tcMar>
            <w:shd w:val="clear" w:color="auto" w:fill="FFC7CE"/>
          </w:tcPr>
          <w:p>
            <w:pPr>
              <w:spacing w:before="0" w:after="0" w:line="240" w:lineRule="auto"/>
              <w:jc w:val="center"/>
            </w:pPr>
            <w:r>
              <w:rPr>
                <w:rFonts w:ascii="Calibri" w:hAnsi="Calibri"/>
                <w:b/>
                <w:i w:val="0"/>
                <w:color w:val="9C0006"/>
                <w:sz w:val="16"/>
              </w:rPr>
              <w:t>3R 1Y 1G</w:t>
            </w:r>
          </w:p>
        </w:tc>
        <w:tc>
          <w:tcPr>
            <w:tcW w:type="dxa" w:w="893"/>
            <w:tcMar>
              <w:top w:w="40" w:type="dxa"/>
              <w:bottom w:w="40" w:type="dxa"/>
              <w:start w:w="80" w:type="dxa"/>
              <w:end w:w="80" w:type="dxa"/>
            </w:tcMar>
            <w:shd w:val="clear" w:color="auto" w:fill="FFC7CE"/>
          </w:tcPr>
          <w:p>
            <w:pPr>
              <w:spacing w:before="0" w:after="0" w:line="240" w:lineRule="auto"/>
              <w:jc w:val="center"/>
            </w:pPr>
            <w:r>
              <w:rPr>
                <w:rFonts w:ascii="Calibri" w:hAnsi="Calibri"/>
                <w:b/>
                <w:i w:val="0"/>
                <w:color w:val="9C0006"/>
                <w:sz w:val="16"/>
              </w:rPr>
              <w:t>3R 1Y 1G</w:t>
            </w:r>
          </w:p>
        </w:tc>
        <w:tc>
          <w:tcPr>
            <w:tcW w:type="dxa" w:w="893"/>
            <w:tcMar>
              <w:top w:w="40" w:type="dxa"/>
              <w:bottom w:w="40" w:type="dxa"/>
              <w:start w:w="80" w:type="dxa"/>
              <w:end w:w="80" w:type="dxa"/>
            </w:tcMar>
            <w:shd w:val="clear" w:color="auto" w:fill="FFC7CE"/>
          </w:tcPr>
          <w:p>
            <w:pPr>
              <w:spacing w:before="0" w:after="0" w:line="240" w:lineRule="auto"/>
              <w:jc w:val="center"/>
            </w:pPr>
            <w:r>
              <w:rPr>
                <w:rFonts w:ascii="Calibri" w:hAnsi="Calibri"/>
                <w:b/>
                <w:i w:val="0"/>
                <w:color w:val="9C0006"/>
                <w:sz w:val="16"/>
              </w:rPr>
              <w:t>5R 0Y 0G</w:t>
            </w:r>
          </w:p>
        </w:tc>
        <w:tc>
          <w:tcPr>
            <w:tcW w:type="dxa" w:w="893"/>
            <w:tcMar>
              <w:top w:w="40" w:type="dxa"/>
              <w:bottom w:w="40" w:type="dxa"/>
              <w:start w:w="80" w:type="dxa"/>
              <w:end w:w="80" w:type="dxa"/>
            </w:tcMar>
            <w:shd w:val="clear" w:color="auto" w:fill="FFC7CE"/>
          </w:tcPr>
          <w:p>
            <w:pPr>
              <w:spacing w:before="0" w:after="0" w:line="240" w:lineRule="auto"/>
              <w:jc w:val="center"/>
            </w:pPr>
            <w:r>
              <w:rPr>
                <w:rFonts w:ascii="Calibri" w:hAnsi="Calibri"/>
                <w:b/>
                <w:i w:val="0"/>
                <w:color w:val="9C0006"/>
                <w:sz w:val="16"/>
              </w:rPr>
              <w:t>5R 0Y 0G</w:t>
            </w:r>
          </w:p>
        </w:tc>
        <w:tc>
          <w:tcPr>
            <w:tcW w:type="dxa" w:w="893"/>
            <w:tcMar>
              <w:top w:w="40" w:type="dxa"/>
              <w:bottom w:w="40" w:type="dxa"/>
              <w:start w:w="80" w:type="dxa"/>
              <w:end w:w="80" w:type="dxa"/>
            </w:tcMar>
            <w:shd w:val="clear" w:color="auto" w:fill="FFC7CE"/>
          </w:tcPr>
          <w:p>
            <w:pPr>
              <w:spacing w:before="0" w:after="0" w:line="240" w:lineRule="auto"/>
              <w:jc w:val="center"/>
            </w:pPr>
            <w:r>
              <w:rPr>
                <w:rFonts w:ascii="Calibri" w:hAnsi="Calibri"/>
                <w:b/>
                <w:i w:val="0"/>
                <w:color w:val="9C0006"/>
                <w:sz w:val="16"/>
              </w:rPr>
              <w:t>5R 0Y 0G</w:t>
            </w:r>
          </w:p>
        </w:tc>
        <w:tc>
          <w:tcPr>
            <w:tcW w:type="dxa" w:w="893"/>
            <w:tcMar>
              <w:top w:w="40" w:type="dxa"/>
              <w:bottom w:w="40" w:type="dxa"/>
              <w:start w:w="80" w:type="dxa"/>
              <w:end w:w="80" w:type="dxa"/>
            </w:tcMar>
            <w:shd w:val="clear" w:color="auto" w:fill="FFC7CE"/>
          </w:tcPr>
          <w:p>
            <w:pPr>
              <w:spacing w:before="0" w:after="0" w:line="240" w:lineRule="auto"/>
              <w:jc w:val="center"/>
            </w:pPr>
            <w:r>
              <w:rPr>
                <w:rFonts w:ascii="Calibri" w:hAnsi="Calibri"/>
                <w:b/>
                <w:i w:val="0"/>
                <w:color w:val="9C0006"/>
                <w:sz w:val="16"/>
              </w:rPr>
              <w:t>5R 0Y 0G</w:t>
            </w:r>
          </w:p>
        </w:tc>
        <w:tc>
          <w:tcPr>
            <w:tcW w:type="dxa" w:w="1296"/>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8"/>
              </w:rPr>
              <w:t>29/3/3</w:t>
            </w:r>
          </w:p>
        </w:tc>
      </w:tr>
    </w:tbl>
    <w:p>
      <w:pPr>
        <w:spacing w:before="60" w:after="160"/>
      </w:pPr>
      <w:r>
        <w:rPr>
          <w:rFonts w:ascii="Calibri" w:hAnsi="Calibri"/>
          <w:b w:val="0"/>
          <w:i/>
          <w:color w:val="595959"/>
          <w:sz w:val="17"/>
        </w:rPr>
        <w:t>Figure 1. Overall compliance posture by category and jurisdiction (category-level summary). See the Matrix for dimension-by-dimension detail (210 comparisons).</w:t>
      </w:r>
    </w:p>
    <w:p>
      <w:pPr>
        <w:keepNext/>
        <w:spacing w:before="280" w:after="80"/>
        <w:pBdr>
          <w:bottom w:val="single" w:sz="6" w:space="2" w:color="1F3864"/>
        </w:pBdr>
      </w:pPr>
      <w:r>
        <w:rPr>
          <w:rFonts w:ascii="Calibri" w:hAnsi="Calibri"/>
          <w:b/>
          <w:i w:val="0"/>
          <w:color w:val="1F3864"/>
          <w:sz w:val="25"/>
        </w:rPr>
        <w:t>IV.  Critical Deficiencies</w:t>
      </w:r>
    </w:p>
    <w:p>
      <w:pPr>
        <w:spacing w:after="120" w:line="259" w:lineRule="auto"/>
        <w:jc w:val="both"/>
      </w:pPr>
      <w:r>
        <w:rPr>
          <w:rFonts w:ascii="Calibri" w:hAnsi="Calibri"/>
          <w:b w:val="0"/>
          <w:i w:val="0"/>
          <w:color w:val="000000"/>
          <w:sz w:val="21"/>
        </w:rPr>
        <w:t>Critical deficiencies involve active legal exposure, an imminent regulatory deadline at risk, or a deficiency that has already resulted in, or is likely to imminently result in, regulatory action, penalties, or litigation. Four Critical items are identified.</w:t>
      </w:r>
    </w:p>
    <w:p>
      <w:pPr>
        <w:spacing w:before="160" w:after="60"/>
      </w:pPr>
      <w:r>
        <w:rPr>
          <w:rFonts w:ascii="Calibri" w:hAnsi="Calibri"/>
          <w:b/>
          <w:i w:val="0"/>
          <w:color w:val="1F3864"/>
          <w:sz w:val="22"/>
        </w:rPr>
        <w:t>C-1  |  Massachusetts PFML Registration — Imminent Deadline</w:t>
      </w:r>
    </w:p>
    <w:p>
      <w:pPr>
        <w:spacing w:after="80"/>
      </w:pPr>
      <w:r>
        <w:rPr>
          <w:rFonts w:ascii="Calibri" w:hAnsi="Calibri"/>
          <w:b/>
          <w:i w:val="0"/>
          <w:color w:val="000000"/>
          <w:sz w:val="19"/>
        </w:rPr>
        <w:t xml:space="preserve">Severity: </w:t>
      </w:r>
      <w:r>
        <w:rPr>
          <w:rFonts w:ascii="Calibri" w:hAnsi="Calibri"/>
          <w:b/>
          <w:i w:val="0"/>
          <w:color w:val="9C0006"/>
          <w:sz w:val="19"/>
        </w:rPr>
        <w:t>CRITICAL</w:t>
      </w:r>
    </w:p>
    <w:p>
      <w:pPr>
        <w:spacing w:after="100" w:line="259" w:lineRule="auto"/>
        <w:jc w:val="both"/>
      </w:pPr>
      <w:r>
        <w:rPr>
          <w:rFonts w:ascii="Calibri" w:hAnsi="Calibri"/>
          <w:b w:val="0"/>
          <w:i w:val="0"/>
          <w:color w:val="000000"/>
          <w:sz w:val="21"/>
        </w:rPr>
        <w:t>The Company has not registered with the Massachusetts Paid Family and Medical Leave (MA PFML) program administered by the Massachusetts Department of Family and Medical Leave. MA PFML requires employer registration and contribution remittance from the first day any covered employee works in the Commonwealth. The Worcester facility is scheduled to open on August 1, 2025 with a projected 130 employees and $7.8 million in annual payroll.</w:t>
      </w:r>
    </w:p>
    <w:p>
      <w:pPr>
        <w:spacing w:after="100" w:line="259" w:lineRule="auto"/>
        <w:jc w:val="both"/>
      </w:pPr>
      <w:r>
        <w:rPr>
          <w:rFonts w:ascii="Calibri" w:hAnsi="Calibri"/>
          <w:b w:val="0"/>
          <w:i w:val="0"/>
          <w:color w:val="000000"/>
          <w:sz w:val="21"/>
        </w:rPr>
        <w:t>PinnacleHR has confirmed that it cannot configure payroll withholding until the Company provides its employer registration confirmation, and that its configuration lead time is approximately six to eight weeks from receipt of that confirmation. Working backward from August 1, 2025, registration must be completed no later than approximately June 1, 2025. As of the date of this memorandum, fewer than two weeks of slack remain against that date. Any slippage will cascade into a failure to have lawful withholding operational on the facility's opening day, exposing the Company to contribution delinquency, interest, and penalties under M.G.L. c. 175M. MA PFML also covers an employee's own serious health condition (up to 20 weeks of medical leave) and family leave (up to 12 weeks), at up to 80% of average weekly wage capped at approximately $1,170.64 per week (2025)—benefits the Company's self-funded plan does not approach.</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Initiate MA PFML employer registration with the DFML immediately; treat as the single highest-priority registration item.</w:t>
      </w:r>
    </w:p>
    <w:p>
      <w:pPr>
        <w:pStyle w:val="ListBullet"/>
        <w:spacing w:after="60" w:line="252" w:lineRule="auto"/>
        <w:ind w:left="432"/>
      </w:pPr>
      <w:r>
        <w:rPr>
          <w:rFonts w:ascii="Calibri" w:hAnsi="Calibri"/>
          <w:b w:val="0"/>
          <w:i w:val="0"/>
          <w:color w:val="000000"/>
          <w:sz w:val="20"/>
        </w:rPr>
        <w:t>Provide registration confirmation and employer account numbers to PinnacleHR no later than June 1, 2025 to preserve the configuration window.</w:t>
      </w:r>
    </w:p>
    <w:p>
      <w:pPr>
        <w:pStyle w:val="ListBullet"/>
        <w:spacing w:after="60" w:line="252" w:lineRule="auto"/>
        <w:ind w:left="432"/>
      </w:pPr>
      <w:r>
        <w:rPr>
          <w:rFonts w:ascii="Calibri" w:hAnsi="Calibri"/>
          <w:b w:val="0"/>
          <w:i w:val="0"/>
          <w:color w:val="000000"/>
          <w:sz w:val="20"/>
        </w:rPr>
        <w:t>Confirm whether the Company will participate in the state program or pursue an approved private plan; given the equivalency analysis in Section VII, participation in the state program is the lower-risk path.</w:t>
      </w:r>
    </w:p>
    <w:p>
      <w:pPr>
        <w:pStyle w:val="ListBullet"/>
        <w:spacing w:after="60" w:line="252" w:lineRule="auto"/>
        <w:ind w:left="432"/>
      </w:pPr>
      <w:r>
        <w:rPr>
          <w:rFonts w:ascii="Calibri" w:hAnsi="Calibri"/>
          <w:b w:val="0"/>
          <w:i w:val="0"/>
          <w:color w:val="000000"/>
          <w:sz w:val="20"/>
        </w:rPr>
        <w:t>Update the PTO payout policy (see H-7) and the sick leave waiting period (see H-3) before the first Massachusetts hire.</w:t>
      </w:r>
    </w:p>
    <w:p>
      <w:pPr>
        <w:spacing w:before="160" w:after="60"/>
      </w:pPr>
      <w:r>
        <w:rPr>
          <w:rFonts w:ascii="Calibri" w:hAnsi="Calibri"/>
          <w:b/>
          <w:i w:val="0"/>
          <w:color w:val="1F3864"/>
          <w:sz w:val="22"/>
        </w:rPr>
        <w:t>C-2  |  Colorado FAMLI Registration — Triggered by April 2025 Remote Hires</w:t>
      </w:r>
    </w:p>
    <w:p>
      <w:pPr>
        <w:spacing w:after="80"/>
      </w:pPr>
      <w:r>
        <w:rPr>
          <w:rFonts w:ascii="Calibri" w:hAnsi="Calibri"/>
          <w:b/>
          <w:i w:val="0"/>
          <w:color w:val="000000"/>
          <w:sz w:val="19"/>
        </w:rPr>
        <w:t xml:space="preserve">Severity: </w:t>
      </w:r>
      <w:r>
        <w:rPr>
          <w:rFonts w:ascii="Calibri" w:hAnsi="Calibri"/>
          <w:b/>
          <w:i w:val="0"/>
          <w:color w:val="9C0006"/>
          <w:sz w:val="19"/>
        </w:rPr>
        <w:t>CRITICAL</w:t>
      </w:r>
    </w:p>
    <w:p>
      <w:pPr>
        <w:spacing w:after="100" w:line="259" w:lineRule="auto"/>
        <w:jc w:val="both"/>
      </w:pPr>
      <w:r>
        <w:rPr>
          <w:rFonts w:ascii="Calibri" w:hAnsi="Calibri"/>
          <w:b w:val="0"/>
          <w:i w:val="0"/>
          <w:color w:val="000000"/>
          <w:sz w:val="21"/>
        </w:rPr>
        <w:t>The Company has not registered with the Colorado Family and Medical Leave Insurance (FAMLI) program. Three salaried Colorado-based employees were hired to work remotely in April 2025—approximately seven months before the Aurora facility opens on November 1, 2025. Colorado FAMLI is mandatory for employers with ten or more employees and, critically, does not permit private-employer opt-out (the limited opt-out provision is available only to local government employers). The Company therefore cannot self-fund in lieu of FAMLI participation for any Colorado employee.</w:t>
      </w:r>
    </w:p>
    <w:p>
      <w:pPr>
        <w:spacing w:after="100" w:line="259" w:lineRule="auto"/>
        <w:jc w:val="both"/>
      </w:pPr>
      <w:r>
        <w:rPr>
          <w:rFonts w:ascii="Calibri" w:hAnsi="Calibri"/>
          <w:b w:val="0"/>
          <w:i w:val="0"/>
          <w:color w:val="000000"/>
          <w:sz w:val="21"/>
        </w:rPr>
        <w:t>If the FAMLI registration obligation is triggered by the first date a Colorado-based employee performs work for the Company—irrespective of whether a physical facility is operational—then the Company's registration may already be overdue as of the date of this memorandum. Even under the more favorable interpretation that the obligation attaches to the November 1, 2025 facility opening, the six-to-eight-week PinnacleHR lead time requires registration to be completed by approximately September 1, 2025. H&amp;C recommends resolving the trigger-date question in favor of the earliest date (the April remote hires) and registering immediately. FAMLI provides up to 12 weeks of leave (16 for pregnancy/childbirth complications) at 90% of average weekly wage up to 50% of the state average weekly wage, then 50% above, capped at approximately $1,100 per week (2025).</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Register with the Colorado FAMLI Division immediately; do not await the November facility opening.</w:t>
      </w:r>
    </w:p>
    <w:p>
      <w:pPr>
        <w:pStyle w:val="ListBullet"/>
        <w:spacing w:after="60" w:line="252" w:lineRule="auto"/>
        <w:ind w:left="432"/>
      </w:pPr>
      <w:r>
        <w:rPr>
          <w:rFonts w:ascii="Calibri" w:hAnsi="Calibri"/>
          <w:b w:val="0"/>
          <w:i w:val="0"/>
          <w:color w:val="000000"/>
          <w:sz w:val="20"/>
        </w:rPr>
        <w:t>Obtain a definitive legal determination on the registration trigger date for the April 2025 remote hires and remediate any contribution delinquency for the period since their start dates.</w:t>
      </w:r>
    </w:p>
    <w:p>
      <w:pPr>
        <w:pStyle w:val="ListBullet"/>
        <w:spacing w:after="60" w:line="252" w:lineRule="auto"/>
        <w:ind w:left="432"/>
      </w:pPr>
      <w:r>
        <w:rPr>
          <w:rFonts w:ascii="Calibri" w:hAnsi="Calibri"/>
          <w:b w:val="0"/>
          <w:i w:val="0"/>
          <w:color w:val="000000"/>
          <w:sz w:val="20"/>
        </w:rPr>
        <w:t>Plan for mandatory state-program participation; abandon any self-funded alternative for Colorado employees.</w:t>
      </w:r>
    </w:p>
    <w:p>
      <w:pPr>
        <w:pStyle w:val="ListBullet"/>
        <w:spacing w:after="60" w:line="252" w:lineRule="auto"/>
        <w:ind w:left="432"/>
      </w:pPr>
      <w:r>
        <w:rPr>
          <w:rFonts w:ascii="Calibri" w:hAnsi="Calibri"/>
          <w:b w:val="0"/>
          <w:i w:val="0"/>
          <w:color w:val="000000"/>
          <w:sz w:val="20"/>
        </w:rPr>
        <w:t>Coordinate PinnacleHR configuration to be operational no later than November 1, 2025.</w:t>
      </w:r>
    </w:p>
    <w:p>
      <w:pPr>
        <w:spacing w:before="160" w:after="60"/>
      </w:pPr>
      <w:r>
        <w:rPr>
          <w:rFonts w:ascii="Calibri" w:hAnsi="Calibri"/>
          <w:b/>
          <w:i w:val="0"/>
          <w:color w:val="1F3864"/>
          <w:sz w:val="22"/>
        </w:rPr>
        <w:t>C-3  |  New Jersey Earned Sick Leave Act Violations — Active NJ DOL Complaint</w:t>
      </w:r>
    </w:p>
    <w:p>
      <w:pPr>
        <w:spacing w:after="80"/>
      </w:pPr>
      <w:r>
        <w:rPr>
          <w:rFonts w:ascii="Calibri" w:hAnsi="Calibri"/>
          <w:b/>
          <w:i w:val="0"/>
          <w:color w:val="000000"/>
          <w:sz w:val="19"/>
        </w:rPr>
        <w:t xml:space="preserve">Severity: </w:t>
      </w:r>
      <w:r>
        <w:rPr>
          <w:rFonts w:ascii="Calibri" w:hAnsi="Calibri"/>
          <w:b/>
          <w:i w:val="0"/>
          <w:color w:val="9C0006"/>
          <w:sz w:val="19"/>
        </w:rPr>
        <w:t>CRITICAL</w:t>
      </w:r>
    </w:p>
    <w:p>
      <w:pPr>
        <w:spacing w:after="100" w:line="259" w:lineRule="auto"/>
        <w:jc w:val="both"/>
      </w:pPr>
      <w:r>
        <w:rPr>
          <w:rFonts w:ascii="Calibri" w:hAnsi="Calibri"/>
          <w:b w:val="0"/>
          <w:i w:val="0"/>
          <w:color w:val="000000"/>
          <w:sz w:val="21"/>
        </w:rPr>
        <w:t>The Company is the respondent in an active complaint before the New Jersey Department of Labor and Workforce Development, Case No. NJ-ESL-2025-04117 (Carla Muñoz v. Vantage Logistics Group, Inc.), received February 3, 2025. The complaint alleges that the Company denied Ms. Muñoz the use of accrued earned sick leave to care for her domestic partner's child, on the ground that the Company's policy limits covered family members to "spouse, child, or parent." The New Jersey Earned Sick Leave Act, N.J.S.A. 34:11D-1 et seq., defines "family member" far more broadly to include a domestic partner, a child of a domestic partner, a civil union partner, grandparents, grandchildren, siblings, any other blood relative, and any individual whose close association with the employee is the equivalent of a family relationship.</w:t>
      </w:r>
    </w:p>
    <w:p>
      <w:pPr>
        <w:spacing w:after="100" w:line="259" w:lineRule="auto"/>
        <w:jc w:val="both"/>
      </w:pPr>
      <w:r>
        <w:rPr>
          <w:rFonts w:ascii="Calibri" w:hAnsi="Calibri"/>
          <w:b w:val="0"/>
          <w:i w:val="0"/>
          <w:color w:val="000000"/>
          <w:sz w:val="21"/>
        </w:rPr>
        <w:t>The Company's policy deficiencies extend well beyond the family-member definition. The policy enumerates covered uses limited to the employee's own illness, injury, or medical appointment, omitting the care of family members, absences related to domestic or sexual violence, public health emergency closures, and school-related functions—all of which are required uses under N.J.S.A. 34:11D-3. In addition, the policy's accrual rate (1 hour per 40 hours worked) is below the statutory rate (1 hour per 30 hours worked); the part-time accrual cap (24 hours) is below the 40-hour cap required for all employees; and the no-carryover rule violates the Act's carryover requirement (absent frontloading or year-end payout). The Department has reserved the right to expand its investigation beyond the Muñoz claim, which means these systemic defects are exposed to agency scrutiny in a live proceeding.</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Amend the Paid Sick Leave policy to (i) adopt the full statutory definition of "family member," (ii) enumerate all statutorily required covered uses, (iii) correct the accrual rate to 1 hour per 30 hours worked, (iv) raise the part-time cap to 40 hours, and (v) implement carryover (or frontloading) consistent with the Act.</w:t>
      </w:r>
    </w:p>
    <w:p>
      <w:pPr>
        <w:pStyle w:val="ListBullet"/>
        <w:spacing w:after="60" w:line="252" w:lineRule="auto"/>
        <w:ind w:left="432"/>
      </w:pPr>
      <w:r>
        <w:rPr>
          <w:rFonts w:ascii="Calibri" w:hAnsi="Calibri"/>
          <w:b w:val="0"/>
          <w:i w:val="0"/>
          <w:color w:val="000000"/>
          <w:sz w:val="20"/>
        </w:rPr>
        <w:t>Make Ms. Muñoz whole for the unpaid time off or expended PTO resulting from the denial, as part of the resolution strategy in the NJ DOL proceeding (addressed in Section X).</w:t>
      </w:r>
    </w:p>
    <w:p>
      <w:pPr>
        <w:pStyle w:val="ListBullet"/>
        <w:spacing w:after="60" w:line="252" w:lineRule="auto"/>
        <w:ind w:left="432"/>
      </w:pPr>
      <w:r>
        <w:rPr>
          <w:rFonts w:ascii="Calibri" w:hAnsi="Calibri"/>
          <w:b w:val="0"/>
          <w:i w:val="0"/>
          <w:color w:val="000000"/>
          <w:sz w:val="20"/>
        </w:rPr>
        <w:t>Conduct mandatory supervisor and HR training on the proper administration of earned sick leave, including identification of covered family members and permissible leave purposes, at the Edison and Newark facilities.</w:t>
      </w:r>
    </w:p>
    <w:p>
      <w:pPr>
        <w:pStyle w:val="ListBullet"/>
        <w:spacing w:after="60" w:line="252" w:lineRule="auto"/>
        <w:ind w:left="432"/>
      </w:pPr>
      <w:r>
        <w:rPr>
          <w:rFonts w:ascii="Calibri" w:hAnsi="Calibri"/>
          <w:b w:val="0"/>
          <w:i w:val="0"/>
          <w:color w:val="000000"/>
          <w:sz w:val="20"/>
        </w:rPr>
        <w:t>Target policy amendment for the July 1, 2025 revised Handbook; implement training on a parallel track.</w:t>
      </w:r>
    </w:p>
    <w:p>
      <w:pPr>
        <w:spacing w:before="160" w:after="60"/>
      </w:pPr>
      <w:r>
        <w:rPr>
          <w:rFonts w:ascii="Calibri" w:hAnsi="Calibri"/>
          <w:b/>
          <w:i w:val="0"/>
          <w:color w:val="1F3864"/>
          <w:sz w:val="22"/>
        </w:rPr>
        <w:t>C-4  |  Self-Funded Paid Family Leave Plan — Below Statutory Minimums in All Seven States</w:t>
      </w:r>
    </w:p>
    <w:p>
      <w:pPr>
        <w:spacing w:after="80"/>
      </w:pPr>
      <w:r>
        <w:rPr>
          <w:rFonts w:ascii="Calibri" w:hAnsi="Calibri"/>
          <w:b/>
          <w:i w:val="0"/>
          <w:color w:val="000000"/>
          <w:sz w:val="19"/>
        </w:rPr>
        <w:t xml:space="preserve">Severity: </w:t>
      </w:r>
      <w:r>
        <w:rPr>
          <w:rFonts w:ascii="Calibri" w:hAnsi="Calibri"/>
          <w:b/>
          <w:i w:val="0"/>
          <w:color w:val="9C0006"/>
          <w:sz w:val="19"/>
        </w:rPr>
        <w:t>CRITICAL</w:t>
      </w:r>
    </w:p>
    <w:p>
      <w:pPr>
        <w:spacing w:after="100" w:line="259" w:lineRule="auto"/>
        <w:jc w:val="both"/>
      </w:pPr>
      <w:r>
        <w:rPr>
          <w:rFonts w:ascii="Calibri" w:hAnsi="Calibri"/>
          <w:b w:val="0"/>
          <w:i w:val="0"/>
          <w:color w:val="000000"/>
          <w:sz w:val="21"/>
        </w:rPr>
        <w:t>The Company self-funds its paid family leave benefit at 50% of the employee's average weekly wage, capped at $850 per week, for up to eight weeks, covering bonding and family caregiving only. The Company has not obtained private-plan approval in any jurisdiction and does not participate as the contributing employer in any state family leave insurance program; PinnacleHR withholds only the employee-side contributions required by New Jersey, New York, and Connecticut.</w:t>
      </w:r>
    </w:p>
    <w:p>
      <w:pPr>
        <w:spacing w:after="100" w:line="259" w:lineRule="auto"/>
        <w:jc w:val="both"/>
      </w:pPr>
      <w:r>
        <w:rPr>
          <w:rFonts w:ascii="Calibri" w:hAnsi="Calibri"/>
          <w:b w:val="0"/>
          <w:i w:val="0"/>
          <w:color w:val="000000"/>
          <w:sz w:val="21"/>
        </w:rPr>
        <w:t>The self-funded benefit is below the statutory minimum in all seven jurisdictions on every material dimension—wage replacement rate, weekly benefit cap, and duration—and it omits qualifying military exigency, organ and bone-marrow donation, and (in several states) safe leave and the employee's own medical condition. Because no private-plan application has been filed, the plan does not qualify as a compliant substitute in any state that permits one (New Jersey, New York, Connecticut, Massachusetts, Oregon, and Washington), and it is categorically impermissible in Colorado, which does not permit private-employer opt-out. The practical result is that employees in the current three states are paying into state programs through payroll withholdings while the Company maintains a separate, inferior self-funded benefit—a structure that creates both under-delivery risk (employees receiving less than the state benefit) and dual-coverage confusion. Section VII analyzes the structural options in detail.</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Make a structural decision by July 1, 2025 among: (a) participate in all state programs and discontinue or reposition the self-funded plan as a supplemental benefit; (b) file private-plan approvals in the six states that permit them, with benefits enhanced to meet or exceed each state's statutory minimum in all respects; or (c) a hybrid approach. H&amp;C's preliminary recommendation is option (a) for operational simplicity and lowest residual risk, with the self-funded plan either discontinued or clearly framed as supplemental.</w:t>
      </w:r>
    </w:p>
    <w:p>
      <w:pPr>
        <w:pStyle w:val="ListBullet"/>
        <w:spacing w:after="60" w:line="252" w:lineRule="auto"/>
        <w:ind w:left="432"/>
      </w:pPr>
      <w:r>
        <w:rPr>
          <w:rFonts w:ascii="Calibri" w:hAnsi="Calibri"/>
          <w:b w:val="0"/>
          <w:i w:val="0"/>
          <w:color w:val="000000"/>
          <w:sz w:val="20"/>
        </w:rPr>
        <w:t>For Colorado, plan for mandatory state-program participation (no opt-out available).</w:t>
      </w:r>
    </w:p>
    <w:p>
      <w:pPr>
        <w:pStyle w:val="ListBullet"/>
        <w:spacing w:after="60" w:line="252" w:lineRule="auto"/>
        <w:ind w:left="432"/>
      </w:pPr>
      <w:r>
        <w:rPr>
          <w:rFonts w:ascii="Calibri" w:hAnsi="Calibri"/>
          <w:b w:val="0"/>
          <w:i w:val="0"/>
          <w:color w:val="000000"/>
          <w:sz w:val="20"/>
        </w:rPr>
        <w:t>Reconcile the current-state withholdings so that employees are unambiguously entitled to the full state benefit and are routed to the state program for claims (see H-8).</w:t>
      </w:r>
    </w:p>
    <w:p>
      <w:pPr>
        <w:pStyle w:val="ListBullet"/>
        <w:spacing w:after="60" w:line="252" w:lineRule="auto"/>
        <w:ind w:left="432"/>
      </w:pPr>
      <w:r>
        <w:rPr>
          <w:rFonts w:ascii="Calibri" w:hAnsi="Calibri"/>
          <w:b w:val="0"/>
          <w:i w:val="0"/>
          <w:color w:val="000000"/>
          <w:sz w:val="20"/>
        </w:rPr>
        <w:t>Broaden the family-member definition and qualifying reasons in any retained self-funded or supplemental plan to match each state program.</w:t>
      </w:r>
    </w:p>
    <w:p>
      <w:pPr>
        <w:keepNext/>
        <w:spacing w:before="280" w:after="80"/>
        <w:pBdr>
          <w:bottom w:val="single" w:sz="6" w:space="2" w:color="1F3864"/>
        </w:pBdr>
      </w:pPr>
      <w:r>
        <w:rPr>
          <w:rFonts w:ascii="Calibri" w:hAnsi="Calibri"/>
          <w:b/>
          <w:i w:val="0"/>
          <w:color w:val="1F3864"/>
          <w:sz w:val="25"/>
        </w:rPr>
        <w:t>V.  High-Severity Deficiencies</w:t>
      </w:r>
    </w:p>
    <w:p>
      <w:pPr>
        <w:spacing w:after="120" w:line="259" w:lineRule="auto"/>
        <w:jc w:val="both"/>
      </w:pPr>
      <w:r>
        <w:rPr>
          <w:rFonts w:ascii="Calibri" w:hAnsi="Calibri"/>
          <w:b w:val="0"/>
          <w:i w:val="0"/>
          <w:color w:val="000000"/>
          <w:sz w:val="21"/>
        </w:rPr>
        <w:t>High-severity deficiencies are likely to result in enforcement action, monetary penalties, or employee claims if not remediated before operations commence in the applicable jurisdiction or within the near term. Nine High items are identified.</w:t>
      </w:r>
    </w:p>
    <w:p>
      <w:pPr>
        <w:spacing w:before="160" w:after="40"/>
      </w:pPr>
      <w:r>
        <w:rPr>
          <w:rFonts w:ascii="Calibri" w:hAnsi="Calibri"/>
          <w:b/>
          <w:i w:val="0"/>
          <w:color w:val="1F3864"/>
          <w:sz w:val="21"/>
        </w:rPr>
        <w:t>H-1  |  New York Paid Sick Leave</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New York requires employers with 100 or more employees to provide up to 56 hours of paid sick leave per year (NY Labor Law § 196-b); the Company has 680 employees in New York. The policy provides 40 hours (full-time) and 24 hours (part-time), accrues at 1 hour per 40 hours worked (versus the statutory 1 per 30), imposes a 120-day waiting period (New York has none), prohibits carryover, defines family members narrowly, and omits required covered uses. Each of these is independently non-compliant.</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Increase the New York sick leave cap to 56 hours; correct the accrual rate to 1 hour per 30 hours worked; add carryover; broaden the family-member definition; enumerate all required covered uses; and remove the waiting period for New York employees. Target the July 1, 2025 revised Handbook.</w:t>
      </w:r>
    </w:p>
    <w:p>
      <w:pPr>
        <w:spacing w:before="160" w:after="40"/>
      </w:pPr>
      <w:r>
        <w:rPr>
          <w:rFonts w:ascii="Calibri" w:hAnsi="Calibri"/>
          <w:b/>
          <w:i w:val="0"/>
          <w:color w:val="1F3864"/>
          <w:sz w:val="21"/>
        </w:rPr>
        <w:t>H-2  |  Connecticut Paid Sick Leave</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Connecticut requires employers with 50 or more employees to provide up to 40 hours of paid sick leave per year (C.G.S. § 31-57s), with no distinction between full-time and part-time employees for the accrual cap. The Company's 24-hour part-time cap is non-compliant. The policy also prohibits carryover, defines family members narrowly, and omits required covered uses. (The accrual rate of 1 hour per 40 hours worked is consistent with Connecticut law.)</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Raise the part-time cap to 40 hours; add carryover; broaden the family-member definition; and enumerate all required covered uses. Target the July 1, 2025 revised Handbook.</w:t>
      </w:r>
    </w:p>
    <w:p>
      <w:pPr>
        <w:spacing w:before="160" w:after="40"/>
      </w:pPr>
      <w:r>
        <w:rPr>
          <w:rFonts w:ascii="Calibri" w:hAnsi="Calibri"/>
          <w:b/>
          <w:i w:val="0"/>
          <w:color w:val="1F3864"/>
          <w:sz w:val="21"/>
        </w:rPr>
        <w:t>H-3  |  Massachusetts Earned Sick Time</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Massachusetts requires employers with 11 or more employees to provide up to 40 hours of paid sick time per year (M.G.L. c. 149 § 148C), accruing at 1 hour per 30 hours worked, available for use after 90 days, with carryover of up to 40 hours. The policy's accrual rate (1 per 40), 120-day waiting period, no-carryover rule, part-time cap, narrow family-member definition, and omitted covered uses are each non-compliant.</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Correct the accrual rate to 1 per 30; reduce the waiting period to 90 days; add carryover; broaden the family-member definition; and enumerate required covered uses. Complete before the August 1, 2025 facility opening.</w:t>
      </w:r>
    </w:p>
    <w:p>
      <w:pPr>
        <w:spacing w:before="160" w:after="40"/>
      </w:pPr>
      <w:r>
        <w:rPr>
          <w:rFonts w:ascii="Calibri" w:hAnsi="Calibri"/>
          <w:b/>
          <w:i w:val="0"/>
          <w:color w:val="1F3864"/>
          <w:sz w:val="21"/>
        </w:rPr>
        <w:t>H-4  |  Colorado Healthy Families and Workplaces Act (Paid Sick Leave)</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Colorado requires all employers to provide paid sick leave at 1 hour per 30 hours worked, up to 48 hours per year, available for use immediately (no waiting period), with carryover, and including bereavement and supplemental public health emergency leave of up to 80 hours. The policy's 40/24-hour caps, 1-per-40 accrual, 120-day waiting period, no-carryover rule, narrow family-member definition, and omitted covered uses are each non-compliant.</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Set the cap at 48 hours; correct the accrual rate to 1 per 30; eliminate the waiting period; add carryover; broaden the family-member definition; and enumerate covered uses including bereavement and public health emergency supplemental leave. Complete before the November 1, 2025 facility opening.</w:t>
      </w:r>
    </w:p>
    <w:p>
      <w:pPr>
        <w:spacing w:before="160" w:after="40"/>
      </w:pPr>
      <w:r>
        <w:rPr>
          <w:rFonts w:ascii="Calibri" w:hAnsi="Calibri"/>
          <w:b/>
          <w:i w:val="0"/>
          <w:color w:val="1F3864"/>
          <w:sz w:val="21"/>
        </w:rPr>
        <w:t>H-5  |  Oregon Sick Time</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Oregon requires employers with 10 or more employees to provide up to 40 hours of paid sick time per year (ORS 653.601), accruing at 1 hour per 30 hours worked, available for use after 90 days, with carryover of up to 40 hours, and including safe leave (domestic violence, sexual assault, stalking, and harassment). The policy's accrual rate, 120-day waiting period, no-carryover rule, part-time cap, narrow family-member definition, and omitted covered uses (including safe leave) are non-compliant.</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Correct the accrual rate to 1 per 30; reduce the waiting period to 90 days; add carryover; broaden the family-member definition; and enumerate covered uses including safe leave. Complete before the February 1, 2026 facility opening.</w:t>
      </w:r>
    </w:p>
    <w:p>
      <w:pPr>
        <w:spacing w:before="160" w:after="40"/>
      </w:pPr>
      <w:r>
        <w:rPr>
          <w:rFonts w:ascii="Calibri" w:hAnsi="Calibri"/>
          <w:b/>
          <w:i w:val="0"/>
          <w:color w:val="1F3864"/>
          <w:sz w:val="21"/>
        </w:rPr>
        <w:t>H-6  |  Washington Paid Sick Leave</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Washington requires all employers to provide paid sick leave at 1 hour per 40 hours worked (RCW 49.46.210), available for use after 90 days, with no accrual cap and mandatory year-to-year carryover of all unused leave. The policy's accrual rate is consistent with Washington law, but its 120-day waiting period, accrual cap, no-carryover rule, narrow family-member definition, and omitted covered uses are non-compliant.</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Reduce the waiting period to 90 days; remove the accrual cap and implement year-to-year carryover; broaden the family-member definition; and enumerate required covered uses. Complete before the May 1, 2026 facility opening.</w:t>
      </w:r>
    </w:p>
    <w:p>
      <w:pPr>
        <w:spacing w:before="160" w:after="40"/>
      </w:pPr>
      <w:r>
        <w:rPr>
          <w:rFonts w:ascii="Calibri" w:hAnsi="Calibri"/>
          <w:b/>
          <w:i w:val="0"/>
          <w:color w:val="1F3864"/>
          <w:sz w:val="21"/>
        </w:rPr>
        <w:t>H-7  |  PTO/Vacation Payout on Separation — MA, CO, OR, WA</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The Company's policy forfeits accrued, unused PTO on separation in all states except Connecticut. That forfeiture is unlawful in four jurisdictions: Massachusetts (M.G.L. c. 149 § 148, with treble damages under the Wage Act), Colorado (C.R.S. § 8-4-101, which prohibits use-it-or-lose-it for earned vacation), Oregon (ORS 652.140, treating accrued vacation as wages), and Washington (RCW 49.48.010, treating accrued vacation as a vested wage). The five-day carryover cap and the March 31 use-or-forfeit deadline may be scrutinized in these states as mechanisms to minimize the payout obligation. Waiting-time penalties for late final pay apply in each.</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Amend the PTO policy to require payout of all accrued, unused vacation on separation in MA, CO, OR, and WA; review the carryover cap against each state's wage/vacation rules; and coordinate final-pay timing to avoid waiting-time penalties. The Massachusetts amendment must be in place before the first Massachusetts hire (by July 1, 2025); Colorado before the November 1, 2025 opening; Oregon and Washington before their respective openings.</w:t>
      </w:r>
    </w:p>
    <w:p>
      <w:pPr>
        <w:spacing w:before="160" w:after="40"/>
      </w:pPr>
      <w:r>
        <w:rPr>
          <w:rFonts w:ascii="Calibri" w:hAnsi="Calibri"/>
          <w:b/>
          <w:i w:val="0"/>
          <w:color w:val="1F3864"/>
          <w:sz w:val="21"/>
        </w:rPr>
        <w:t>H-8  |  Paid Medical Leave — Misdirection of Employees to Voluntary STD</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The Company provides no employer-funded paid medical leave for an employee's own serious health condition in any state, beyond accrued sick leave (capped at 40 hours for full-time employees) and PTO. Employees in New Jersey, New York, and Connecticut fund state disability and paid leave programs through payroll withholdings (NJ TDI, NY DBL, CT PL), each of which covers the employee's own condition. HR staff have nonetheless directed employees who inquired about paid medical leave to the voluntary, employee-paid short-term disability plan administered by Keystone Benefit Administrators, rather than to the state programs. At least seven such inquiries have been identified across Connecticut and New Jersey in the last twelve months, and fewer than 30% of Connecticut hourly employees are enrolled in the voluntary plan. This misdirection creates exposure to retroactive claims and mirrors the pattern that produced the Muñoz complaint—employees who believe they were denied a benefit they funded are willing to file with state agencies.</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Issue immediate interim guidance directing HR staff at all locations to route own-condition claims to the applicable state program (NJ TDI, NY DBL, CT PL) and to escalate uncertainty to the Director of HR rather than defaulting to the voluntary plan.</w:t>
      </w:r>
    </w:p>
    <w:p>
      <w:pPr>
        <w:pStyle w:val="ListBullet"/>
        <w:spacing w:after="60" w:line="252" w:lineRule="auto"/>
        <w:ind w:left="432"/>
      </w:pPr>
      <w:r>
        <w:rPr>
          <w:rFonts w:ascii="Calibri" w:hAnsi="Calibri"/>
          <w:b w:val="0"/>
          <w:i w:val="0"/>
          <w:color w:val="000000"/>
          <w:sz w:val="20"/>
        </w:rPr>
        <w:t>Compile and audit the full list of prior own-condition inquiries (CT, NJ, NY) to identify employees who may have been misdirected and assess retroactive claim exposure.</w:t>
      </w:r>
    </w:p>
    <w:p>
      <w:pPr>
        <w:pStyle w:val="ListBullet"/>
        <w:spacing w:after="60" w:line="252" w:lineRule="auto"/>
        <w:ind w:left="432"/>
      </w:pPr>
      <w:r>
        <w:rPr>
          <w:rFonts w:ascii="Calibri" w:hAnsi="Calibri"/>
          <w:b w:val="0"/>
          <w:i w:val="0"/>
          <w:color w:val="000000"/>
          <w:sz w:val="20"/>
        </w:rPr>
        <w:t>Clarify, in the revised Handbook, the relationship between the state programs, the voluntary STD plan, and any retained self-funded benefit.</w:t>
      </w:r>
    </w:p>
    <w:p>
      <w:pPr>
        <w:pStyle w:val="ListBullet"/>
        <w:spacing w:after="60" w:line="252" w:lineRule="auto"/>
        <w:ind w:left="432"/>
      </w:pPr>
      <w:r>
        <w:rPr>
          <w:rFonts w:ascii="Calibri" w:hAnsi="Calibri"/>
          <w:b w:val="0"/>
          <w:i w:val="0"/>
          <w:color w:val="000000"/>
          <w:sz w:val="20"/>
        </w:rPr>
        <w:t>Train HR staff on the distinction between mandatory state programs and the voluntary supplemental plan.</w:t>
      </w:r>
    </w:p>
    <w:p>
      <w:pPr>
        <w:spacing w:before="160" w:after="40"/>
      </w:pPr>
      <w:r>
        <w:rPr>
          <w:rFonts w:ascii="Calibri" w:hAnsi="Calibri"/>
          <w:b/>
          <w:i w:val="0"/>
          <w:color w:val="1F3864"/>
          <w:sz w:val="21"/>
        </w:rPr>
        <w:t>H-9  |  Oregon and Washington Program Registration</w:t>
      </w:r>
    </w:p>
    <w:p>
      <w:pPr>
        <w:spacing w:after="60"/>
      </w:pPr>
      <w:r>
        <w:rPr>
          <w:rFonts w:ascii="Calibri" w:hAnsi="Calibri"/>
          <w:b/>
          <w:i w:val="0"/>
          <w:color w:val="000000"/>
          <w:sz w:val="19"/>
        </w:rPr>
        <w:t xml:space="preserve">Severity: </w:t>
      </w:r>
      <w:r>
        <w:rPr>
          <w:rFonts w:ascii="Calibri" w:hAnsi="Calibri"/>
          <w:b/>
          <w:i w:val="0"/>
          <w:color w:val="9C6500"/>
          <w:sz w:val="19"/>
        </w:rPr>
        <w:t>HIGH</w:t>
      </w:r>
    </w:p>
    <w:p>
      <w:pPr>
        <w:spacing w:after="80" w:line="259" w:lineRule="auto"/>
        <w:jc w:val="both"/>
      </w:pPr>
      <w:r>
        <w:rPr>
          <w:rFonts w:ascii="Calibri" w:hAnsi="Calibri"/>
          <w:b w:val="0"/>
          <w:i w:val="0"/>
          <w:color w:val="000000"/>
          <w:sz w:val="21"/>
        </w:rPr>
        <w:t>The Company has not registered with Paid Leave Oregon (administered by the Oregon Employment Department) or the Washington Paid Family and Medical Leave program (administered by the Washington Employment Security Department). Accounting for the PinnacleHR configuration lead time, registration should be completed by approximately December 1, 2025 (Oregon) and March 1, 2026 (Washington) to ensure withholding is operational by the February 1, 2026 and May 1, 2026 facility openings, respectively. Both states permit private-plan alternatives, but any such plan must exceed the state benefit; the Company's current self-funded plan does not qualify.</w:t>
      </w:r>
    </w:p>
    <w:p>
      <w:pPr>
        <w:spacing w:after="40"/>
      </w:pPr>
      <w:r>
        <w:rPr>
          <w:rFonts w:ascii="Calibri" w:hAnsi="Calibri"/>
          <w:b/>
          <w:i w:val="0"/>
          <w:color w:val="2E5395"/>
          <w:sz w:val="20"/>
        </w:rPr>
        <w:t>Recommended remediation:</w:t>
      </w:r>
    </w:p>
    <w:p>
      <w:pPr>
        <w:pStyle w:val="ListBullet"/>
        <w:spacing w:after="60" w:line="252" w:lineRule="auto"/>
        <w:ind w:left="432"/>
      </w:pPr>
      <w:r>
        <w:rPr>
          <w:rFonts w:ascii="Calibri" w:hAnsi="Calibri"/>
          <w:b w:val="0"/>
          <w:i w:val="0"/>
          <w:color w:val="000000"/>
          <w:sz w:val="20"/>
        </w:rPr>
        <w:t>Register with the Oregon Employment Department by December 1, 2025 and with the Washington Employment Security Department by March 1, 2026; provide confirmations to PinnacleHR; and determine participation versus an enhanced private plan consistent with the Section VII structural decision.</w:t>
      </w:r>
    </w:p>
    <w:p>
      <w:pPr>
        <w:keepNext/>
        <w:spacing w:before="280" w:after="80"/>
        <w:pBdr>
          <w:bottom w:val="single" w:sz="6" w:space="2" w:color="1F3864"/>
        </w:pBdr>
      </w:pPr>
      <w:r>
        <w:rPr>
          <w:rFonts w:ascii="Calibri" w:hAnsi="Calibri"/>
          <w:b/>
          <w:i w:val="0"/>
          <w:color w:val="1F3864"/>
          <w:sz w:val="25"/>
        </w:rPr>
        <w:t>VI.  Moderate-Severity Deficiencies</w:t>
      </w:r>
    </w:p>
    <w:p>
      <w:pPr>
        <w:spacing w:after="120" w:line="259" w:lineRule="auto"/>
        <w:jc w:val="both"/>
      </w:pPr>
      <w:r>
        <w:rPr>
          <w:rFonts w:ascii="Calibri" w:hAnsi="Calibri"/>
          <w:b w:val="0"/>
          <w:i w:val="0"/>
          <w:color w:val="000000"/>
          <w:sz w:val="21"/>
        </w:rPr>
        <w:t>Moderate deficiencies are technical non-compliance, best-practice gaps, or policy ambiguities that may not give rise to immediate enforcement but expose the Company to risk over time or in the event of a complaint or audit. Seven Moderate items are identified.</w:t>
      </w:r>
    </w:p>
    <w:p>
      <w:pPr>
        <w:spacing w:before="140" w:after="40"/>
      </w:pPr>
      <w:r>
        <w:rPr>
          <w:rFonts w:ascii="Calibri" w:hAnsi="Calibri"/>
          <w:b/>
          <w:i w:val="0"/>
          <w:color w:val="1F3864"/>
          <w:sz w:val="21"/>
        </w:rPr>
        <w:t>M-1  |  Paid Family Leave Notice — Foreseeable vs. Unforeseeable Leave</w:t>
      </w:r>
    </w:p>
    <w:p>
      <w:pPr>
        <w:spacing w:after="60"/>
      </w:pPr>
      <w:r>
        <w:rPr>
          <w:rFonts w:ascii="Calibri" w:hAnsi="Calibri"/>
          <w:b/>
          <w:i w:val="0"/>
          <w:color w:val="000000"/>
          <w:sz w:val="19"/>
        </w:rPr>
        <w:t xml:space="preserve">Severity: </w:t>
      </w:r>
      <w:r>
        <w:rPr>
          <w:rFonts w:ascii="Calibri" w:hAnsi="Calibri"/>
          <w:b/>
          <w:i w:val="0"/>
          <w:color w:val="2E5395"/>
          <w:sz w:val="19"/>
        </w:rPr>
        <w:t>MODERATE</w:t>
      </w:r>
    </w:p>
    <w:p>
      <w:pPr>
        <w:spacing w:after="100" w:line="259" w:lineRule="auto"/>
        <w:jc w:val="both"/>
      </w:pPr>
      <w:r>
        <w:rPr>
          <w:rFonts w:ascii="Calibri" w:hAnsi="Calibri"/>
          <w:b w:val="0"/>
          <w:i w:val="0"/>
          <w:color w:val="000000"/>
          <w:sz w:val="21"/>
        </w:rPr>
        <w:t>The policy requires 30 calendar days' advance notice for all paid family leave and is silent on unforeseeable leave. Every state program (and the FMLA) requires only "as soon as practicable" notice when the need for leave is unforeseeable. The policy's silence has produced inconsistent application across facilities—some sites have enforced 30 days strictly while others have made case-by-case judgment calls—creating disparate-treatment and discrimination risk. A Connecticut employee who gave 10 days' notice for an unforeseeable parental hospitalization was initially challenged under the 30-day rule. Interim guidance has been issued; the policy must be rewritten to distinguish foreseeable from unforeseeable notice for each state.</w:t>
      </w:r>
    </w:p>
    <w:p>
      <w:pPr>
        <w:spacing w:before="140" w:after="40"/>
      </w:pPr>
      <w:r>
        <w:rPr>
          <w:rFonts w:ascii="Calibri" w:hAnsi="Calibri"/>
          <w:b/>
          <w:i w:val="0"/>
          <w:color w:val="1F3864"/>
          <w:sz w:val="21"/>
        </w:rPr>
        <w:t>M-2  |  Paid Sick Leave Medical Documentation Threshold</w:t>
      </w:r>
    </w:p>
    <w:p>
      <w:pPr>
        <w:spacing w:after="60"/>
      </w:pPr>
      <w:r>
        <w:rPr>
          <w:rFonts w:ascii="Calibri" w:hAnsi="Calibri"/>
          <w:b/>
          <w:i w:val="0"/>
          <w:color w:val="000000"/>
          <w:sz w:val="19"/>
        </w:rPr>
        <w:t xml:space="preserve">Severity: </w:t>
      </w:r>
      <w:r>
        <w:rPr>
          <w:rFonts w:ascii="Calibri" w:hAnsi="Calibri"/>
          <w:b/>
          <w:i w:val="0"/>
          <w:color w:val="2E5395"/>
          <w:sz w:val="19"/>
        </w:rPr>
        <w:t>MODERATE</w:t>
      </w:r>
    </w:p>
    <w:p>
      <w:pPr>
        <w:spacing w:after="100" w:line="259" w:lineRule="auto"/>
        <w:jc w:val="both"/>
      </w:pPr>
      <w:r>
        <w:rPr>
          <w:rFonts w:ascii="Calibri" w:hAnsi="Calibri"/>
          <w:b w:val="0"/>
          <w:i w:val="0"/>
          <w:color w:val="000000"/>
          <w:sz w:val="21"/>
        </w:rPr>
        <w:t>The policy requires a healthcare provider's note after two consecutive scheduled workdays of absence. Most states (New Jersey, New York, Massachusetts, Colorado, Oregon, Washington) permit an employer to require documentation only after three or more consecutive days; Connecticut permits documentation after two. The policy is therefore more stringent than permitted in six states, which could be challenged as an impermissible restriction on the use of earned leave. The threshold should be adjusted to three consecutive days (except Connecticut).</w:t>
      </w:r>
    </w:p>
    <w:p>
      <w:pPr>
        <w:spacing w:before="140" w:after="40"/>
      </w:pPr>
      <w:r>
        <w:rPr>
          <w:rFonts w:ascii="Calibri" w:hAnsi="Calibri"/>
          <w:b/>
          <w:i w:val="0"/>
          <w:color w:val="1F3864"/>
          <w:sz w:val="21"/>
        </w:rPr>
        <w:t>M-3  |  Workplace Posting and Individual Employee Notice Obligations</w:t>
      </w:r>
    </w:p>
    <w:p>
      <w:pPr>
        <w:spacing w:after="60"/>
      </w:pPr>
      <w:r>
        <w:rPr>
          <w:rFonts w:ascii="Calibri" w:hAnsi="Calibri"/>
          <w:b/>
          <w:i w:val="0"/>
          <w:color w:val="000000"/>
          <w:sz w:val="19"/>
        </w:rPr>
        <w:t xml:space="preserve">Severity: </w:t>
      </w:r>
      <w:r>
        <w:rPr>
          <w:rFonts w:ascii="Calibri" w:hAnsi="Calibri"/>
          <w:b/>
          <w:i w:val="0"/>
          <w:color w:val="2E5395"/>
          <w:sz w:val="19"/>
        </w:rPr>
        <w:t>MODERATE</w:t>
      </w:r>
    </w:p>
    <w:p>
      <w:pPr>
        <w:spacing w:after="100" w:line="259" w:lineRule="auto"/>
        <w:jc w:val="both"/>
      </w:pPr>
      <w:r>
        <w:rPr>
          <w:rFonts w:ascii="Calibri" w:hAnsi="Calibri"/>
          <w:b w:val="0"/>
          <w:i w:val="0"/>
          <w:color w:val="000000"/>
          <w:sz w:val="21"/>
        </w:rPr>
        <w:t>The Handbook does not document compliance with the state-specific workplace posting and individual hire-notice obligations that apply in all seven jurisdictions for paid sick leave and the state paid leave insurance programs. Failure to post or to provide required individual notices is an independent violation in most states and is commonly cited in agency investigations. The Company should obtain and display all required postings, implement an individual notice process at hire for each state, and verify current-state postings immediately.</w:t>
      </w:r>
    </w:p>
    <w:p>
      <w:pPr>
        <w:spacing w:before="140" w:after="40"/>
      </w:pPr>
      <w:r>
        <w:rPr>
          <w:rFonts w:ascii="Calibri" w:hAnsi="Calibri"/>
          <w:b/>
          <w:i w:val="0"/>
          <w:color w:val="1F3864"/>
          <w:sz w:val="21"/>
        </w:rPr>
        <w:t>M-4  |  Recordkeeping — Manual Spreadsheet Leave Tracking System</w:t>
      </w:r>
    </w:p>
    <w:p>
      <w:pPr>
        <w:spacing w:after="60"/>
      </w:pPr>
      <w:r>
        <w:rPr>
          <w:rFonts w:ascii="Calibri" w:hAnsi="Calibri"/>
          <w:b/>
          <w:i w:val="0"/>
          <w:color w:val="000000"/>
          <w:sz w:val="19"/>
        </w:rPr>
        <w:t xml:space="preserve">Severity: </w:t>
      </w:r>
      <w:r>
        <w:rPr>
          <w:rFonts w:ascii="Calibri" w:hAnsi="Calibri"/>
          <w:b/>
          <w:i w:val="0"/>
          <w:color w:val="2E5395"/>
          <w:sz w:val="19"/>
        </w:rPr>
        <w:t>MODERATE</w:t>
      </w:r>
    </w:p>
    <w:p>
      <w:pPr>
        <w:spacing w:after="100" w:line="259" w:lineRule="auto"/>
        <w:jc w:val="both"/>
      </w:pPr>
      <w:r>
        <w:rPr>
          <w:rFonts w:ascii="Calibri" w:hAnsi="Calibri"/>
          <w:b w:val="0"/>
          <w:i w:val="0"/>
          <w:color w:val="000000"/>
          <w:sz w:val="21"/>
        </w:rPr>
        <w:t>The Company tracks sick leave accruals, usage, and balances through manual Excel workbooks maintained by two HR coordinators, one per state. The system lacks state-specific rule differentiation, automated alerts for accrual caps and carryover deadlines, an audit trail, and integration with the HRIS (WorkBridge Pro) and the time-and-attendance system (ClockSync Enterprise). Recent internal audits identified errors, including a part-time employee's balance incorrectly capped at 24 hours, negative balances from data-entry errors, and the 120-day waiting period applied uniformly without verification against state law. The system is not scalable to seven states and approximately 2,560 employees and creates recordkeeping risk in any audit or agency investigation. A dedicated leave-management solution should be selected and implemented (see Section VIII and the remediation plan).</w:t>
      </w:r>
    </w:p>
    <w:p>
      <w:pPr>
        <w:spacing w:before="140" w:after="40"/>
      </w:pPr>
      <w:r>
        <w:rPr>
          <w:rFonts w:ascii="Calibri" w:hAnsi="Calibri"/>
          <w:b/>
          <w:i w:val="0"/>
          <w:color w:val="1F3864"/>
          <w:sz w:val="21"/>
        </w:rPr>
        <w:t>M-5  |  Paid Family Leave Family-Member Definition and Qualifying Reasons</w:t>
      </w:r>
    </w:p>
    <w:p>
      <w:pPr>
        <w:spacing w:after="60"/>
      </w:pPr>
      <w:r>
        <w:rPr>
          <w:rFonts w:ascii="Calibri" w:hAnsi="Calibri"/>
          <w:b/>
          <w:i w:val="0"/>
          <w:color w:val="000000"/>
          <w:sz w:val="19"/>
        </w:rPr>
        <w:t xml:space="preserve">Severity: </w:t>
      </w:r>
      <w:r>
        <w:rPr>
          <w:rFonts w:ascii="Calibri" w:hAnsi="Calibri"/>
          <w:b/>
          <w:i w:val="0"/>
          <w:color w:val="2E5395"/>
          <w:sz w:val="19"/>
        </w:rPr>
        <w:t>MODERATE</w:t>
      </w:r>
    </w:p>
    <w:p>
      <w:pPr>
        <w:spacing w:after="100" w:line="259" w:lineRule="auto"/>
        <w:jc w:val="both"/>
      </w:pPr>
      <w:r>
        <w:rPr>
          <w:rFonts w:ascii="Calibri" w:hAnsi="Calibri"/>
          <w:b w:val="0"/>
          <w:i w:val="0"/>
          <w:color w:val="000000"/>
          <w:sz w:val="21"/>
        </w:rPr>
        <w:t>Even setting aside the equivalency problem (C-4), the self-funded plan's family-member definition (spouse, child, parent, excluding parents-in-law) and qualifying reasons (bonding and caregiving only, omitting military exigency, organ and bone-marrow donation, and safe leave) are narrower than every state program. If the Company retains any self-funded or supplemental family leave benefit, these definitions must be broadened to match each state program; if the Company relies on the state programs, the policy must say so unambiguously.</w:t>
      </w:r>
    </w:p>
    <w:p>
      <w:pPr>
        <w:spacing w:before="140" w:after="40"/>
      </w:pPr>
      <w:r>
        <w:rPr>
          <w:rFonts w:ascii="Calibri" w:hAnsi="Calibri"/>
          <w:b/>
          <w:i w:val="0"/>
          <w:color w:val="1F3864"/>
          <w:sz w:val="21"/>
        </w:rPr>
        <w:t>M-6  |  Connecticut Paid Sick Leave Use Threshold — Verification</w:t>
      </w:r>
    </w:p>
    <w:p>
      <w:pPr>
        <w:spacing w:after="60"/>
      </w:pPr>
      <w:r>
        <w:rPr>
          <w:rFonts w:ascii="Calibri" w:hAnsi="Calibri"/>
          <w:b/>
          <w:i w:val="0"/>
          <w:color w:val="000000"/>
          <w:sz w:val="19"/>
        </w:rPr>
        <w:t xml:space="preserve">Severity: </w:t>
      </w:r>
      <w:r>
        <w:rPr>
          <w:rFonts w:ascii="Calibri" w:hAnsi="Calibri"/>
          <w:b/>
          <w:i w:val="0"/>
          <w:color w:val="2E5395"/>
          <w:sz w:val="19"/>
        </w:rPr>
        <w:t>MODERATE</w:t>
      </w:r>
    </w:p>
    <w:p>
      <w:pPr>
        <w:spacing w:after="100" w:line="259" w:lineRule="auto"/>
        <w:jc w:val="both"/>
      </w:pPr>
      <w:r>
        <w:rPr>
          <w:rFonts w:ascii="Calibri" w:hAnsi="Calibri"/>
          <w:b w:val="0"/>
          <w:i w:val="0"/>
          <w:color w:val="000000"/>
          <w:sz w:val="21"/>
        </w:rPr>
        <w:t>The Company applies a uniform 120-day waiting period in all states. The Connecticut paid sick leave use threshold under the 2025 statutory amendments should be verified against the policy; if Connecticut permits use earlier than 120 days, the policy should be adjusted for Connecticut employees. This item is classified Moderate pending confirmation of the current threshold.</w:t>
      </w:r>
    </w:p>
    <w:p>
      <w:pPr>
        <w:spacing w:before="140" w:after="40"/>
      </w:pPr>
      <w:r>
        <w:rPr>
          <w:rFonts w:ascii="Calibri" w:hAnsi="Calibri"/>
          <w:b/>
          <w:i w:val="0"/>
          <w:color w:val="1F3864"/>
          <w:sz w:val="21"/>
        </w:rPr>
        <w:t>M-7  |  PTO Carryover Cap Scrutiny in Payout States</w:t>
      </w:r>
    </w:p>
    <w:p>
      <w:pPr>
        <w:spacing w:after="60"/>
      </w:pPr>
      <w:r>
        <w:rPr>
          <w:rFonts w:ascii="Calibri" w:hAnsi="Calibri"/>
          <w:b/>
          <w:i w:val="0"/>
          <w:color w:val="000000"/>
          <w:sz w:val="19"/>
        </w:rPr>
        <w:t xml:space="preserve">Severity: </w:t>
      </w:r>
      <w:r>
        <w:rPr>
          <w:rFonts w:ascii="Calibri" w:hAnsi="Calibri"/>
          <w:b/>
          <w:i w:val="0"/>
          <w:color w:val="2E5395"/>
          <w:sz w:val="19"/>
        </w:rPr>
        <w:t>MODERATE</w:t>
      </w:r>
    </w:p>
    <w:p>
      <w:pPr>
        <w:spacing w:after="100" w:line="259" w:lineRule="auto"/>
        <w:jc w:val="both"/>
      </w:pPr>
      <w:r>
        <w:rPr>
          <w:rFonts w:ascii="Calibri" w:hAnsi="Calibri"/>
          <w:b w:val="0"/>
          <w:i w:val="0"/>
          <w:color w:val="000000"/>
          <w:sz w:val="21"/>
        </w:rPr>
        <w:t>The five-day carryover cap and the March 31 use-or-forfeit deadline may be scrutinized in Massachusetts, Colorado, Oregon, and Washington as mechanisms to minimize the vacation payout obligation at separation. While a carryover cap is not per se unlawful, its interaction with a no-payout policy in states that treat vacation as wages increases litigation risk. The cap should be reviewed against each state's wage and vacation rules and restructured where it could be characterized as a forfeiture device.</w:t>
      </w:r>
    </w:p>
    <w:p>
      <w:pPr>
        <w:keepNext/>
        <w:spacing w:before="280" w:after="80"/>
        <w:pBdr>
          <w:bottom w:val="single" w:sz="6" w:space="2" w:color="1F3864"/>
        </w:pBdr>
      </w:pPr>
      <w:r>
        <w:rPr>
          <w:rFonts w:ascii="Calibri" w:hAnsi="Calibri"/>
          <w:b/>
          <w:i w:val="0"/>
          <w:color w:val="1F3864"/>
          <w:sz w:val="25"/>
        </w:rPr>
        <w:t>VII.  Self-Funded Paid Family Leave Plan — Structural Analysis</w:t>
      </w:r>
    </w:p>
    <w:p>
      <w:pPr>
        <w:spacing w:after="120" w:line="259" w:lineRule="auto"/>
        <w:jc w:val="both"/>
      </w:pPr>
      <w:r>
        <w:rPr>
          <w:rFonts w:ascii="Calibri" w:hAnsi="Calibri"/>
          <w:b w:val="0"/>
          <w:i w:val="0"/>
          <w:color w:val="000000"/>
          <w:sz w:val="21"/>
        </w:rPr>
        <w:t>The Company's self-funded paid family leave benefit (50% of average weekly wage, capped at $850 per week, for up to eight weeks, covering bonding and family caregiving) is the single most consequential structural issue in this review because it cuts across all seven jurisdictions and interacts with the contribution withholdings already in place. The table below compares the self-funded benefit against each state's statutory family leave benefit.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656"/>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State</w:t>
            </w:r>
          </w:p>
        </w:tc>
        <w:tc>
          <w:tcPr>
            <w:tcW w:type="dxa" w:w="1368"/>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Program</w:t>
            </w:r>
          </w:p>
        </w:tc>
        <w:tc>
          <w:tcPr>
            <w:tcW w:type="dxa" w:w="1656"/>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Wage replacement</w:t>
            </w:r>
          </w:p>
        </w:tc>
        <w:tc>
          <w:tcPr>
            <w:tcW w:type="dxa" w:w="1800"/>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Weekly cap (2025)</w:t>
            </w:r>
          </w:p>
        </w:tc>
        <w:tc>
          <w:tcPr>
            <w:tcW w:type="dxa" w:w="1368"/>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Duration</w:t>
            </w:r>
          </w:p>
        </w:tc>
        <w:tc>
          <w:tcPr>
            <w:tcW w:type="dxa" w:w="2520"/>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Private-plan status</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New Jersey</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NJ FLI</w:t>
            </w:r>
          </w:p>
        </w:tc>
        <w:tc>
          <w:tcPr>
            <w:tcW w:type="dxa" w:w="1656"/>
            <w:tcMar>
              <w:top w:w="40" w:type="dxa"/>
              <w:bottom w:w="40" w:type="dxa"/>
              <w:start w:w="80" w:type="dxa"/>
              <w:end w:w="80" w:type="dxa"/>
            </w:tcMar>
          </w:tcPr>
          <w:p>
            <w:pPr>
              <w:spacing w:before="0" w:after="0" w:line="240" w:lineRule="auto"/>
            </w:pPr>
            <w:r>
              <w:rPr>
                <w:rFonts w:ascii="Calibri" w:hAnsi="Calibri"/>
                <w:b w:val="0"/>
                <w:i w:val="0"/>
                <w:color w:val="000000"/>
                <w:sz w:val="17"/>
              </w:rPr>
              <w:t>85% of AWW</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Statutory max</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12 wks</w:t>
            </w:r>
          </w:p>
        </w:tc>
        <w:tc>
          <w:tcPr>
            <w:tcW w:type="dxa" w:w="2520"/>
            <w:tcMar>
              <w:top w:w="40" w:type="dxa"/>
              <w:bottom w:w="40" w:type="dxa"/>
              <w:start w:w="80" w:type="dxa"/>
              <w:end w:w="80" w:type="dxa"/>
            </w:tcMar>
          </w:tcPr>
          <w:p>
            <w:pPr>
              <w:spacing w:before="0" w:after="0" w:line="240" w:lineRule="auto"/>
            </w:pPr>
            <w:r>
              <w:rPr>
                <w:rFonts w:ascii="Calibri" w:hAnsi="Calibri"/>
                <w:b w:val="0"/>
                <w:i w:val="0"/>
                <w:color w:val="000000"/>
                <w:sz w:val="17"/>
              </w:rPr>
              <w:t>Private plan permitted; none filed</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New York</w:t>
            </w:r>
          </w:p>
        </w:tc>
        <w:tc>
          <w:tcPr>
            <w:tcW w:type="dxa" w:w="136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NY PFL</w:t>
            </w:r>
          </w:p>
        </w:tc>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67% of AWW</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$1,177.32 (2025)</w:t>
            </w:r>
          </w:p>
        </w:tc>
        <w:tc>
          <w:tcPr>
            <w:tcW w:type="dxa" w:w="136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12 wks</w:t>
            </w:r>
          </w:p>
        </w:tc>
        <w:tc>
          <w:tcPr>
            <w:tcW w:type="dxa" w:w="25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Private plan permitted; none filed</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Connecticut</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CT PL</w:t>
            </w:r>
          </w:p>
        </w:tc>
        <w:tc>
          <w:tcPr>
            <w:tcW w:type="dxa" w:w="1656"/>
            <w:tcMar>
              <w:top w:w="40" w:type="dxa"/>
              <w:bottom w:w="40" w:type="dxa"/>
              <w:start w:w="80" w:type="dxa"/>
              <w:end w:w="80" w:type="dxa"/>
            </w:tcMar>
          </w:tcPr>
          <w:p>
            <w:pPr>
              <w:spacing w:before="0" w:after="0" w:line="240" w:lineRule="auto"/>
            </w:pPr>
            <w:r>
              <w:rPr>
                <w:rFonts w:ascii="Calibri" w:hAnsi="Calibri"/>
                <w:b w:val="0"/>
                <w:i w:val="0"/>
                <w:color w:val="000000"/>
                <w:sz w:val="17"/>
              </w:rPr>
              <w:t>95%/60% tiered</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~$941 (2025)</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12 wks (+2)</w:t>
            </w:r>
          </w:p>
        </w:tc>
        <w:tc>
          <w:tcPr>
            <w:tcW w:type="dxa" w:w="2520"/>
            <w:tcMar>
              <w:top w:w="40" w:type="dxa"/>
              <w:bottom w:w="40" w:type="dxa"/>
              <w:start w:w="80" w:type="dxa"/>
              <w:end w:w="80" w:type="dxa"/>
            </w:tcMar>
          </w:tcPr>
          <w:p>
            <w:pPr>
              <w:spacing w:before="0" w:after="0" w:line="240" w:lineRule="auto"/>
            </w:pPr>
            <w:r>
              <w:rPr>
                <w:rFonts w:ascii="Calibri" w:hAnsi="Calibri"/>
                <w:b w:val="0"/>
                <w:i w:val="0"/>
                <w:color w:val="000000"/>
                <w:sz w:val="17"/>
              </w:rPr>
              <w:t>Private plan permitted; none filed</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Massachusetts</w:t>
            </w:r>
          </w:p>
        </w:tc>
        <w:tc>
          <w:tcPr>
            <w:tcW w:type="dxa" w:w="136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MA PFML</w:t>
            </w:r>
          </w:p>
        </w:tc>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80%/50% tiered</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~$1,170.64 (2025)</w:t>
            </w:r>
          </w:p>
        </w:tc>
        <w:tc>
          <w:tcPr>
            <w:tcW w:type="dxa" w:w="136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12 wks</w:t>
            </w:r>
          </w:p>
        </w:tc>
        <w:tc>
          <w:tcPr>
            <w:tcW w:type="dxa" w:w="25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Private plan permitted; none filed</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Colorado</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CO FAMLI</w:t>
            </w:r>
          </w:p>
        </w:tc>
        <w:tc>
          <w:tcPr>
            <w:tcW w:type="dxa" w:w="1656"/>
            <w:tcMar>
              <w:top w:w="40" w:type="dxa"/>
              <w:bottom w:w="40" w:type="dxa"/>
              <w:start w:w="80" w:type="dxa"/>
              <w:end w:w="80" w:type="dxa"/>
            </w:tcMar>
          </w:tcPr>
          <w:p>
            <w:pPr>
              <w:spacing w:before="0" w:after="0" w:line="240" w:lineRule="auto"/>
            </w:pPr>
            <w:r>
              <w:rPr>
                <w:rFonts w:ascii="Calibri" w:hAnsi="Calibri"/>
                <w:b w:val="0"/>
                <w:i w:val="0"/>
                <w:color w:val="000000"/>
                <w:sz w:val="17"/>
              </w:rPr>
              <w:t>90%/50% tiered</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~$1,100 (2025)</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12 wks (+4)</w:t>
            </w:r>
          </w:p>
        </w:tc>
        <w:tc>
          <w:tcPr>
            <w:tcW w:type="dxa" w:w="2520"/>
            <w:tcMar>
              <w:top w:w="40" w:type="dxa"/>
              <w:bottom w:w="40" w:type="dxa"/>
              <w:start w:w="80" w:type="dxa"/>
              <w:end w:w="80" w:type="dxa"/>
            </w:tcMar>
          </w:tcPr>
          <w:p>
            <w:pPr>
              <w:spacing w:before="0" w:after="0" w:line="240" w:lineRule="auto"/>
            </w:pPr>
            <w:r>
              <w:rPr>
                <w:rFonts w:ascii="Calibri" w:hAnsi="Calibri"/>
                <w:b w:val="0"/>
                <w:i w:val="0"/>
                <w:color w:val="000000"/>
                <w:sz w:val="17"/>
              </w:rPr>
              <w:t>No private opt-out — must participate</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Oregon</w:t>
            </w:r>
          </w:p>
        </w:tc>
        <w:tc>
          <w:tcPr>
            <w:tcW w:type="dxa" w:w="136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PLO</w:t>
            </w:r>
          </w:p>
        </w:tc>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100%/50% tiered</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~$1,523.63 (2025)</w:t>
            </w:r>
          </w:p>
        </w:tc>
        <w:tc>
          <w:tcPr>
            <w:tcW w:type="dxa" w:w="136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12 wks (+2)</w:t>
            </w:r>
          </w:p>
        </w:tc>
        <w:tc>
          <w:tcPr>
            <w:tcW w:type="dxa" w:w="25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Private plan permitted; none filed</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Washington</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WA PFML</w:t>
            </w:r>
          </w:p>
        </w:tc>
        <w:tc>
          <w:tcPr>
            <w:tcW w:type="dxa" w:w="1656"/>
            <w:tcMar>
              <w:top w:w="40" w:type="dxa"/>
              <w:bottom w:w="40" w:type="dxa"/>
              <w:start w:w="80" w:type="dxa"/>
              <w:end w:w="80" w:type="dxa"/>
            </w:tcMar>
          </w:tcPr>
          <w:p>
            <w:pPr>
              <w:spacing w:before="0" w:after="0" w:line="240" w:lineRule="auto"/>
            </w:pPr>
            <w:r>
              <w:rPr>
                <w:rFonts w:ascii="Calibri" w:hAnsi="Calibri"/>
                <w:b w:val="0"/>
                <w:i w:val="0"/>
                <w:color w:val="000000"/>
                <w:sz w:val="17"/>
              </w:rPr>
              <w:t>90%/50% tiered</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~$1,526 (2025)</w:t>
            </w:r>
          </w:p>
        </w:tc>
        <w:tc>
          <w:tcPr>
            <w:tcW w:type="dxa" w:w="1368"/>
            <w:tcMar>
              <w:top w:w="40" w:type="dxa"/>
              <w:bottom w:w="40" w:type="dxa"/>
              <w:start w:w="80" w:type="dxa"/>
              <w:end w:w="80" w:type="dxa"/>
            </w:tcMar>
          </w:tcPr>
          <w:p>
            <w:pPr>
              <w:spacing w:before="0" w:after="0" w:line="240" w:lineRule="auto"/>
            </w:pPr>
            <w:r>
              <w:rPr>
                <w:rFonts w:ascii="Calibri" w:hAnsi="Calibri"/>
                <w:b w:val="0"/>
                <w:i w:val="0"/>
                <w:color w:val="000000"/>
                <w:sz w:val="17"/>
              </w:rPr>
              <w:t>12 wks</w:t>
            </w:r>
          </w:p>
        </w:tc>
        <w:tc>
          <w:tcPr>
            <w:tcW w:type="dxa" w:w="2520"/>
            <w:tcMar>
              <w:top w:w="40" w:type="dxa"/>
              <w:bottom w:w="40" w:type="dxa"/>
              <w:start w:w="80" w:type="dxa"/>
              <w:end w:w="80" w:type="dxa"/>
            </w:tcMar>
          </w:tcPr>
          <w:p>
            <w:pPr>
              <w:spacing w:before="0" w:after="0" w:line="240" w:lineRule="auto"/>
            </w:pPr>
            <w:r>
              <w:rPr>
                <w:rFonts w:ascii="Calibri" w:hAnsi="Calibri"/>
                <w:b w:val="0"/>
                <w:i w:val="0"/>
                <w:color w:val="000000"/>
                <w:sz w:val="17"/>
              </w:rPr>
              <w:t>Voluntary plan permitted; none filed</w:t>
            </w:r>
          </w:p>
        </w:tc>
      </w:tr>
      <w:tr>
        <w:tc>
          <w:tcPr>
            <w:tcW w:type="dxa" w:w="1656"/>
            <w:shd w:val="clear" w:color="auto" w:fill="FFC7CE"/>
            <w:tcMar>
              <w:top w:w="40" w:type="dxa"/>
              <w:bottom w:w="40" w:type="dxa"/>
              <w:start w:w="80" w:type="dxa"/>
              <w:end w:w="80" w:type="dxa"/>
            </w:tcMar>
          </w:tcPr>
          <w:p>
            <w:pPr>
              <w:spacing w:before="0" w:after="0" w:line="240" w:lineRule="auto"/>
            </w:pPr>
            <w:r>
              <w:rPr>
                <w:rFonts w:ascii="Calibri" w:hAnsi="Calibri"/>
                <w:b/>
                <w:i w:val="0"/>
                <w:color w:val="9C0006"/>
                <w:sz w:val="17"/>
              </w:rPr>
              <w:t>Vantage (self-funded)</w:t>
            </w:r>
          </w:p>
        </w:tc>
        <w:tc>
          <w:tcPr>
            <w:tcW w:type="dxa" w:w="1368"/>
            <w:shd w:val="clear" w:color="auto" w:fill="FFC7CE"/>
            <w:tcMar>
              <w:top w:w="40" w:type="dxa"/>
              <w:bottom w:w="40" w:type="dxa"/>
              <w:start w:w="80" w:type="dxa"/>
              <w:end w:w="80" w:type="dxa"/>
            </w:tcMar>
          </w:tcPr>
          <w:p>
            <w:pPr>
              <w:spacing w:before="0" w:after="0" w:line="240" w:lineRule="auto"/>
            </w:pPr>
            <w:r>
              <w:rPr>
                <w:rFonts w:ascii="Calibri" w:hAnsi="Calibri"/>
                <w:b/>
                <w:i w:val="0"/>
                <w:color w:val="9C0006"/>
                <w:sz w:val="17"/>
              </w:rPr>
              <w:t>—</w:t>
            </w:r>
          </w:p>
        </w:tc>
        <w:tc>
          <w:tcPr>
            <w:tcW w:type="dxa" w:w="1656"/>
            <w:shd w:val="clear" w:color="auto" w:fill="FFC7CE"/>
            <w:tcMar>
              <w:top w:w="40" w:type="dxa"/>
              <w:bottom w:w="40" w:type="dxa"/>
              <w:start w:w="80" w:type="dxa"/>
              <w:end w:w="80" w:type="dxa"/>
            </w:tcMar>
          </w:tcPr>
          <w:p>
            <w:pPr>
              <w:spacing w:before="0" w:after="0" w:line="240" w:lineRule="auto"/>
            </w:pPr>
            <w:r>
              <w:rPr>
                <w:rFonts w:ascii="Calibri" w:hAnsi="Calibri"/>
                <w:b/>
                <w:i w:val="0"/>
                <w:color w:val="9C0006"/>
                <w:sz w:val="17"/>
              </w:rPr>
              <w:t>50% of AWW</w:t>
            </w:r>
          </w:p>
        </w:tc>
        <w:tc>
          <w:tcPr>
            <w:tcW w:type="dxa" w:w="1800"/>
            <w:shd w:val="clear" w:color="auto" w:fill="FFC7CE"/>
            <w:tcMar>
              <w:top w:w="40" w:type="dxa"/>
              <w:bottom w:w="40" w:type="dxa"/>
              <w:start w:w="80" w:type="dxa"/>
              <w:end w:w="80" w:type="dxa"/>
            </w:tcMar>
          </w:tcPr>
          <w:p>
            <w:pPr>
              <w:spacing w:before="0" w:after="0" w:line="240" w:lineRule="auto"/>
            </w:pPr>
            <w:r>
              <w:rPr>
                <w:rFonts w:ascii="Calibri" w:hAnsi="Calibri"/>
                <w:b/>
                <w:i w:val="0"/>
                <w:color w:val="9C0006"/>
                <w:sz w:val="17"/>
              </w:rPr>
              <w:t>$850</w:t>
            </w:r>
          </w:p>
        </w:tc>
        <w:tc>
          <w:tcPr>
            <w:tcW w:type="dxa" w:w="1368"/>
            <w:shd w:val="clear" w:color="auto" w:fill="FFC7CE"/>
            <w:tcMar>
              <w:top w:w="40" w:type="dxa"/>
              <w:bottom w:w="40" w:type="dxa"/>
              <w:start w:w="80" w:type="dxa"/>
              <w:end w:w="80" w:type="dxa"/>
            </w:tcMar>
          </w:tcPr>
          <w:p>
            <w:pPr>
              <w:spacing w:before="0" w:after="0" w:line="240" w:lineRule="auto"/>
            </w:pPr>
            <w:r>
              <w:rPr>
                <w:rFonts w:ascii="Calibri" w:hAnsi="Calibri"/>
                <w:b/>
                <w:i w:val="0"/>
                <w:color w:val="9C0006"/>
                <w:sz w:val="17"/>
              </w:rPr>
              <w:t>8 wks</w:t>
            </w:r>
          </w:p>
        </w:tc>
        <w:tc>
          <w:tcPr>
            <w:tcW w:type="dxa" w:w="2520"/>
            <w:shd w:val="clear" w:color="auto" w:fill="FFC7CE"/>
            <w:tcMar>
              <w:top w:w="40" w:type="dxa"/>
              <w:bottom w:w="40" w:type="dxa"/>
              <w:start w:w="80" w:type="dxa"/>
              <w:end w:w="80" w:type="dxa"/>
            </w:tcMar>
          </w:tcPr>
          <w:p>
            <w:pPr>
              <w:spacing w:before="0" w:after="0" w:line="240" w:lineRule="auto"/>
            </w:pPr>
            <w:r>
              <w:rPr>
                <w:rFonts w:ascii="Calibri" w:hAnsi="Calibri"/>
                <w:b/>
                <w:i w:val="0"/>
                <w:color w:val="9C0006"/>
                <w:sz w:val="17"/>
              </w:rPr>
              <w:t>No approval filed; below all states</w:t>
            </w:r>
          </w:p>
        </w:tc>
      </w:tr>
    </w:tbl>
    <w:p>
      <w:pPr>
        <w:spacing w:before="60" w:after="160"/>
      </w:pPr>
      <w:r>
        <w:rPr>
          <w:rFonts w:ascii="Calibri" w:hAnsi="Calibri"/>
          <w:b w:val="0"/>
          <w:i/>
          <w:color w:val="595959"/>
          <w:sz w:val="17"/>
        </w:rPr>
        <w:t>Figure 2. Vantage self-funded PFL benefit versus state statutory family leave benefits. The self-funded plan is below every state on rate, cap, and duration.</w:t>
      </w:r>
    </w:p>
    <w:p>
      <w:pPr>
        <w:spacing w:after="120" w:line="259" w:lineRule="auto"/>
        <w:jc w:val="both"/>
      </w:pPr>
      <w:r>
        <w:rPr>
          <w:rFonts w:ascii="Calibri" w:hAnsi="Calibri"/>
          <w:b w:val="0"/>
          <w:i w:val="0"/>
          <w:color w:val="000000"/>
          <w:sz w:val="21"/>
        </w:rPr>
        <w:t>Equivalency analysis. Six of the seven states (all except Colorado) permit an employer to substitute an approved private plan for state-program participation, but only if the private plan provides benefits equal to or greater than the state program in all respects—wage replacement rate, weekly benefit cap, duration, covered leave types, and family-member definitions. The Company's plan fails equivalency in every state on rate, cap, and duration alone, and no private-plan application has been filed in any jurisdiction. Colorado permits no private-employer opt-out at all. The self-funded plan therefore does not qualify as a compliant substitute in any state.</w:t>
      </w:r>
    </w:p>
    <w:p>
      <w:pPr>
        <w:spacing w:after="120" w:line="259" w:lineRule="auto"/>
        <w:jc w:val="both"/>
      </w:pPr>
      <w:r>
        <w:rPr>
          <w:rFonts w:ascii="Calibri" w:hAnsi="Calibri"/>
          <w:b w:val="0"/>
          <w:i w:val="0"/>
          <w:color w:val="000000"/>
          <w:sz w:val="21"/>
        </w:rPr>
        <w:t>Structural options. H&amp;C has identified three structural approaches, listed in order of H&amp;C's preliminary preference for operational simplicity and lowest residual risk:</w:t>
      </w:r>
    </w:p>
    <w:p>
      <w:pPr>
        <w:pStyle w:val="ListBullet"/>
        <w:spacing w:after="60" w:line="252" w:lineRule="auto"/>
      </w:pPr>
      <w:r>
        <w:rPr>
          <w:rFonts w:ascii="Calibri" w:hAnsi="Calibri"/>
          <w:b/>
          <w:i w:val="0"/>
          <w:color w:val="000000"/>
          <w:sz w:val="21"/>
        </w:rPr>
        <w:t xml:space="preserve">Option A — Participate in all state programs; discontinue or reposition the self-funded plan. </w:t>
      </w:r>
      <w:r>
        <w:rPr>
          <w:rFonts w:ascii="Calibri" w:hAnsi="Calibri"/>
          <w:b w:val="0"/>
          <w:i w:val="0"/>
          <w:color w:val="000000"/>
          <w:sz w:val="21"/>
        </w:rPr>
        <w:t>The Company registers and participates in each state's program (mandatory in Colorado in any event), withholds and remits both employee and employer contributions, and routes claims through the state programs. The self-funded plan is either discontinued or clearly framed as a supplemental benefit that tops up the state benefit. This eliminates equivalency risk and dual-coverage confusion and is the most defensible posture.</w:t>
      </w:r>
    </w:p>
    <w:p>
      <w:pPr>
        <w:pStyle w:val="ListBullet"/>
        <w:spacing w:after="60" w:line="252" w:lineRule="auto"/>
      </w:pPr>
      <w:r>
        <w:rPr>
          <w:rFonts w:ascii="Calibri" w:hAnsi="Calibri"/>
          <w:b/>
          <w:i w:val="0"/>
          <w:color w:val="000000"/>
          <w:sz w:val="21"/>
        </w:rPr>
        <w:t xml:space="preserve">Option B — File private-plan approvals in the six states that permit them, with enhanced benefits. </w:t>
      </w:r>
      <w:r>
        <w:rPr>
          <w:rFonts w:ascii="Calibri" w:hAnsi="Calibri"/>
          <w:b w:val="0"/>
          <w:i w:val="0"/>
          <w:color w:val="000000"/>
          <w:sz w:val="21"/>
        </w:rPr>
        <w:t>The Company enhances the self-funded plan to meet or exceed each state's statutory minimum in all respects and files for approval in New Jersey, New York, Connecticut, Massachusetts, Oregon, and Washington. This preserves a uniform company-administered benefit but requires materially higher benefit cost, state-by-state approval processes, and ongoing equivalency maintenance as state benefits change annually. Colorado would still require state-program participation.</w:t>
      </w:r>
    </w:p>
    <w:p>
      <w:pPr>
        <w:pStyle w:val="ListBullet"/>
        <w:spacing w:after="60" w:line="252" w:lineRule="auto"/>
      </w:pPr>
      <w:r>
        <w:rPr>
          <w:rFonts w:ascii="Calibri" w:hAnsi="Calibri"/>
          <w:b/>
          <w:i w:val="0"/>
          <w:color w:val="000000"/>
          <w:sz w:val="21"/>
        </w:rPr>
        <w:t xml:space="preserve">Option C — Hybrid. </w:t>
      </w:r>
      <w:r>
        <w:rPr>
          <w:rFonts w:ascii="Calibri" w:hAnsi="Calibri"/>
          <w:b w:val="0"/>
          <w:i w:val="0"/>
          <w:color w:val="000000"/>
          <w:sz w:val="21"/>
        </w:rPr>
        <w:t>Participate in state programs in some states and maintain approved private plans in others, calibrated to headcount, payroll, and administrative burden. This adds complexity and is recommended only if a clear cost or operational advantage justifies it.</w:t>
      </w:r>
    </w:p>
    <w:p>
      <w:pPr>
        <w:spacing w:after="120" w:line="259" w:lineRule="auto"/>
        <w:jc w:val="both"/>
      </w:pPr>
      <w:r>
        <w:rPr>
          <w:rFonts w:ascii="Calibri" w:hAnsi="Calibri"/>
          <w:b w:val="0"/>
          <w:i w:val="0"/>
          <w:color w:val="000000"/>
          <w:sz w:val="21"/>
        </w:rPr>
        <w:t>H&amp;C's preliminary recommendation is Option A. It is the lowest-risk path, aligns with the contribution withholdings already in place in the current three states, and avoids the annual equivalency maintenance burden of Option B. The Company should make this decision by July 1, 2025 so that the revised Handbook and the PinnacleHR configurations for the expansion states can be built around a single, settled structure. Whichever option is selected, the family-member definitions and qualifying reasons in any retained self-funded or supplemental plan must be broadened to match each state program.</w:t>
      </w:r>
    </w:p>
    <w:p>
      <w:pPr>
        <w:keepNext/>
        <w:spacing w:before="280" w:after="80"/>
        <w:pBdr>
          <w:bottom w:val="single" w:sz="6" w:space="2" w:color="1F3864"/>
        </w:pBdr>
      </w:pPr>
      <w:r>
        <w:rPr>
          <w:rFonts w:ascii="Calibri" w:hAnsi="Calibri"/>
          <w:b/>
          <w:i w:val="0"/>
          <w:color w:val="1F3864"/>
          <w:sz w:val="25"/>
        </w:rPr>
        <w:t>VIII.  Cross-Cutting Operational Risks</w:t>
      </w:r>
    </w:p>
    <w:p>
      <w:pPr>
        <w:spacing w:after="120" w:line="259" w:lineRule="auto"/>
        <w:jc w:val="both"/>
      </w:pPr>
      <w:r>
        <w:rPr>
          <w:rFonts w:ascii="Calibri" w:hAnsi="Calibri"/>
          <w:b w:val="0"/>
          <w:i w:val="0"/>
          <w:color w:val="000000"/>
          <w:sz w:val="21"/>
        </w:rPr>
        <w:t>Three operational risks cut across all seven jurisdictions and amplify the legal deficiencies identified above. They are addressed together because no single policy amendment resolves them.</w:t>
      </w:r>
    </w:p>
    <w:p>
      <w:pPr>
        <w:pStyle w:val="ListBullet"/>
        <w:spacing w:after="60" w:line="252" w:lineRule="auto"/>
      </w:pPr>
      <w:r>
        <w:rPr>
          <w:rFonts w:ascii="Calibri" w:hAnsi="Calibri"/>
          <w:b/>
          <w:i w:val="0"/>
          <w:color w:val="000000"/>
          <w:sz w:val="21"/>
        </w:rPr>
        <w:t xml:space="preserve">Manual spreadsheet leave tracking. </w:t>
      </w:r>
      <w:r>
        <w:rPr>
          <w:rFonts w:ascii="Calibri" w:hAnsi="Calibri"/>
          <w:b w:val="0"/>
          <w:i w:val="0"/>
          <w:color w:val="000000"/>
          <w:sz w:val="21"/>
        </w:rPr>
        <w:t>The current one-workbook-per-state Excel system lacks state-specific rule differentiation, automated alerts, an audit trail, and integration with the HRIS and time-and-attendance systems. It has already produced documented errors (part-time cap misapplied, negative balances, uniform application of the 120-day waiting period) and is not scalable to seven states and approximately 2,560 employees. H&amp;C concurs with the Director of HR's recommendation to select and implement a dedicated leave-management solution (estimated $40,000–$75,000, three-to-six-month implementation) that integrates with WorkBridge Pro and ClockSync Enterprise and can be configured with state-specific rules. This should be scoped against the $175,000 compliance remediation budget, with consideration of a separate capital request if the budget is constrained.</w:t>
      </w:r>
    </w:p>
    <w:p>
      <w:pPr>
        <w:pStyle w:val="ListBullet"/>
        <w:spacing w:after="60" w:line="252" w:lineRule="auto"/>
      </w:pPr>
      <w:r>
        <w:rPr>
          <w:rFonts w:ascii="Calibri" w:hAnsi="Calibri"/>
          <w:b/>
          <w:i w:val="0"/>
          <w:color w:val="000000"/>
          <w:sz w:val="21"/>
        </w:rPr>
        <w:t xml:space="preserve">HR claim-routing inconsistency. </w:t>
      </w:r>
      <w:r>
        <w:rPr>
          <w:rFonts w:ascii="Calibri" w:hAnsi="Calibri"/>
          <w:b w:val="0"/>
          <w:i w:val="0"/>
          <w:color w:val="000000"/>
          <w:sz w:val="21"/>
        </w:rPr>
        <w:t>The misdirection of own-condition claims to the voluntary STD plan (H-8) reflects a broader inconsistency in how HR staff across sites administer leave. The interim guidance issued by the General Counsel is an appropriate stopgap, but a durable fix requires written procedures, training, and a clear escalation path, all of which should be incorporated into the revised Handbook and HR playbooks.</w:t>
      </w:r>
    </w:p>
    <w:p>
      <w:pPr>
        <w:pStyle w:val="ListBullet"/>
        <w:spacing w:after="60" w:line="252" w:lineRule="auto"/>
      </w:pPr>
      <w:r>
        <w:rPr>
          <w:rFonts w:ascii="Calibri" w:hAnsi="Calibri"/>
          <w:b/>
          <w:i w:val="0"/>
          <w:color w:val="000000"/>
          <w:sz w:val="21"/>
        </w:rPr>
        <w:t xml:space="preserve">Notice and disparate-treatment risk. </w:t>
      </w:r>
      <w:r>
        <w:rPr>
          <w:rFonts w:ascii="Calibri" w:hAnsi="Calibri"/>
          <w:b w:val="0"/>
          <w:i w:val="0"/>
          <w:color w:val="000000"/>
          <w:sz w:val="21"/>
        </w:rPr>
        <w:t>The 30-day notice rule's silence on unforeseeable leave (M-1) has produced inconsistent application across facilities. Inconsistent administration of a facially uniform policy is a classic source of disparate-treatment and discrimination claims and should be remediated through a rewritten, state-specific notice provision and manager training.</w:t>
      </w:r>
    </w:p>
    <w:p>
      <w:pPr>
        <w:keepNext/>
        <w:spacing w:before="280" w:after="80"/>
        <w:pBdr>
          <w:bottom w:val="single" w:sz="6" w:space="2" w:color="1F3864"/>
        </w:pBdr>
      </w:pPr>
      <w:r>
        <w:rPr>
          <w:rFonts w:ascii="Calibri" w:hAnsi="Calibri"/>
          <w:b/>
          <w:i w:val="0"/>
          <w:color w:val="1F3864"/>
          <w:sz w:val="25"/>
        </w:rPr>
        <w:t>IX.  Prioritized Remediation Plan</w:t>
      </w:r>
    </w:p>
    <w:p>
      <w:pPr>
        <w:spacing w:after="120" w:line="259" w:lineRule="auto"/>
        <w:jc w:val="both"/>
      </w:pPr>
      <w:r>
        <w:rPr>
          <w:rFonts w:ascii="Calibri" w:hAnsi="Calibri"/>
          <w:b w:val="0"/>
          <w:i w:val="0"/>
          <w:color w:val="000000"/>
          <w:sz w:val="21"/>
        </w:rPr>
        <w:t>The following plan sequences remediation against the Company's facility opening schedule, the July 1, 2025 revised Handbook target, and the PinnacleHR configuration lead time. Owners are identified by function; specific personnel assignments are at the Company's discretion. Deadlines marked "critical path" will cascade into operational disruption if missed.</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656"/>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Deadline</w:t>
            </w:r>
          </w:p>
        </w:tc>
        <w:tc>
          <w:tcPr>
            <w:tcW w:type="dxa" w:w="1008"/>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Ref.</w:t>
            </w:r>
          </w:p>
        </w:tc>
        <w:tc>
          <w:tcPr>
            <w:tcW w:type="dxa" w:w="4320"/>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Action item</w:t>
            </w:r>
          </w:p>
        </w:tc>
        <w:tc>
          <w:tcPr>
            <w:tcW w:type="dxa" w:w="1800"/>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Owner</w:t>
            </w:r>
          </w:p>
        </w:tc>
        <w:tc>
          <w:tcPr>
            <w:tcW w:type="dxa" w:w="1224"/>
            <w:shd w:val="clear" w:color="auto" w:fill="1F3864"/>
            <w:tcMar>
              <w:top w:w="40" w:type="dxa"/>
              <w:bottom w:w="40" w:type="dxa"/>
              <w:start w:w="80" w:type="dxa"/>
              <w:end w:w="80" w:type="dxa"/>
            </w:tcMar>
          </w:tcPr>
          <w:p>
            <w:pPr>
              <w:spacing w:before="0" w:after="0" w:line="240" w:lineRule="auto"/>
              <w:jc w:val="center"/>
            </w:pPr>
            <w:r>
              <w:rPr>
                <w:rFonts w:ascii="Calibri" w:hAnsi="Calibri"/>
                <w:b/>
                <w:i w:val="0"/>
                <w:color w:val="FFFFFF"/>
                <w:sz w:val="17"/>
              </w:rPr>
              <w:t>Priority</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Immediate</w:t>
              <w:br/>
              <w:t>(by May 2, 2025)</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C-1, C-2</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Initiate MA PFML and CO FAMLI registrations; obtain legal determination of CO registration trigger date for April remote hires.</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Legal / PinnacleHR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0006"/>
                <w:sz w:val="16"/>
              </w:rPr>
              <w:t>Critical path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Immediate</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H-8</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Issue interim HR guidance: route own-condition claims to state programs (NJ TDI, NY DBL, CT PL); escalate uncertainty to Dir. of HR.</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(M. Delgado)</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By June 1, 2025</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C-1</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Complete MA PFML registration; provide confirmation to PinnacleHR to preserve 6–8 wk configuration window before Aug 1 opening.</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Legal / PinnacleHR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0006"/>
                <w:sz w:val="16"/>
              </w:rPr>
              <w:t>Critical path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By July 1, 2025</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C-3, C-4, H-1, H-2, M-1, M-2, M-5</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Publish revised Employee Handbook: amend PSL (family member, uses, accrual, caps, carryover, waiting periods, doc threshold by state); rewrite PFL notice (foreseeable/unforeseeable); make self-funded plan structural decision; broaden PFL family member &amp; reasons.</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Legal (H&amp;C) / HR</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By July 1, 2025</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H-7, M-7</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Amend PTO payout policy for MA/CO/OR/WA; review carryover cap in payout states.</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Legal (H&amp;C) / 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By July 1, 2025</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M-4</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Issue RFP / begin vendor selection for dedicated leave-management software.</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IT</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2E5395"/>
                <w:sz w:val="16"/>
              </w:rPr>
              <w:t>Moderate</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By July 1, 2025</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M-3</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Obtain and post all required state postings; implement individual hire-notice process for current states.</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2E5395"/>
                <w:sz w:val="16"/>
              </w:rPr>
              <w:t>Moderate</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Before Aug 1, 2025</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H-3, H-7</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MA sick leave (1/30 accrual, 90-day use, carryover) and MA PTO payout operational before Worcester opening.</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Legal</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Aug 1, 2025</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Massachusetts facility opens — all registrations, withholding, policies, and postings operational.</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PinnacleHR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0006"/>
                <w:sz w:val="16"/>
              </w:rPr>
              <w:t>Critical path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By Sept 1, 2025</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C-2</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Complete CO FAMLI registration (if not already done for remote hires); PinnacleHR configuration complete.</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Legal / PinnacleHR</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0006"/>
                <w:sz w:val="16"/>
              </w:rPr>
              <w:t>Critical path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Before Nov 1, 2025</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H-4, H-7</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CO sick leave (48 hrs, 1/30, no waiting period, carryover, bereavement/PHE) and CO PTO payout operational before Aurora opening.</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Legal</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Nov 1, 2025</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Colorado facility opens — all systems operational.</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PinnacleHR</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0006"/>
                <w:sz w:val="16"/>
              </w:rPr>
              <w:t>Critical path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By Dec 1, 2025</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H-9</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Complete Paid Leave Oregon registration; provide confirmation to PinnacleHR.</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Legal / PinnacleHR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Before Feb 1, 2026</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H-5, H-7</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OR sick time (1/30, 90-day, carryover, safe leave) and OR PTO payout operational before Tigard opening.</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Legal</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Feb 1, 2026</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Oregon facility opens — all systems operational.</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PinnacleHR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0006"/>
                <w:sz w:val="16"/>
              </w:rPr>
              <w:t>Critical path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By Mar 1, 2026</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H-9</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Complete WA PFML registration; provide confirmation to PinnacleHR.</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Legal / PinnacleHR</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By Q1 2026</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M-4</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Implement dedicated leave-management software, configured for all seven states, before OR/WA openings.</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IT</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2E5395"/>
                <w:sz w:val="16"/>
              </w:rPr>
              <w:t>Moderate</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Before May 1, 2026</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H-6, H-7</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WA sick leave (90-day use, no accrual cap, carryover) and WA PTO payout operational before Kent opening.</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Legal</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6500"/>
                <w:sz w:val="16"/>
              </w:rPr>
              <w:t>High</w:t>
            </w:r>
          </w:p>
        </w:tc>
      </w:tr>
      <w:tr>
        <w:tc>
          <w:tcPr>
            <w:tcW w:type="dxa" w:w="1656"/>
            <w:tcMar>
              <w:top w:w="40" w:type="dxa"/>
              <w:bottom w:w="40" w:type="dxa"/>
              <w:start w:w="80" w:type="dxa"/>
              <w:end w:w="80" w:type="dxa"/>
            </w:tcMar>
          </w:tcPr>
          <w:p>
            <w:pPr>
              <w:spacing w:before="0" w:after="0" w:line="240" w:lineRule="auto"/>
            </w:pPr>
            <w:r>
              <w:rPr>
                <w:rFonts w:ascii="Calibri" w:hAnsi="Calibri"/>
                <w:b/>
                <w:i w:val="0"/>
                <w:color w:val="000000"/>
                <w:sz w:val="17"/>
              </w:rPr>
              <w:t>May 1, 2026</w:t>
            </w:r>
          </w:p>
        </w:tc>
        <w:tc>
          <w:tcPr>
            <w:tcW w:type="dxa" w:w="1008"/>
            <w:tcMar>
              <w:top w:w="40" w:type="dxa"/>
              <w:bottom w:w="40" w:type="dxa"/>
              <w:start w:w="80" w:type="dxa"/>
              <w:end w:w="80" w:type="dxa"/>
            </w:tcMar>
          </w:tcPr>
          <w:p>
            <w:pPr>
              <w:spacing w:before="0" w:after="0" w:line="240" w:lineRule="auto"/>
            </w:pPr>
            <w:r>
              <w:rPr>
                <w:rFonts w:ascii="Calibri" w:hAnsi="Calibri"/>
                <w:b w:val="0"/>
                <w:i w:val="0"/>
                <w:color w:val="000000"/>
                <w:sz w:val="17"/>
              </w:rPr>
              <w:t>—</w:t>
            </w:r>
          </w:p>
        </w:tc>
        <w:tc>
          <w:tcPr>
            <w:tcW w:type="dxa" w:w="4320"/>
            <w:tcMar>
              <w:top w:w="40" w:type="dxa"/>
              <w:bottom w:w="40" w:type="dxa"/>
              <w:start w:w="80" w:type="dxa"/>
              <w:end w:w="80" w:type="dxa"/>
            </w:tcMar>
          </w:tcPr>
          <w:p>
            <w:pPr>
              <w:spacing w:before="0" w:after="0" w:line="240" w:lineRule="auto"/>
            </w:pPr>
            <w:r>
              <w:rPr>
                <w:rFonts w:ascii="Calibri" w:hAnsi="Calibri"/>
                <w:b w:val="0"/>
                <w:i w:val="0"/>
                <w:color w:val="000000"/>
                <w:sz w:val="17"/>
              </w:rPr>
              <w:t>Washington facility opens — all systems operational; conduct 30-day post-launch audit.</w:t>
            </w:r>
          </w:p>
        </w:tc>
        <w:tc>
          <w:tcPr>
            <w:tcW w:type="dxa" w:w="1800"/>
            <w:tcMar>
              <w:top w:w="40" w:type="dxa"/>
              <w:bottom w:w="40" w:type="dxa"/>
              <w:start w:w="80" w:type="dxa"/>
              <w:end w:w="80" w:type="dxa"/>
            </w:tcMar>
          </w:tcPr>
          <w:p>
            <w:pPr>
              <w:spacing w:before="0" w:after="0" w:line="240" w:lineRule="auto"/>
            </w:pPr>
            <w:r>
              <w:rPr>
                <w:rFonts w:ascii="Calibri" w:hAnsi="Calibri"/>
                <w:b w:val="0"/>
                <w:i w:val="0"/>
                <w:color w:val="000000"/>
                <w:sz w:val="17"/>
              </w:rPr>
              <w:t>HR / PinnacleHR</w:t>
            </w:r>
          </w:p>
        </w:tc>
        <w:tc>
          <w:tcPr>
            <w:tcW w:type="dxa" w:w="1224"/>
            <w:tcMar>
              <w:top w:w="40" w:type="dxa"/>
              <w:bottom w:w="40" w:type="dxa"/>
              <w:start w:w="80" w:type="dxa"/>
              <w:end w:w="80" w:type="dxa"/>
            </w:tcMar>
          </w:tcPr>
          <w:p>
            <w:pPr>
              <w:spacing w:before="0" w:after="0" w:line="240" w:lineRule="auto"/>
              <w:jc w:val="center"/>
            </w:pPr>
            <w:r>
              <w:rPr>
                <w:rFonts w:ascii="Calibri" w:hAnsi="Calibri"/>
                <w:b/>
                <w:i w:val="0"/>
                <w:color w:val="9C0006"/>
                <w:sz w:val="16"/>
              </w:rPr>
              <w:t>Critical path</w:t>
            </w:r>
          </w:p>
        </w:tc>
      </w:tr>
      <w:tr>
        <w:tc>
          <w:tcPr>
            <w:tcW w:type="dxa" w:w="1656"/>
            <w:tcMar>
              <w:top w:w="40" w:type="dxa"/>
              <w:bottom w:w="40" w:type="dxa"/>
              <w:start w:w="80" w:type="dxa"/>
              <w:end w:w="80" w:type="dxa"/>
            </w:tcMar>
            <w:shd w:val="clear" w:color="auto" w:fill="F2F2F2"/>
          </w:tcPr>
          <w:p>
            <w:pPr>
              <w:spacing w:before="0" w:after="0" w:line="240" w:lineRule="auto"/>
            </w:pPr>
            <w:r>
              <w:rPr>
                <w:rFonts w:ascii="Calibri" w:hAnsi="Calibri"/>
                <w:b/>
                <w:i w:val="0"/>
                <w:color w:val="000000"/>
                <w:sz w:val="17"/>
              </w:rPr>
              <w:t>Ongoing</w:t>
            </w:r>
          </w:p>
        </w:tc>
        <w:tc>
          <w:tcPr>
            <w:tcW w:type="dxa" w:w="1008"/>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C-3, H-8</w:t>
            </w:r>
          </w:p>
        </w:tc>
        <w:tc>
          <w:tcPr>
            <w:tcW w:type="dxa" w:w="432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Supervisor and HR training on revised policies; audit prior own-condition misdirection; support NJ DOL complaint resolution.</w:t>
            </w:r>
          </w:p>
        </w:tc>
        <w:tc>
          <w:tcPr>
            <w:tcW w:type="dxa" w:w="1800"/>
            <w:tcMar>
              <w:top w:w="40" w:type="dxa"/>
              <w:bottom w:w="40" w:type="dxa"/>
              <w:start w:w="80" w:type="dxa"/>
              <w:end w:w="80" w:type="dxa"/>
            </w:tcMar>
            <w:shd w:val="clear" w:color="auto" w:fill="F2F2F2"/>
          </w:tcPr>
          <w:p>
            <w:pPr>
              <w:spacing w:before="0" w:after="0" w:line="240" w:lineRule="auto"/>
            </w:pPr>
            <w:r>
              <w:rPr>
                <w:rFonts w:ascii="Calibri" w:hAnsi="Calibri"/>
                <w:b w:val="0"/>
                <w:i w:val="0"/>
                <w:color w:val="000000"/>
                <w:sz w:val="17"/>
              </w:rPr>
              <w:t>HR / Legal</w:t>
            </w:r>
          </w:p>
        </w:tc>
        <w:tc>
          <w:tcPr>
            <w:tcW w:type="dxa" w:w="1224"/>
            <w:tcMar>
              <w:top w:w="40" w:type="dxa"/>
              <w:bottom w:w="40" w:type="dxa"/>
              <w:start w:w="80" w:type="dxa"/>
              <w:end w:w="80" w:type="dxa"/>
            </w:tcMar>
            <w:shd w:val="clear" w:color="auto" w:fill="F2F2F2"/>
          </w:tcPr>
          <w:p>
            <w:pPr>
              <w:spacing w:before="0" w:after="0" w:line="240" w:lineRule="auto"/>
              <w:jc w:val="center"/>
            </w:pPr>
            <w:r>
              <w:rPr>
                <w:rFonts w:ascii="Calibri" w:hAnsi="Calibri"/>
                <w:b/>
                <w:i w:val="0"/>
                <w:color w:val="9C6500"/>
                <w:sz w:val="16"/>
              </w:rPr>
              <w:t>High</w:t>
            </w:r>
          </w:p>
        </w:tc>
      </w:tr>
    </w:tbl>
    <w:p>
      <w:pPr>
        <w:spacing w:before="60" w:after="160"/>
      </w:pPr>
      <w:r>
        <w:rPr>
          <w:rFonts w:ascii="Calibri" w:hAnsi="Calibri"/>
          <w:b w:val="0"/>
          <w:i/>
          <w:color w:val="595959"/>
          <w:sz w:val="17"/>
        </w:rPr>
        <w:t>Figure 3. Prioritized remediation plan sequenced to facility openings and the July 1, 2025 revised Handbook target. "Ref." cross-references the Gap Register and Sections IV–VI.</w:t>
      </w:r>
    </w:p>
    <w:p>
      <w:pPr>
        <w:keepNext/>
        <w:spacing w:before="280" w:after="80"/>
        <w:pBdr>
          <w:bottom w:val="single" w:sz="6" w:space="2" w:color="1F3864"/>
        </w:pBdr>
      </w:pPr>
      <w:r>
        <w:rPr>
          <w:rFonts w:ascii="Calibri" w:hAnsi="Calibri"/>
          <w:b/>
          <w:i w:val="0"/>
          <w:color w:val="1F3864"/>
          <w:sz w:val="25"/>
        </w:rPr>
        <w:t>X.  NJ DOL Complaint (Case No. NJ-ESL-2025-04117) — Resolution Posture</w:t>
      </w:r>
    </w:p>
    <w:p>
      <w:pPr>
        <w:spacing w:after="120" w:line="259" w:lineRule="auto"/>
        <w:jc w:val="both"/>
      </w:pPr>
      <w:r>
        <w:rPr>
          <w:rFonts w:ascii="Calibri" w:hAnsi="Calibri"/>
          <w:b w:val="0"/>
          <w:i w:val="0"/>
          <w:color w:val="000000"/>
          <w:sz w:val="21"/>
        </w:rPr>
        <w:t>The pending NJ DOL complaint is outside the scope of this engagement, which does not include representation of the Company in that proceeding (handled under the separate engagement dated February 15, 2025). However, the compliance review findings materially inform the Company's response posture, and H&amp;C offers the following contextual observations for coordination with the team handling the complaint.</w:t>
      </w:r>
    </w:p>
    <w:p>
      <w:pPr>
        <w:spacing w:after="120" w:line="259" w:lineRule="auto"/>
        <w:jc w:val="both"/>
      </w:pPr>
      <w:r>
        <w:rPr>
          <w:rFonts w:ascii="Calibri" w:hAnsi="Calibri"/>
          <w:b w:val="0"/>
          <w:i w:val="0"/>
          <w:color w:val="000000"/>
          <w:sz w:val="21"/>
        </w:rPr>
        <w:t>The complaint (C-3) targets the precise policy defects—family-member definition and covered-uses enumeration—that this review has confirmed are non-compliant under the New Jersey Earned Sick Leave Act. The Company's February 21, 2025 response acknowledged that the policy language "may not fully reflect" the Act and committed to a policy review by the July 1, 2025 Handbook revision. The remediation steps in C-3 (amending the policy, making Ms. Muñoz whole, and supervisor training) are consistent with that posture and with the relief sought in the complaint. The Department has reserved the right to expand its investigation, which means the systemic defects (accrual rate, part-time cap, no carryover) are exposed regardless of how the individual claim is resolved. Prompt, documented remediation therefore serves both the individual matter and the broader compliance posture, and the Company should ensure that the remediation record is preserved for use in the NJ DOL proceeding. H&amp;C is available to coordinate with the team handling the complaint on the scope and timing of any remediation communications to the Department.</w:t>
      </w:r>
    </w:p>
    <w:p>
      <w:pPr>
        <w:keepNext/>
        <w:spacing w:before="280" w:after="80"/>
        <w:pBdr>
          <w:bottom w:val="single" w:sz="6" w:space="2" w:color="1F3864"/>
        </w:pBdr>
      </w:pPr>
      <w:r>
        <w:rPr>
          <w:rFonts w:ascii="Calibri" w:hAnsi="Calibri"/>
          <w:b/>
          <w:i w:val="0"/>
          <w:color w:val="1F3864"/>
          <w:sz w:val="25"/>
        </w:rPr>
        <w:t>XI.  Conclusion and Next Steps</w:t>
      </w:r>
    </w:p>
    <w:p>
      <w:pPr>
        <w:spacing w:after="120" w:line="259" w:lineRule="auto"/>
        <w:jc w:val="both"/>
      </w:pPr>
      <w:r>
        <w:rPr>
          <w:rFonts w:ascii="Calibri" w:hAnsi="Calibri"/>
          <w:b w:val="0"/>
          <w:i w:val="0"/>
          <w:color w:val="000000"/>
          <w:sz w:val="21"/>
        </w:rPr>
        <w:t>Vantage's paid leave policies and practices, as last revised in January 2022, do not comply with the paid leave requirements of any of the seven jurisdictions in which the Company operates or plans to operate. The deficiencies are systemic rather than incidental: the paid sick leave policy is non-compliant in all seven states; the self-funded paid family leave plan is below every state's statutory minimum and is not approved as a private-plan substitute anywhere; the Company provides no employer-funded paid medical leave for an employee's own condition in any state; the PTO payout policy is unlawful in four states; and the Company has not registered with the paid leave program in any of the four expansion states. The manual leave-tracking system and inconsistent HR administration amplify these legal risks.</w:t>
      </w:r>
    </w:p>
    <w:p>
      <w:pPr>
        <w:spacing w:after="120" w:line="259" w:lineRule="auto"/>
        <w:jc w:val="both"/>
      </w:pPr>
      <w:r>
        <w:rPr>
          <w:rFonts w:ascii="Calibri" w:hAnsi="Calibri"/>
          <w:b w:val="0"/>
          <w:i w:val="0"/>
          <w:color w:val="000000"/>
          <w:sz w:val="21"/>
        </w:rPr>
        <w:t>The remediation path is achievable on the Company's timeline if action begins immediately. The two most time-sensitive items are the Massachusetts and Colorado program registrations, which are on or past the critical path. The July 1, 2025 revised Handbook is the central vehicle for curing the policy defects in the current states and for establishing compliant policies before the expansion facilities open. H&amp;C recommends that the Company (1) initiate the Massachusetts and Colorado registrations this week; (2) make the self-funded plan structural decision (Section VII) by July 1, 2025; (3) commit to the revised Handbook timeline; and (4) authorize the leave-management software selection in parallel. H&amp;C is available to present these findings to the legal and HR teams, to assist with the structural decision and registration filings, and to support the revised Handbook drafting under a separate engagement if the Company elects.</w:t>
      </w:r>
    </w:p>
    <w:p>
      <w:pPr>
        <w:spacing w:after="200" w:line="259" w:lineRule="auto"/>
        <w:jc w:val="both"/>
      </w:pPr>
      <w:r>
        <w:rPr>
          <w:rFonts w:ascii="Calibri" w:hAnsi="Calibri"/>
          <w:b w:val="0"/>
          <w:i w:val="0"/>
          <w:color w:val="000000"/>
          <w:sz w:val="21"/>
        </w:rPr>
        <w:t>H&amp;C will provide an interim status update on or about May 2, 2025. Given the registration urgency, the Company should anticipate that H&amp;C may provide an early-action notification regarding Massachusetts and Colorado registration in advance of that update. This memorandum and the accompanying Matrix should be treated as privileged and confidential, and sharing with third-party vendors should be limited to non-privileged summaries or specific operational directives, as discussed in Section 7 of the engagement letter.</w:t>
      </w:r>
    </w:p>
    <w:p>
      <w:pPr>
        <w:spacing w:before="200" w:after="40"/>
      </w:pPr>
      <w:r>
        <w:rPr>
          <w:rFonts w:ascii="Calibri" w:hAnsi="Calibri"/>
          <w:b w:val="0"/>
          <w:i w:val="0"/>
          <w:color w:val="000000"/>
          <w:sz w:val="21"/>
        </w:rPr>
        <w:t>Respectfully submitted,</w:t>
      </w:r>
    </w:p>
    <w:p>
      <w:pPr>
        <w:spacing w:after="0" w:before="0" w:line="240" w:lineRule="auto"/>
      </w:pPr>
      <w:r>
        <w:rPr>
          <w:rFonts w:ascii="Calibri" w:hAnsi="Calibri"/>
          <w:b/>
          <w:i w:val="0"/>
          <w:color w:val="1F3864"/>
          <w:sz w:val="21"/>
        </w:rPr>
        <w:t>HARTWELL &amp; CABOT LLP</w:t>
      </w:r>
    </w:p>
    <w:p>
      <w:pPr>
        <w:spacing w:after="0" w:before="0" w:line="240" w:lineRule="auto"/>
      </w:pPr>
      <w:r>
        <w:rPr>
          <w:rFonts w:ascii="Calibri" w:hAnsi="Calibri"/>
          <w:b w:val="0"/>
          <w:i w:val="0"/>
          <w:color w:val="000000"/>
          <w:sz w:val="21"/>
        </w:rPr>
        <w:t>By:  Daniel Ikeda, Senior Associate</w:t>
      </w:r>
    </w:p>
    <w:p>
      <w:pPr>
        <w:spacing w:after="0" w:before="0" w:line="240" w:lineRule="auto"/>
      </w:pPr>
      <w:r>
        <w:rPr>
          <w:rFonts w:ascii="Calibri" w:hAnsi="Calibri"/>
          <w:b w:val="0"/>
          <w:i w:val="0"/>
          <w:color w:val="000000"/>
          <w:sz w:val="21"/>
        </w:rPr>
        <w:t>Catherine Ng, Partner (supervising)</w:t>
      </w:r>
    </w:p>
    <w:p>
      <w:pPr>
        <w:spacing w:before="120"/>
      </w:pPr>
      <w:r>
        <w:rPr>
          <w:rFonts w:ascii="Calibri" w:hAnsi="Calibri"/>
          <w:b w:val="0"/>
          <w:i w:val="0"/>
          <w:color w:val="595959"/>
          <w:sz w:val="18"/>
        </w:rPr>
        <w:t>cc:  Marcus Delgado, Director of Human Resources, Vantage Logistics Group, Inc.</w:t>
      </w:r>
    </w:p>
    <w:p>
      <w:r>
        <w:rPr>
          <w:rFonts w:ascii="Calibri" w:hAnsi="Calibri"/>
          <w:b w:val="0"/>
          <w:i w:val="0"/>
          <w:color w:val="595959"/>
          <w:sz w:val="18"/>
        </w:rPr>
        <w:t>Enclosure:  Multi-State Compliance Matrix (multi-state-compliance-matrix.xlsx)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