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0"/>
        </w:rPr>
        <w:t>COMPLIANCE REQUIREMENTS MATRIX</w:t>
      </w:r>
    </w:p>
    <w:p>
      <w:pPr>
        <w:spacing w:after="40"/>
        <w:jc w:val="center"/>
      </w:pPr>
      <w:r>
        <w:rPr>
          <w:b/>
          <w:color w:val="404040"/>
          <w:sz w:val="26"/>
        </w:rPr>
        <w:t>City of Evanston Cannabis Dispensary Permit Application</w:t>
      </w:r>
    </w:p>
    <w:p>
      <w:pPr>
        <w:spacing w:after="160"/>
        <w:jc w:val="center"/>
      </w:pPr>
      <w:r>
        <w:rPr>
          <w:i/>
          <w:color w:val="595959"/>
          <w:sz w:val="20"/>
        </w:rPr>
        <w:t>Applicant: Greenleaf Therapeutics LLC  |  Proposed Location: 1420 Sherman Ave., Unit B, Evanston, IL 60201  |  State Conditional License No. ADC-285-0147</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Prepared for:</w:t>
            </w:r>
          </w:p>
        </w:tc>
        <w:tc>
          <w:tcPr>
            <w:tcW w:type="dxa" w:w="5184"/>
            <w:tcMar>
              <w:top w:w="40" w:type="dxa"/>
              <w:bottom w:w="40" w:type="dxa"/>
              <w:start w:w="60" w:type="dxa"/>
              <w:end w:w="60" w:type="dxa"/>
              <w:left w:w="60" w:type="dxa"/>
              <w:right w:w="60" w:type="dxa"/>
            </w:tcMar>
          </w:tcPr>
          <w:p>
            <w:pPr>
              <w:spacing w:after="20" w:before="20"/>
            </w:pPr>
            <w:r/>
            <w:r>
              <w:rPr>
                <w:rFonts w:ascii="Calibri" w:hAnsi="Calibri"/>
                <w:b w:val="0"/>
                <w:sz w:val="18"/>
              </w:rPr>
              <w:t>Cannabis Licensing Coordinator, City of Evanston</w:t>
            </w:r>
          </w:p>
        </w:tc>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Applicant entity:</w:t>
            </w:r>
          </w:p>
        </w:tc>
        <w:tc>
          <w:tcPr>
            <w:tcW w:type="dxa" w:w="4608"/>
            <w:tcMar>
              <w:top w:w="40" w:type="dxa"/>
              <w:bottom w:w="40" w:type="dxa"/>
              <w:start w:w="60" w:type="dxa"/>
              <w:end w:w="60" w:type="dxa"/>
              <w:left w:w="60" w:type="dxa"/>
              <w:right w:w="60" w:type="dxa"/>
            </w:tcMar>
          </w:tcPr>
          <w:p>
            <w:pPr>
              <w:spacing w:after="20" w:before="20"/>
            </w:pPr>
            <w:r/>
            <w:r>
              <w:rPr>
                <w:rFonts w:ascii="Calibri" w:hAnsi="Calibri"/>
                <w:b w:val="0"/>
                <w:sz w:val="18"/>
              </w:rPr>
              <w:t>Greenleaf Therapeutics LLC (IL LLC)</w:t>
            </w:r>
          </w:p>
        </w:tc>
      </w:tr>
      <w:tr>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Application window:</w:t>
            </w:r>
          </w:p>
        </w:tc>
        <w:tc>
          <w:tcPr>
            <w:tcW w:type="dxa" w:w="5184"/>
            <w:tcMar>
              <w:top w:w="40" w:type="dxa"/>
              <w:bottom w:w="40" w:type="dxa"/>
              <w:start w:w="60" w:type="dxa"/>
              <w:end w:w="60" w:type="dxa"/>
              <w:left w:w="60" w:type="dxa"/>
              <w:right w:w="60" w:type="dxa"/>
            </w:tcMar>
          </w:tcPr>
          <w:p>
            <w:pPr>
              <w:spacing w:after="20" w:before="20"/>
            </w:pPr>
            <w:r/>
            <w:r>
              <w:rPr>
                <w:rFonts w:ascii="Calibri" w:hAnsi="Calibri"/>
                <w:b w:val="0"/>
                <w:sz w:val="18"/>
              </w:rPr>
              <w:t>February 1 – May 31, 2024 (target submission May 15, 2024)</w:t>
            </w:r>
          </w:p>
        </w:tc>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Proposed use:</w:t>
            </w:r>
          </w:p>
        </w:tc>
        <w:tc>
          <w:tcPr>
            <w:tcW w:type="dxa" w:w="4608"/>
            <w:tcMar>
              <w:top w:w="40" w:type="dxa"/>
              <w:bottom w:w="40" w:type="dxa"/>
              <w:start w:w="60" w:type="dxa"/>
              <w:end w:w="60" w:type="dxa"/>
              <w:left w:w="60" w:type="dxa"/>
              <w:right w:w="60" w:type="dxa"/>
            </w:tcMar>
          </w:tcPr>
          <w:p>
            <w:pPr>
              <w:spacing w:after="20" w:before="20"/>
            </w:pPr>
            <w:r/>
            <w:r>
              <w:rPr>
                <w:rFonts w:ascii="Calibri" w:hAnsi="Calibri"/>
                <w:b w:val="0"/>
                <w:sz w:val="18"/>
              </w:rPr>
              <w:t>Adult-use &amp; medical cannabis dispensary (C1a district)</w:t>
            </w:r>
          </w:p>
        </w:tc>
      </w:tr>
      <w:tr>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Governing authority:</w:t>
            </w:r>
          </w:p>
        </w:tc>
        <w:tc>
          <w:tcPr>
            <w:tcW w:type="dxa" w:w="5184"/>
            <w:tcMar>
              <w:top w:w="40" w:type="dxa"/>
              <w:bottom w:w="40" w:type="dxa"/>
              <w:start w:w="60" w:type="dxa"/>
              <w:end w:w="60" w:type="dxa"/>
              <w:left w:w="60" w:type="dxa"/>
              <w:right w:w="60" w:type="dxa"/>
            </w:tcMar>
          </w:tcPr>
          <w:p>
            <w:pPr>
              <w:spacing w:after="20" w:before="20"/>
            </w:pPr>
            <w:r/>
            <w:r>
              <w:rPr>
                <w:rFonts w:ascii="Calibri" w:hAnsi="Calibri"/>
                <w:b w:val="0"/>
                <w:sz w:val="18"/>
              </w:rPr>
              <w:t>Evanston Municipal Code Title 9, Article 5 (Ord. 78-O-23)</w:t>
            </w:r>
          </w:p>
        </w:tc>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Review date:</w:t>
            </w:r>
          </w:p>
        </w:tc>
        <w:tc>
          <w:tcPr>
            <w:tcW w:type="dxa" w:w="4608"/>
            <w:tcMar>
              <w:top w:w="40" w:type="dxa"/>
              <w:bottom w:w="40" w:type="dxa"/>
              <w:start w:w="60" w:type="dxa"/>
              <w:end w:w="60" w:type="dxa"/>
              <w:left w:w="60" w:type="dxa"/>
              <w:right w:w="60" w:type="dxa"/>
            </w:tcMar>
          </w:tcPr>
          <w:p>
            <w:pPr>
              <w:spacing w:after="20" w:before="20"/>
            </w:pPr>
            <w:r/>
            <w:r>
              <w:rPr>
                <w:rFonts w:ascii="Calibri" w:hAnsi="Calibri"/>
                <w:b w:val="0"/>
                <w:sz w:val="18"/>
              </w:rPr>
              <w:t>April 2024</w:t>
            </w:r>
          </w:p>
        </w:tc>
      </w:tr>
      <w:tr>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Prepared by:</w:t>
            </w:r>
          </w:p>
        </w:tc>
        <w:tc>
          <w:tcPr>
            <w:tcW w:type="dxa" w:w="5184"/>
            <w:tcMar>
              <w:top w:w="40" w:type="dxa"/>
              <w:bottom w:w="40" w:type="dxa"/>
              <w:start w:w="60" w:type="dxa"/>
              <w:end w:w="60" w:type="dxa"/>
              <w:left w:w="60" w:type="dxa"/>
              <w:right w:w="60" w:type="dxa"/>
            </w:tcMar>
          </w:tcPr>
          <w:p>
            <w:pPr>
              <w:spacing w:after="20" w:before="20"/>
            </w:pPr>
            <w:r/>
            <w:r>
              <w:rPr>
                <w:rFonts w:ascii="Calibri" w:hAnsi="Calibri"/>
                <w:b w:val="0"/>
                <w:sz w:val="18"/>
              </w:rPr>
              <w:t>Application Compliance Review</w:t>
            </w:r>
          </w:p>
        </w:tc>
        <w:tc>
          <w:tcPr>
            <w:tcW w:type="dxa" w:w="2160"/>
            <w:shd w:val="clear" w:color="auto" w:fill="D9E1F2"/>
            <w:tcMar>
              <w:top w:w="40" w:type="dxa"/>
              <w:bottom w:w="40" w:type="dxa"/>
              <w:start w:w="60" w:type="dxa"/>
              <w:end w:w="60" w:type="dxa"/>
              <w:left w:w="60" w:type="dxa"/>
              <w:right w:w="60" w:type="dxa"/>
            </w:tcMar>
          </w:tcPr>
          <w:p>
            <w:pPr>
              <w:spacing w:after="20" w:before="20"/>
            </w:pPr>
            <w:r/>
            <w:r>
              <w:rPr>
                <w:rFonts w:ascii="Calibri" w:hAnsi="Calibri"/>
                <w:b/>
                <w:sz w:val="18"/>
              </w:rPr>
              <w:t>Total findings:</w:t>
            </w:r>
          </w:p>
        </w:tc>
        <w:tc>
          <w:tcPr>
            <w:tcW w:type="dxa" w:w="4608"/>
            <w:tcMar>
              <w:top w:w="40" w:type="dxa"/>
              <w:bottom w:w="40" w:type="dxa"/>
              <w:start w:w="60" w:type="dxa"/>
              <w:end w:w="60" w:type="dxa"/>
              <w:left w:w="60" w:type="dxa"/>
              <w:right w:w="60" w:type="dxa"/>
            </w:tcMar>
          </w:tcPr>
          <w:p>
            <w:pPr>
              <w:spacing w:after="20" w:before="20"/>
            </w:pPr>
            <w:r/>
            <w:r>
              <w:rPr>
                <w:rFonts w:ascii="Calibri" w:hAnsi="Calibri"/>
                <w:b w:val="0"/>
                <w:sz w:val="18"/>
              </w:rPr>
              <w:t>96 rows across 12 categories</w:t>
            </w:r>
          </w:p>
        </w:tc>
      </w:tr>
    </w:tbl>
    <w:p>
      <w:pPr>
        <w:spacing w:after="40"/>
      </w:pPr>
    </w:p>
    <w:p>
      <w:pPr>
        <w:keepNext/>
        <w:spacing w:before="200" w:after="80"/>
        <w:pBdr>
          <w:bottom w:val="single" w:sz="6" w:space="2" w:color="1F3864"/>
        </w:pBdr>
      </w:pPr>
      <w:r>
        <w:rPr>
          <w:b/>
          <w:color w:val="1F3864"/>
          <w:sz w:val="24"/>
        </w:rPr>
        <w:t>1.  Executive Summary</w:t>
      </w:r>
    </w:p>
    <w:p>
      <w:pPr>
        <w:spacing w:after="120"/>
      </w:pPr>
      <w:r>
        <w:rPr>
          <w:b w:val="0"/>
          <w:i w:val="0"/>
          <w:sz w:val="20"/>
        </w:rPr>
        <w:t>This matrix assesses the completeness and regulatory compliance of the Greenleaf Therapeutics LLC ("Greenleaf") cannabis dispensary permit application package against the controlling requirements of the Evanston Municipal Code, Title 9, Article 5 (the "Code"), the City's Application Checklist and Submission Guide (the "Guide"), and the City's Cannabis Dispensary Permit Application Form, Version 3.2 (the "Form"). Eight application documents were reviewed (see Section 2).</w:t>
      </w:r>
    </w:p>
    <w:p>
      <w:pPr>
        <w:spacing w:after="120"/>
      </w:pPr>
      <w:r>
        <w:rPr>
          <w:b w:val="0"/>
          <w:i w:val="0"/>
          <w:sz w:val="20"/>
        </w:rPr>
        <w:t>Overall assessment: The application is substantially developed and a majority of individual requirements are satisfied or on track. The applicant holds a valid State conditional license, has secured a compliant long-term lease in a permitted zoning district with all buffer distances met, has documented strong capitalization, and has held the required two community engagement sessions. However, several CRITICAL deficiencies must be cured before submission or the application will be deemed incomplete and will not proceed to scoring, and one CRITICAL timeline risk threatens the applicant's ability to obtain a local permit before its State conditional license expires.</w:t>
      </w:r>
    </w:p>
    <w:p>
      <w:pPr>
        <w:spacing w:after="60"/>
      </w:pPr>
      <w:r>
        <w:rPr>
          <w:b/>
          <w:i w:val="0"/>
          <w:sz w:val="20"/>
        </w:rPr>
        <w:t>Critical issues requiring immediate action (4 distinct issues; 6 critical-priority rows):</w:t>
      </w:r>
    </w:p>
    <w:p>
      <w:pPr>
        <w:pStyle w:val="ListBullet"/>
        <w:spacing w:after="60"/>
        <w:ind w:left="432"/>
      </w:pPr>
      <w:r>
        <w:rPr>
          <w:sz w:val="20"/>
        </w:rPr>
        <w:t>State conditional license expiration. License ADC-285-0147 expires September 21, 2024. The City's 120–150 day processing timeline from a May 15, 2024 submission places anticipated local permit issuance in late Q3/early Q4 2024 — at or after the State license expiration. A State extension petition (Form CR-EXT-01) must be filed no later than approximately July 23, 2024 (60 days before expiration). [A-3, J-9]</w:t>
      </w:r>
    </w:p>
    <w:p>
      <w:pPr>
        <w:pStyle w:val="ListBullet"/>
        <w:spacing w:after="60"/>
        <w:ind w:left="432"/>
      </w:pPr>
      <w:r>
        <w:rPr>
          <w:sz w:val="20"/>
        </w:rPr>
        <w:t>Odor Mitigation Plan — P.E. certification not available. The business plan states HVAC/carbon-filtration specifications will be "finalized during the build-out engineering phase." The Code (§9-5-5(B)(10)) and Form (Q16) require a signed/sealed certification by an Illinois-licensed Professional Engineer at submission; the Form states the application "will be deemed incomplete" without it. [B-8]</w:t>
      </w:r>
    </w:p>
    <w:p>
      <w:pPr>
        <w:pStyle w:val="ListBullet"/>
        <w:spacing w:after="60"/>
        <w:ind w:left="432"/>
      </w:pPr>
      <w:r>
        <w:rPr>
          <w:sz w:val="20"/>
        </w:rPr>
        <w:t>Security Plan not finalized. The insurance/bonding memo confirms the Pinnacle Compliance Advisors security plan is "still being finalized ... not yet delivered." A complete security plan is required at submission (Guide Item 9; Form Q15) and its completion also unblocks the cannabis crime/theft insurance underwriting. [B-7]</w:t>
      </w:r>
    </w:p>
    <w:p>
      <w:pPr>
        <w:pStyle w:val="ListBullet"/>
        <w:spacing w:after="60"/>
        <w:ind w:left="432"/>
      </w:pPr>
      <w:r>
        <w:rPr>
          <w:sz w:val="20"/>
        </w:rPr>
        <w:t>Community engagement Session 2 notice deficient. Session 2 (April 9, 2024) was noticed only 12 days in advance (March 28 → April 9), short of the 14-day minimum in Code §9-5-8(B). Per §9-5-8(F) this renders the application incomplete, no waiver of the two-session minimum is available, and a replacement session with compliant notice must be held. [B-10, E-2]</w:t>
      </w:r>
    </w:p>
    <w:p>
      <w:pPr>
        <w:spacing w:after="120"/>
      </w:pPr>
      <w:r>
        <w:rPr>
          <w:b w:val="0"/>
          <w:i w:val="0"/>
          <w:sz w:val="20"/>
        </w:rPr>
        <w:t>High-priority issues (17 rows) include: no formal bonding commitment letter (forfeits 10 Financial Viability scoring points); cannabis crime/theft insurance not bound; Employer's Liability limit not confirmed at the Code-required $1,000,000; buffer survey outdated (&gt;60 days) and using straight-line rather than the pedestrian-route methodology required by the Form; Diversity &amp; Inclusion and Social Equity R3 hiring partnerships not formalized; special use permit application not yet filed; City background-check authorizations and fingerprint receipts not completed; and two material errors in the City Form itself (occupancy formula uses total rather than retail floor area; buffer methodology conflicts with the Code).</w:t>
      </w:r>
    </w:p>
    <w:p>
      <w:pPr>
        <w:spacing w:after="120"/>
      </w:pPr>
      <w:r>
        <w:rPr>
          <w:b w:val="0"/>
          <w:i w:val="0"/>
          <w:sz w:val="20"/>
        </w:rPr>
        <w:t>The matrix also documents 20 cross-document inconsistencies — 15 internal inconsistencies among the City's own three governing documents (Code vs. Guide vs. Form) and 5 inconsistencies among the applicant's own documents. The City-document inconsistencies are flagged so the applicant can confirm the controlling interpretation with the Cannabis Licensing Coordinator and avoid acting on erroneous Form instructions.</w:t>
      </w:r>
    </w:p>
    <w:p>
      <w:pPr>
        <w:keepNext/>
        <w:spacing w:before="200" w:after="80"/>
        <w:pBdr>
          <w:bottom w:val="single" w:sz="6" w:space="2" w:color="1F3864"/>
        </w:pBdr>
      </w:pPr>
      <w:r>
        <w:rPr>
          <w:b/>
          <w:color w:val="1F3864"/>
          <w:sz w:val="24"/>
        </w:rPr>
        <w:t>2.  Scope, Sources, and Methodology</w:t>
      </w:r>
    </w:p>
    <w:p>
      <w:pPr>
        <w:spacing w:after="60"/>
      </w:pPr>
      <w:r>
        <w:rPr>
          <w:b/>
          <w:i w:val="0"/>
          <w:sz w:val="20"/>
        </w:rPr>
        <w:t>Documents reviewed:</w:t>
      </w:r>
    </w:p>
    <w:p>
      <w:pPr>
        <w:pStyle w:val="ListBullet"/>
        <w:spacing w:after="60"/>
        <w:ind w:left="432"/>
      </w:pPr>
      <w:r>
        <w:rPr>
          <w:sz w:val="20"/>
        </w:rPr>
        <w:t>Evanston Municipal Code, Title 9, Article 5 — Cannabis Business Establishments (§9-5-1 through §9-5-29) [controlling law]</w:t>
      </w:r>
    </w:p>
    <w:p>
      <w:pPr>
        <w:pStyle w:val="ListBullet"/>
        <w:spacing w:after="60"/>
        <w:ind w:left="432"/>
      </w:pPr>
      <w:r>
        <w:rPr>
          <w:sz w:val="20"/>
        </w:rPr>
        <w:t>City of Evanston Cannabis Dispensary Permit Application Checklist and Submission Guide [administrative guidance]</w:t>
      </w:r>
    </w:p>
    <w:p>
      <w:pPr>
        <w:pStyle w:val="ListBullet"/>
        <w:spacing w:after="60"/>
        <w:ind w:left="432"/>
      </w:pPr>
      <w:r>
        <w:rPr>
          <w:sz w:val="20"/>
        </w:rPr>
        <w:t>City of Evanston Cannabis Dispensary Permit Application Form, Version 3.2 (revised Jan. 12, 2024) [submission form]</w:t>
      </w:r>
    </w:p>
    <w:p>
      <w:pPr>
        <w:pStyle w:val="ListBullet"/>
        <w:spacing w:after="60"/>
        <w:ind w:left="432"/>
      </w:pPr>
      <w:r>
        <w:rPr>
          <w:sz w:val="20"/>
        </w:rPr>
        <w:t>State of Illinois Conditional Adult-Use Dispensing Organization License No. ADC-285-0147</w:t>
      </w:r>
    </w:p>
    <w:p>
      <w:pPr>
        <w:pStyle w:val="ListBullet"/>
        <w:spacing w:after="60"/>
        <w:ind w:left="432"/>
      </w:pPr>
      <w:r>
        <w:rPr>
          <w:sz w:val="20"/>
        </w:rPr>
        <w:t>Greenleaf Therapeutics LLC — Business Plan: Executive Summary and Operations Plan</w:t>
      </w:r>
    </w:p>
    <w:p>
      <w:pPr>
        <w:pStyle w:val="ListBullet"/>
        <w:spacing w:after="60"/>
        <w:ind w:left="432"/>
      </w:pPr>
      <w:r>
        <w:rPr>
          <w:sz w:val="20"/>
        </w:rPr>
        <w:t>Summary of Key Lease Terms (Hargrove &amp; Sinclair LLP) — Commercial Lease dated January 8, 2024</w:t>
      </w:r>
    </w:p>
    <w:p>
      <w:pPr>
        <w:pStyle w:val="ListBullet"/>
        <w:spacing w:after="60"/>
        <w:ind w:left="432"/>
      </w:pPr>
      <w:r>
        <w:rPr>
          <w:sz w:val="20"/>
        </w:rPr>
        <w:t>Insurance and Bonding Status Memorandum (dated April 22, 2024)</w:t>
      </w:r>
    </w:p>
    <w:p>
      <w:pPr>
        <w:pStyle w:val="ListBullet"/>
        <w:spacing w:after="60"/>
        <w:ind w:left="432"/>
      </w:pPr>
      <w:r>
        <w:rPr>
          <w:sz w:val="20"/>
        </w:rPr>
        <w:t>Community Engagement Session Documentation (dated April 15, 2024)</w:t>
      </w:r>
    </w:p>
    <w:p>
      <w:pPr>
        <w:spacing w:after="60"/>
      </w:pPr>
      <w:r>
        <w:rPr>
          <w:b/>
          <w:i w:val="0"/>
          <w:sz w:val="20"/>
        </w:rPr>
        <w:t>Methodology:</w:t>
      </w:r>
    </w:p>
    <w:p>
      <w:pPr>
        <w:spacing w:after="120"/>
      </w:pPr>
      <w:r>
        <w:rPr>
          <w:b w:val="0"/>
          <w:i w:val="0"/>
          <w:sz w:val="20"/>
        </w:rPr>
        <w:t>Each substantive requirement of the Code, each Master Checklist item of the Guide (Items 1–20), and each applicable Form question was mapped to the corresponding evidence in the application package. Where the Code, Guide, and Form state different standards for the same requirement, the conflict is recorded as a document inconsistency and the controlling source is identified (the Code is the ordinance and controls; the Guide and Form are administrative instruments that must be read consistently with the Code). Each requirement is assigned a Status, a Priority, and a Remediation Note. Pre-issuance conditions (Code §9-5-11) that are not due at application submission are tracked separately in Section J.</w:t>
      </w:r>
    </w:p>
    <w:p>
      <w:pPr>
        <w:keepNext/>
        <w:spacing w:before="200" w:after="80"/>
        <w:pBdr>
          <w:bottom w:val="single" w:sz="6" w:space="2" w:color="1F3864"/>
        </w:pBdr>
      </w:pPr>
      <w:r>
        <w:rPr>
          <w:b/>
          <w:color w:val="1F3864"/>
          <w:sz w:val="24"/>
        </w:rPr>
        <w:t>3.  Status and Priority Legend</w:t>
      </w:r>
    </w:p>
    <w:tbl>
      <w:tblPr>
        <w:tblStyle w:val="TableGrid"/>
        <w:tblW w:type="auto" w:w="0"/>
        <w:jc w:val="center"/>
        <w:tblLayout w:type="fixed"/>
        <w:tblLook w:firstColumn="1" w:firstRow="1" w:lastColumn="0" w:lastRow="0" w:noHBand="0" w:noVBand="1" w:val="04A0"/>
      </w:tblPr>
      <w:tblGrid>
        <w:gridCol w:w="4704"/>
        <w:gridCol w:w="4704"/>
        <w:gridCol w:w="4704"/>
      </w:tblGrid>
      <w:tr>
        <w:tc>
          <w:tcPr>
            <w:tcW w:type="dxa" w:w="24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Status</w:t>
            </w:r>
          </w:p>
        </w:tc>
        <w:tc>
          <w:tcPr>
            <w:tcW w:type="dxa" w:w="80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Definition</w:t>
            </w:r>
          </w:p>
        </w:tc>
        <w:tc>
          <w:tcPr>
            <w:tcW w:type="dxa" w:w="331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Priority scale</w:t>
            </w:r>
          </w:p>
        </w:tc>
      </w:tr>
      <w:tr>
        <w:tc>
          <w:tcPr>
            <w:tcW w:type="dxa" w:w="244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7"/>
              </w:rPr>
              <w:t>COMPLIANT</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Requirement is met and supported by evidence in the package.</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t>Critical — must be cured before submission or it will render the application incomplete / cause denial, or it threatens permit issuance.</w:t>
            </w:r>
          </w:p>
        </w:tc>
      </w:tr>
      <w:tr>
        <w:tc>
          <w:tcPr>
            <w:tcW w:type="dxa" w:w="244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7"/>
              </w:rPr>
              <w:t>PARTIALLY COMPLIANT</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Requirement is substantially met but one or more elements are missing, incomplete, or unconfirmed.</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t>High — material gap that weakens the application, risks a deficiency notice, or forfeits scoring points; cure before submission.</w:t>
            </w:r>
          </w:p>
        </w:tc>
      </w:tr>
      <w:tr>
        <w:tc>
          <w:tcPr>
            <w:tcW w:type="dxa" w:w="244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7"/>
              </w:rPr>
              <w:t>DEFICIENT</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A required item is missing or insufficient and must be provided.</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t>Medium — should be cured before submission; curable via deficiency notice if missed.</w:t>
            </w:r>
          </w:p>
        </w:tc>
      </w:tr>
      <w:tr>
        <w:tc>
          <w:tcPr>
            <w:tcW w:type="dxa" w:w="244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7"/>
              </w:rPr>
              <w:t>NON-COMPLIANT</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A mandatory standard is not met (e.g., a numeric minimum or procedural deadline).</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t>Low — minor, informational, or already satisfied; confirm at submission.</w:t>
            </w:r>
          </w:p>
        </w:tc>
      </w:tr>
      <w:tr>
        <w:tc>
          <w:tcPr>
            <w:tcW w:type="dxa" w:w="244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7"/>
              </w:rPr>
              <w:t>AT RISK</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Requirement is met or on track but exposed to a material risk (timeline, market, or dependency).</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r>
          </w:p>
        </w:tc>
      </w:tr>
      <w:tr>
        <w:tc>
          <w:tcPr>
            <w:tcW w:type="dxa" w:w="244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7"/>
              </w:rPr>
              <w:t>PENDING</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Item is not due at application submission (pre-issuance) or is to be completed at submission.</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r>
          </w:p>
        </w:tc>
      </w:tr>
      <w:tr>
        <w:tc>
          <w:tcPr>
            <w:tcW w:type="dxa" w:w="244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7"/>
              </w:rPr>
              <w:t>DOC INCONSISTENCY</w:t>
            </w:r>
          </w:p>
        </w:tc>
        <w:tc>
          <w:tcPr>
            <w:tcW w:type="dxa" w:w="8064"/>
            <w:tcMar>
              <w:top w:w="40" w:type="dxa"/>
              <w:bottom w:w="40" w:type="dxa"/>
              <w:start w:w="60" w:type="dxa"/>
              <w:end w:w="60" w:type="dxa"/>
              <w:left w:w="60" w:type="dxa"/>
              <w:right w:w="60" w:type="dxa"/>
            </w:tcMar>
          </w:tcPr>
          <w:p>
            <w:pPr>
              <w:spacing w:after="20" w:before="20"/>
            </w:pPr>
            <w:r/>
            <w:r>
              <w:rPr>
                <w:rFonts w:ascii="Calibri" w:hAnsi="Calibri"/>
                <w:b w:val="0"/>
                <w:sz w:val="17"/>
              </w:rPr>
              <w:t>Conflicting statements among the City's governing documents or among the applicant's documents.</w:t>
            </w:r>
          </w:p>
        </w:tc>
        <w:tc>
          <w:tcPr>
            <w:tcW w:type="dxa" w:w="3312"/>
            <w:tcMar>
              <w:top w:w="40" w:type="dxa"/>
              <w:bottom w:w="40" w:type="dxa"/>
              <w:start w:w="60" w:type="dxa"/>
              <w:end w:w="60" w:type="dxa"/>
              <w:left w:w="60" w:type="dxa"/>
              <w:right w:w="60" w:type="dxa"/>
            </w:tcMar>
          </w:tcPr>
          <w:p>
            <w:pPr>
              <w:spacing w:after="20" w:before="20"/>
            </w:pPr>
            <w:r/>
            <w:r>
              <w:rPr>
                <w:rFonts w:ascii="Calibri" w:hAnsi="Calibri"/>
                <w:b w:val="0"/>
                <w:sz w:val="17"/>
              </w:rPr>
            </w:r>
          </w:p>
        </w:tc>
      </w:tr>
    </w:tbl>
    <w:p>
      <w:pPr>
        <w:spacing w:after="40"/>
      </w:pPr>
    </w:p>
    <w:p>
      <w:pPr>
        <w:keepNext/>
        <w:spacing w:before="200" w:after="80"/>
        <w:pBdr>
          <w:bottom w:val="single" w:sz="6" w:space="2" w:color="1F3864"/>
        </w:pBdr>
      </w:pPr>
      <w:r>
        <w:rPr>
          <w:b/>
          <w:color w:val="1F3864"/>
          <w:sz w:val="24"/>
        </w:rPr>
        <w:t>4.  Findings Summary</w:t>
      </w:r>
    </w:p>
    <w:p>
      <w:pPr>
        <w:spacing w:after="60"/>
      </w:pPr>
      <w:r>
        <w:rPr>
          <w:b/>
          <w:i w:val="0"/>
          <w:sz w:val="20"/>
        </w:rPr>
        <w:t>Summary by status (96 requirement rows):</w:t>
      </w:r>
    </w:p>
    <w:tbl>
      <w:tblPr>
        <w:tblStyle w:val="TableGrid"/>
        <w:tblW w:type="auto" w:w="0"/>
        <w:jc w:val="center"/>
        <w:tblLook w:firstColumn="1" w:firstRow="1" w:lastColumn="0" w:lastRow="0" w:noHBand="0" w:noVBand="1" w:val="04A0"/>
      </w:tblPr>
      <w:tblGrid>
        <w:gridCol w:w="3528"/>
        <w:gridCol w:w="3528"/>
        <w:gridCol w:w="3528"/>
        <w:gridCol w:w="3528"/>
      </w:tblGrid>
      <w:tr>
        <w:tc>
          <w:tcPr>
            <w:tcW w:type="dxa" w:w="3456"/>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Status</w:t>
            </w:r>
          </w:p>
        </w:tc>
        <w:tc>
          <w:tcPr>
            <w:tcW w:type="dxa" w:w="1296"/>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Count</w:t>
            </w:r>
          </w:p>
        </w:tc>
        <w:tc>
          <w:tcPr>
            <w:tcW w:type="dxa" w:w="3456"/>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Priority</w:t>
            </w:r>
          </w:p>
        </w:tc>
        <w:tc>
          <w:tcPr>
            <w:tcW w:type="dxa" w:w="1296"/>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8"/>
              </w:rPr>
              <w:t>Count</w:t>
            </w:r>
          </w:p>
        </w:tc>
      </w:tr>
      <w:tr>
        <w:tc>
          <w:tcPr>
            <w:tcW w:type="dxa" w:w="3456"/>
            <w:shd w:val="clear" w:color="auto" w:fill="C6EFCE"/>
            <w:tcMar>
              <w:top w:w="40" w:type="dxa"/>
              <w:bottom w:w="40" w:type="dxa"/>
              <w:start w:w="60" w:type="dxa"/>
              <w:end w:w="60" w:type="dxa"/>
              <w:left w:w="60" w:type="dxa"/>
              <w:right w:w="60" w:type="dxa"/>
            </w:tcMar>
          </w:tcPr>
          <w:p>
            <w:pPr>
              <w:spacing w:after="20" w:before="20"/>
            </w:pPr>
            <w:r/>
            <w:r>
              <w:rPr>
                <w:rFonts w:ascii="Calibri" w:hAnsi="Calibri"/>
                <w:b/>
                <w:color w:val="006100"/>
                <w:sz w:val="18"/>
              </w:rPr>
              <w:t>COMPLIANT</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24</w:t>
            </w:r>
          </w:p>
        </w:tc>
        <w:tc>
          <w:tcPr>
            <w:tcW w:type="dxa" w:w="3456"/>
            <w:tcMar>
              <w:top w:w="40" w:type="dxa"/>
              <w:bottom w:w="40" w:type="dxa"/>
              <w:start w:w="60" w:type="dxa"/>
              <w:end w:w="60" w:type="dxa"/>
              <w:left w:w="60" w:type="dxa"/>
              <w:right w:w="60" w:type="dxa"/>
            </w:tcMar>
          </w:tcPr>
          <w:p>
            <w:pPr>
              <w:spacing w:after="20" w:before="20"/>
              <w:jc w:val="left"/>
            </w:pPr>
            <w:r/>
            <w:r>
              <w:rPr>
                <w:rFonts w:ascii="Calibri" w:hAnsi="Calibri"/>
                <w:b/>
                <w:sz w:val="18"/>
              </w:rPr>
              <w:t>Critical</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6</w:t>
            </w:r>
          </w:p>
        </w:tc>
      </w:tr>
      <w:tr>
        <w:tc>
          <w:tcPr>
            <w:tcW w:type="dxa" w:w="3456"/>
            <w:shd w:val="clear" w:color="auto" w:fill="FFEB9C"/>
            <w:tcMar>
              <w:top w:w="40" w:type="dxa"/>
              <w:bottom w:w="40" w:type="dxa"/>
              <w:start w:w="60" w:type="dxa"/>
              <w:end w:w="60" w:type="dxa"/>
              <w:left w:w="60" w:type="dxa"/>
              <w:right w:w="60" w:type="dxa"/>
            </w:tcMar>
          </w:tcPr>
          <w:p>
            <w:pPr>
              <w:spacing w:after="20" w:before="20"/>
            </w:pPr>
            <w:r/>
            <w:r>
              <w:rPr>
                <w:rFonts w:ascii="Calibri" w:hAnsi="Calibri"/>
                <w:b/>
                <w:color w:val="9C5700"/>
                <w:sz w:val="18"/>
              </w:rPr>
              <w:t>PARTIALLY COMPLIANT</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16</w:t>
            </w:r>
          </w:p>
        </w:tc>
        <w:tc>
          <w:tcPr>
            <w:tcW w:type="dxa" w:w="3456"/>
            <w:tcMar>
              <w:top w:w="40" w:type="dxa"/>
              <w:bottom w:w="40" w:type="dxa"/>
              <w:start w:w="60" w:type="dxa"/>
              <w:end w:w="60" w:type="dxa"/>
              <w:left w:w="60" w:type="dxa"/>
              <w:right w:w="60" w:type="dxa"/>
            </w:tcMar>
          </w:tcPr>
          <w:p>
            <w:pPr>
              <w:spacing w:after="20" w:before="20"/>
              <w:jc w:val="left"/>
            </w:pPr>
            <w:r/>
            <w:r>
              <w:rPr>
                <w:rFonts w:ascii="Calibri" w:hAnsi="Calibri"/>
                <w:b/>
                <w:sz w:val="18"/>
              </w:rPr>
              <w:t>High</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17</w:t>
            </w:r>
          </w:p>
        </w:tc>
      </w:tr>
      <w:tr>
        <w:tc>
          <w:tcPr>
            <w:tcW w:type="dxa" w:w="3456"/>
            <w:shd w:val="clear" w:color="auto" w:fill="FFC7CE"/>
            <w:tcMar>
              <w:top w:w="40" w:type="dxa"/>
              <w:bottom w:w="40" w:type="dxa"/>
              <w:start w:w="60" w:type="dxa"/>
              <w:end w:w="60" w:type="dxa"/>
              <w:left w:w="60" w:type="dxa"/>
              <w:right w:w="60" w:type="dxa"/>
            </w:tcMar>
          </w:tcPr>
          <w:p>
            <w:pPr>
              <w:spacing w:after="20" w:before="20"/>
            </w:pPr>
            <w:r/>
            <w:r>
              <w:rPr>
                <w:rFonts w:ascii="Calibri" w:hAnsi="Calibri"/>
                <w:b/>
                <w:color w:val="9C0006"/>
                <w:sz w:val="18"/>
              </w:rPr>
              <w:t>DEFICIENT</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14</w:t>
            </w:r>
          </w:p>
        </w:tc>
        <w:tc>
          <w:tcPr>
            <w:tcW w:type="dxa" w:w="3456"/>
            <w:tcMar>
              <w:top w:w="40" w:type="dxa"/>
              <w:bottom w:w="40" w:type="dxa"/>
              <w:start w:w="60" w:type="dxa"/>
              <w:end w:w="60" w:type="dxa"/>
              <w:left w:w="60" w:type="dxa"/>
              <w:right w:w="60" w:type="dxa"/>
            </w:tcMar>
          </w:tcPr>
          <w:p>
            <w:pPr>
              <w:spacing w:after="20" w:before="20"/>
              <w:jc w:val="left"/>
            </w:pPr>
            <w:r/>
            <w:r>
              <w:rPr>
                <w:rFonts w:ascii="Calibri" w:hAnsi="Calibri"/>
                <w:b/>
                <w:sz w:val="18"/>
              </w:rPr>
              <w:t>Medium</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24</w:t>
            </w:r>
          </w:p>
        </w:tc>
      </w:tr>
      <w:tr>
        <w:tc>
          <w:tcPr>
            <w:tcW w:type="dxa" w:w="3456"/>
            <w:shd w:val="clear" w:color="auto" w:fill="FFEB9C"/>
            <w:tcMar>
              <w:top w:w="40" w:type="dxa"/>
              <w:bottom w:w="40" w:type="dxa"/>
              <w:start w:w="60" w:type="dxa"/>
              <w:end w:w="60" w:type="dxa"/>
              <w:left w:w="60" w:type="dxa"/>
              <w:right w:w="60" w:type="dxa"/>
            </w:tcMar>
          </w:tcPr>
          <w:p>
            <w:pPr>
              <w:spacing w:after="20" w:before="20"/>
            </w:pPr>
            <w:r/>
            <w:r>
              <w:rPr>
                <w:rFonts w:ascii="Calibri" w:hAnsi="Calibri"/>
                <w:b/>
                <w:color w:val="9C5700"/>
                <w:sz w:val="18"/>
              </w:rPr>
              <w:t>AT RISK</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3</w:t>
            </w:r>
          </w:p>
        </w:tc>
        <w:tc>
          <w:tcPr>
            <w:tcW w:type="dxa" w:w="3456"/>
            <w:tcMar>
              <w:top w:w="40" w:type="dxa"/>
              <w:bottom w:w="40" w:type="dxa"/>
              <w:start w:w="60" w:type="dxa"/>
              <w:end w:w="60" w:type="dxa"/>
              <w:left w:w="60" w:type="dxa"/>
              <w:right w:w="60" w:type="dxa"/>
            </w:tcMar>
          </w:tcPr>
          <w:p>
            <w:pPr>
              <w:spacing w:after="20" w:before="20"/>
              <w:jc w:val="left"/>
            </w:pPr>
            <w:r/>
            <w:r>
              <w:rPr>
                <w:rFonts w:ascii="Calibri" w:hAnsi="Calibri"/>
                <w:b/>
                <w:sz w:val="18"/>
              </w:rPr>
              <w:t>Low</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49</w:t>
            </w:r>
          </w:p>
        </w:tc>
      </w:tr>
      <w:tr>
        <w:tc>
          <w:tcPr>
            <w:tcW w:type="dxa" w:w="3456"/>
            <w:shd w:val="clear" w:color="auto" w:fill="FFC7CE"/>
            <w:tcMar>
              <w:top w:w="40" w:type="dxa"/>
              <w:bottom w:w="40" w:type="dxa"/>
              <w:start w:w="60" w:type="dxa"/>
              <w:end w:w="60" w:type="dxa"/>
              <w:left w:w="60" w:type="dxa"/>
              <w:right w:w="60" w:type="dxa"/>
            </w:tcMar>
          </w:tcPr>
          <w:p>
            <w:pPr>
              <w:spacing w:after="20" w:before="20"/>
            </w:pPr>
            <w:r/>
            <w:r>
              <w:rPr>
                <w:rFonts w:ascii="Calibri" w:hAnsi="Calibri"/>
                <w:b/>
                <w:color w:val="9C0006"/>
                <w:sz w:val="18"/>
              </w:rPr>
              <w:t>NON-COMPLIANT</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2</w:t>
            </w:r>
          </w:p>
        </w:tc>
        <w:tc>
          <w:tcPr>
            <w:tcW w:type="dxa" w:w="3456"/>
            <w:tcMar>
              <w:top w:w="40" w:type="dxa"/>
              <w:bottom w:w="40" w:type="dxa"/>
              <w:start w:w="60" w:type="dxa"/>
              <w:end w:w="60" w:type="dxa"/>
              <w:left w:w="60" w:type="dxa"/>
              <w:right w:w="60" w:type="dxa"/>
            </w:tcMar>
          </w:tcPr>
          <w:p>
            <w:pPr>
              <w:spacing w:after="20" w:before="20"/>
            </w:pPr>
            <w:r/>
            <w:r>
              <w:rPr>
                <w:rFonts w:ascii="Calibri" w:hAnsi="Calibri"/>
                <w:b w:val="0"/>
                <w:sz w:val="18"/>
              </w:rPr>
            </w:r>
          </w:p>
        </w:tc>
        <w:tc>
          <w:tcPr>
            <w:tcW w:type="dxa" w:w="1296"/>
            <w:tcMar>
              <w:top w:w="40" w:type="dxa"/>
              <w:bottom w:w="40" w:type="dxa"/>
              <w:start w:w="60" w:type="dxa"/>
              <w:end w:w="60" w:type="dxa"/>
              <w:left w:w="60" w:type="dxa"/>
              <w:right w:w="60" w:type="dxa"/>
            </w:tcMar>
          </w:tcPr>
          <w:p>
            <w:pPr>
              <w:spacing w:after="20" w:before="20"/>
            </w:pPr>
            <w:r/>
            <w:r>
              <w:rPr>
                <w:rFonts w:ascii="Calibri" w:hAnsi="Calibri"/>
                <w:b w:val="0"/>
                <w:sz w:val="18"/>
              </w:rPr>
            </w:r>
          </w:p>
        </w:tc>
      </w:tr>
      <w:tr>
        <w:tc>
          <w:tcPr>
            <w:tcW w:type="dxa" w:w="3456"/>
            <w:shd w:val="clear" w:color="auto" w:fill="D9D9D9"/>
            <w:tcMar>
              <w:top w:w="40" w:type="dxa"/>
              <w:bottom w:w="40" w:type="dxa"/>
              <w:start w:w="60" w:type="dxa"/>
              <w:end w:w="60" w:type="dxa"/>
              <w:left w:w="60" w:type="dxa"/>
              <w:right w:w="60" w:type="dxa"/>
            </w:tcMar>
          </w:tcPr>
          <w:p>
            <w:pPr>
              <w:spacing w:after="20" w:before="20"/>
            </w:pPr>
            <w:r/>
            <w:r>
              <w:rPr>
                <w:rFonts w:ascii="Calibri" w:hAnsi="Calibri"/>
                <w:b/>
                <w:color w:val="3F3F3F"/>
                <w:sz w:val="18"/>
              </w:rPr>
              <w:t>PENDING</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17</w:t>
            </w:r>
          </w:p>
        </w:tc>
        <w:tc>
          <w:tcPr>
            <w:tcW w:type="dxa" w:w="3456"/>
            <w:tcMar>
              <w:top w:w="40" w:type="dxa"/>
              <w:bottom w:w="40" w:type="dxa"/>
              <w:start w:w="60" w:type="dxa"/>
              <w:end w:w="60" w:type="dxa"/>
              <w:left w:w="60" w:type="dxa"/>
              <w:right w:w="60" w:type="dxa"/>
            </w:tcMar>
          </w:tcPr>
          <w:p>
            <w:pPr>
              <w:spacing w:after="20" w:before="20"/>
            </w:pPr>
            <w:r/>
            <w:r>
              <w:rPr>
                <w:rFonts w:ascii="Calibri" w:hAnsi="Calibri"/>
                <w:b w:val="0"/>
                <w:sz w:val="18"/>
              </w:rPr>
            </w:r>
          </w:p>
        </w:tc>
        <w:tc>
          <w:tcPr>
            <w:tcW w:type="dxa" w:w="1296"/>
            <w:tcMar>
              <w:top w:w="40" w:type="dxa"/>
              <w:bottom w:w="40" w:type="dxa"/>
              <w:start w:w="60" w:type="dxa"/>
              <w:end w:w="60" w:type="dxa"/>
              <w:left w:w="60" w:type="dxa"/>
              <w:right w:w="60" w:type="dxa"/>
            </w:tcMar>
          </w:tcPr>
          <w:p>
            <w:pPr>
              <w:spacing w:after="20" w:before="20"/>
            </w:pPr>
            <w:r/>
            <w:r>
              <w:rPr>
                <w:rFonts w:ascii="Calibri" w:hAnsi="Calibri"/>
                <w:b w:val="0"/>
                <w:sz w:val="18"/>
              </w:rPr>
            </w:r>
          </w:p>
        </w:tc>
      </w:tr>
      <w:tr>
        <w:tc>
          <w:tcPr>
            <w:tcW w:type="dxa" w:w="3456"/>
            <w:shd w:val="clear" w:color="auto" w:fill="E4DFEC"/>
            <w:tcMar>
              <w:top w:w="40" w:type="dxa"/>
              <w:bottom w:w="40" w:type="dxa"/>
              <w:start w:w="60" w:type="dxa"/>
              <w:end w:w="60" w:type="dxa"/>
              <w:left w:w="60" w:type="dxa"/>
              <w:right w:w="60" w:type="dxa"/>
            </w:tcMar>
          </w:tcPr>
          <w:p>
            <w:pPr>
              <w:spacing w:after="20" w:before="20"/>
            </w:pPr>
            <w:r/>
            <w:r>
              <w:rPr>
                <w:rFonts w:ascii="Calibri" w:hAnsi="Calibri"/>
                <w:b/>
                <w:color w:val="5B2675"/>
                <w:sz w:val="18"/>
              </w:rPr>
              <w:t>DOC INCONSISTENCY</w:t>
            </w:r>
          </w:p>
        </w:tc>
        <w:tc>
          <w:tcPr>
            <w:tcW w:type="dxa" w:w="1296"/>
            <w:tcMar>
              <w:top w:w="40" w:type="dxa"/>
              <w:bottom w:w="40" w:type="dxa"/>
              <w:start w:w="60" w:type="dxa"/>
              <w:end w:w="60" w:type="dxa"/>
              <w:left w:w="60" w:type="dxa"/>
              <w:right w:w="60" w:type="dxa"/>
            </w:tcMar>
          </w:tcPr>
          <w:p>
            <w:pPr>
              <w:spacing w:after="20" w:before="20"/>
              <w:jc w:val="center"/>
            </w:pPr>
            <w:r/>
            <w:r>
              <w:rPr>
                <w:rFonts w:ascii="Calibri" w:hAnsi="Calibri"/>
                <w:b w:val="0"/>
                <w:sz w:val="18"/>
              </w:rPr>
              <w:t>20</w:t>
            </w:r>
          </w:p>
        </w:tc>
        <w:tc>
          <w:tcPr>
            <w:tcW w:type="dxa" w:w="3456"/>
            <w:tcMar>
              <w:top w:w="40" w:type="dxa"/>
              <w:bottom w:w="40" w:type="dxa"/>
              <w:start w:w="60" w:type="dxa"/>
              <w:end w:w="60" w:type="dxa"/>
              <w:left w:w="60" w:type="dxa"/>
              <w:right w:w="60" w:type="dxa"/>
            </w:tcMar>
          </w:tcPr>
          <w:p>
            <w:pPr>
              <w:spacing w:after="20" w:before="20"/>
            </w:pPr>
            <w:r/>
            <w:r>
              <w:rPr>
                <w:rFonts w:ascii="Calibri" w:hAnsi="Calibri"/>
                <w:b w:val="0"/>
                <w:sz w:val="18"/>
              </w:rPr>
            </w:r>
          </w:p>
        </w:tc>
        <w:tc>
          <w:tcPr>
            <w:tcW w:type="dxa" w:w="1296"/>
            <w:tcMar>
              <w:top w:w="40" w:type="dxa"/>
              <w:bottom w:w="40" w:type="dxa"/>
              <w:start w:w="60" w:type="dxa"/>
              <w:end w:w="60" w:type="dxa"/>
              <w:left w:w="60" w:type="dxa"/>
              <w:right w:w="60" w:type="dxa"/>
            </w:tcMar>
          </w:tcPr>
          <w:p>
            <w:pPr>
              <w:spacing w:after="20" w:before="20"/>
            </w:pPr>
            <w:r/>
            <w:r>
              <w:rPr>
                <w:rFonts w:ascii="Calibri" w:hAnsi="Calibri"/>
                <w:b w:val="0"/>
                <w:sz w:val="18"/>
              </w:rPr>
            </w:r>
          </w:p>
        </w:tc>
      </w:tr>
    </w:tbl>
    <w:p>
      <w:pPr>
        <w:spacing w:after="120"/>
      </w:pPr>
      <w:r>
        <w:rPr>
          <w:b w:val="0"/>
          <w:i/>
          <w:sz w:val="18"/>
        </w:rPr>
        <w:t>Note: The 6 critical-priority rows represent 4 distinct critical issues (the State-license timeline appears as A-3 and J-9; the community-engagement notice deficiency appears as B-10 and E-2). The 20 document-inconsistency rows are split between 15 internal inconsistencies in the City's governing documents (Section K) and 5 inconsistencies among the applicant's own documents (Section L).</w:t>
      </w:r>
    </w:p>
    <w:p>
      <w:pPr>
        <w:keepNext/>
        <w:spacing w:before="200" w:after="80"/>
        <w:pBdr>
          <w:bottom w:val="single" w:sz="6" w:space="2" w:color="1F3864"/>
        </w:pBdr>
      </w:pPr>
      <w:r>
        <w:rPr>
          <w:b/>
          <w:color w:val="1F3864"/>
          <w:sz w:val="24"/>
        </w:rPr>
        <w:t>5.  Compliance Requirements Matrix</w:t>
      </w:r>
    </w:p>
    <w:p>
      <w:pPr>
        <w:keepNext/>
        <w:spacing w:before="200" w:after="80"/>
        <w:pBdr>
          <w:bottom w:val="single" w:sz="6" w:space="2" w:color="1F3864"/>
        </w:pBdr>
      </w:pPr>
      <w:r>
        <w:rPr>
          <w:b/>
          <w:color w:val="1F3864"/>
          <w:sz w:val="24"/>
        </w:rPr>
        <w:t>Section A — Applicant Eligibility &amp; Entity Requirements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A-1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Valid State license required.</w:t>
            </w:r>
            <w:r>
              <w:br/>
            </w:r>
            <w:r>
              <w:rPr>
                <w:rFonts w:ascii="Calibri" w:hAnsi="Calibri"/>
                <w:b w:val="0"/>
                <w:sz w:val="17"/>
              </w:rPr>
              <w:t>Code §9-5-3(A), §9-5-5(B)(2); Guide Item 3; Form §4 Q9.</w:t>
            </w:r>
            <w:r>
              <w:br/>
            </w:r>
            <w:r>
              <w:rPr>
                <w:rFonts w:ascii="Calibri" w:hAnsi="Calibri"/>
                <w:b w:val="0"/>
                <w:sz w:val="17"/>
              </w:rPr>
              <w:t>Certified copy with license number, issuance &amp; expiration dates; if conditional, conversion timeline/conditions.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Holds Conditional Adult-Use Dispensing License ADC-285-0147 (issued 9/22/2023, expires 9/21/2024). License document provided with conversion conditions (Conditions 1–8).</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Provide certified copy at submission. Expiration 9/21/2024 creates timeline risk — see A-3 / J-9.</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A-2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Entity status &amp; good standing.</w:t>
            </w:r>
            <w:r>
              <w:br/>
            </w:r>
            <w:r>
              <w:rPr>
                <w:rFonts w:ascii="Calibri" w:hAnsi="Calibri"/>
                <w:b w:val="0"/>
                <w:sz w:val="17"/>
              </w:rPr>
              <w:t>Code §9-5-5(B)(3); Guide Items 2, 4; Form §1 &amp; checklist.</w:t>
            </w:r>
            <w:r>
              <w:br/>
            </w:r>
            <w:r>
              <w:rPr>
                <w:rFonts w:ascii="Calibri" w:hAnsi="Calibri"/>
                <w:b w:val="0"/>
                <w:sz w:val="17"/>
              </w:rPr>
              <w:t>Articles, operating agreement/bylaws, IL SOS Certificate of Good Standing (Code: within 60 days; Form: within 30 days), IRS EIN letter, ownership chart. Sole proprietorships ineligible.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IL LLC formed 3/14/2023; EIN 88-3921047; ILSOS File LLC-07842319; articles/operating agreement on file; org chart in Business Plan App. A. Certificate of Good Standing and IRS EIN letter not attached.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Obtain current IL SOS Certificate of Good Standing dated within 30 days of submission (use stricter Form standard); obtain IRS EIN verification letter (CP 575/147C); attach articles and operating agreement as exhibits.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A-3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Conditional license conversion / validity timeline.</w:t>
            </w:r>
            <w:r>
              <w:br/>
            </w:r>
            <w:r>
              <w:rPr>
                <w:rFonts w:ascii="Calibri" w:hAnsi="Calibri"/>
                <w:b w:val="0"/>
                <w:sz w:val="17"/>
              </w:rPr>
              <w:t>State License Conditions 2–4; Form §4 Q9 Note; Code §9-5-27(D).</w:t>
            </w:r>
            <w:r>
              <w:br/>
            </w:r>
            <w:r>
              <w:rPr>
                <w:rFonts w:ascii="Calibri" w:hAnsi="Calibri"/>
                <w:b w:val="0"/>
                <w:sz w:val="17"/>
              </w:rPr>
              <w:t>Convert conditional→permanent within 180 days of local permit issuance; conditional license valid only through 9/21/2024; maintain valid State license throughout local process.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Targets submission 5/15/2024; City processing 120–150 days → local permit anticipated late Q3/early Q4 2024. Conditional license expires 9/21/2024. No State extension petition mentioned in package.</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AT RISK</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Critical</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File State extension petition (Form CR-EXT-01) no later than ~7/23/2024 (60 days before 9/21/2024 expiration) to obtain up to 6-month extension; OR accelerate local approval. If local permit issues after 9/21/2024 without extension, State license lapses and local permit cannot issue (Code §9-5-27(D)).</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A-4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Principal officer &amp; owner disclosure.</w:t>
            </w:r>
            <w:r>
              <w:br/>
            </w:r>
            <w:r>
              <w:rPr>
                <w:rFonts w:ascii="Calibri" w:hAnsi="Calibri"/>
                <w:b w:val="0"/>
                <w:sz w:val="17"/>
              </w:rPr>
              <w:t>Code §9-5-5(B)(4); Guide Item 5; Form §2 Q11/Q12.</w:t>
            </w:r>
            <w:r>
              <w:br/>
            </w:r>
            <w:r>
              <w:rPr>
                <w:rFonts w:ascii="Calibri" w:hAnsi="Calibri"/>
                <w:b w:val="0"/>
                <w:sz w:val="17"/>
              </w:rPr>
              <w:t>Complete list of all principal officers (≥5% ownership) with full legal name, DOB, home address, ownership %, role, and SSN; board members/managers listed.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Two members: Okonkwo 60% (Managing Member / Agent-in-Charge) and Ramachandran 40% (Silent Member). Both ≥5%. Form Q11/Q12 tables blank in template.</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Complete Form §2 Q11 and Q12 for both officers. Note Code requires full SSN while Form Q14A collects only last 4 (FOIA redaction noted) — confirm collection method with Coordinator. Complete City Individual Disclosure Form (Appendix A) for each.</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A-5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Application window.</w:t>
            </w:r>
            <w:r>
              <w:br/>
            </w:r>
            <w:r>
              <w:rPr>
                <w:rFonts w:ascii="Calibri" w:hAnsi="Calibri"/>
                <w:b w:val="0"/>
                <w:sz w:val="17"/>
              </w:rPr>
              <w:t>Code §9-5-7(A); Guide §1; Form header.</w:t>
            </w:r>
            <w:r>
              <w:br/>
            </w:r>
            <w:r>
              <w:rPr>
                <w:rFonts w:ascii="Calibri" w:hAnsi="Calibri"/>
                <w:b w:val="0"/>
                <w:sz w:val="17"/>
              </w:rPr>
              <w:t>Application accepted only during open window (Feb. 1 – May 31, 2024).</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Targets submission May 15, 2024 (within window).</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Ensure submission on or before May 31, 2024. Late submissions not accepted.</w:t>
            </w:r>
          </w:p>
        </w:tc>
      </w:tr>
    </w:tbl>
    <w:p>
      <w:pPr>
        <w:keepNext/>
        <w:spacing w:before="200" w:after="80"/>
        <w:pBdr>
          <w:bottom w:val="single" w:sz="6" w:space="2" w:color="1F3864"/>
        </w:pBdr>
      </w:pPr>
      <w:r>
        <w:rPr>
          <w:b/>
          <w:color w:val="1F3864"/>
          <w:sz w:val="24"/>
        </w:rPr>
        <w:t>Section B — Application Submission Components (Master Checklist Items 1–20)</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1 — Completed Application Form (signed, notarized).</w:t>
            </w:r>
            <w:r>
              <w:br/>
            </w:r>
            <w:r>
              <w:rPr>
                <w:rFonts w:ascii="Calibri" w:hAnsi="Calibri"/>
                <w:b w:val="0"/>
                <w:sz w:val="17"/>
              </w:rPr>
              <w:t>Guide Item 1; Form §14.</w:t>
            </w:r>
            <w:r>
              <w:br/>
            </w:r>
            <w:r>
              <w:rPr>
                <w:rFonts w:ascii="Calibri" w:hAnsi="Calibri"/>
                <w:b w:val="0"/>
                <w:sz w:val="17"/>
              </w:rPr>
              <w:t>All sections completed or marked N/A; signed by authorized representative; notarized.</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Form is blank template; certification and notarization blocks empty.</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Complete all fields (no blanks); obtain authorized signatory signature and notarization before submission.</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2 — Application fee ($5,000).</w:t>
            </w:r>
            <w:r>
              <w:br/>
            </w:r>
            <w:r>
              <w:rPr>
                <w:rFonts w:ascii="Calibri" w:hAnsi="Calibri"/>
                <w:b w:val="0"/>
                <w:sz w:val="17"/>
              </w:rPr>
              <w:t>Code §9-5-6; Guide Item 2; Form §13.</w:t>
            </w:r>
            <w:r>
              <w:br/>
            </w:r>
            <w:r>
              <w:rPr>
                <w:rFonts w:ascii="Calibri" w:hAnsi="Calibri"/>
                <w:b w:val="0"/>
                <w:sz w:val="17"/>
              </w:rPr>
              <w:t>$5,000 non-refundable. Acceptable payment method differs across City documents — see K-1.</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Fee field blank; not yet paid.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Pay $5,000 at submission. Reconcile acceptable payment method with Coordinator (City documents conflict — K-1). Safest: certified check.</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 Submission format.</w:t>
            </w:r>
            <w:r>
              <w:br/>
            </w:r>
            <w:r>
              <w:rPr>
                <w:rFonts w:ascii="Calibri" w:hAnsi="Calibri"/>
                <w:b w:val="0"/>
                <w:sz w:val="17"/>
              </w:rPr>
              <w:t>Code §9-5-5(C); Guide §1; Form instructions.</w:t>
            </w:r>
            <w:r>
              <w:br/>
            </w:r>
            <w:r>
              <w:rPr>
                <w:rFonts w:ascii="Calibri" w:hAnsi="Calibri"/>
                <w:b w:val="0"/>
                <w:sz w:val="17"/>
              </w:rPr>
              <w:t>Three hard-copy sets + one electronic copy (USB, PDF).</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Acknowledged; to be assembled at submission.</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Assemble three collated/bound hard copies + one USB (PDF) with tabs indexing exhibits by checklist item.</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6 — Proof of right to occupy (lease/deed).</w:t>
            </w:r>
            <w:r>
              <w:br/>
            </w:r>
            <w:r>
              <w:rPr>
                <w:rFonts w:ascii="Calibri" w:hAnsi="Calibri"/>
                <w:b w:val="0"/>
                <w:sz w:val="17"/>
              </w:rPr>
              <w:t>Code §9-5-5(B)(5); Guide Item 6; Form §3 Q4.</w:t>
            </w:r>
            <w:r>
              <w:br/>
            </w:r>
            <w:r>
              <w:rPr>
                <w:rFonts w:ascii="Calibri" w:hAnsi="Calibri"/>
                <w:b w:val="0"/>
                <w:sz w:val="17"/>
              </w:rPr>
              <w:t>Executed lease ≥3 years remaining (Code: from anticipated permit issuance; Guide/Form: from application submission) with express cannabis provision; Landlord Acknowledgment (Appendix B).</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7-year lease (1/8/2024–1/7/2031) + two 3-year renewals; express cannabis permitted use; Landlord Cannabis Use Acknowledgment &amp; Consent (Lease Ex. D). Satisfies both measurement dates.</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Attach full executed lease + Ex. D landlord consent. Confirm Lease Ex. D satisfies Guide Item 6 "Landlord Acknowledgment (Appendix B)" or complete City Appendix B form. Note measurement-date discrepancy (K-14) — compliant under both.</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7 — Site plan &amp; floor plan.</w:t>
            </w:r>
            <w:r>
              <w:br/>
            </w:r>
            <w:r>
              <w:rPr>
                <w:rFonts w:ascii="Calibri" w:hAnsi="Calibri"/>
                <w:b w:val="0"/>
                <w:sz w:val="17"/>
              </w:rPr>
              <w:t>Code §9-5-5(B)(6); Guide Item 7; Form §3 Q5.</w:t>
            </w:r>
            <w:r>
              <w:br/>
            </w:r>
            <w:r>
              <w:rPr>
                <w:rFonts w:ascii="Calibri" w:hAnsi="Calibri"/>
                <w:b w:val="0"/>
                <w:sz w:val="17"/>
              </w:rPr>
              <w:t>Scaled site/floor plan prepared or certified by licensed architect/engineer; area breakdown; entries/exits; camera locations; POS; secure storage; ADA; parking; signage.</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Floor plan in Business Plan App. D / Lease Ex. A (3,200 sq ft breakdown). Architect/engineer certification of the plan not confirmed.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Confirm site plan/floor plan is prepared or certified by an IL-licensed architect/engineer; include camera-placement map, ADA features, parking plan, and signage plan per Form Q5.</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8 — Buffer distance certification.</w:t>
            </w:r>
            <w:r>
              <w:br/>
            </w:r>
            <w:r>
              <w:rPr>
                <w:rFonts w:ascii="Calibri" w:hAnsi="Calibri"/>
                <w:b w:val="0"/>
                <w:sz w:val="17"/>
              </w:rPr>
              <w:t>Code §9-5-5(B)(7), §9-5-9; Guide Item 8; Form §3 Q6–Q8.</w:t>
            </w:r>
            <w:r>
              <w:br/>
            </w:r>
            <w:r>
              <w:rPr>
                <w:rFonts w:ascii="Calibri" w:hAnsi="Calibri"/>
                <w:b w:val="0"/>
                <w:sz w:val="17"/>
              </w:rPr>
              <w:t>Survey by IL-licensed surveyor/PE showing distances to nearest K-12 school (≥1,000'), daycare (≥500'), other dispensary (≥1,500'). Form requires pedestrian-route measurement and survey dated within 60 days of submission.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Meridian Land Surveyors survey dated 12/15/2023 (straight-line): school 1,180', daycare 890', dispensary 2,100' — all exceed buffers. Survey is &gt;60 days old and uses straight-line, not pedestrian-route.</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Obtain updated survey/certified map dated within 60 days of submission. Straight-line distances already exceed all buffers (compliant under Code §9-5-9(C) property-line methodology), but Form Q7 requires pedestrian-route measurement — provide pedestrian-route measurements to satisfy the Form and avoid a deficiency notice. Reconcile methodology conflict (K-12).</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B-7</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9 — Security Plan.</w:t>
            </w:r>
            <w:r>
              <w:br/>
            </w:r>
            <w:r>
              <w:rPr>
                <w:rFonts w:ascii="Calibri" w:hAnsi="Calibri"/>
                <w:b w:val="0"/>
                <w:sz w:val="17"/>
              </w:rPr>
              <w:t>Code §9-5-5(B)(9), §9-5-13; Guide Item 9; Form §5 Q15.</w:t>
            </w:r>
            <w:r>
              <w:br/>
            </w:r>
            <w:r>
              <w:rPr>
                <w:rFonts w:ascii="Calibri" w:hAnsi="Calibri"/>
                <w:b w:val="0"/>
                <w:sz w:val="17"/>
              </w:rPr>
              <w:t>Comprehensive plan: 24/7 1080p surveillance, 30-day retention, panic alarm to EPD, secure vestibule, access control, cash handling, employee training; prepared/reviewed by qualified security consultant.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Plan designed by Pinnacle Compliance Advisors (Marcus Wren); overview in business plan. Insurance memo states the final security plan is "still being finalized ... not yet delivered."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Critical</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Finalize and deliver complete security plan with all Form Q15 elements (a–h), including consultant name/qualifications, camera-placement map, equipment specs, and written SOPs. Required at submission. Completion also unblocks cannabis crime/theft insurance underwriting (D-4).</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B-8</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10 — Odor Mitigation Plan with P.E. certification.</w:t>
            </w:r>
            <w:r>
              <w:br/>
            </w:r>
            <w:r>
              <w:rPr>
                <w:rFonts w:ascii="Calibri" w:hAnsi="Calibri"/>
                <w:b w:val="0"/>
                <w:sz w:val="17"/>
              </w:rPr>
              <w:t>Code §9-5-5(B)(10), §9-5-13(G); Guide Item 10; Form §5 Q16.</w:t>
            </w:r>
            <w:r>
              <w:br/>
            </w:r>
            <w:r>
              <w:rPr>
                <w:rFonts w:ascii="Calibri" w:hAnsi="Calibri"/>
                <w:b w:val="0"/>
                <w:sz w:val="17"/>
              </w:rPr>
              <w:t>Odor plan (HVAC specs, carbon filtration, air exchange, negative pressure) + certification by IL-licensed Professional Engineer that the system prevents odor migration beyond the property line. Required at submission; Form states application "will be deemed incomplete" without P.E. certification.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Business plan §5.4 describes the intended system but states HVAC/carbon-filtration specifications "will be finalized during the build-out engineering phase." No P.E. certification provided.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Critical</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Finalize HVAC/carbon-filtration specifications and obtain a signed/sealed P.E. certification from an IL-licensed professional engineer BEFORE submission. Without it the application is deemed incomplete and will not proceed to scoring.</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B-9</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11 — Business Plan.</w:t>
            </w:r>
            <w:r>
              <w:br/>
            </w:r>
            <w:r>
              <w:rPr>
                <w:rFonts w:ascii="Calibri" w:hAnsi="Calibri"/>
                <w:b w:val="0"/>
                <w:sz w:val="17"/>
              </w:rPr>
              <w:t>Code §9-5-5(B)(8); Guide Item 11; Form §8 Q25.</w:t>
            </w:r>
            <w:r>
              <w:br/>
            </w:r>
            <w:r>
              <w:rPr>
                <w:rFonts w:ascii="Calibri" w:hAnsi="Calibri"/>
                <w:b w:val="0"/>
                <w:sz w:val="17"/>
              </w:rPr>
              <w:t>Market analysis, ≥3-year financial projections, staffing model, org chart, operational plan, COMPASS integration, customer flow, training.</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Comprehensive business plan provided: 5-year projections, market analysis, 12-FTE staffing model, org chart (App. A), operations plan, COMPASS integration described.</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Ensure the standalone business plan exhibit includes the seed-to-sale vendor COMPASS-integration letter (see H-3).</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B-10</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12 — Community engagement documentation.</w:t>
            </w:r>
            <w:r>
              <w:br/>
            </w:r>
            <w:r>
              <w:rPr>
                <w:rFonts w:ascii="Calibri" w:hAnsi="Calibri"/>
                <w:b w:val="0"/>
                <w:sz w:val="17"/>
              </w:rPr>
              <w:t>Code §9-5-8; Guide Item 12; Form §7 Q22.</w:t>
            </w:r>
            <w:r>
              <w:br/>
            </w:r>
            <w:r>
              <w:rPr>
                <w:rFonts w:ascii="Calibri" w:hAnsi="Calibri"/>
                <w:b w:val="0"/>
                <w:sz w:val="17"/>
              </w:rPr>
              <w:t>≥2 sessions in Evanston; 14-day advance notice (newspaper + City website); attendance sheets; summary minutes; published notices; written comments.</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Two sessions held (3/12 &amp; 4/9/2024). Session 1 notice = 15 days (compliant); Session 2 notice = 12 days (deficient). See Section E.</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NON-COMPLIANT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Critical</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Session 2 fails the 14-day notice minimum (§9-5-8(B)); per §9-5-8(F) the application is incomplete and no waiver of the two-session minimum is available. Hold a replacement session with ≥14-day compliant notice. See E-2.</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B-11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13 — Community Benefits Plan.</w:t>
            </w:r>
            <w:r>
              <w:br/>
            </w:r>
            <w:r>
              <w:rPr>
                <w:rFonts w:ascii="Calibri" w:hAnsi="Calibri"/>
                <w:b w:val="0"/>
                <w:sz w:val="17"/>
              </w:rPr>
              <w:t>Code §9-5-5(B)(12), §9-5-15; Guide Item 13; Form §8 Q28.</w:t>
            </w:r>
            <w:r>
              <w:br/>
            </w:r>
            <w:r>
              <w:rPr>
                <w:rFonts w:ascii="Calibri" w:hAnsi="Calibri"/>
                <w:b w:val="0"/>
                <w:sz w:val="17"/>
              </w:rPr>
              <w:t>Plan describing annual contribution (≥$25,000 or 1% of gross revenue, whichever is greater), beneficiaries, additional benefits.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Year 1 contribution $32,000 (1% of $3.2M &gt; $25K minimum); beneficiary categories identified; ≥50% of contribution directed to R3 workforce development.</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Finalize specific beneficiary organizations with the City. Signed community benefit agreement is a pre-issuance condition (J-8).</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B-12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14 — Diversity &amp; Inclusion Plan.</w:t>
            </w:r>
            <w:r>
              <w:br/>
            </w:r>
            <w:r>
              <w:rPr>
                <w:rFonts w:ascii="Calibri" w:hAnsi="Calibri"/>
                <w:b w:val="0"/>
                <w:sz w:val="17"/>
              </w:rPr>
              <w:t>Code §9-5-5(B)(13), §9-5-20; Guide Item 14; Form §11 Q31/Q32.</w:t>
            </w:r>
            <w:r>
              <w:br/>
            </w:r>
            <w:r>
              <w:rPr>
                <w:rFonts w:ascii="Calibri" w:hAnsi="Calibri"/>
                <w:b w:val="0"/>
                <w:sz w:val="17"/>
              </w:rPr>
              <w:t>3–5 page plan: hiring practices/partnerships, measurable goals (R3 residents, expunged-conviction individuals), vendor diversity, DEI training, metrics. Social-equity applicants: detailed R3 hiring pipeline with specific partners, methods, timeline, contingencies (§9-5-20(C)).</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Business plan §7 covers workforce and procurement diversity, but states workforce-development partnerships are "not yet formalized." No standalone 3–5 page D&amp;I plan exhibit.</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Prepare standalone 3–5 page D&amp;I plan exhibit. For social-equity applicants, §9-5-20(C) requires IDENTIFIED specific workforce-development partners, recruitment methods, timeline, and contingency plans — formalize and name partner organizations before submission.</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B-13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15 — Environmental Sustainability Plan.</w:t>
            </w:r>
            <w:r>
              <w:br/>
            </w:r>
            <w:r>
              <w:rPr>
                <w:rFonts w:ascii="Calibri" w:hAnsi="Calibri"/>
                <w:b w:val="0"/>
                <w:sz w:val="17"/>
              </w:rPr>
              <w:t>Code §9-5-5(B)(11); Guide Item 15; Form §12 Q33.</w:t>
            </w:r>
            <w:r>
              <w:br/>
            </w:r>
            <w:r>
              <w:rPr>
                <w:rFonts w:ascii="Calibri" w:hAnsi="Calibri"/>
                <w:b w:val="0"/>
                <w:sz w:val="17"/>
              </w:rPr>
              <w:t>Energy efficiency, waste reduction/recycling, cannabis waste disposal (IEPA), water conservation, sustainable packaging.</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Business plan §5.4 touches waste and odor; no standalone environmental plan addressing energy efficiency, water conservation, or sustainable packaging.</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Prepare standalone Environmental Sustainability Plan exhibit addressing all Form Q33 elements plus cannabis waste disposal per IEPA regulations.</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B-14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16 — Insurance documentation.</w:t>
            </w:r>
            <w:r>
              <w:br/>
            </w:r>
            <w:r>
              <w:rPr>
                <w:rFonts w:ascii="Calibri" w:hAnsi="Calibri"/>
                <w:b w:val="0"/>
                <w:sz w:val="17"/>
              </w:rPr>
              <w:t>Code §9-5-16; Guide Item 16; Form §8 Q27.</w:t>
            </w:r>
            <w:r>
              <w:br/>
            </w:r>
            <w:r>
              <w:rPr>
                <w:rFonts w:ascii="Calibri" w:hAnsi="Calibri"/>
                <w:b w:val="0"/>
                <w:sz w:val="17"/>
              </w:rPr>
              <w:t>Certificates or binding commitment letters at application; final certificates (City as additional insured) pre-issuance. GL $2M/$4M, PL $2M/$4M, WC statutory + Employer's Liability $1M/accident, Crime/Theft $500K; carriers AM Best A- or better.</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GL &amp; PL obtained (1/15/2024, $2M/$4M); WC quoted (bind on hire); Crime/Theft under negotiation (preliminary indication only); Employer's Liability limit and AM Best ratings not confirmed; City not yet named additional insured.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See Section D (D-1 through D-6) for itemized remediation.</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B-15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17 — Financial viability / bonding capacity.</w:t>
            </w:r>
            <w:r>
              <w:br/>
            </w:r>
            <w:r>
              <w:rPr>
                <w:rFonts w:ascii="Calibri" w:hAnsi="Calibri"/>
                <w:b w:val="0"/>
                <w:sz w:val="17"/>
              </w:rPr>
              <w:t>Code §9-5-5(B)(16), §9-5-17; Guide Item 17; Form §8 Q24/Q26.</w:t>
            </w:r>
            <w:r>
              <w:br/>
            </w:r>
            <w:r>
              <w:rPr>
                <w:rFonts w:ascii="Calibri" w:hAnsi="Calibri"/>
                <w:b w:val="0"/>
                <w:sz w:val="17"/>
              </w:rPr>
              <w:t>At application: proof of capitalization, sources/uses, evidence of bonding capacity (commitment letter). Bond/LOC ($50K) pre-issuance. Scoring: 10 pts for secured bonding-capacity evidence; 0 pts without.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$1.85M all-equity capitalization documented; no formal bonding commitment letter (only verbal preliminary inquiry with Thornfield); bank statements not attached.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Obtain formal bonding commitment letter from Thornfield (or LOC commitment from Ridgeline) on letterhead, signed by an authorized officer, dated within 60 days of submission — required for 10 Financial Viability points and Guide Item 17. Attach evidence of funds (bank statements within 30 days). See D-5, G-1, G-3.</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B-16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18 — Social equity documentation.</w:t>
            </w:r>
            <w:r>
              <w:br/>
            </w:r>
            <w:r>
              <w:rPr>
                <w:rFonts w:ascii="Calibri" w:hAnsi="Calibri"/>
                <w:b w:val="0"/>
                <w:sz w:val="17"/>
              </w:rPr>
              <w:t>Code §9-5-19; Guide Item 18; Form §6 Q19–Q21.</w:t>
            </w:r>
            <w:r>
              <w:br/>
            </w:r>
            <w:r>
              <w:rPr>
                <w:rFonts w:ascii="Calibri" w:hAnsi="Calibri"/>
                <w:b w:val="0"/>
                <w:sz w:val="17"/>
              </w:rPr>
              <w:t>If claiming SE: R3 residency proof (census tract, 24-month continuous residency), expunged-conviction records, mentorship commitment, 50% R3 hiring commitment.</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Okonkwo (60%) — R3 tract 8092.02 resident; 2016 expunged conviction; mentorship and 50% R3 hiring commitments stated. 24-month continuous residency duration not documented.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See Section F (F-1 through F-6) for itemized remediation.</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B-17</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19 — Agent-in-Charge designation.</w:t>
            </w:r>
            <w:r>
              <w:br/>
            </w:r>
            <w:r>
              <w:rPr>
                <w:rFonts w:ascii="Calibri" w:hAnsi="Calibri"/>
                <w:b w:val="0"/>
                <w:sz w:val="17"/>
              </w:rPr>
              <w:t>Code §9-5-13(I); Guide Item 19; Form §2 Q13.</w:t>
            </w:r>
            <w:r>
              <w:br/>
            </w:r>
            <w:r>
              <w:rPr>
                <w:rFonts w:ascii="Calibri" w:hAnsi="Calibri"/>
                <w:b w:val="0"/>
                <w:sz w:val="17"/>
              </w:rPr>
              <w:t>Designate AIC holding valid Agent ID Card; present/available during operating hours (Code: return within 30 min); authorized; reside within 30 miles (Form).</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Okonkwo designated AIC (per State license); IL-licensed pharmacist; Evanston resident. Agent ID Card status not confirmed.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Confirm Okonkwo holds/applied for an IL Cannabis Dispensing Organization Agent ID Card; complete Form Q13. Note Code's 30-minute return requirement vs. Form's 30-mile/phone standard (K-11) — applicant likely satisfies both.</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B-18</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Item 20 — Zoning confirmation / special use.</w:t>
            </w:r>
            <w:r>
              <w:br/>
            </w:r>
            <w:r>
              <w:rPr>
                <w:rFonts w:ascii="Calibri" w:hAnsi="Calibri"/>
                <w:b w:val="0"/>
                <w:sz w:val="17"/>
              </w:rPr>
              <w:t>Code §9-5-9(A),(D); Guide Item 20; Form §3 Q3.</w:t>
            </w:r>
            <w:r>
              <w:br/>
            </w:r>
            <w:r>
              <w:rPr>
                <w:rFonts w:ascii="Calibri" w:hAnsi="Calibri"/>
                <w:b w:val="0"/>
                <w:sz w:val="17"/>
              </w:rPr>
              <w:t>C1a/C2/oC1 zoning + special use permit from ZBA; at application, evidence special use filed/applied; final approval pre-issuance.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Location in C1a (permitted district). No evidence a special use application has been filed.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File special use permit application with the ZBA concurrently; provide evidence of filing (ZBA case number) with the application. Note Form Q3 lists incorrect permitted districts (K-4) — C1a is correct for this site. Final special use approval is pre-issuance (J-10).</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B-19</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Item 5 — Background check authorizations &amp; fingerprint receipts.</w:t>
            </w:r>
            <w:r>
              <w:br/>
            </w:r>
            <w:r>
              <w:rPr>
                <w:rFonts w:ascii="Calibri" w:hAnsi="Calibri"/>
                <w:b w:val="0"/>
                <w:sz w:val="17"/>
              </w:rPr>
              <w:t>Code §9-5-5(B)(17), §9-5-22; Guide Item 5; Form §10 Q14A/Q14B.</w:t>
            </w:r>
            <w:r>
              <w:br/>
            </w:r>
            <w:r>
              <w:rPr>
                <w:rFonts w:ascii="Calibri" w:hAnsi="Calibri"/>
                <w:b w:val="0"/>
                <w:sz w:val="17"/>
              </w:rPr>
              <w:t>Signed background check authorization + fingerprint receipts for each principal officer (≥5%); criminal history disclosure.</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State license confirms State fingerprint background checks for both officers. City authorization forms (Q14A/Q14B) blank; City fingerprint receipts not provided.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Complete and sign Form §10 Q14A (authorization) and Q14B (criminal history disclosure) for Okonkwo and Ramachandran; complete City-designated Live Scan fingerprinting; include receipts. State checks do not substitute for the City-required process. See Section I.</w:t>
            </w:r>
          </w:p>
        </w:tc>
      </w:tr>
    </w:tbl>
    <w:p>
      <w:pPr>
        <w:keepNext/>
        <w:spacing w:before="200" w:after="80"/>
        <w:pBdr>
          <w:bottom w:val="single" w:sz="6" w:space="2" w:color="1F3864"/>
        </w:pBdr>
      </w:pPr>
      <w:r>
        <w:rPr>
          <w:b/>
          <w:color w:val="1F3864"/>
          <w:sz w:val="24"/>
        </w:rPr>
        <w:t>Section C — Location, Zoning &amp; Buffer Zones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C-1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Permitted zoning district.</w:t>
            </w:r>
            <w:r>
              <w:br/>
            </w:r>
            <w:r>
              <w:rPr>
                <w:rFonts w:ascii="Calibri" w:hAnsi="Calibri"/>
                <w:b w:val="0"/>
                <w:sz w:val="17"/>
              </w:rPr>
              <w:t>Code §9-5-9(A).</w:t>
            </w:r>
            <w:r>
              <w:br/>
            </w:r>
            <w:r>
              <w:rPr>
                <w:rFonts w:ascii="Calibri" w:hAnsi="Calibri"/>
                <w:b w:val="0"/>
                <w:sz w:val="17"/>
              </w:rPr>
              <w:t>Dispensary only in C1a, C2, or oC1 with special use permit.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1420 Sherman Ave. is in C1a Commercial Mixed-Use (permitted).</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None (zoning correct). Special use permit still required (B-18).</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C-2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K-12 school buffer (≥1,000').</w:t>
            </w:r>
            <w:r>
              <w:br/>
            </w:r>
            <w:r>
              <w:rPr>
                <w:rFonts w:ascii="Calibri" w:hAnsi="Calibri"/>
                <w:b w:val="0"/>
                <w:sz w:val="17"/>
              </w:rPr>
              <w:t>Code §9-5-9(B)(1),(C).</w:t>
            </w:r>
            <w:r>
              <w:br/>
            </w:r>
            <w:r>
              <w:rPr>
                <w:rFonts w:ascii="Calibri" w:hAnsi="Calibri"/>
                <w:b w:val="0"/>
                <w:sz w:val="17"/>
              </w:rPr>
              <w:t>≥1,000' from any K-12 school, measured nearest property line to nearest property line.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Chute Middle School ~1,180' (straight-line) — exceeds buffer.</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Straight-line distance already exceeds 1,000', so compliant under any methodology; confirm via updated survey (B-6).</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C-3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Daycare buffer (≥500').</w:t>
            </w:r>
            <w:r>
              <w:br/>
            </w:r>
            <w:r>
              <w:rPr>
                <w:rFonts w:ascii="Calibri" w:hAnsi="Calibri"/>
                <w:b w:val="0"/>
                <w:sz w:val="17"/>
              </w:rPr>
              <w:t>Code §9-5-9(B)(2),(C).</w:t>
            </w:r>
            <w:r>
              <w:br/>
            </w:r>
            <w:r>
              <w:rPr>
                <w:rFonts w:ascii="Calibri" w:hAnsi="Calibri"/>
                <w:b w:val="0"/>
                <w:sz w:val="17"/>
              </w:rPr>
              <w:t>≥500' from any licensed daycare center.</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Tiny Acorns Learning Center ~890' (straight-line) — exceeds buffer.</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Confirm via updated survey (B-6).</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C-4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Inter-dispensary buffer (≥1,500').</w:t>
            </w:r>
            <w:r>
              <w:br/>
            </w:r>
            <w:r>
              <w:rPr>
                <w:rFonts w:ascii="Calibri" w:hAnsi="Calibri"/>
                <w:b w:val="0"/>
                <w:sz w:val="17"/>
              </w:rPr>
              <w:t>Code §9-5-9(B)(3),(C).</w:t>
            </w:r>
            <w:r>
              <w:br/>
            </w:r>
            <w:r>
              <w:rPr>
                <w:rFonts w:ascii="Calibri" w:hAnsi="Calibri"/>
                <w:b w:val="0"/>
                <w:sz w:val="17"/>
              </w:rPr>
              <w:t>≥1,500' from any other licensed cannabis dispensary.</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Prairie Wellness Dispensary ~2,100' (straight-line) — exceeds buffer.</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Confirm via updated survey (B-6).</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C-5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One dispensary per City block.</w:t>
            </w:r>
            <w:r>
              <w:br/>
            </w:r>
            <w:r>
              <w:rPr>
                <w:rFonts w:ascii="Calibri" w:hAnsi="Calibri"/>
                <w:b w:val="0"/>
                <w:sz w:val="17"/>
              </w:rPr>
              <w:t>Code §9-5-9(F).</w:t>
            </w:r>
            <w:r>
              <w:br/>
            </w:r>
            <w:r>
              <w:rPr>
                <w:rFonts w:ascii="Calibri" w:hAnsi="Calibri"/>
                <w:b w:val="0"/>
                <w:sz w:val="17"/>
              </w:rPr>
              <w:t>No more than one dispensary per City block.</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Nearest dispensary 2,100' away (different block).</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None.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C-6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Number of permits available.</w:t>
            </w:r>
            <w:r>
              <w:br/>
            </w:r>
            <w:r>
              <w:rPr>
                <w:rFonts w:ascii="Calibri" w:hAnsi="Calibri"/>
                <w:b w:val="0"/>
                <w:sz w:val="17"/>
              </w:rPr>
              <w:t>Code §9-5-4(B).</w:t>
            </w:r>
            <w:r>
              <w:br/>
            </w:r>
            <w:r>
              <w:rPr>
                <w:rFonts w:ascii="Calibri" w:hAnsi="Calibri"/>
                <w:b w:val="0"/>
                <w:sz w:val="17"/>
              </w:rPr>
              <w:t>Maximum four dispensary permits citywide.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One existing (Prairie Wellness); three available.</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Confirm availability at time of review.</w:t>
            </w:r>
          </w:p>
        </w:tc>
      </w:tr>
    </w:tbl>
    <w:p>
      <w:pPr>
        <w:keepNext/>
        <w:spacing w:before="200" w:after="80"/>
        <w:pBdr>
          <w:bottom w:val="single" w:sz="6" w:space="2" w:color="1F3864"/>
        </w:pBdr>
      </w:pPr>
      <w:r>
        <w:rPr>
          <w:b/>
          <w:color w:val="1F3864"/>
          <w:sz w:val="24"/>
        </w:rPr>
        <w:t>Section D — Insurance &amp; Bonding</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D-1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Commercial General Liability.</w:t>
            </w:r>
            <w:r>
              <w:br/>
            </w:r>
            <w:r>
              <w:rPr>
                <w:rFonts w:ascii="Calibri" w:hAnsi="Calibri"/>
                <w:b w:val="0"/>
                <w:sz w:val="17"/>
              </w:rPr>
              <w:t>Code §9-5-16(A)(1),(B),(C); Form §8 Q27.</w:t>
            </w:r>
            <w:r>
              <w:br/>
            </w:r>
            <w:r>
              <w:rPr>
                <w:rFonts w:ascii="Calibri" w:hAnsi="Calibri"/>
                <w:b w:val="0"/>
                <w:sz w:val="17"/>
              </w:rPr>
              <w:t>$2M per occurrence / $4M aggregate; City named additional insured; carrier AM Best A- or better.</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Obtained 1/15/2024, $2M/$4M, with cannabis-operations endorsement. City not yet named additional insured; AM Best rating not confirmed.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Obtain additional-insured endorsement naming the City; confirm carrier AM Best rating ≥ A-; submit certificate.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D-2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Product Liability.</w:t>
            </w:r>
            <w:r>
              <w:br/>
            </w:r>
            <w:r>
              <w:rPr>
                <w:rFonts w:ascii="Calibri" w:hAnsi="Calibri"/>
                <w:b w:val="0"/>
                <w:sz w:val="17"/>
              </w:rPr>
              <w:t>Code §9-5-16(A)(2),(B).</w:t>
            </w:r>
            <w:r>
              <w:br/>
            </w:r>
            <w:r>
              <w:rPr>
                <w:rFonts w:ascii="Calibri" w:hAnsi="Calibri"/>
                <w:b w:val="0"/>
                <w:sz w:val="17"/>
              </w:rPr>
              <w:t>$2M per occurrence / $4M aggregate; City named additional insured.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Bundled with GL policy, obtained 1/15/2024, $2M/$4M. City not yet named additional insured.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Add City as additional insured on the product liability policy; submit certificate.</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D-3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Workers' Compensation &amp; Employer's Liability.</w:t>
            </w:r>
            <w:r>
              <w:br/>
            </w:r>
            <w:r>
              <w:rPr>
                <w:rFonts w:ascii="Calibri" w:hAnsi="Calibri"/>
                <w:b w:val="0"/>
                <w:sz w:val="17"/>
              </w:rPr>
              <w:t>Code §9-5-16(A)(3).</w:t>
            </w:r>
            <w:r>
              <w:br/>
            </w:r>
            <w:r>
              <w:rPr>
                <w:rFonts w:ascii="Calibri" w:hAnsi="Calibri"/>
                <w:b w:val="0"/>
                <w:sz w:val="17"/>
              </w:rPr>
              <w:t>WC at Illinois statutory limits AND Employer's Liability ≥ $1,000,000 per accident.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WC quoted, to be bound on first hire. Employer's Liability limit not specified; the lease references only $500,000/accident — below the Code's $1,000,000 requirement.</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Bind WC policy with Employer's Liability ≥ $1,000,000 per accident (Code requirement exceeds the lease's $500,000 minimum). Provide certificate or written statement at application; bound policy pre-issuance (J-3).</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D-4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Cannabis-Specific Crime &amp; Theft.</w:t>
            </w:r>
            <w:r>
              <w:br/>
            </w:r>
            <w:r>
              <w:rPr>
                <w:rFonts w:ascii="Calibri" w:hAnsi="Calibri"/>
                <w:b w:val="0"/>
                <w:sz w:val="17"/>
              </w:rPr>
              <w:t>Code §9-5-16(A)(4).</w:t>
            </w:r>
            <w:r>
              <w:br/>
            </w:r>
            <w:r>
              <w:rPr>
                <w:rFonts w:ascii="Calibri" w:hAnsi="Calibri"/>
                <w:b w:val="0"/>
                <w:sz w:val="17"/>
              </w:rPr>
              <w:t>≥ $500,000 covering employee dishonesty, robbery, burglary, theft, mysterious disappearance.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Under negotiation with Canopy Risk Underwriters; only a preliminary indication received; not bound; no commitment letter; underwriting blocked pending the final security plan.</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AT RISK</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Finalize the security plan (B-7) to unblock underwriting; obtain a binding commitment letter or binder from Canopy Risk at application; bind the policy pre-issuance. Identify a contingency specialty carrier. The limited market for this coverage creates a real timeline risk.</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D-5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Performance bond / LOC — commitment letter.</w:t>
            </w:r>
            <w:r>
              <w:br/>
            </w:r>
            <w:r>
              <w:rPr>
                <w:rFonts w:ascii="Calibri" w:hAnsi="Calibri"/>
                <w:b w:val="0"/>
                <w:sz w:val="17"/>
              </w:rPr>
              <w:t>Code §9-5-17; Guide Item 17; Form §8 Q26 &amp; scoring rubric.</w:t>
            </w:r>
            <w:r>
              <w:br/>
            </w:r>
            <w:r>
              <w:rPr>
                <w:rFonts w:ascii="Calibri" w:hAnsi="Calibri"/>
                <w:b w:val="0"/>
                <w:sz w:val="17"/>
              </w:rPr>
              <w:t>$50K bond/LOC pre-issuance; at application, evidence of bonding capacity (commitment letter) for 10 Financial Viability points.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Only a verbal preliminary inquiry with Thornfield Surety Group; no formal commitment letter obtained.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Obtain a formal commitment letter (Thornfield) or LOC commitment (Ridgeline) on letterhead, signed by an authorized officer, dated within 60 days of submission. Without it: 0 of 10 bonding-capacity points and a weaker Financial Viability score. The bond/LOC itself is pre-issuance (J-4).</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D-6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30-day cancellation notice &amp; continuous coverage.</w:t>
            </w:r>
            <w:r>
              <w:br/>
            </w:r>
            <w:r>
              <w:rPr>
                <w:rFonts w:ascii="Calibri" w:hAnsi="Calibri"/>
                <w:b w:val="0"/>
                <w:sz w:val="17"/>
              </w:rPr>
              <w:t>Code §9-5-16(D),(E).</w:t>
            </w:r>
            <w:r>
              <w:br/>
            </w:r>
            <w:r>
              <w:rPr>
                <w:rFonts w:ascii="Calibri" w:hAnsi="Calibri"/>
                <w:b w:val="0"/>
                <w:sz w:val="17"/>
              </w:rPr>
              <w:t>30 days' written notice of cancellation/non-renewal/material change; continuous coverage; lapse &gt;14 days = immediate suspension.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Not confirmed in the policies procured.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Confirm all policies include a 30-day cancellation-notice endorsement to the City; maintain continuous coverage; report any lapse to the Coordinator within 48 hours.</w:t>
            </w:r>
          </w:p>
        </w:tc>
      </w:tr>
    </w:tbl>
    <w:p>
      <w:pPr>
        <w:keepNext/>
        <w:spacing w:before="200" w:after="80"/>
        <w:pBdr>
          <w:bottom w:val="single" w:sz="6" w:space="2" w:color="1F3864"/>
        </w:pBdr>
      </w:pPr>
      <w:r>
        <w:rPr>
          <w:b/>
          <w:color w:val="1F3864"/>
          <w:sz w:val="24"/>
        </w:rPr>
        <w:t>Section E — Community Engagement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E-1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Minimum two sessions.</w:t>
            </w:r>
            <w:r>
              <w:br/>
            </w:r>
            <w:r>
              <w:rPr>
                <w:rFonts w:ascii="Calibri" w:hAnsi="Calibri"/>
                <w:b w:val="0"/>
                <w:sz w:val="17"/>
              </w:rPr>
              <w:t>Code §9-5-8(A).</w:t>
            </w:r>
            <w:r>
              <w:br/>
            </w:r>
            <w:r>
              <w:rPr>
                <w:rFonts w:ascii="Calibri" w:hAnsi="Calibri"/>
                <w:b w:val="0"/>
                <w:sz w:val="17"/>
              </w:rPr>
              <w:t>≥2 sessions within Evanston city limits before application; no waiver of the minimum.</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Two sessions held (3/12 &amp; 4/9/2024) at the Evanston Public Library.</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Count met; however Session 2 notice is deficient — see E-2.</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E-2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14-day advance notice.</w:t>
            </w:r>
            <w:r>
              <w:br/>
            </w:r>
            <w:r>
              <w:rPr>
                <w:rFonts w:ascii="Calibri" w:hAnsi="Calibri"/>
                <w:b w:val="0"/>
                <w:sz w:val="17"/>
              </w:rPr>
              <w:t>Code §9-5-8(B).</w:t>
            </w:r>
            <w:r>
              <w:br/>
            </w:r>
            <w:r>
              <w:rPr>
                <w:rFonts w:ascii="Calibri" w:hAnsi="Calibri"/>
                <w:b w:val="0"/>
                <w:sz w:val="17"/>
              </w:rPr>
              <w:t>Each session publicly noticed ≥14 calendar days in advance (newspaper + City website).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Session 1: 15 days advance (compliant). Session 2: 12 days advance (March 28 → April 9) — NON-COMPLIANT.</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NON-COMPLIANT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Critical</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Session 2 fails the 14-day minimum. Per §9-5-8(F) the application is incomplete and no waiver of the two-session minimum is available. Hold a replacement/additional session with ≥14-day compliant notice (newspaper + City website posting ≥14 days prior; submit notice content to the Coordinator ≥3 business days before the posting date). Re-document fully.</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E-3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Notice content.</w:t>
            </w:r>
            <w:r>
              <w:br/>
            </w:r>
            <w:r>
              <w:rPr>
                <w:rFonts w:ascii="Calibri" w:hAnsi="Calibri"/>
                <w:b w:val="0"/>
                <w:sz w:val="17"/>
              </w:rPr>
              <w:t>Code §9-5-8(C).</w:t>
            </w:r>
            <w:r>
              <w:br/>
            </w:r>
            <w:r>
              <w:rPr>
                <w:rFonts w:ascii="Calibri" w:hAnsi="Calibri"/>
                <w:b w:val="0"/>
                <w:sz w:val="17"/>
              </w:rPr>
              <w:t>Notice must include applicant name, address, date/time/location, description of use (adult-use/medical/both), and contact information with a telephone number AND email address.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Notices include name, address, date/time/location, "adult-use" description, and email only — NO telephone number. Description says "adult-use" only, but the dispensary will serve both adult-use and medical.</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Future notices must include a telephone number (§9-5-8(C)(5)) and clarify that the dispensary will serve both adult-use and medical customers. Update the notice template for the replacement session (E-2).</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E-4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Evening session.</w:t>
            </w:r>
            <w:r>
              <w:br/>
            </w:r>
            <w:r>
              <w:rPr>
                <w:rFonts w:ascii="Calibri" w:hAnsi="Calibri"/>
                <w:b w:val="0"/>
                <w:sz w:val="17"/>
              </w:rPr>
              <w:t>Code §9-5-8(D).</w:t>
            </w:r>
            <w:r>
              <w:br/>
            </w:r>
            <w:r>
              <w:rPr>
                <w:rFonts w:ascii="Calibri" w:hAnsi="Calibri"/>
                <w:b w:val="0"/>
                <w:sz w:val="17"/>
              </w:rPr>
              <w:t>At least one session held after 5:00 PM.</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Both sessions held at 6:30 PM.</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None.</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E-5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Documentation package.</w:t>
            </w:r>
            <w:r>
              <w:br/>
            </w:r>
            <w:r>
              <w:rPr>
                <w:rFonts w:ascii="Calibri" w:hAnsi="Calibri"/>
                <w:b w:val="0"/>
                <w:sz w:val="17"/>
              </w:rPr>
              <w:t>Code §9-5-8(E).</w:t>
            </w:r>
            <w:r>
              <w:br/>
            </w:r>
            <w:r>
              <w:rPr>
                <w:rFonts w:ascii="Calibri" w:hAnsi="Calibri"/>
                <w:b w:val="0"/>
                <w:sz w:val="17"/>
              </w:rPr>
              <w:t>Published notices + proof of publication; website-posting evidence; sign-in sheets; written summaries (date/time/location/duration/topics/questions/concerns/responses); any written comments received.</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Attendance sheets, summary minutes, published notices, and website confirmations provided. Written comments/correspondence not addressed; summaries are paraphrased notes rather than the structured summary required.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Affirmatively state whether any written comments/correspondence were received (include any received); ensure session summaries document duration, topics, questions, concerns, and the applicant's responses per §9-5-8(E)(4).</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E-6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Website posting coordination.</w:t>
            </w:r>
            <w:r>
              <w:br/>
            </w:r>
            <w:r>
              <w:rPr>
                <w:rFonts w:ascii="Calibri" w:hAnsi="Calibri"/>
                <w:b w:val="0"/>
                <w:sz w:val="17"/>
              </w:rPr>
              <w:t>Code §9-5-8(B)(2).</w:t>
            </w:r>
            <w:r>
              <w:br/>
            </w:r>
            <w:r>
              <w:rPr>
                <w:rFonts w:ascii="Calibri" w:hAnsi="Calibri"/>
                <w:b w:val="0"/>
                <w:sz w:val="17"/>
              </w:rPr>
              <w:t>Notice content submitted to the Coordinator ≥3 business days before the required posting date.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Website posting confirmations received from the Coordinator; the 3-business-day lead time for submission of notice content is not explicitly documented.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Document the 3-business-day advance submission of notice content to the Coordinator for the replacement session.</w:t>
            </w:r>
          </w:p>
        </w:tc>
      </w:tr>
    </w:tbl>
    <w:p>
      <w:pPr>
        <w:keepNext/>
        <w:spacing w:before="200" w:after="80"/>
        <w:pBdr>
          <w:bottom w:val="single" w:sz="6" w:space="2" w:color="1F3864"/>
        </w:pBdr>
      </w:pPr>
      <w:r>
        <w:rPr>
          <w:b/>
          <w:color w:val="1F3864"/>
          <w:sz w:val="24"/>
        </w:rPr>
        <w:t>Section F — Social Equity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F-1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SE qualifying basis — R3 residency.</w:t>
            </w:r>
            <w:r>
              <w:br/>
            </w:r>
            <w:r>
              <w:rPr>
                <w:rFonts w:ascii="Calibri" w:hAnsi="Calibri"/>
                <w:b w:val="0"/>
                <w:sz w:val="17"/>
              </w:rPr>
              <w:t>Code §9-5-19(B)(1),(G).</w:t>
            </w:r>
            <w:r>
              <w:br/>
            </w:r>
            <w:r>
              <w:rPr>
                <w:rFonts w:ascii="Calibri" w:hAnsi="Calibri"/>
                <w:b w:val="0"/>
                <w:sz w:val="17"/>
              </w:rPr>
              <w:t>A principal officer holding a majority of ownership resides in an R3-designated census tract for ≥24 continuous months immediately preceding the application.</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Okonkwo (60%) resides in tract 8092.02 (a designated R3 tract). Duration of continuous residency is not documented.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Document Okonkwo's ≥24-month continuous residency in tract 8092.02 (e.g., historical utility bills, prior lease, ID history). Form Q20 proof-of-residency documents (within 90 days) prove current residency but NOT 24-month duration — supplement with historical residency evidence.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F-2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 qualifying basis — expunged conviction.</w:t>
            </w:r>
            <w:r>
              <w:br/>
            </w:r>
            <w:r>
              <w:rPr>
                <w:rFonts w:ascii="Calibri" w:hAnsi="Calibri"/>
                <w:b w:val="0"/>
                <w:sz w:val="17"/>
              </w:rPr>
              <w:t>Code §9-5-19(B)(2).</w:t>
            </w:r>
            <w:r>
              <w:br/>
            </w:r>
            <w:r>
              <w:rPr>
                <w:rFonts w:ascii="Calibri" w:hAnsi="Calibri"/>
                <w:b w:val="0"/>
                <w:sz w:val="17"/>
              </w:rPr>
              <w:t>Prior cannabis-related arrest/conviction/record subsequently expunged, sealed, or pardoned.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Okonkwo — 2016 misdemeanor cannabis possession (&lt;30g), Cook County, expunged 2020 via Cook County expungement process.</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Attach the expungement court order/records. Note the Code phrase "expunged, sealed, or pardoned by the Governor of Illinois" — confirm with the Coordinator that a court-ordered Cook County expungement satisfies §9-5-19(B)(2). The State SE designation (DIA basis) does not auto-qualify under City criteria — claim the City bases (R3 residency + expunged conviction), not DIA (K-9).</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F-3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SE ownership threshold.</w:t>
            </w:r>
            <w:r>
              <w:br/>
            </w:r>
            <w:r>
              <w:rPr>
                <w:rFonts w:ascii="Calibri" w:hAnsi="Calibri"/>
                <w:b w:val="0"/>
                <w:sz w:val="17"/>
              </w:rPr>
              <w:t>Code §9-5-19(B); Guide §2; State License.</w:t>
            </w:r>
            <w:r>
              <w:br/>
            </w:r>
            <w:r>
              <w:rPr>
                <w:rFonts w:ascii="Calibri" w:hAnsi="Calibri"/>
                <w:b w:val="0"/>
                <w:sz w:val="17"/>
              </w:rPr>
              <w:t>Qualifying individual holds majority (Code) / ≥51% (Guide/State) ownership.</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Okonkwo holds 60% — exceeds both thresholds.</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None. Note threshold-language variance Code ("majority") vs. Guide/State ("51%") (K-8) — 60% satisfies both.</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F-4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 workforce hiring commitment (50% R3).</w:t>
            </w:r>
            <w:r>
              <w:br/>
            </w:r>
            <w:r>
              <w:rPr>
                <w:rFonts w:ascii="Calibri" w:hAnsi="Calibri"/>
                <w:b w:val="0"/>
                <w:sz w:val="17"/>
              </w:rPr>
              <w:t>Code §9-5-19(D); Form §6 Q21.</w:t>
            </w:r>
            <w:r>
              <w:br/>
            </w:r>
            <w:r>
              <w:rPr>
                <w:rFonts w:ascii="Calibri" w:hAnsi="Calibri"/>
                <w:b w:val="0"/>
                <w:sz w:val="17"/>
              </w:rPr>
              <w:t>≥50% of workforce (FT+PT) are R3-tract residents; binding continuing condition; verified annually.</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Committed to 6 of 12 FTEs from R3 tracts; partnerships not yet formalized; applicant acknowledges retention risk.</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Formalize specific R3 workforce-development partnerships (also required for the D&amp;I plan, B-12 / §9-5-20(C)); document the hiring pipeline, recruitment methods, timeline, and contingency plans; maintain monthly monitoring. This is a binding continuing condition with revocation consequences (§9-5-19(F), §9-5-25(D)(4)).</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F-5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SE mentorship program commitment.</w:t>
            </w:r>
            <w:r>
              <w:br/>
            </w:r>
            <w:r>
              <w:rPr>
                <w:rFonts w:ascii="Calibri" w:hAnsi="Calibri"/>
                <w:b w:val="0"/>
                <w:sz w:val="17"/>
              </w:rPr>
              <w:t>Code §9-5-19(E).</w:t>
            </w:r>
            <w:r>
              <w:br/>
            </w:r>
            <w:r>
              <w:rPr>
                <w:rFonts w:ascii="Calibri" w:hAnsi="Calibri"/>
                <w:b w:val="0"/>
                <w:sz w:val="17"/>
              </w:rPr>
              <w:t>Participate in the City Cannabis Business Mentorship Program ≥2 years from permit issuance; quarterly meetings, annual workshop, semi-annual progress reports.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Okonkwo committed to 2-year participation.</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Sign the formal commitment (Form Q21); fulfill quarterly meetings, annual workshop, and semi-annual reports post-issuance. Non-compliance → SE status revocation (§9-5-19(F)).</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F-6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 scoring bonus (20 points).</w:t>
            </w:r>
            <w:r>
              <w:br/>
            </w:r>
            <w:r>
              <w:rPr>
                <w:rFonts w:ascii="Calibri" w:hAnsi="Calibri"/>
                <w:b w:val="0"/>
                <w:sz w:val="17"/>
              </w:rPr>
              <w:t>Code §9-5-19(C), §9-5-10(B).</w:t>
            </w:r>
            <w:r>
              <w:br/>
            </w:r>
            <w:r>
              <w:rPr>
                <w:rFonts w:ascii="Calibri" w:hAnsi="Calibri"/>
                <w:b w:val="0"/>
                <w:sz w:val="17"/>
              </w:rPr>
              <w:t>Verified SE applicants receive a 20-point bonus (maximum 270).</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Claiming the bonus; eligibility supportable on the expunged-conviction basis (F-2) and R3 residency (F-1, pending documentation).</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Complete SE documentation (F-1, F-2) to secure verification and the 20-point bonus; the bonus is awarded upon Coordinator verification.</w:t>
            </w:r>
          </w:p>
        </w:tc>
      </w:tr>
    </w:tbl>
    <w:p>
      <w:pPr>
        <w:keepNext/>
        <w:spacing w:before="200" w:after="80"/>
        <w:pBdr>
          <w:bottom w:val="single" w:sz="6" w:space="2" w:color="1F3864"/>
        </w:pBdr>
      </w:pPr>
      <w:r>
        <w:rPr>
          <w:b/>
          <w:color w:val="1F3864"/>
          <w:sz w:val="24"/>
        </w:rPr>
        <w:t>Section G — Financial Viability &amp; Capitalization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G-1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Capitalization &amp; evidence of funds.</w:t>
            </w:r>
            <w:r>
              <w:br/>
            </w:r>
            <w:r>
              <w:rPr>
                <w:rFonts w:ascii="Calibri" w:hAnsi="Calibri"/>
                <w:b w:val="0"/>
                <w:sz w:val="17"/>
              </w:rPr>
              <w:t>Code §9-5-5(B)(8); Guide Item 17; Form §8 Q24.</w:t>
            </w:r>
            <w:r>
              <w:br/>
            </w:r>
            <w:r>
              <w:rPr>
                <w:rFonts w:ascii="Calibri" w:hAnsi="Calibri"/>
                <w:b w:val="0"/>
                <w:sz w:val="17"/>
              </w:rPr>
              <w:t>Proof of capitalization (bank statements within 30 days, loan/investor commitment letters); sources &amp; uses statement.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$1.85M all-equity capitalization stated (Okonkwo $1.11M, Ramachandran $740K); no debt; bank statements/evidence of funds not attached.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Attach evidence of funds (bank/investment statements dated within 30 days of submission, member contribution documentation) and a sources &amp; uses statement. Banking relationship with Ridgeline Community Bank documented.</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G-2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Financial projections (≥3 years).</w:t>
            </w:r>
            <w:r>
              <w:br/>
            </w:r>
            <w:r>
              <w:rPr>
                <w:rFonts w:ascii="Calibri" w:hAnsi="Calibri"/>
                <w:b w:val="0"/>
                <w:sz w:val="17"/>
              </w:rPr>
              <w:t>Code §9-5-5(B)(8); Form §8 Q25.</w:t>
            </w:r>
            <w:r>
              <w:br/>
            </w:r>
            <w:r>
              <w:rPr>
                <w:rFonts w:ascii="Calibri" w:hAnsi="Calibri"/>
                <w:b w:val="0"/>
                <w:sz w:val="17"/>
              </w:rPr>
              <w:t>≥3-year projections: gross revenue, operating expenses, net income, break-even.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3-year (5-year) projections provided; Year 1 $3.2M revenue; break-even at 8–10 months.</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None.</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G-3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Bonding capacity evidence (scoring).</w:t>
            </w:r>
            <w:r>
              <w:br/>
            </w:r>
            <w:r>
              <w:rPr>
                <w:rFonts w:ascii="Calibri" w:hAnsi="Calibri"/>
                <w:b w:val="0"/>
                <w:sz w:val="17"/>
              </w:rPr>
              <w:t>Form §8 scoring rubric; Guide Item 17.</w:t>
            </w:r>
            <w:r>
              <w:br/>
            </w:r>
            <w:r>
              <w:rPr>
                <w:rFonts w:ascii="Calibri" w:hAnsi="Calibri"/>
                <w:b w:val="0"/>
                <w:sz w:val="17"/>
              </w:rPr>
              <w:t>Commitment letter required for 10 Financial Viability points; 0 points without it.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No commitment letter (verbal preliminary inquiry only).</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See D-5. Obtain a commitment letter to secure the 10 points.</w:t>
            </w:r>
          </w:p>
        </w:tc>
      </w:tr>
    </w:tbl>
    <w:p>
      <w:pPr>
        <w:keepNext/>
        <w:spacing w:before="200" w:after="80"/>
        <w:pBdr>
          <w:bottom w:val="single" w:sz="6" w:space="2" w:color="1F3864"/>
        </w:pBdr>
      </w:pPr>
      <w:r>
        <w:rPr>
          <w:b/>
          <w:color w:val="1F3864"/>
          <w:sz w:val="24"/>
        </w:rPr>
        <w:t>Section H — Operational Requirements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H-1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Operating hours.</w:t>
            </w:r>
            <w:r>
              <w:br/>
            </w:r>
            <w:r>
              <w:rPr>
                <w:rFonts w:ascii="Calibri" w:hAnsi="Calibri"/>
                <w:b w:val="0"/>
                <w:sz w:val="17"/>
              </w:rPr>
              <w:t>Code §9-5-13(F).</w:t>
            </w:r>
            <w:r>
              <w:br/>
            </w:r>
            <w:r>
              <w:rPr>
                <w:rFonts w:ascii="Calibri" w:hAnsi="Calibri"/>
                <w:b w:val="0"/>
                <w:sz w:val="17"/>
              </w:rPr>
              <w:t>6:00 AM – 10:00 PM daily only.</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6:00 AM – 10:00 PM daily.</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None. Note Form Q11 mis-cites §9-5-17 for hours (should be §9-5-13(F)) — K-5.</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H-2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Maximum customer occupancy.</w:t>
            </w:r>
            <w:r>
              <w:br/>
            </w:r>
            <w:r>
              <w:rPr>
                <w:rFonts w:ascii="Calibri" w:hAnsi="Calibri"/>
                <w:b w:val="0"/>
                <w:sz w:val="17"/>
              </w:rPr>
              <w:t>Code §9-5-13(J).</w:t>
            </w:r>
            <w:r>
              <w:br/>
            </w:r>
            <w:r>
              <w:rPr>
                <w:rFonts w:ascii="Calibri" w:hAnsi="Calibri"/>
                <w:b w:val="0"/>
                <w:sz w:val="17"/>
              </w:rPr>
              <w:t>1 customer per 40 sq ft of RETAIL FLOOR AREA; posted conspicuously.</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1,600 sq ft retail ÷ 40 = 40 customers (business plan correctly uses retail floor area).</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None. Note Form Q12 erroneously instructs use of TOTAL dispensary square footage (3,200 → 80) instead of retail floor area (K-6) — applicant correctly used 40; ensure the Form calculation reflects 40.</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H-3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Seed-to-sale / COMPASS integration.</w:t>
            </w:r>
            <w:r>
              <w:br/>
            </w:r>
            <w:r>
              <w:rPr>
                <w:rFonts w:ascii="Calibri" w:hAnsi="Calibri"/>
                <w:b w:val="0"/>
                <w:sz w:val="17"/>
              </w:rPr>
              <w:t>Code §9-5-13(D); Form §5 Q14.</w:t>
            </w:r>
            <w:r>
              <w:br/>
            </w:r>
            <w:r>
              <w:rPr>
                <w:rFonts w:ascii="Calibri" w:hAnsi="Calibri"/>
                <w:b w:val="0"/>
                <w:sz w:val="17"/>
              </w:rPr>
              <w:t>Seed-to-sale system integrating with the State COMPASS system; vendor confirmation letter.</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Pinnacle designing COMPASS integration; vendor confirmation letter not provided; lease references "BioTrack or successor."</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Obtain a vendor letter confirming COMPASS integration capability; attach to Form Q14. Clarify the tracking platform (BioTrack/COMPASS).</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H-4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Secure vestibule / ID verification.</w:t>
            </w:r>
            <w:r>
              <w:br/>
            </w:r>
            <w:r>
              <w:rPr>
                <w:rFonts w:ascii="Calibri" w:hAnsi="Calibri"/>
                <w:b w:val="0"/>
                <w:sz w:val="17"/>
              </w:rPr>
              <w:t>Code §9-5-13(C).</w:t>
            </w:r>
            <w:r>
              <w:br/>
            </w:r>
            <w:r>
              <w:rPr>
                <w:rFonts w:ascii="Calibri" w:hAnsi="Calibri"/>
                <w:b w:val="0"/>
                <w:sz w:val="17"/>
              </w:rPr>
              <w:t>Secure vestibule; no customer admitted to the retail floor until age/ID verified (valid government-issued photo ID).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Vestibule with ID-verification station designed; 21+ verification.</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None.</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H-5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Video surveillance.</w:t>
            </w:r>
            <w:r>
              <w:br/>
            </w:r>
            <w:r>
              <w:rPr>
                <w:rFonts w:ascii="Calibri" w:hAnsi="Calibri"/>
                <w:b w:val="0"/>
                <w:sz w:val="17"/>
              </w:rPr>
              <w:t>Code §9-5-13(A).</w:t>
            </w:r>
            <w:r>
              <w:br/>
            </w:r>
            <w:r>
              <w:rPr>
                <w:rFonts w:ascii="Calibri" w:hAnsi="Calibri"/>
                <w:b w:val="0"/>
                <w:sz w:val="17"/>
              </w:rPr>
              <w:t>24/7, ≥1080p, 30-day retention, on-site secure storage, coverage of all required areas, available to EPD/Coordinator within 24 hours.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24/7, 1080p, 30-day retention, on-site server + cloud backup; coverage described.</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Confirm coverage includes exterior/parking/loading and adjacent alleyways; ensure 24-hour production on request.</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H-6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Panic alarm.</w:t>
            </w:r>
            <w:r>
              <w:br/>
            </w:r>
            <w:r>
              <w:rPr>
                <w:rFonts w:ascii="Calibri" w:hAnsi="Calibri"/>
                <w:b w:val="0"/>
                <w:sz w:val="17"/>
              </w:rPr>
              <w:t>Code §9-5-13(B).</w:t>
            </w:r>
            <w:r>
              <w:br/>
            </w:r>
            <w:r>
              <w:rPr>
                <w:rFonts w:ascii="Calibri" w:hAnsi="Calibri"/>
                <w:b w:val="0"/>
                <w:sz w:val="17"/>
              </w:rPr>
              <w:t>Panic alarm to EPD or monitored dispatch; activation points at each POS, main entrance, and secure storage; tested quarterly with documentation.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Panic alarm to EPD at each POS, vestibule ID station, manager office, and secure storage.</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Implement quarterly testing with written documentation (§9-5-13(B)); ensure activation points include the main entrance and secure storage (Code-specified locations).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H-7</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Waste disposal.</w:t>
            </w:r>
            <w:r>
              <w:br/>
            </w:r>
            <w:r>
              <w:rPr>
                <w:rFonts w:ascii="Calibri" w:hAnsi="Calibri"/>
                <w:b w:val="0"/>
                <w:sz w:val="17"/>
              </w:rPr>
              <w:t>Code §9-5-13(H); Form §5 Q17.</w:t>
            </w:r>
            <w:r>
              <w:br/>
            </w:r>
            <w:r>
              <w:rPr>
                <w:rFonts w:ascii="Calibri" w:hAnsi="Calibri"/>
                <w:b w:val="0"/>
                <w:sz w:val="17"/>
              </w:rPr>
              <w:t>Cannabis waste per IEPA/State rules; written waste disposal plan; records retained 5 years.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Business plan §5.4 describes rendering unusable/unrecognizable, a waste log, and a licensed vendor; a standalone waste disposal plan exhibit is not clearly provided.</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Prepare a standalone Waste Disposal Plan exhibit (Form Q17) detailing rendering procedures, recordkeeping, and the third-party vendor; 5-year retention.</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H-8</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Agent-in-Charge presence.</w:t>
            </w:r>
            <w:r>
              <w:br/>
            </w:r>
            <w:r>
              <w:rPr>
                <w:rFonts w:ascii="Calibri" w:hAnsi="Calibri"/>
                <w:b w:val="0"/>
                <w:sz w:val="17"/>
              </w:rPr>
              <w:t>Code §9-5-13(I).</w:t>
            </w:r>
            <w:r>
              <w:br/>
            </w:r>
            <w:r>
              <w:rPr>
                <w:rFonts w:ascii="Calibri" w:hAnsi="Calibri"/>
                <w:b w:val="0"/>
                <w:sz w:val="17"/>
              </w:rPr>
              <w:t>AIC present during all operating hours or available to return within 30 minutes; identity/contact provided to Coordinator; updated within 5 business days of change.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Okonkwo designated AIC; Evanston resident.</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PARTIALLY 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Confirm the AIC can satisfy the 30-minute return requirement (Code stricter than Form's 30-mile/phone — K-11); provide AIC identity/contact to the Coordinator; confirm Agent ID Card status (B-17).</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H-9</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Employee Agent ID cards.</w:t>
            </w:r>
            <w:r>
              <w:br/>
            </w:r>
            <w:r>
              <w:rPr>
                <w:rFonts w:ascii="Calibri" w:hAnsi="Calibri"/>
                <w:b w:val="0"/>
                <w:sz w:val="17"/>
              </w:rPr>
              <w:t>Code §9-5-13(E), §9-5-11(G).</w:t>
            </w:r>
            <w:r>
              <w:br/>
            </w:r>
            <w:r>
              <w:rPr>
                <w:rFonts w:ascii="Calibri" w:hAnsi="Calibri"/>
                <w:b w:val="0"/>
                <w:sz w:val="17"/>
              </w:rPr>
              <w:t>All employees hold a valid IL Agent ID Card before handling cannabis; worn/displayed.</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Policy to verify Agent ID Cards upon hire; no employees yet.</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Verify all opening employees hold Agent ID Cards before permit issuance (J-7); maintain copies on file.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H-10</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Quarterly self-audits.</w:t>
            </w:r>
            <w:r>
              <w:br/>
            </w:r>
            <w:r>
              <w:rPr>
                <w:rFonts w:ascii="Calibri" w:hAnsi="Calibri"/>
                <w:b w:val="0"/>
                <w:sz w:val="17"/>
              </w:rPr>
              <w:t>Code §9-5-13(K), §9-5-18(D)(1).</w:t>
            </w:r>
            <w:r>
              <w:br/>
            </w:r>
            <w:r>
              <w:rPr>
                <w:rFonts w:ascii="Calibri" w:hAnsi="Calibri"/>
                <w:b w:val="0"/>
                <w:sz w:val="17"/>
              </w:rPr>
              <w:t>Quarterly self-audits; report within 15 days of quarter end.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Acknowledged in Form §9 Q29.</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Implement post-issuance; first audit period runs from permit issuance.</w:t>
            </w:r>
          </w:p>
        </w:tc>
      </w:tr>
    </w:tbl>
    <w:p>
      <w:pPr>
        <w:keepNext/>
        <w:spacing w:before="200" w:after="80"/>
        <w:pBdr>
          <w:bottom w:val="single" w:sz="6" w:space="2" w:color="1F3864"/>
        </w:pBdr>
      </w:pPr>
      <w:r>
        <w:rPr>
          <w:b/>
          <w:color w:val="1F3864"/>
          <w:sz w:val="24"/>
        </w:rPr>
        <w:t>Section I — Background Checks &amp; Principal Officer Disclosures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I-1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Fingerprint-based background checks.</w:t>
            </w:r>
            <w:r>
              <w:br/>
            </w:r>
            <w:r>
              <w:rPr>
                <w:rFonts w:ascii="Calibri" w:hAnsi="Calibri"/>
                <w:b w:val="0"/>
                <w:sz w:val="17"/>
              </w:rPr>
              <w:t>Code §9-5-22(A); Form §10 Q14A.</w:t>
            </w:r>
            <w:r>
              <w:br/>
            </w:r>
            <w:r>
              <w:rPr>
                <w:rFonts w:ascii="Calibri" w:hAnsi="Calibri"/>
                <w:b w:val="0"/>
                <w:sz w:val="17"/>
              </w:rPr>
              <w:t>Each principal officer (≥5%) fingerprint-based check via IL State Police + FBI; City authorization form; fingerprinting at a designated location; applicant bears cost.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State license confirms State fingerprint checks for Okonkwo &amp; Ramachandran. City authorization forms blank; City fingerprint receipts not provided.</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Complete City background-check authorizations (Q14A) for both officers; complete City-designated Live Scan fingerprinting; include receipts. State checks do not substitute for the City-required process. Results must be received before the completeness determination (§9-5-22(E)).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I-2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Criminal history disclosure.</w:t>
            </w:r>
            <w:r>
              <w:br/>
            </w:r>
            <w:r>
              <w:rPr>
                <w:rFonts w:ascii="Calibri" w:hAnsi="Calibri"/>
                <w:b w:val="0"/>
                <w:sz w:val="17"/>
              </w:rPr>
              <w:t>Code §9-5-22; Form §10 Q14B.</w:t>
            </w:r>
            <w:r>
              <w:br/>
            </w:r>
            <w:r>
              <w:rPr>
                <w:rFonts w:ascii="Calibri" w:hAnsi="Calibri"/>
                <w:b w:val="0"/>
                <w:sz w:val="17"/>
              </w:rPr>
              <w:t>Each principal officer discloses all arrests/charges/convictions (including expunged/sealed/pardoned).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Okonkwo has a 2016 expunged conviction (must be disclosed per Q14B); Ramachandran reports "no criminal history." Form Q14B blank.</w:t>
            </w:r>
          </w:p>
        </w:tc>
        <w:tc>
          <w:tcPr>
            <w:tcW w:type="dxa" w:w="1368"/>
            <w:shd w:val="clear" w:color="auto" w:fill="FFC7CE"/>
            <w:tcMar>
              <w:top w:w="40" w:type="dxa"/>
              <w:bottom w:w="40" w:type="dxa"/>
              <w:start w:w="60" w:type="dxa"/>
              <w:end w:w="60" w:type="dxa"/>
              <w:left w:w="60" w:type="dxa"/>
              <w:right w:w="60" w:type="dxa"/>
            </w:tcMar>
          </w:tcPr>
          <w:p>
            <w:pPr>
              <w:spacing w:after="20" w:before="20"/>
              <w:jc w:val="center"/>
            </w:pPr>
            <w:r/>
            <w:r>
              <w:rPr>
                <w:rFonts w:ascii="Calibri" w:hAnsi="Calibri"/>
                <w:b/>
                <w:color w:val="9C0006"/>
                <w:sz w:val="16"/>
              </w:rPr>
              <w:t>DEFICIENT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Complete Q14B for both officers; Okonkwo must disclose the 2016 expunged conviction with the expungement date and court order (expunged convictions are not disqualifying per §9-5-22(D)(3) but must be disclosed).</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I-3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Supplemental license-discipline disclosure.</w:t>
            </w:r>
            <w:r>
              <w:br/>
            </w:r>
            <w:r>
              <w:rPr>
                <w:rFonts w:ascii="Calibri" w:hAnsi="Calibri"/>
                <w:b w:val="0"/>
                <w:sz w:val="17"/>
              </w:rPr>
              <w:t>Form §10 Q14C; Code §9-5-22(B).</w:t>
            </w:r>
            <w:r>
              <w:br/>
            </w:r>
            <w:r>
              <w:rPr>
                <w:rFonts w:ascii="Calibri" w:hAnsi="Calibri"/>
                <w:b w:val="0"/>
                <w:sz w:val="17"/>
              </w:rPr>
              <w:t>Disclose any prior license denial/suspension/revocation/discipline.</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Form Q14C blank; no prior cannabis licenses indicated (Form Q10).</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Complete Q14C for both officers (state "None" if applicable).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I-4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Disqualifying-offenses screening.</w:t>
            </w:r>
            <w:r>
              <w:br/>
            </w:r>
            <w:r>
              <w:rPr>
                <w:rFonts w:ascii="Calibri" w:hAnsi="Calibri"/>
                <w:b w:val="0"/>
                <w:sz w:val="17"/>
              </w:rPr>
              <w:t>Code §9-5-22(C),(D).</w:t>
            </w:r>
            <w:r>
              <w:br/>
            </w:r>
            <w:r>
              <w:rPr>
                <w:rFonts w:ascii="Calibri" w:hAnsi="Calibri"/>
                <w:b w:val="0"/>
                <w:sz w:val="17"/>
              </w:rPr>
              <w:t>No disqualifying offenses (felony within 10 yrs; controlled-substance felony; sex offense; violent felony). Expunged/sealed not disqualifying.</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Okonkwo — expunged 2016 misdemeanor (not disqualifying; a misdemeanor is not a felony). Ramachandran — no criminal history. State found no disqualifying offenses.</w:t>
            </w:r>
          </w:p>
        </w:tc>
        <w:tc>
          <w:tcPr>
            <w:tcW w:type="dxa" w:w="1368"/>
            <w:shd w:val="clear" w:color="auto" w:fill="C6EFCE"/>
            <w:tcMar>
              <w:top w:w="40" w:type="dxa"/>
              <w:bottom w:w="40" w:type="dxa"/>
              <w:start w:w="60" w:type="dxa"/>
              <w:end w:w="60" w:type="dxa"/>
              <w:left w:w="60" w:type="dxa"/>
              <w:right w:w="60" w:type="dxa"/>
            </w:tcMar>
          </w:tcPr>
          <w:p>
            <w:pPr>
              <w:spacing w:after="20" w:before="20"/>
              <w:jc w:val="center"/>
            </w:pPr>
            <w:r/>
            <w:r>
              <w:rPr>
                <w:rFonts w:ascii="Calibri" w:hAnsi="Calibri"/>
                <w:b/>
                <w:color w:val="006100"/>
                <w:sz w:val="16"/>
              </w:rPr>
              <w:t>COMPLIANT</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None anticipated; confirm via City background-check results.</w:t>
            </w:r>
          </w:p>
        </w:tc>
      </w:tr>
    </w:tbl>
    <w:p>
      <w:pPr>
        <w:keepNext/>
        <w:spacing w:before="200" w:after="80"/>
        <w:pBdr>
          <w:bottom w:val="single" w:sz="6" w:space="2" w:color="1F3864"/>
        </w:pBdr>
      </w:pPr>
      <w:r>
        <w:rPr>
          <w:b/>
          <w:color w:val="1F3864"/>
          <w:sz w:val="24"/>
        </w:rPr>
        <w:t>Section J — Pre-Issuance Conditions (Code §9-5-11; due after City Council approval, before permit issuance)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J-1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City Council approval.</w:t>
            </w:r>
            <w:r>
              <w:br/>
            </w:r>
            <w:r>
              <w:rPr>
                <w:rFonts w:ascii="Calibri" w:hAnsi="Calibri"/>
                <w:b w:val="0"/>
                <w:sz w:val="17"/>
              </w:rPr>
              <w:t>Code §9-5-11(A), §9-5-7(F).</w:t>
            </w:r>
            <w:r>
              <w:br/>
            </w:r>
            <w:r>
              <w:rPr>
                <w:rFonts w:ascii="Calibri" w:hAnsi="Calibri"/>
                <w:b w:val="0"/>
                <w:sz w:val="17"/>
              </w:rPr>
              <w:t>Council vote to approve following public hearing and ZBA process.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Pending review process.</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Obtain City Council approval following the Liquor &amp; Cannabis Board public hearing and ZBA recommendation.</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J-2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Annual permit fee ($15,000).</w:t>
            </w:r>
            <w:r>
              <w:br/>
            </w:r>
            <w:r>
              <w:rPr>
                <w:rFonts w:ascii="Calibri" w:hAnsi="Calibri"/>
                <w:b w:val="0"/>
                <w:sz w:val="17"/>
              </w:rPr>
              <w:t>Code §9-5-11(B), §9-5-14.</w:t>
            </w:r>
            <w:r>
              <w:br/>
            </w:r>
            <w:r>
              <w:rPr>
                <w:rFonts w:ascii="Calibri" w:hAnsi="Calibri"/>
                <w:b w:val="0"/>
                <w:sz w:val="17"/>
              </w:rPr>
              <w:t>$15,000 payable prior to issuance; certified check or EFT.</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Budgeted; not yet due.</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Pay $15,000 by certified check/EFT within 30 days of Council approval (Guide §6).</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J-3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Final insurance certificates (additional insured).</w:t>
            </w:r>
            <w:r>
              <w:br/>
            </w:r>
            <w:r>
              <w:rPr>
                <w:rFonts w:ascii="Calibri" w:hAnsi="Calibri"/>
                <w:b w:val="0"/>
                <w:sz w:val="17"/>
              </w:rPr>
              <w:t>Code §9-5-11(C), §9-5-16.</w:t>
            </w:r>
            <w:r>
              <w:br/>
            </w:r>
            <w:r>
              <w:rPr>
                <w:rFonts w:ascii="Calibri" w:hAnsi="Calibri"/>
                <w:b w:val="0"/>
                <w:sz w:val="17"/>
              </w:rPr>
              <w:t>Final certificates with City as additional insured; all coverages bound.</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GL/PL obtained; WC and Crime/Theft pending; City not yet named additional insured.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Submit final certificates with the City as additional insured (GL, PL); ensure all coverages bound (D-1 to D-4).</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J-4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Performance bond / LOC ($50,000).</w:t>
            </w:r>
            <w:r>
              <w:br/>
            </w:r>
            <w:r>
              <w:rPr>
                <w:rFonts w:ascii="Calibri" w:hAnsi="Calibri"/>
                <w:b w:val="0"/>
                <w:sz w:val="17"/>
              </w:rPr>
              <w:t>Code §9-5-11(D), §9-5-17.</w:t>
            </w:r>
            <w:r>
              <w:br/>
            </w:r>
            <w:r>
              <w:rPr>
                <w:rFonts w:ascii="Calibri" w:hAnsi="Calibri"/>
                <w:b w:val="0"/>
                <w:sz w:val="17"/>
              </w:rPr>
              <w:t>$50K bond/LOC in a form acceptable to the City Attorney; surety AM Best ≥ A-; maintained for permit duration + 1 year.</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Preliminary inquiry only; no instrument obtained.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Submit the $50K bond/LOC in a form acceptable to the City Attorney; surety AM Best ≥ A-; maintain for the permit duration plus one year (§9-5-17(D)).</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J-5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Certificate of Occupancy.</w:t>
            </w:r>
            <w:r>
              <w:br/>
            </w:r>
            <w:r>
              <w:rPr>
                <w:rFonts w:ascii="Calibri" w:hAnsi="Calibri"/>
                <w:b w:val="0"/>
                <w:sz w:val="17"/>
              </w:rPr>
              <w:t>Code §9-5-11(E).</w:t>
            </w:r>
            <w:r>
              <w:br/>
            </w:r>
            <w:r>
              <w:rPr>
                <w:rFonts w:ascii="Calibri" w:hAnsi="Calibri"/>
                <w:b w:val="0"/>
                <w:sz w:val="17"/>
              </w:rPr>
              <w:t>CO from the Building Division for the cannabis dispensary configuration.</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Build-out not yet complete.</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Complete build-out; pass building/fire/life-safety inspections; obtain the CO for the cannabis dispensary configuration.</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J-6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Security system inspection.</w:t>
            </w:r>
            <w:r>
              <w:br/>
            </w:r>
            <w:r>
              <w:rPr>
                <w:rFonts w:ascii="Calibri" w:hAnsi="Calibri"/>
                <w:b w:val="0"/>
                <w:sz w:val="17"/>
              </w:rPr>
              <w:t>Code §9-5-11(F).</w:t>
            </w:r>
            <w:r>
              <w:br/>
            </w:r>
            <w:r>
              <w:rPr>
                <w:rFonts w:ascii="Calibri" w:hAnsi="Calibri"/>
                <w:b w:val="0"/>
                <w:sz w:val="17"/>
              </w:rPr>
              <w:t>Security systems installed, tested, and verified by the Coordinator or EPD.</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Systems not yet installed.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Install/test/verify all security systems; inspection by the Coordinator or EPD.</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J-7</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Employee Agent ID cards.</w:t>
            </w:r>
            <w:r>
              <w:br/>
            </w:r>
            <w:r>
              <w:rPr>
                <w:rFonts w:ascii="Calibri" w:hAnsi="Calibri"/>
                <w:b w:val="0"/>
                <w:sz w:val="17"/>
              </w:rPr>
              <w:t>Code §9-5-11(G).</w:t>
            </w:r>
            <w:r>
              <w:br/>
            </w:r>
            <w:r>
              <w:rPr>
                <w:rFonts w:ascii="Calibri" w:hAnsi="Calibri"/>
                <w:b w:val="0"/>
                <w:sz w:val="17"/>
              </w:rPr>
              <w:t>Verification that all opening employees hold valid Agent ID Cards.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No employees yet.</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Verify all opening employees hold Agent ID Cards before permit issuance.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J-8</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Signed community benefit agreement.</w:t>
            </w:r>
            <w:r>
              <w:br/>
            </w:r>
            <w:r>
              <w:rPr>
                <w:rFonts w:ascii="Calibri" w:hAnsi="Calibri"/>
                <w:b w:val="0"/>
                <w:sz w:val="17"/>
              </w:rPr>
              <w:t>Code §9-5-11(H), §9-5-15.</w:t>
            </w:r>
            <w:r>
              <w:br/>
            </w:r>
            <w:r>
              <w:rPr>
                <w:rFonts w:ascii="Calibri" w:hAnsi="Calibri"/>
                <w:b w:val="0"/>
                <w:sz w:val="17"/>
              </w:rPr>
              <w:t>Execute a signed community benefit agreement per the approved plan.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Plan described; agreement not yet executed.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Execute the signed community benefit agreement committing to the approved contributions and obligations.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J-9</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Valid State license at issuance.</w:t>
            </w:r>
            <w:r>
              <w:br/>
            </w:r>
            <w:r>
              <w:rPr>
                <w:rFonts w:ascii="Calibri" w:hAnsi="Calibri"/>
                <w:b w:val="0"/>
                <w:sz w:val="17"/>
              </w:rPr>
              <w:t>Code §9-5-11(I), §9-5-27(D).</w:t>
            </w:r>
            <w:r>
              <w:br/>
            </w:r>
            <w:r>
              <w:rPr>
                <w:rFonts w:ascii="Calibri" w:hAnsi="Calibri"/>
                <w:b w:val="0"/>
                <w:sz w:val="17"/>
              </w:rPr>
              <w:t>Must hold a valid State license at permit issuance; lapse of State license automatically suspends the local permit.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Conditional license expires 9/21/2024 — before anticipated local permit issuance.</w:t>
            </w:r>
          </w:p>
        </w:tc>
        <w:tc>
          <w:tcPr>
            <w:tcW w:type="dxa" w:w="1368"/>
            <w:shd w:val="clear" w:color="auto" w:fill="FFEB9C"/>
            <w:tcMar>
              <w:top w:w="40" w:type="dxa"/>
              <w:bottom w:w="40" w:type="dxa"/>
              <w:start w:w="60" w:type="dxa"/>
              <w:end w:w="60" w:type="dxa"/>
              <w:left w:w="60" w:type="dxa"/>
              <w:right w:w="60" w:type="dxa"/>
            </w:tcMar>
          </w:tcPr>
          <w:p>
            <w:pPr>
              <w:spacing w:after="20" w:before="20"/>
              <w:jc w:val="center"/>
            </w:pPr>
            <w:r/>
            <w:r>
              <w:rPr>
                <w:rFonts w:ascii="Calibri" w:hAnsi="Calibri"/>
                <w:b/>
                <w:color w:val="9C5700"/>
                <w:sz w:val="16"/>
              </w:rPr>
              <w:t>AT RISK</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Critical</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Must hold a valid State license at permit issuance. The conditional license expires 9/21/2024 — see A-3; a State extension or accelerated local approval is required, or the local permit cannot issue.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J-10</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Final special use approval.</w:t>
            </w:r>
            <w:r>
              <w:br/>
            </w:r>
            <w:r>
              <w:rPr>
                <w:rFonts w:ascii="Calibri" w:hAnsi="Calibri"/>
                <w:b w:val="0"/>
                <w:sz w:val="17"/>
              </w:rPr>
              <w:t>Code §9-5-11(J), §9-5-9(D).</w:t>
            </w:r>
            <w:r>
              <w:br/>
            </w:r>
            <w:r>
              <w:rPr>
                <w:rFonts w:ascii="Calibri" w:hAnsi="Calibri"/>
                <w:b w:val="0"/>
                <w:sz w:val="17"/>
              </w:rPr>
              <w:t>Final special use approval granted by the City Council (ZBA recommendation).</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Special use application not yet filed.</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Obtain final special use approval from the City Council following the ZBA recommendation — see B-18.</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J-11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Pre-issuance submission window (30 days).</w:t>
            </w:r>
            <w:r>
              <w:br/>
            </w:r>
            <w:r>
              <w:rPr>
                <w:rFonts w:ascii="Calibri" w:hAnsi="Calibri"/>
                <w:b w:val="0"/>
                <w:sz w:val="17"/>
              </w:rPr>
              <w:t>Guide §6.</w:t>
            </w:r>
            <w:r>
              <w:br/>
            </w:r>
            <w:r>
              <w:rPr>
                <w:rFonts w:ascii="Calibri" w:hAnsi="Calibri"/>
                <w:b w:val="0"/>
                <w:sz w:val="17"/>
              </w:rPr>
              <w:t>All pre-issuance items submitted within 30 days of Council approval.</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Not yet applicable.</w:t>
            </w:r>
          </w:p>
        </w:tc>
        <w:tc>
          <w:tcPr>
            <w:tcW w:type="dxa" w:w="1368"/>
            <w:shd w:val="clear" w:color="auto" w:fill="D9D9D9"/>
            <w:tcMar>
              <w:top w:w="40" w:type="dxa"/>
              <w:bottom w:w="40" w:type="dxa"/>
              <w:start w:w="60" w:type="dxa"/>
              <w:end w:w="60" w:type="dxa"/>
              <w:left w:w="60" w:type="dxa"/>
              <w:right w:w="60" w:type="dxa"/>
            </w:tcMar>
          </w:tcPr>
          <w:p>
            <w:pPr>
              <w:spacing w:after="20" w:before="20"/>
              <w:jc w:val="center"/>
            </w:pPr>
            <w:r/>
            <w:r>
              <w:rPr>
                <w:rFonts w:ascii="Calibri" w:hAnsi="Calibri"/>
                <w:b/>
                <w:color w:val="3F3F3F"/>
                <w:sz w:val="16"/>
              </w:rPr>
              <w:t>PENDING</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Track the 30-day deadline; failure to submit may result in forfeiture of the approval.</w:t>
            </w:r>
          </w:p>
        </w:tc>
      </w:tr>
    </w:tbl>
    <w:p>
      <w:pPr>
        <w:keepNext/>
        <w:spacing w:before="200" w:after="80"/>
        <w:pBdr>
          <w:bottom w:val="single" w:sz="6" w:space="2" w:color="1F3864"/>
        </w:pBdr>
      </w:pPr>
      <w:r>
        <w:rPr>
          <w:b/>
          <w:color w:val="1F3864"/>
          <w:sz w:val="24"/>
        </w:rPr>
        <w:t>Section K — Internal Inconsistencies in the City's Governing Documents (Code vs. Guide vs. Form)</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Application fee payment method.</w:t>
            </w:r>
            <w:r>
              <w:br/>
            </w:r>
            <w:r>
              <w:rPr>
                <w:rFonts w:ascii="Calibri" w:hAnsi="Calibri"/>
                <w:b w:val="0"/>
                <w:sz w:val="17"/>
              </w:rPr>
              <w:t>Code §9-5-6(C) vs. Guide §1 vs. Form §13.</w:t>
            </w:r>
            <w:r>
              <w:br/>
            </w:r>
            <w:r>
              <w:rPr>
                <w:rFonts w:ascii="Calibri" w:hAnsi="Calibri"/>
                <w:b w:val="0"/>
                <w:sz w:val="17"/>
              </w:rPr>
              <w:t>Code = certified check or EFT; Guide = cashier's check or money order; Form = certified/cashier's check or wire transfer. Money order (Guide) is not in the Code; wire (Form) ≈ EFT (Code).</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City's three documents state different acceptable payment methods.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Confirm the acceptable method with the Coordinator; safest = certified check (common to Code and Form).</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Deficiency cure period.</w:t>
            </w:r>
            <w:r>
              <w:br/>
            </w:r>
            <w:r>
              <w:rPr>
                <w:rFonts w:ascii="Calibri" w:hAnsi="Calibri"/>
                <w:b w:val="0"/>
                <w:sz w:val="17"/>
              </w:rPr>
              <w:t>Code §9-5-7(C) vs. Guide §1/§3 vs. Form instructions.</w:t>
            </w:r>
            <w:r>
              <w:br/>
            </w:r>
            <w:r>
              <w:rPr>
                <w:rFonts w:ascii="Calibri" w:hAnsi="Calibri"/>
                <w:b w:val="0"/>
                <w:sz w:val="17"/>
              </w:rPr>
              <w:t>Code = 30 calendar days to cure; Guide &amp; Form = 14 calendar days.</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Guide and Form shortchange the cure period relative to the Code.</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The Code (ordinance) controls — applicants are entitled to 30 days. Confirm with the Coordinator; plan to cure within 14 days to be safe.</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Completeness determination timeline.</w:t>
            </w:r>
            <w:r>
              <w:br/>
            </w:r>
            <w:r>
              <w:rPr>
                <w:rFonts w:ascii="Calibri" w:hAnsi="Calibri"/>
                <w:b w:val="0"/>
                <w:sz w:val="17"/>
              </w:rPr>
              <w:t>Code §9-5-7(C) vs. Guide §1/§4 vs. Form instructions.</w:t>
            </w:r>
            <w:r>
              <w:br/>
            </w:r>
            <w:r>
              <w:rPr>
                <w:rFonts w:ascii="Calibri" w:hAnsi="Calibri"/>
                <w:b w:val="0"/>
                <w:sz w:val="17"/>
              </w:rPr>
              <w:t>Code = completeness determination within 90 days of receipt; Guide/Form = 90-day substantive review after completeness (Guide also states a 30-day completeness target).</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The 90-day periods in the Code and the Guide/Form measure different things.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Note the Code's 90-day completeness clock runs from receipt; plan accordingly.</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Permitted zoning districts (Form error).</w:t>
            </w:r>
            <w:r>
              <w:br/>
            </w:r>
            <w:r>
              <w:rPr>
                <w:rFonts w:ascii="Calibri" w:hAnsi="Calibri"/>
                <w:b w:val="0"/>
                <w:sz w:val="17"/>
              </w:rPr>
              <w:t>Code §9-5-9(A) vs. Form §3 Q3 Note.</w:t>
            </w:r>
            <w:r>
              <w:br/>
            </w:r>
            <w:r>
              <w:rPr>
                <w:rFonts w:ascii="Calibri" w:hAnsi="Calibri"/>
                <w:b w:val="0"/>
                <w:sz w:val="17"/>
              </w:rPr>
              <w:t>Form lists C1a, C1 Commercial, and B2 Business; Code lists C1a, C2 Commercial-Service, and oC1 Office-Commercial. Only C1a matches.</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Form lists incorrect permitted districts.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Rely on Code §9-5-9(A) (C1a/C2/oC1). The applicant's C1a site is permitted. Flag the Form error to the Coordinator.</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Operating hours cross-reference (Form error).</w:t>
            </w:r>
            <w:r>
              <w:br/>
            </w:r>
            <w:r>
              <w:rPr>
                <w:rFonts w:ascii="Calibri" w:hAnsi="Calibri"/>
                <w:b w:val="0"/>
                <w:sz w:val="17"/>
              </w:rPr>
              <w:t>Form §5 Q11 vs. Code §9-5-13(F).</w:t>
            </w:r>
            <w:r>
              <w:br/>
            </w:r>
            <w:r>
              <w:rPr>
                <w:rFonts w:ascii="Calibri" w:hAnsi="Calibri"/>
                <w:b w:val="0"/>
                <w:sz w:val="17"/>
              </w:rPr>
              <w:t>Form cites "Section 9-5-17" for hours; §9-5-17 is the performance-bond section. Hours are in §9-5-13(F).</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Form cites the wrong Code section.</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Cite §9-5-13(F); flag the Form error.</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K-6</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Maximum occupancy formula (Form error).</w:t>
            </w:r>
            <w:r>
              <w:br/>
            </w:r>
            <w:r>
              <w:rPr>
                <w:rFonts w:ascii="Calibri" w:hAnsi="Calibri"/>
                <w:b w:val="0"/>
                <w:sz w:val="17"/>
              </w:rPr>
              <w:t>Form §5 Q12 vs. Code §9-5-13(J).</w:t>
            </w:r>
            <w:r>
              <w:br/>
            </w:r>
            <w:r>
              <w:rPr>
                <w:rFonts w:ascii="Calibri" w:hAnsi="Calibri"/>
                <w:b w:val="0"/>
                <w:sz w:val="17"/>
              </w:rPr>
              <w:t>Form instructs "Total Dispensary Square Footage ÷ 40"; the Code uses RETAIL FLOOR AREA. The Form would yield 80 (3,200÷40); the Code yields 40 (1,600÷40).</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Form uses the wrong square-footage basis.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Use retail floor area per the Code (the applicant correctly calculated 40). Flag the Form error to the Coordinator; do NOT use 80.</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K-7</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Community engagement cross-reference (Form error).</w:t>
            </w:r>
            <w:r>
              <w:br/>
            </w:r>
            <w:r>
              <w:rPr>
                <w:rFonts w:ascii="Calibri" w:hAnsi="Calibri"/>
                <w:b w:val="0"/>
                <w:sz w:val="17"/>
              </w:rPr>
              <w:t>Form §7 Q22 vs. Code §9-5-8.</w:t>
            </w:r>
            <w:r>
              <w:br/>
            </w:r>
            <w:r>
              <w:rPr>
                <w:rFonts w:ascii="Calibri" w:hAnsi="Calibri"/>
                <w:b w:val="0"/>
                <w:sz w:val="17"/>
              </w:rPr>
              <w:t>Form cites "Section 9-5-15" for community engagement; §9-5-15 is the community benefit contribution section. Community engagement is §9-5-8.</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Form cites the wrong Code section.</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Cite §9-5-8; flag the Form error.</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K-8</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Social equity ownership threshold language.</w:t>
            </w:r>
            <w:r>
              <w:br/>
            </w:r>
            <w:r>
              <w:rPr>
                <w:rFonts w:ascii="Calibri" w:hAnsi="Calibri"/>
                <w:b w:val="0"/>
                <w:sz w:val="17"/>
              </w:rPr>
              <w:t>Code §9-5-19(B) ("majority") vs. Guide §2 / State ("51%").</w:t>
            </w:r>
            <w:r>
              <w:br/>
            </w:r>
            <w:r>
              <w:rPr>
                <w:rFonts w:ascii="Calibri" w:hAnsi="Calibri"/>
                <w:b w:val="0"/>
                <w:sz w:val="17"/>
              </w:rPr>
              <w:t>Code says "majority"; Guide and State say "≥51%."</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Different threshold phrasing across documents.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60% satisfies both; no applicant impact. Note the variance.</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K-9</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Social equity DIA option (Form error).</w:t>
            </w:r>
            <w:r>
              <w:br/>
            </w:r>
            <w:r>
              <w:rPr>
                <w:rFonts w:ascii="Calibri" w:hAnsi="Calibri"/>
                <w:b w:val="0"/>
                <w:sz w:val="17"/>
              </w:rPr>
              <w:t>Form §6 Q19 vs. Code §9-5-19(B).</w:t>
            </w:r>
            <w:r>
              <w:br/>
            </w:r>
            <w:r>
              <w:rPr>
                <w:rFonts w:ascii="Calibri" w:hAnsi="Calibri"/>
                <w:b w:val="0"/>
                <w:sz w:val="17"/>
              </w:rPr>
              <w:t>The Form offers "Resident of Disproportionately Impacted Area (410 ILCS 705/1-10)" as an SE basis; the City Code SE bases are R3 residency (24 mo), expunged/sealed/pardoned conviction, or family-member conviction — DIA residency is NOT a City SE basis.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Form includes a non-Code SE basis.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Claim the City SE bases (R3 residency + expunged conviction), not DIA. Flag the Form error.</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K-10</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"Other sensitive uses" buffer (Form error).</w:t>
            </w:r>
            <w:r>
              <w:br/>
            </w:r>
            <w:r>
              <w:rPr>
                <w:rFonts w:ascii="Calibri" w:hAnsi="Calibri"/>
                <w:b w:val="0"/>
                <w:sz w:val="17"/>
              </w:rPr>
              <w:t>Form §3 Q8 vs. Code §9-5-9(E).</w:t>
            </w:r>
            <w:r>
              <w:br/>
            </w:r>
            <w:r>
              <w:rPr>
                <w:rFonts w:ascii="Calibri" w:hAnsi="Calibri"/>
                <w:b w:val="0"/>
                <w:sz w:val="17"/>
              </w:rPr>
              <w:t>The Form asks the applicant to identify public parks/libraries/residential treatment facilities within 500'; Code §9-5-9(E) EXCLUDES religious institutions, public parks, public libraries, hospitals, and residential properties from buffer requirements.</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Form asks about uses the Code excludes from buffers.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Parks and libraries are not protected uses under the Code; proximity is not disqualifying. Complete Form Q8 for informational purposes; flag the inconsistency.</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K-11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Agent-in-Charge availability standard.</w:t>
            </w:r>
            <w:r>
              <w:br/>
            </w:r>
            <w:r>
              <w:rPr>
                <w:rFonts w:ascii="Calibri" w:hAnsi="Calibri"/>
                <w:b w:val="0"/>
                <w:sz w:val="17"/>
              </w:rPr>
              <w:t>Code §9-5-13(I) vs. Form §2 Q13.</w:t>
            </w:r>
            <w:r>
              <w:br/>
            </w:r>
            <w:r>
              <w:rPr>
                <w:rFonts w:ascii="Calibri" w:hAnsi="Calibri"/>
                <w:b w:val="0"/>
                <w:sz w:val="17"/>
              </w:rPr>
              <w:t>Code requires the AIC to be available to return within 30 minutes; Form requires available by phone + reside within 30 miles.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Code is stricter than the Form.</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Satisfy the stricter Code 30-minute return standard; the applicant (Evanston resident) likely complies.</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K-12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Buffer measurement methodology.</w:t>
            </w:r>
            <w:r>
              <w:br/>
            </w:r>
            <w:r>
              <w:rPr>
                <w:rFonts w:ascii="Calibri" w:hAnsi="Calibri"/>
                <w:b w:val="0"/>
                <w:sz w:val="17"/>
              </w:rPr>
              <w:t>Code §9-5-9(C) vs. Form §3 Q7.</w:t>
            </w:r>
            <w:r>
              <w:br/>
            </w:r>
            <w:r>
              <w:rPr>
                <w:rFonts w:ascii="Calibri" w:hAnsi="Calibri"/>
                <w:b w:val="0"/>
                <w:sz w:val="17"/>
              </w:rPr>
              <w:t>Code = nearest property line to nearest property line (straight-line); Form = nearest pedestrian route and explicitly rejects straight-line.</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Code and Form specify conflicting measurement methodologies.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High</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The Code controls (property-line-to-property-line); however, to avoid a deficiency notice, provide pedestrian-route measurements (which will also show compliance since straight-line already exceeds the buffers). See B-6.</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K-13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Certificate of Good Standing window.</w:t>
            </w:r>
            <w:r>
              <w:br/>
            </w:r>
            <w:r>
              <w:rPr>
                <w:rFonts w:ascii="Calibri" w:hAnsi="Calibri"/>
                <w:b w:val="0"/>
                <w:sz w:val="17"/>
              </w:rPr>
              <w:t>Code §9-5-5(B)(3) (60 days) vs. Form checklist (30 days).</w:t>
            </w:r>
            <w:r>
              <w:br/>
            </w:r>
            <w:r>
              <w:rPr>
                <w:rFonts w:ascii="Calibri" w:hAnsi="Calibri"/>
                <w:b w:val="0"/>
                <w:sz w:val="17"/>
              </w:rPr>
              <w:t>Code = within 60 days; Form = within 30 days.</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Form is stricter than the Code.</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Obtain the certificate within 30 days (stricter Form standard) to be safe.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K-14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Lease term measurement date.</w:t>
            </w:r>
            <w:r>
              <w:br/>
            </w:r>
            <w:r>
              <w:rPr>
                <w:rFonts w:ascii="Calibri" w:hAnsi="Calibri"/>
                <w:b w:val="0"/>
                <w:sz w:val="17"/>
              </w:rPr>
              <w:t>Code §9-5-5(B)(5) (from anticipated permit issuance) vs. Guide/Form (from application submission).</w:t>
            </w:r>
            <w:r>
              <w:br/>
            </w:r>
            <w:r>
              <w:rPr>
                <w:rFonts w:ascii="Calibri" w:hAnsi="Calibri"/>
                <w:b w:val="0"/>
                <w:sz w:val="17"/>
              </w:rPr>
              <w:t>Different start dates for the 3-year minimum.</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Code and Guide/Form measure the lease term from different dates.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The applicant's 7-year lease satisfies both; no impact.</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K-15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Coordinator contact information.</w:t>
            </w:r>
            <w:r>
              <w:br/>
            </w:r>
            <w:r>
              <w:rPr>
                <w:rFonts w:ascii="Calibri" w:hAnsi="Calibri"/>
                <w:b w:val="0"/>
                <w:sz w:val="17"/>
              </w:rPr>
              <w:t>Guide §8 vs. Form header.</w:t>
            </w:r>
            <w:r>
              <w:br/>
            </w:r>
            <w:r>
              <w:rPr>
                <w:rFonts w:ascii="Calibri" w:hAnsi="Calibri"/>
                <w:b w:val="0"/>
                <w:sz w:val="17"/>
              </w:rPr>
              <w:t>Phone (847) 448-4311 (Guide) vs. (847) 448-8163 (Form); email rvasquezmorris@ (Guide) vs. rvasquez-morris@ (Form, with hyphen).</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Different phone and email for the Coordinator across documents.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Confirm the correct contact information with the City; use the Guide information for official correspondence.</w:t>
            </w:r>
          </w:p>
        </w:tc>
      </w:tr>
    </w:tbl>
    <w:p>
      <w:pPr>
        <w:keepNext/>
        <w:spacing w:before="200" w:after="80"/>
        <w:pBdr>
          <w:bottom w:val="single" w:sz="6" w:space="2" w:color="1F3864"/>
        </w:pBdr>
      </w:pPr>
      <w:r>
        <w:rPr>
          <w:b/>
          <w:color w:val="1F3864"/>
          <w:sz w:val="24"/>
        </w:rPr>
        <w:t>Section L — Cross-Document Inconsistencies in the Applicant's Own Documents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cantSplit/>
        </w:trPr>
        <w:tc>
          <w:tcPr>
            <w:tcW w:type="dxa" w:w="64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Ref</w:t>
            </w:r>
          </w:p>
        </w:tc>
        <w:tc>
          <w:tcPr>
            <w:tcW w:type="dxa" w:w="352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Requirement &amp; Source</w:t>
            </w:r>
          </w:p>
        </w:tc>
        <w:tc>
          <w:tcPr>
            <w:tcW w:type="dxa" w:w="3672"/>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Applicant Status / Evidence</w:t>
            </w:r>
          </w:p>
        </w:tc>
        <w:tc>
          <w:tcPr>
            <w:tcW w:type="dxa" w:w="1368"/>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Status</w:t>
            </w:r>
          </w:p>
        </w:tc>
        <w:tc>
          <w:tcPr>
            <w:tcW w:type="dxa" w:w="86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Priority</w:t>
            </w:r>
          </w:p>
        </w:tc>
        <w:tc>
          <w:tcPr>
            <w:tcW w:type="dxa" w:w="3744"/>
            <w:shd w:val="clear" w:color="auto" w:fill="1F3864"/>
            <w:tcMar>
              <w:top w:w="40" w:type="dxa"/>
              <w:bottom w:w="40" w:type="dxa"/>
              <w:start w:w="60" w:type="dxa"/>
              <w:end w:w="60" w:type="dxa"/>
              <w:left w:w="60" w:type="dxa"/>
              <w:right w:w="60" w:type="dxa"/>
            </w:tcMar>
          </w:tcPr>
          <w:p>
            <w:pPr>
              <w:spacing w:after="20" w:before="20"/>
              <w:jc w:val="center"/>
            </w:pPr>
            <w:r/>
            <w:r>
              <w:rPr>
                <w:rFonts w:ascii="Calibri" w:hAnsi="Calibri"/>
                <w:b/>
                <w:color w:val="FFFFFF"/>
                <w:sz w:val="17"/>
              </w:rPr>
              <w:t>Remediation Notes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L-1</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Registered agent name.</w:t>
            </w:r>
            <w:r>
              <w:br/>
            </w:r>
            <w:r>
              <w:rPr>
                <w:rFonts w:ascii="Calibri" w:hAnsi="Calibri"/>
                <w:b w:val="0"/>
                <w:sz w:val="17"/>
              </w:rPr>
              <w:t>State License vs. Business Plan / Lease Summary.</w:t>
            </w:r>
            <w:r>
              <w:br/>
            </w:r>
            <w:r>
              <w:rPr>
                <w:rFonts w:ascii="Calibri" w:hAnsi="Calibri"/>
                <w:b w:val="0"/>
                <w:sz w:val="17"/>
              </w:rPr>
              <w:t>State License = "Keystone Statutory Services"; Business Plan §2.1 and Lease §1 = "Northwest Statutory Services" (same address, 205 N. Michigan Ave., Suite 810, Chicago).</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Inconsistent registered-agent name across documents.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Reconcile — verify the actual registered agent with the IL SOS and correct the inconsistent documents. The State license (an official document) is likely authoritative.</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L-2</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Parking space count.</w:t>
            </w:r>
            <w:r>
              <w:br/>
            </w:r>
            <w:r>
              <w:rPr>
                <w:rFonts w:ascii="Calibri" w:hAnsi="Calibri"/>
                <w:b w:val="0"/>
                <w:sz w:val="17"/>
              </w:rPr>
              <w:t>Community Engagement Report §2.3 vs. Lease Summary §2.</w:t>
            </w:r>
            <w:r>
              <w:br/>
            </w:r>
            <w:r>
              <w:rPr>
                <w:rFonts w:ascii="Calibri" w:hAnsi="Calibri"/>
                <w:b w:val="0"/>
                <w:sz w:val="17"/>
              </w:rPr>
              <w:t>Community report states 12 dedicated parking spaces; lease states 8 designated parking spaces.</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Inconsistent parking count across documents.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Medium</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Reconcile — the lease (authoritative) states 8; correct the community-report statement; ensure parking meets the City's minimum off-street parking requirements.</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L-3</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Okonkwo contact phone.</w:t>
            </w:r>
            <w:r>
              <w:br/>
            </w:r>
            <w:r>
              <w:rPr>
                <w:rFonts w:ascii="Calibri" w:hAnsi="Calibri"/>
                <w:b w:val="0"/>
                <w:sz w:val="17"/>
              </w:rPr>
              <w:t>Business Plan (872) 555-0193 vs. Insurance Memo (847) 555-0193.</w:t>
            </w:r>
            <w:r>
              <w:br/>
            </w:r>
            <w:r>
              <w:rPr>
                <w:rFonts w:ascii="Calibri" w:hAnsi="Calibri"/>
                <w:b w:val="0"/>
                <w:sz w:val="17"/>
              </w:rPr>
              <w:t>Inconsistent area code.</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Inconsistent phone number across documents.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Correct to a single consistent number across all documents.</w:t>
            </w:r>
          </w:p>
        </w:tc>
      </w:tr>
      <w:tr>
        <w:trPr>
          <w:cantSplit/>
        </w:trPr>
        <w:tc>
          <w:tcPr>
            <w:tcW w:type="dxa" w:w="648"/>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sz w:val="17"/>
              </w:rPr>
              <w:t>L-4</w:t>
            </w:r>
          </w:p>
        </w:tc>
        <w:tc>
          <w:tcPr>
            <w:tcW w:type="dxa" w:w="3528"/>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Okonkwo / company email.</w:t>
            </w:r>
            <w:r>
              <w:br/>
            </w:r>
            <w:r>
              <w:rPr>
                <w:rFonts w:ascii="Calibri" w:hAnsi="Calibri"/>
                <w:b w:val="0"/>
                <w:sz w:val="17"/>
              </w:rPr>
              <w:t>Business Plan dokonkwo@greenleaftherapeuticsllc.com; Community Report info@greenleaftherapeuticsllc.com; Insurance Memo dokonkwo@greenleaftherapeutics.com.</w:t>
            </w:r>
            <w:r>
              <w:br/>
            </w:r>
            <w:r>
              <w:rPr>
                <w:rFonts w:ascii="Calibri" w:hAnsi="Calibri"/>
                <w:b w:val="0"/>
                <w:sz w:val="17"/>
              </w:rPr>
              <w:t>Multiple email variants (different domains).</w:t>
            </w:r>
          </w:p>
        </w:tc>
        <w:tc>
          <w:tcPr>
            <w:tcW w:type="dxa" w:w="3672"/>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Inconsistent email across documents.</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shd w:val="clear" w:color="auto" w:fill="F2F2F2"/>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shd w:val="clear" w:color="auto" w:fill="F2F2F2"/>
          </w:tcPr>
          <w:p>
            <w:pPr>
              <w:spacing w:after="20" w:before="20"/>
            </w:pPr>
            <w:r/>
            <w:r>
              <w:rPr>
                <w:rFonts w:ascii="Calibri" w:hAnsi="Calibri"/>
                <w:b w:val="0"/>
                <w:sz w:val="17"/>
              </w:rPr>
              <w:t>Standardize a single official contact email; ensure notices (E-3) use the consistent email and add a telephone number.</w:t>
            </w:r>
          </w:p>
        </w:tc>
      </w:tr>
      <w:tr>
        <w:trPr>
          <w:cantSplit/>
        </w:trPr>
        <w:tc>
          <w:tcPr>
            <w:tcW w:type="dxa" w:w="648"/>
            <w:tcMar>
              <w:top w:w="40" w:type="dxa"/>
              <w:bottom w:w="40" w:type="dxa"/>
              <w:start w:w="60" w:type="dxa"/>
              <w:end w:w="60" w:type="dxa"/>
              <w:left w:w="60" w:type="dxa"/>
              <w:right w:w="60" w:type="dxa"/>
            </w:tcMar>
          </w:tcPr>
          <w:p>
            <w:pPr>
              <w:spacing w:after="20" w:before="20"/>
              <w:jc w:val="center"/>
            </w:pPr>
            <w:r/>
            <w:r>
              <w:rPr>
                <w:rFonts w:ascii="Calibri" w:hAnsi="Calibri"/>
                <w:b/>
                <w:sz w:val="17"/>
              </w:rPr>
              <w:t>L-5</w:t>
            </w:r>
          </w:p>
        </w:tc>
        <w:tc>
          <w:tcPr>
            <w:tcW w:type="dxa" w:w="3528"/>
            <w:tcMar>
              <w:top w:w="40" w:type="dxa"/>
              <w:bottom w:w="40" w:type="dxa"/>
              <w:start w:w="60" w:type="dxa"/>
              <w:end w:w="60" w:type="dxa"/>
              <w:left w:w="60" w:type="dxa"/>
              <w:right w:w="60" w:type="dxa"/>
            </w:tcMar>
          </w:tcPr>
          <w:p>
            <w:pPr>
              <w:spacing w:after="20" w:before="20"/>
            </w:pPr>
            <w:r/>
            <w:r>
              <w:rPr>
                <w:rFonts w:ascii="Calibri" w:hAnsi="Calibri"/>
                <w:b w:val="0"/>
                <w:sz w:val="17"/>
              </w:rPr>
              <w:t>Notice contact email vs. application.</w:t>
            </w:r>
            <w:r>
              <w:br/>
            </w:r>
            <w:r>
              <w:rPr>
                <w:rFonts w:ascii="Calibri" w:hAnsi="Calibri"/>
                <w:b w:val="0"/>
                <w:sz w:val="17"/>
              </w:rPr>
              <w:t>Community Report notices (info@greenleaftherapeuticsllc.com) vs. Business Plan (dokonkwo@greenleaftherapeuticsllc.com).</w:t>
            </w:r>
            <w:r>
              <w:br/>
            </w:r>
            <w:r>
              <w:rPr>
                <w:rFonts w:ascii="Calibri" w:hAnsi="Calibri"/>
                <w:b w:val="0"/>
                <w:sz w:val="17"/>
              </w:rPr>
              <w:t>Notice uses info@; business plan uses dokonkwo@.</w:t>
            </w:r>
          </w:p>
        </w:tc>
        <w:tc>
          <w:tcPr>
            <w:tcW w:type="dxa" w:w="3672"/>
            <w:tcMar>
              <w:top w:w="40" w:type="dxa"/>
              <w:bottom w:w="40" w:type="dxa"/>
              <w:start w:w="60" w:type="dxa"/>
              <w:end w:w="60" w:type="dxa"/>
              <w:left w:w="60" w:type="dxa"/>
              <w:right w:w="60" w:type="dxa"/>
            </w:tcMar>
          </w:tcPr>
          <w:p>
            <w:pPr>
              <w:spacing w:after="20" w:before="20"/>
            </w:pPr>
            <w:r/>
            <w:r>
              <w:rPr>
                <w:rFonts w:ascii="Calibri" w:hAnsi="Calibri"/>
                <w:b w:val="0"/>
                <w:sz w:val="17"/>
              </w:rPr>
              <w:t>Inconsistent contact email between notices and business plan.</w:t>
            </w:r>
          </w:p>
        </w:tc>
        <w:tc>
          <w:tcPr>
            <w:tcW w:type="dxa" w:w="1368"/>
            <w:shd w:val="clear" w:color="auto" w:fill="E4DFEC"/>
            <w:tcMar>
              <w:top w:w="40" w:type="dxa"/>
              <w:bottom w:w="40" w:type="dxa"/>
              <w:start w:w="60" w:type="dxa"/>
              <w:end w:w="60" w:type="dxa"/>
              <w:left w:w="60" w:type="dxa"/>
              <w:right w:w="60" w:type="dxa"/>
            </w:tcMar>
          </w:tcPr>
          <w:p>
            <w:pPr>
              <w:spacing w:after="20" w:before="20"/>
              <w:jc w:val="center"/>
            </w:pPr>
            <w:r/>
            <w:r>
              <w:rPr>
                <w:rFonts w:ascii="Calibri" w:hAnsi="Calibri"/>
                <w:b/>
                <w:color w:val="5B2675"/>
                <w:sz w:val="16"/>
              </w:rPr>
              <w:t>DOC INCONSISTENCY</w:t>
            </w:r>
          </w:p>
        </w:tc>
        <w:tc>
          <w:tcPr>
            <w:tcW w:type="dxa" w:w="864"/>
            <w:tcMar>
              <w:top w:w="40" w:type="dxa"/>
              <w:bottom w:w="40" w:type="dxa"/>
              <w:start w:w="60" w:type="dxa"/>
              <w:end w:w="60" w:type="dxa"/>
              <w:left w:w="60" w:type="dxa"/>
              <w:right w:w="60" w:type="dxa"/>
            </w:tcMar>
          </w:tcPr>
          <w:p>
            <w:pPr>
              <w:spacing w:after="20" w:before="20"/>
              <w:jc w:val="center"/>
            </w:pPr>
            <w:r/>
            <w:r>
              <w:rPr>
                <w:rFonts w:ascii="Calibri" w:hAnsi="Calibri"/>
                <w:b w:val="0"/>
                <w:sz w:val="16"/>
              </w:rPr>
              <w:t>Low</w:t>
            </w:r>
          </w:p>
        </w:tc>
        <w:tc>
          <w:tcPr>
            <w:tcW w:type="dxa" w:w="3744"/>
            <w:tcMar>
              <w:top w:w="40" w:type="dxa"/>
              <w:bottom w:w="40" w:type="dxa"/>
              <w:start w:w="60" w:type="dxa"/>
              <w:end w:w="60" w:type="dxa"/>
              <w:left w:w="60" w:type="dxa"/>
              <w:right w:w="60" w:type="dxa"/>
            </w:tcMar>
          </w:tcPr>
          <w:p>
            <w:pPr>
              <w:spacing w:after="20" w:before="20"/>
            </w:pPr>
            <w:r/>
            <w:r>
              <w:rPr>
                <w:rFonts w:ascii="Calibri" w:hAnsi="Calibri"/>
                <w:b w:val="0"/>
                <w:sz w:val="17"/>
              </w:rPr>
              <w:t>Standardize; see L-4.</w:t>
            </w:r>
          </w:p>
        </w:tc>
      </w:tr>
    </w:tbl>
    <w:p>
      <w:r>
        <w:br w:type="page"/>
      </w:r>
    </w:p>
    <w:p>
      <w:pPr>
        <w:keepNext/>
        <w:spacing w:before="200" w:after="80"/>
        <w:pBdr>
          <w:bottom w:val="single" w:sz="6" w:space="2" w:color="1F3864"/>
        </w:pBdr>
      </w:pPr>
      <w:r>
        <w:rPr>
          <w:b/>
          <w:color w:val="1F3864"/>
          <w:sz w:val="24"/>
        </w:rPr>
        <w:t>6.  Critical Findings — Detailed Remediation</w:t>
      </w:r>
    </w:p>
    <w:p>
      <w:pPr>
        <w:spacing w:before="120" w:after="40"/>
      </w:pPr>
      <w:r>
        <w:rPr>
          <w:b/>
          <w:color w:val="9C0006"/>
          <w:sz w:val="22"/>
        </w:rPr>
        <w:t>6.1  State Conditional License Expiration Timeline  [A-3, J-9]</w:t>
      </w:r>
    </w:p>
    <w:p>
      <w:pPr>
        <w:spacing w:after="100"/>
      </w:pPr>
      <w:r>
        <w:rPr>
          <w:b w:val="0"/>
          <w:i w:val="0"/>
          <w:sz w:val="20"/>
        </w:rPr>
        <w:t>Greenleaf's State Conditional Adult-Use Dispensing Organization License (ADC-285-0147) is valid only through September 21, 2024. The business plan targets a City application submission of May 15, 2024, and the Guide estimates a total processing timeline of 120–150 days from submission to City Council action — placing anticipated Council action in approximately mid-September to mid-October 2024, with permit issuance thereafter (after pre-issuance items are submitted, within a further 30 days). The business plan itself anticipates local permit issuance in "late Q3 or early Q4 2024," i.e., at or after the State license expiration date.</w:t>
      </w:r>
    </w:p>
    <w:p>
      <w:pPr>
        <w:spacing w:after="100"/>
      </w:pPr>
      <w:r>
        <w:rPr>
          <w:b w:val="0"/>
          <w:i w:val="0"/>
          <w:sz w:val="20"/>
        </w:rPr>
        <w:t>Under Code §9-5-27(D) and §9-5-11(I), the applicant must hold a valid State license at the time of local permit issuance, and lapse of the State license automatically suspends the local permit. Under State License Condition 4, a single extension of up to six (6) months is available, but the extension petition (Form CR-EXT-01) must be filed no later than 60 days before expiration — i.e., on or before approximately July 23, 2024 — and must demonstrate good cause (e.g., documented delays in local government approval).</w:t>
      </w:r>
    </w:p>
    <w:p>
      <w:pPr>
        <w:spacing w:after="100"/>
      </w:pPr>
      <w:r>
        <w:rPr>
          <w:b w:val="0"/>
          <w:i w:val="0"/>
          <w:sz w:val="20"/>
        </w:rPr>
        <w:t>Remediation: (1) File the State extension petition on or before ~July 23, 2024, documenting the local approval timeline as good cause; (2) concurrently pursue the fastest practicable local approval path; (3) have counsel (Hargrove &amp; Sinclair LLP) coordinate the State and local timelines; and (4) confirm the State license remains in good standing throughout the local process. If no extension is obtained and the local permit does not issue before September 21, 2024, the local permit cannot issue and the application effort is at risk.</w:t>
      </w:r>
    </w:p>
    <w:p>
      <w:pPr>
        <w:spacing w:before="120" w:after="40"/>
      </w:pPr>
      <w:r>
        <w:rPr>
          <w:b/>
          <w:color w:val="9C0006"/>
          <w:sz w:val="22"/>
        </w:rPr>
        <w:t>6.2  Odor Mitigation Plan — P.E. Certification Not Available  [B-8]</w:t>
      </w:r>
    </w:p>
    <w:p>
      <w:pPr>
        <w:spacing w:after="100"/>
      </w:pPr>
      <w:r>
        <w:rPr>
          <w:b w:val="0"/>
          <w:i w:val="0"/>
          <w:sz w:val="20"/>
        </w:rPr>
        <w:t>Code §9-5-5(B)(10) and §9-5-13(G) require an odor mitigation plan that includes a certification by an Illinois-licensed Professional Engineer that the proposed system is adequate to prevent migration of cannabis odors beyond the property line. The Guide (Item 10) and Form (Q16) require this certification at the time of submission, and the Form expressly states that an application submitted without the P.E. certification "will be deemed incomplete and will not proceed to scoring."</w:t>
      </w:r>
    </w:p>
    <w:p>
      <w:pPr>
        <w:spacing w:after="100"/>
      </w:pPr>
      <w:r>
        <w:rPr>
          <w:b w:val="0"/>
          <w:i w:val="0"/>
          <w:sz w:val="20"/>
        </w:rPr>
        <w:t>The business plan (§5.4) describes the intended carbon-filtration/HVAC approach but states that detailed HVAC specifications and filtration-system designs "will be finalized during the build-out engineering phase in consultation with the selected HVAC contractor," and that vendors will be selected during build-out. No P.E. certification appears anywhere in the package. Because the system specifications are not yet finalized, a P.E. cannot yet certify the design.</w:t>
      </w:r>
    </w:p>
    <w:p>
      <w:pPr>
        <w:spacing w:after="100"/>
      </w:pPr>
      <w:r>
        <w:rPr>
          <w:b w:val="0"/>
          <w:i w:val="0"/>
          <w:sz w:val="20"/>
        </w:rPr>
        <w:t>Remediation: (1) Finalize the HVAC and carbon-filtration system specifications (manufacturer, model, capacity, air-exchange rates, negative-pressure design) before submission; (2) engage an Illinois-licensed Professional Engineer to review the design and issue a signed, sealed, and dated certification that the system is adequate to prevent odor migration beyond the property line; and (3) include the certification with the Odor Mitigation Plan exhibit at submission. This is a non-waivable submission requirement.</w:t>
      </w:r>
    </w:p>
    <w:p>
      <w:pPr>
        <w:spacing w:before="120" w:after="40"/>
      </w:pPr>
      <w:r>
        <w:rPr>
          <w:b/>
          <w:color w:val="9C0006"/>
          <w:sz w:val="22"/>
        </w:rPr>
        <w:t>6.3  Security Plan Not Finalized  [B-7]</w:t>
      </w:r>
    </w:p>
    <w:p>
      <w:pPr>
        <w:spacing w:after="100"/>
      </w:pPr>
      <w:r>
        <w:rPr>
          <w:b w:val="0"/>
          <w:i w:val="0"/>
          <w:sz w:val="20"/>
        </w:rPr>
        <w:t>Code §9-5-5(B)(9) and §9-5-13 require a comprehensive security plan, and the Guide (Item 9) and Form (Q15) require it at submission, prepared or reviewed by a qualified security consultant. The insurance/bonding memo (dated April 22, 2024) expressly states that the final security plan prepared by Pinnacle Compliance Advisors LLC "is still being finalized ... and has not yet been delivered."</w:t>
      </w:r>
    </w:p>
    <w:p>
      <w:pPr>
        <w:spacing w:after="100"/>
      </w:pPr>
      <w:r>
        <w:rPr>
          <w:b w:val="0"/>
          <w:i w:val="0"/>
          <w:sz w:val="20"/>
        </w:rPr>
        <w:t>The security plan's completion is also a dependency for the cannabis crime/theft insurance underwriting: Canopy Risk Underwriters has requested the final security plan before it can complete underwriting and issue a binder (see D-4).</w:t>
      </w:r>
    </w:p>
    <w:p>
      <w:pPr>
        <w:spacing w:after="100"/>
      </w:pPr>
      <w:r>
        <w:rPr>
          <w:b w:val="0"/>
          <w:i w:val="0"/>
          <w:sz w:val="20"/>
        </w:rPr>
        <w:t>Remediation: (1) Prioritize finalization of the complete security plan with all Form Q15 elements (24/7 1080p surveillance with 30-day retention, camera-placement map, panic alarm to EPD, secure vestibule and ID-verification protocol, access control with logging, cash-handling and armored-transport procedures, after-hours measures, employee security training, and the consultant's name/qualifications); (2) deliver it to Canopy Risk to unblock the crime/theft underwriting; and (3) include it as a submission exhibit.</w:t>
      </w:r>
    </w:p>
    <w:p>
      <w:pPr>
        <w:spacing w:before="120" w:after="40"/>
      </w:pPr>
      <w:r>
        <w:rPr>
          <w:b/>
          <w:color w:val="9C0006"/>
          <w:sz w:val="22"/>
        </w:rPr>
        <w:t>6.4  Community Engagement Session 2 — Deficient Advance Notice  [B-10, E-2]</w:t>
      </w:r>
    </w:p>
    <w:p>
      <w:pPr>
        <w:spacing w:after="100"/>
      </w:pPr>
      <w:r>
        <w:rPr>
          <w:b w:val="0"/>
          <w:i w:val="0"/>
          <w:sz w:val="20"/>
        </w:rPr>
        <w:t>Code §9-5-8(B) requires each community engagement session to be publicly noticed a minimum of 14 calendar days in advance (by newspaper publication and City website posting). Session 1 (March 12, 2024) was noticed on February 25, 2024 — 15 days in advance (compliant). Session 2 (April 9, 2024) was noticed on March 28, 2024 — only 12 days in advance (the community-engagement report itself records "12 days"). This is two days short of the 14-day minimum.</w:t>
      </w:r>
    </w:p>
    <w:p>
      <w:pPr>
        <w:spacing w:after="100"/>
      </w:pPr>
      <w:r>
        <w:rPr>
          <w:b w:val="0"/>
          <w:i w:val="0"/>
          <w:sz w:val="20"/>
        </w:rPr>
        <w:t>Under Code §9-5-8(F), failure to comply with the notice requirements renders the application incomplete, and the Coordinator must issue a written notice of deficiency; the applicant must hold additional community engagement sessions in full compliance before the application may proceed. The Code expressly provides that "[n]o waiver of the minimum two-session requirement shall be granted."</w:t>
      </w:r>
    </w:p>
    <w:p>
      <w:pPr>
        <w:spacing w:after="100"/>
      </w:pPr>
      <w:r>
        <w:rPr>
          <w:b w:val="0"/>
          <w:i w:val="0"/>
          <w:sz w:val="20"/>
        </w:rPr>
        <w:t>Remediation: Hold a replacement (third) community engagement session with fully compliant notice — newspaper publication and City website posting at least 14 calendar days in advance, with notice content submitted to the Coordinator at least 3 business days before the posting date. Update the notice to include a telephone number and to state that the dispensary will serve both adult-use and medical customers (E-3). Document attendance, summary minutes, published notices, website-posting evidence, and any written comments (E-5). Because this requires at least a 14-day notice lead time plus coordination, it should be scheduled immediately to avoid delaying the May 15, 2024 submission target.</w:t>
      </w:r>
    </w:p>
    <w:p>
      <w:pPr>
        <w:keepNext/>
        <w:spacing w:before="200" w:after="80"/>
        <w:pBdr>
          <w:bottom w:val="single" w:sz="6" w:space="2" w:color="1F3864"/>
        </w:pBdr>
      </w:pPr>
      <w:r>
        <w:rPr>
          <w:b/>
          <w:color w:val="1F3864"/>
          <w:sz w:val="24"/>
        </w:rPr>
        <w:t>7.  Reviewer's Note on Controlling Authority</w:t>
      </w:r>
    </w:p>
    <w:p>
      <w:pPr>
        <w:spacing w:after="120"/>
      </w:pPr>
      <w:r>
        <w:rPr>
          <w:b w:val="0"/>
          <w:i w:val="0"/>
          <w:sz w:val="20"/>
        </w:rPr>
        <w:t>Where the Code, the Guide, and the Form state different standards for the same requirement, the Code (Title 9, Article 5) is the controlling ordinance and governs; the Guide and Form are administrative instruments that must be read consistently with the Code. Under Code §9-5-27(B), in the event of a conflict between a provision of the Article and a provision of State law, the more restrictive provision controls (except where State law preempts). The 15 internal inconsistencies among the City's own documents (Section K) are flagged so the applicant can confirm the controlling interpretation with the Cannabis Licensing Coordinator before relying on any Form instruction. Several Form instructions are erroneous (permitted zoning districts, occupancy formula, and three cross-references) and should not be followed where they conflict with the Code; the applicant's own calculations (e.g., occupancy of 40 based on retail floor area) correctly follow the Code.</w:t>
      </w:r>
    </w:p>
    <w:p>
      <w:pPr>
        <w:spacing w:after="80"/>
      </w:pPr>
      <w:r>
        <w:rPr>
          <w:b w:val="0"/>
          <w:i/>
          <w:sz w:val="18"/>
        </w:rPr>
        <w:t>This matrix is a compliance review of the application package as submitted and does not constitute a legal opinion or a guarantee of approval. Final determinations of completeness, scoring, and approval rest with the Cannabis Licensing Coordinator, the Liquor &amp; Cannabis Board, the Zoning Board of Appeals, and the City Council. Items marked PENDING (Section J) are pre-issuance conditions that are not due at application submission but must be satisfied before the permit is physically issued.</w:t>
      </w:r>
    </w:p>
    <w:sectPr w:rsidR="00FC693F" w:rsidRPr="0006063C" w:rsidSect="00034616">
      <w:footerReference w:type="default" r:id="rId9"/>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08080"/>
        <w:sz w:val="16"/>
      </w:rPr>
      <w:t xml:space="preserve">Compliance Requirements Matrix  |  Greenleaf Therapeutics LLC  |  Confidential — Prepared for Permit Application Review        Page </w:t>
    </w:r>
    <w:fldSimple w:instr="PAGE">
      <w:r>
        <w:rPr>
          <w:sz w:val="16"/>
        </w:rPr>
        <w:t>1</w:t>
      </w:r>
    </w:fldSimple>
    <w:r>
      <w:rPr>
        <w:color w:val="808080"/>
        <w:sz w:val="16"/>
      </w:rPr>
      <w:t xml:space="preserve"> of </w:t>
    </w:r>
    <w:fldSimple w:instr="NUMPAGES">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