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fffe864b6c525b0ad2a73d3bcc0aed96dc1dcee"/>
    <w:p>
      <w:pPr>
        <w:pStyle w:val="Heading1"/>
      </w:pPr>
      <w:r>
        <w:t xml:space="preserve">Cannabis Dispensary Permit Application — Compliance Requirements Matrix</w:t>
      </w:r>
    </w:p>
    <w:p>
      <w:pPr>
        <w:pStyle w:val="FirstParagraph"/>
      </w:pPr>
      <w:r>
        <w:rPr>
          <w:b/>
          <w:bCs/>
        </w:rPr>
        <w:t xml:space="preserve">Applicant:</w:t>
      </w:r>
      <w:r>
        <w:t xml:space="preserve"> </w:t>
      </w:r>
      <w:r>
        <w:t xml:space="preserve">Greenleaf Therapeutics LLC</w:t>
      </w:r>
      <w:r>
        <w:t xml:space="preserve"> </w:t>
      </w:r>
      <w:r>
        <w:rPr>
          <w:b/>
          <w:bCs/>
        </w:rPr>
        <w:t xml:space="preserve">Proposed Location:</w:t>
      </w:r>
      <w:r>
        <w:t xml:space="preserve"> </w:t>
      </w:r>
      <w:r>
        <w:t xml:space="preserve">1420 Sherman Ave., Unit B, Evanston, IL 60201</w:t>
      </w:r>
      <w:r>
        <w:t xml:space="preserve"> </w:t>
      </w:r>
      <w:r>
        <w:rPr>
          <w:b/>
          <w:bCs/>
        </w:rPr>
        <w:t xml:space="preserve">State Conditional License:</w:t>
      </w:r>
      <w:r>
        <w:t xml:space="preserve"> </w:t>
      </w:r>
      <w:r>
        <w:t xml:space="preserve">ADC-285-0147 (issued Sept. 22, 2023; expires Sept. 21, 2024)</w:t>
      </w:r>
      <w:r>
        <w:t xml:space="preserve"> </w:t>
      </w:r>
      <w:r>
        <w:rPr>
          <w:b/>
          <w:bCs/>
        </w:rPr>
        <w:t xml:space="preserve">Application Window:</w:t>
      </w:r>
      <w:r>
        <w:t xml:space="preserve"> </w:t>
      </w:r>
      <w:r>
        <w:t xml:space="preserve">February 1, 2024 – May 31, 2024 (target submission: May 15, 2024)</w:t>
      </w:r>
      <w:r>
        <w:t xml:space="preserve"> </w:t>
      </w:r>
      <w:r>
        <w:rPr>
          <w:b/>
          <w:bCs/>
        </w:rPr>
        <w:t xml:space="preserve">Review Authority:</w:t>
      </w:r>
      <w:r>
        <w:t xml:space="preserve"> </w:t>
      </w:r>
      <w:r>
        <w:t xml:space="preserve">Evanston Municipal Code, Title 9, Ch. 9, Art. 5 (</w:t>
      </w:r>
      <w:r>
        <w:t xml:space="preserve">“</w:t>
      </w:r>
      <w:r>
        <w:t xml:space="preserve">Article 5</w:t>
      </w:r>
      <w:r>
        <w:t xml:space="preserve">”</w:t>
      </w:r>
      <w:r>
        <w:t xml:space="preserve">); City of Evanston Application Checklist &amp; Submission Guide (Jan. 15, 2024); Cannabis Dispensary Permit Application Form v3.2 (Jan. 12,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matrix evaluates the Greenleaf Therapeutics LLC (</w:t>
      </w:r>
      <w:r>
        <w:t xml:space="preserve">“</w:t>
      </w:r>
      <w:r>
        <w:t xml:space="preserve">Greenleaf</w:t>
      </w:r>
      <w:r>
        <w:t xml:space="preserve">”</w:t>
      </w:r>
      <w:r>
        <w:t xml:space="preserve">) dispensary permit application package against the controlling Evanston Municipal Code (Article 5), the City’s Application Checklist &amp; Submission Guide, and the City’s Application Form. The package reviewed consists of: (i) the Application Form (v3.2); (ii) the Greenleaf Business Plan Summary; (iii) the Community Engagement Sessions Report; (iv) the Insurance &amp; Bonding Status Memo; (v) the Lease Summary of Key Terms; and (vi) the State Conditional License.</w:t>
      </w:r>
    </w:p>
    <w:p>
      <w:pPr>
        <w:pStyle w:val="BodyText"/>
      </w:pPr>
      <w:r>
        <w:rPr>
          <w:b/>
          <w:bCs/>
        </w:rPr>
        <w:t xml:space="preserve">Headline conclusions:</w:t>
      </w:r>
    </w:p>
    <w:p>
      <w:pPr>
        <w:numPr>
          <w:ilvl w:val="0"/>
          <w:numId w:val="1001"/>
        </w:numPr>
      </w:pPr>
      <w:r>
        <w:rPr>
          <w:b/>
          <w:bCs/>
        </w:rPr>
        <w:t xml:space="preserve">The application form (v3.2) is included as an unfilled template.</w:t>
      </w:r>
      <w:r>
        <w:t xml:space="preserve"> </w:t>
      </w:r>
      <w:r>
        <w:t xml:space="preserve">All data fields, signature blocks, and notarization are blank. The substantive applicant information resides in the supporting documents. The form must be completed in full (every field or</w:t>
      </w:r>
      <w:r>
        <w:t xml:space="preserve"> </w:t>
      </w:r>
      <w:r>
        <w:t xml:space="preserve">“</w:t>
      </w:r>
      <w:r>
        <w:t xml:space="preserve">N/A</w:t>
      </w:r>
      <w:r>
        <w:t xml:space="preserve">”</w:t>
      </w:r>
      <w:r>
        <w:t xml:space="preserve">), signed, and notarized before the package can be accepted.</w:t>
      </w:r>
    </w:p>
    <w:p>
      <w:pPr>
        <w:numPr>
          <w:ilvl w:val="0"/>
          <w:numId w:val="1001"/>
        </w:numPr>
      </w:pPr>
      <w:r>
        <w:rPr>
          <w:b/>
          <w:bCs/>
        </w:rPr>
        <w:t xml:space="preserve">Three critical, application-blocking deficiencies</w:t>
      </w:r>
      <w:r>
        <w:t xml:space="preserve"> </w:t>
      </w:r>
      <w:r>
        <w:t xml:space="preserve">must be cured before submission or the application will be deemed incomplete: (a) the</w:t>
      </w:r>
      <w:r>
        <w:t xml:space="preserve"> </w:t>
      </w:r>
      <w:r>
        <w:rPr>
          <w:b/>
          <w:bCs/>
        </w:rPr>
        <w:t xml:space="preserve">Odor Mitigation Plan lacks the required Illinois Professional Engineer certification</w:t>
      </w:r>
      <w:r>
        <w:t xml:space="preserve"> </w:t>
      </w:r>
      <w:r>
        <w:t xml:space="preserve">(the form states the application</w:t>
      </w:r>
      <w:r>
        <w:t xml:space="preserve"> </w:t>
      </w:r>
      <w:r>
        <w:t xml:space="preserve">“</w:t>
      </w:r>
      <w:r>
        <w:t xml:space="preserve">will not proceed to scoring</w:t>
      </w:r>
      <w:r>
        <w:t xml:space="preserve">”</w:t>
      </w:r>
      <w:r>
        <w:t xml:space="preserve"> </w:t>
      </w:r>
      <w:r>
        <w:t xml:space="preserve">without it); (b) the</w:t>
      </w:r>
      <w:r>
        <w:t xml:space="preserve"> </w:t>
      </w:r>
      <w:r>
        <w:rPr>
          <w:b/>
          <w:bCs/>
        </w:rPr>
        <w:t xml:space="preserve">Security Plan is not yet finalized</w:t>
      </w:r>
      <w:r>
        <w:t xml:space="preserve"> </w:t>
      </w:r>
      <w:r>
        <w:t xml:space="preserve">(confirmed in the Insurance Memo), which also blocks underwriting of the required cannabis crime/theft insurance; and (c)</w:t>
      </w:r>
      <w:r>
        <w:t xml:space="preserve"> </w:t>
      </w:r>
      <w:r>
        <w:rPr>
          <w:b/>
          <w:bCs/>
        </w:rPr>
        <w:t xml:space="preserve">Community Engagement Session 2 was noticed only 12 days in advance</w:t>
      </w:r>
      <w:r>
        <w:t xml:space="preserve">, short of the 14-day minimum, which under §9-5-8(F) renders the application incomplete and requires an additional compliant session (no waiver of the two-session minimum is available).</w:t>
      </w:r>
    </w:p>
    <w:p>
      <w:pPr>
        <w:numPr>
          <w:ilvl w:val="0"/>
          <w:numId w:val="1001"/>
        </w:numPr>
      </w:pPr>
      <w:r>
        <w:rPr>
          <w:b/>
          <w:bCs/>
        </w:rPr>
        <w:t xml:space="preserve">Bonding capacity is undocumented.</w:t>
      </w:r>
      <w:r>
        <w:t xml:space="preserve"> </w:t>
      </w:r>
      <w:r>
        <w:t xml:space="preserve">Only a</w:t>
      </w:r>
      <w:r>
        <w:t xml:space="preserve"> </w:t>
      </w:r>
      <w:r>
        <w:t xml:space="preserve">“</w:t>
      </w:r>
      <w:r>
        <w:t xml:space="preserve">preliminary inquiry</w:t>
      </w:r>
      <w:r>
        <w:t xml:space="preserve">”</w:t>
      </w:r>
      <w:r>
        <w:t xml:space="preserve"> </w:t>
      </w:r>
      <w:r>
        <w:t xml:space="preserve">exists; no commitment letter has been obtained. This both fails Guide Item 17 / Form Q26 expectations and forfeits the 10-point bonding-capacity sub-score within Financial Viability.</w:t>
      </w:r>
    </w:p>
    <w:p>
      <w:pPr>
        <w:numPr>
          <w:ilvl w:val="0"/>
          <w:numId w:val="1001"/>
        </w:numPr>
      </w:pPr>
      <w:r>
        <w:rPr>
          <w:b/>
          <w:bCs/>
        </w:rPr>
        <w:t xml:space="preserve">Several internal inconsistencies</w:t>
      </w:r>
      <w:r>
        <w:t xml:space="preserve"> </w:t>
      </w:r>
      <w:r>
        <w:t xml:space="preserve">must be reconciled (registered agent name, parking space count, contact phone/email, R3 designation attribution) because §9-5-5(C) requires materials to be</w:t>
      </w:r>
      <w:r>
        <w:t xml:space="preserve"> </w:t>
      </w:r>
      <w:r>
        <w:t xml:space="preserve">“</w:t>
      </w:r>
      <w:r>
        <w:t xml:space="preserve">complete and accurate</w:t>
      </w:r>
      <w:r>
        <w:t xml:space="preserve">”</w:t>
      </w:r>
      <w:r>
        <w:t xml:space="preserve"> </w:t>
      </w:r>
      <w:r>
        <w:t xml:space="preserve">and material misrepresentation is a revocation ground (§9-5-25(D)(6)).</w:t>
      </w:r>
    </w:p>
    <w:p>
      <w:pPr>
        <w:numPr>
          <w:ilvl w:val="0"/>
          <w:numId w:val="1001"/>
        </w:numPr>
      </w:pPr>
      <w:r>
        <w:rPr>
          <w:b/>
          <w:bCs/>
        </w:rPr>
        <w:t xml:space="preserve">The Application Form and Submission Guide contain numerous conflicts with the controlling Municipal Code</w:t>
      </w:r>
      <w:r>
        <w:t xml:space="preserve"> </w:t>
      </w:r>
      <w:r>
        <w:t xml:space="preserve">(zoning districts, buffer measurement method, occupancy formula, cure period, fee payment methods, and others). Where the Code and subordinate documents conflict, the enacted Code controls. These conflicts are catalogued in Part A and should be raised with the Cannabis Licensing Coordinator.</w:t>
      </w:r>
    </w:p>
    <w:p>
      <w:pPr>
        <w:pStyle w:val="FirstParagraph"/>
      </w:pPr>
      <w:r>
        <w:rPr>
          <w:b/>
          <w:bCs/>
        </w:rPr>
        <w:t xml:space="preserve">Status summary (70 requirements assessed):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Compliant</w:t>
            </w:r>
          </w:p>
        </w:tc>
        <w:tc>
          <w:tcPr/>
          <w:p>
            <w:pPr>
              <w:pStyle w:val="Compact"/>
              <w:jc w:val="left"/>
            </w:pPr>
            <w:r>
              <w:t xml:space="preserve">26</w:t>
            </w:r>
          </w:p>
        </w:tc>
      </w:tr>
      <w:tr>
        <w:tc>
          <w:tcPr/>
          <w:p>
            <w:pPr>
              <w:pStyle w:val="Compact"/>
              <w:jc w:val="left"/>
            </w:pPr>
            <w:r>
              <w:t xml:space="preserve">Partial — Gap</w:t>
            </w:r>
          </w:p>
        </w:tc>
        <w:tc>
          <w:tcPr/>
          <w:p>
            <w:pPr>
              <w:pStyle w:val="Compact"/>
              <w:jc w:val="left"/>
            </w:pPr>
            <w:r>
              <w:t xml:space="preserve">18</w:t>
            </w:r>
          </w:p>
        </w:tc>
      </w:tr>
      <w:tr>
        <w:tc>
          <w:tcPr/>
          <w:p>
            <w:pPr>
              <w:pStyle w:val="Compact"/>
              <w:jc w:val="left"/>
            </w:pPr>
            <w:r>
              <w:t xml:space="preserve">Non-Compliant / Deficient</w:t>
            </w:r>
          </w:p>
        </w:tc>
        <w:tc>
          <w:tcPr/>
          <w:p>
            <w:pPr>
              <w:pStyle w:val="Compact"/>
              <w:jc w:val="left"/>
            </w:pPr>
            <w:r>
              <w:t xml:space="preserve">4</w:t>
            </w:r>
          </w:p>
        </w:tc>
      </w:tr>
      <w:tr>
        <w:tc>
          <w:tcPr/>
          <w:p>
            <w:pPr>
              <w:pStyle w:val="Compact"/>
              <w:jc w:val="left"/>
            </w:pPr>
            <w:r>
              <w:t xml:space="preserve">Not Submitted / Missing</w:t>
            </w:r>
          </w:p>
        </w:tc>
        <w:tc>
          <w:tcPr/>
          <w:p>
            <w:pPr>
              <w:pStyle w:val="Compact"/>
              <w:jc w:val="left"/>
            </w:pPr>
            <w:r>
              <w:t xml:space="preserve">12</w:t>
            </w:r>
          </w:p>
        </w:tc>
      </w:tr>
      <w:tr>
        <w:tc>
          <w:tcPr/>
          <w:p>
            <w:pPr>
              <w:pStyle w:val="Compact"/>
              <w:jc w:val="left"/>
            </w:pPr>
            <w:r>
              <w:t xml:space="preserve">Pending (acceptable pre-issuance)</w:t>
            </w:r>
          </w:p>
        </w:tc>
        <w:tc>
          <w:tcPr/>
          <w:p>
            <w:pPr>
              <w:pStyle w:val="Compact"/>
              <w:jc w:val="left"/>
            </w:pPr>
            <w:r>
              <w:t xml:space="preserve">6</w:t>
            </w:r>
          </w:p>
        </w:tc>
      </w:tr>
      <w:tr>
        <w:tc>
          <w:tcPr/>
          <w:p>
            <w:pPr>
              <w:pStyle w:val="Compact"/>
              <w:jc w:val="left"/>
            </w:pPr>
            <w:r>
              <w:t xml:space="preserve">Discrepancy / Informational</w:t>
            </w:r>
          </w:p>
        </w:tc>
        <w:tc>
          <w:tcPr/>
          <w:p>
            <w:pPr>
              <w:pStyle w:val="Compact"/>
              <w:jc w:val="left"/>
            </w:pPr>
            <w:r>
              <w:t xml:space="preserve">4</w:t>
            </w:r>
          </w:p>
        </w:tc>
      </w:tr>
    </w:tbl>
    <w:p>
      <w:r>
        <w:pict>
          <v:rect style="width:0;height:1.5pt" o:hralign="center" o:hrstd="t" o:hr="t"/>
        </w:pict>
      </w:r>
    </w:p>
    <w:bookmarkEnd w:id="20"/>
    <w:bookmarkStart w:id="21" w:name="methodology-and-status-legend"/>
    <w:p>
      <w:pPr>
        <w:pStyle w:val="Heading2"/>
      </w:pPr>
      <w:r>
        <w:t xml:space="preserve">2. Methodology and Status Legend</w:t>
      </w:r>
    </w:p>
    <w:p>
      <w:pPr>
        <w:pStyle w:val="FirstParagraph"/>
      </w:pPr>
      <w:r>
        <w:t xml:space="preserve">Each requirement is traced to its authority: the Municipal Code section (controlling), the Submission Guide checklist item, and/or the Application Form question.</w:t>
      </w:r>
      <w:r>
        <w:t xml:space="preserve"> </w:t>
      </w:r>
      <w:r>
        <w:t xml:space="preserve">“</w:t>
      </w:r>
      <w:r>
        <w:t xml:space="preserve">Submission Status / Evidence</w:t>
      </w:r>
      <w:r>
        <w:t xml:space="preserve">”</w:t>
      </w:r>
      <w:r>
        <w:t xml:space="preserve"> </w:t>
      </w:r>
      <w:r>
        <w:t xml:space="preserve">describes what the package actually contains. Status is assigned per the legend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 Label</w:t>
            </w:r>
          </w:p>
        </w:tc>
        <w:tc>
          <w:tcPr/>
          <w:p>
            <w:pPr>
              <w:pStyle w:val="Compact"/>
              <w:jc w:val="left"/>
            </w:pPr>
            <w:r>
              <w:t xml:space="preserve">Meaning</w:t>
            </w:r>
          </w:p>
        </w:tc>
      </w:tr>
      <w:tr>
        <w:tc>
          <w:tcPr/>
          <w:p>
            <w:pPr>
              <w:pStyle w:val="Compact"/>
              <w:jc w:val="left"/>
            </w:pPr>
            <w:r>
              <w:rPr>
                <w:b/>
                <w:bCs/>
              </w:rPr>
              <w:t xml:space="preserve">Compliant</w:t>
            </w:r>
          </w:p>
        </w:tc>
        <w:tc>
          <w:tcPr/>
          <w:p>
            <w:pPr>
              <w:pStyle w:val="Compact"/>
              <w:jc w:val="left"/>
            </w:pPr>
            <w:r>
              <w:t xml:space="preserve">Requirement fully satisfied by the package as presented.</w:t>
            </w:r>
          </w:p>
        </w:tc>
      </w:tr>
      <w:tr>
        <w:tc>
          <w:tcPr/>
          <w:p>
            <w:pPr>
              <w:pStyle w:val="Compact"/>
              <w:jc w:val="left"/>
            </w:pPr>
            <w:r>
              <w:rPr>
                <w:b/>
                <w:bCs/>
              </w:rPr>
              <w:t xml:space="preserve">Partial — Gap</w:t>
            </w:r>
          </w:p>
        </w:tc>
        <w:tc>
          <w:tcPr/>
          <w:p>
            <w:pPr>
              <w:pStyle w:val="Compact"/>
              <w:jc w:val="left"/>
            </w:pPr>
            <w:r>
              <w:t xml:space="preserve">Core requirement addressed but one or more specified elements are missing, incomplete, or not yet finalized.</w:t>
            </w:r>
          </w:p>
        </w:tc>
      </w:tr>
      <w:tr>
        <w:tc>
          <w:tcPr/>
          <w:p>
            <w:pPr>
              <w:pStyle w:val="Compact"/>
              <w:jc w:val="left"/>
            </w:pPr>
            <w:r>
              <w:rPr>
                <w:b/>
                <w:bCs/>
              </w:rPr>
              <w:t xml:space="preserve">Non-Compliant</w:t>
            </w:r>
          </w:p>
        </w:tc>
        <w:tc>
          <w:tcPr/>
          <w:p>
            <w:pPr>
              <w:pStyle w:val="Compact"/>
              <w:jc w:val="left"/>
            </w:pPr>
            <w:r>
              <w:t xml:space="preserve">Requirement violated or a mandatory threshold not met.</w:t>
            </w:r>
          </w:p>
        </w:tc>
      </w:tr>
      <w:tr>
        <w:tc>
          <w:tcPr/>
          <w:p>
            <w:pPr>
              <w:pStyle w:val="Compact"/>
              <w:jc w:val="left"/>
            </w:pPr>
            <w:r>
              <w:rPr>
                <w:b/>
                <w:bCs/>
              </w:rPr>
              <w:t xml:space="preserve">Not Submitted</w:t>
            </w:r>
          </w:p>
        </w:tc>
        <w:tc>
          <w:tcPr/>
          <w:p>
            <w:pPr>
              <w:pStyle w:val="Compact"/>
              <w:jc w:val="left"/>
            </w:pPr>
            <w:r>
              <w:t xml:space="preserve">Required item is absent from the package and not addressed.</w:t>
            </w:r>
          </w:p>
        </w:tc>
      </w:tr>
      <w:tr>
        <w:tc>
          <w:tcPr/>
          <w:p>
            <w:pPr>
              <w:pStyle w:val="Compact"/>
              <w:jc w:val="left"/>
            </w:pPr>
            <w:r>
              <w:rPr>
                <w:b/>
                <w:bCs/>
              </w:rPr>
              <w:t xml:space="preserve">Pending (Pre-Issuance)</w:t>
            </w:r>
          </w:p>
        </w:tc>
        <w:tc>
          <w:tcPr/>
          <w:p>
            <w:pPr>
              <w:pStyle w:val="Compact"/>
              <w:jc w:val="left"/>
            </w:pPr>
            <w:r>
              <w:t xml:space="preserve">Item is properly deferred to the post-approval/pre-issuance stage; acceptable at application stage.</w:t>
            </w:r>
          </w:p>
        </w:tc>
      </w:tr>
      <w:tr>
        <w:tc>
          <w:tcPr/>
          <w:p>
            <w:pPr>
              <w:pStyle w:val="Compact"/>
              <w:jc w:val="left"/>
            </w:pPr>
            <w:r>
              <w:rPr>
                <w:b/>
                <w:bCs/>
              </w:rPr>
              <w:t xml:space="preserve">Discrepancy</w:t>
            </w:r>
          </w:p>
        </w:tc>
        <w:tc>
          <w:tcPr/>
          <w:p>
            <w:pPr>
              <w:pStyle w:val="Compact"/>
              <w:jc w:val="left"/>
            </w:pPr>
            <w:r>
              <w:t xml:space="preserve">Conflicting information within the package or between the Code, Guide, and Form.</w:t>
            </w:r>
          </w:p>
        </w:tc>
      </w:tr>
    </w:tbl>
    <w:p>
      <w:pPr>
        <w:pStyle w:val="BodyText"/>
      </w:pPr>
      <w:r>
        <w:rPr>
          <w:b/>
          <w:bCs/>
        </w:rPr>
        <w:t xml:space="preserve">Priority flags used in remediation notes:</w:t>
      </w:r>
      <w:r>
        <w:t xml:space="preserve"> </w:t>
      </w:r>
      <w:r>
        <w:rPr>
          <w:b/>
          <w:bCs/>
        </w:rPr>
        <w:t xml:space="preserve">[P1 — Blocking]</w:t>
      </w:r>
      <w:r>
        <w:t xml:space="preserve"> </w:t>
      </w:r>
      <w:r>
        <w:t xml:space="preserve">must be cured or the application will be deemed incomplete / will not proceed to scoring;</w:t>
      </w:r>
      <w:r>
        <w:t xml:space="preserve"> </w:t>
      </w:r>
      <w:r>
        <w:rPr>
          <w:b/>
          <w:bCs/>
        </w:rPr>
        <w:t xml:space="preserve">[P2 — High]</w:t>
      </w:r>
      <w:r>
        <w:t xml:space="preserve"> </w:t>
      </w:r>
      <w:r>
        <w:t xml:space="preserve">materially weakens the application or forfeits scoring points;</w:t>
      </w:r>
      <w:r>
        <w:t xml:space="preserve"> </w:t>
      </w:r>
      <w:r>
        <w:rPr>
          <w:b/>
          <w:bCs/>
        </w:rPr>
        <w:t xml:space="preserve">[P3 — Moderate]</w:t>
      </w:r>
      <w:r>
        <w:t xml:space="preserve"> </w:t>
      </w:r>
      <w:r>
        <w:t xml:space="preserve">should be cured to avoid a deficiency notice;</w:t>
      </w:r>
      <w:r>
        <w:t xml:space="preserve"> </w:t>
      </w:r>
      <w:r>
        <w:rPr>
          <w:b/>
          <w:bCs/>
        </w:rPr>
        <w:t xml:space="preserve">[P4 — Clean-up]</w:t>
      </w:r>
      <w:r>
        <w:t xml:space="preserve"> </w:t>
      </w:r>
      <w:r>
        <w:t xml:space="preserve">accuracy/consistency item.</w:t>
      </w:r>
    </w:p>
    <w:p>
      <w:r>
        <w:pict>
          <v:rect style="width:0;height:1.5pt" o:hralign="center" o:hrstd="t" o:hr="t"/>
        </w:pict>
      </w:r>
    </w:p>
    <w:bookmarkEnd w:id="21"/>
    <w:bookmarkStart w:id="22" w:name="X96186f38db2a747083ef90769bfc0a16e23ffa9"/>
    <w:p>
      <w:pPr>
        <w:pStyle w:val="Heading2"/>
      </w:pPr>
      <w:r>
        <w:t xml:space="preserve">3. Part A — Authority Conflicts: Municipal Code vs. Submission Guide vs. Application Form</w:t>
      </w:r>
    </w:p>
    <w:p>
      <w:pPr>
        <w:pStyle w:val="FirstParagraph"/>
      </w:pPr>
      <w:r>
        <w:t xml:space="preserve">The Code is the enacted ordinance and controls over the Guide and Form. The following conflicts were identified during the review and should be confirmed with the Cannabis Licensing Coordinator, because they affect how the applicant should prepare the submission.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Municipal Code (controlling)</w:t>
            </w:r>
          </w:p>
        </w:tc>
        <w:tc>
          <w:tcPr/>
          <w:p>
            <w:pPr>
              <w:pStyle w:val="Compact"/>
              <w:jc w:val="left"/>
            </w:pPr>
            <w:r>
              <w:t xml:space="preserve">Submission Guide</w:t>
            </w:r>
          </w:p>
        </w:tc>
        <w:tc>
          <w:tcPr/>
          <w:p>
            <w:pPr>
              <w:pStyle w:val="Compact"/>
              <w:jc w:val="left"/>
            </w:pPr>
            <w:r>
              <w:t xml:space="preserve">Application Form</w:t>
            </w:r>
          </w:p>
        </w:tc>
        <w:tc>
          <w:tcPr/>
          <w:p>
            <w:pPr>
              <w:pStyle w:val="Compact"/>
              <w:jc w:val="left"/>
            </w:pPr>
            <w:r>
              <w:t xml:space="preserve">Impact / Note</w:t>
            </w:r>
          </w:p>
        </w:tc>
      </w:tr>
      <w:tr>
        <w:tc>
          <w:tcPr/>
          <w:p>
            <w:pPr>
              <w:pStyle w:val="Compact"/>
              <w:jc w:val="left"/>
            </w:pPr>
            <w:r>
              <w:t xml:space="preserve">A-1</w:t>
            </w:r>
          </w:p>
        </w:tc>
        <w:tc>
          <w:tcPr/>
          <w:p>
            <w:pPr>
              <w:pStyle w:val="Compact"/>
              <w:jc w:val="left"/>
            </w:pPr>
            <w:r>
              <w:t xml:space="preserve">Application fee payment method</w:t>
            </w:r>
          </w:p>
        </w:tc>
        <w:tc>
          <w:tcPr/>
          <w:p>
            <w:pPr>
              <w:pStyle w:val="Compact"/>
              <w:jc w:val="left"/>
            </w:pPr>
            <w:r>
              <w:t xml:space="preserve">§9-5-6(C): certified check or electronic funds transfer (EFT)</w:t>
            </w:r>
          </w:p>
        </w:tc>
        <w:tc>
          <w:tcPr/>
          <w:p>
            <w:pPr>
              <w:pStyle w:val="Compact"/>
              <w:jc w:val="left"/>
            </w:pPr>
            <w:r>
              <w:t xml:space="preserve">§1: cashier’s check or money order</w:t>
            </w:r>
          </w:p>
        </w:tc>
        <w:tc>
          <w:tcPr/>
          <w:p>
            <w:pPr>
              <w:pStyle w:val="Compact"/>
              <w:jc w:val="left"/>
            </w:pPr>
            <w:r>
              <w:t xml:space="preserve">§13: certified check, cashier’s check, or wire transfer</w:t>
            </w:r>
          </w:p>
        </w:tc>
        <w:tc>
          <w:tcPr/>
          <w:p>
            <w:pPr>
              <w:pStyle w:val="Compact"/>
              <w:jc w:val="left"/>
            </w:pPr>
            <w:r>
              <w:t xml:space="preserve">Three-way conflict. Code does not authorize money order or wire transfer; Guide omits certified check/EFT. Applicant should use certified check or EFT to satisfy the Code.</w:t>
            </w:r>
          </w:p>
        </w:tc>
      </w:tr>
      <w:tr>
        <w:tc>
          <w:tcPr/>
          <w:p>
            <w:pPr>
              <w:pStyle w:val="Compact"/>
              <w:jc w:val="left"/>
            </w:pPr>
            <w:r>
              <w:t xml:space="preserve">A-2</w:t>
            </w:r>
          </w:p>
        </w:tc>
        <w:tc>
          <w:tcPr/>
          <w:p>
            <w:pPr>
              <w:pStyle w:val="Compact"/>
              <w:jc w:val="left"/>
            </w:pPr>
            <w:r>
              <w:t xml:space="preserve">Deficiency cure period</w:t>
            </w:r>
          </w:p>
        </w:tc>
        <w:tc>
          <w:tcPr/>
          <w:p>
            <w:pPr>
              <w:pStyle w:val="Compact"/>
              <w:jc w:val="left"/>
            </w:pPr>
            <w:r>
              <w:t xml:space="preserve">§9-5-7(C): 30 calendar days to cure</w:t>
            </w:r>
          </w:p>
        </w:tc>
        <w:tc>
          <w:tcPr/>
          <w:p>
            <w:pPr>
              <w:pStyle w:val="Compact"/>
              <w:jc w:val="left"/>
            </w:pPr>
            <w:r>
              <w:t xml:space="preserve">§1, §4: 14 calendar days</w:t>
            </w:r>
          </w:p>
        </w:tc>
        <w:tc>
          <w:tcPr/>
          <w:p>
            <w:pPr>
              <w:pStyle w:val="Compact"/>
              <w:jc w:val="left"/>
            </w:pPr>
            <w:r>
              <w:t xml:space="preserve">§13: 14 calendar days</w:t>
            </w:r>
          </w:p>
        </w:tc>
        <w:tc>
          <w:tcPr/>
          <w:p>
            <w:pPr>
              <w:pStyle w:val="Compact"/>
              <w:jc w:val="left"/>
            </w:pPr>
            <w:r>
              <w:t xml:space="preserve">Guide/Form give 16 fewer days than the Code. The Code controls; applicant is entitled to 30 days.</w:t>
            </w:r>
          </w:p>
        </w:tc>
      </w:tr>
      <w:tr>
        <w:tc>
          <w:tcPr/>
          <w:p>
            <w:pPr>
              <w:pStyle w:val="Compact"/>
              <w:jc w:val="left"/>
            </w:pPr>
            <w:r>
              <w:t xml:space="preserve">A-3</w:t>
            </w:r>
          </w:p>
        </w:tc>
        <w:tc>
          <w:tcPr/>
          <w:p>
            <w:pPr>
              <w:pStyle w:val="Compact"/>
              <w:jc w:val="left"/>
            </w:pPr>
            <w:r>
              <w:t xml:space="preserve">Completeness determination timeline</w:t>
            </w:r>
          </w:p>
        </w:tc>
        <w:tc>
          <w:tcPr/>
          <w:p>
            <w:pPr>
              <w:pStyle w:val="Compact"/>
              <w:jc w:val="left"/>
            </w:pPr>
            <w:r>
              <w:t xml:space="preserve">§9-5-7(C): within 90 calendar days of receipt</w:t>
            </w:r>
          </w:p>
        </w:tc>
        <w:tc>
          <w:tcPr/>
          <w:p>
            <w:pPr>
              <w:pStyle w:val="Compact"/>
              <w:jc w:val="left"/>
            </w:pPr>
            <w:r>
              <w:t xml:space="preserve">§1/§4: 30-day completeness</w:t>
            </w:r>
            <w:r>
              <w:t xml:space="preserve"> </w:t>
            </w:r>
            <w:r>
              <w:t xml:space="preserve">“</w:t>
            </w:r>
            <w:r>
              <w:t xml:space="preserve">target</w:t>
            </w:r>
            <w:r>
              <w:t xml:space="preserve">”</w:t>
            </w:r>
            <w:r>
              <w:t xml:space="preserve">; 90-day review after completeness</w:t>
            </w:r>
          </w:p>
        </w:tc>
        <w:tc>
          <w:tcPr/>
          <w:p>
            <w:pPr>
              <w:pStyle w:val="Compact"/>
              <w:jc w:val="left"/>
            </w:pPr>
            <w:r>
              <w:t xml:space="preserve">§6: 90-day review after completeness determination</w:t>
            </w:r>
          </w:p>
        </w:tc>
        <w:tc>
          <w:tcPr/>
          <w:p>
            <w:pPr>
              <w:pStyle w:val="Compact"/>
              <w:jc w:val="left"/>
            </w:pPr>
            <w:r>
              <w:t xml:space="preserve">Code’s 90 days runs from receipt for the completeness determination; Guide/Form measure different periods. Confusing but not a hard conflict.</w:t>
            </w:r>
          </w:p>
        </w:tc>
      </w:tr>
      <w:tr>
        <w:tc>
          <w:tcPr/>
          <w:p>
            <w:pPr>
              <w:pStyle w:val="Compact"/>
              <w:jc w:val="left"/>
            </w:pPr>
            <w:r>
              <w:t xml:space="preserve">A-4</w:t>
            </w:r>
          </w:p>
        </w:tc>
        <w:tc>
          <w:tcPr/>
          <w:p>
            <w:pPr>
              <w:pStyle w:val="Compact"/>
              <w:jc w:val="left"/>
            </w:pPr>
            <w:r>
              <w:t xml:space="preserve">Permitted zoning districts</w:t>
            </w:r>
          </w:p>
        </w:tc>
        <w:tc>
          <w:tcPr/>
          <w:p>
            <w:pPr>
              <w:pStyle w:val="Compact"/>
              <w:jc w:val="left"/>
            </w:pPr>
            <w:r>
              <w:t xml:space="preserve">§9-5-9(A): C1a, C2 Commercial-Service, oC1 Office-Commercial (all special use)</w:t>
            </w:r>
          </w:p>
        </w:tc>
        <w:tc>
          <w:tcPr/>
          <w:p>
            <w:pPr>
              <w:pStyle w:val="Compact"/>
              <w:jc w:val="left"/>
            </w:pPr>
            <w:r>
              <w:t xml:space="preserve">Item 20: references C1a only</w:t>
            </w:r>
          </w:p>
        </w:tc>
        <w:tc>
          <w:tcPr/>
          <w:p>
            <w:pPr>
              <w:pStyle w:val="Compact"/>
              <w:jc w:val="left"/>
            </w:pPr>
            <w:r>
              <w:t xml:space="preserve">§3 Q3 note:</w:t>
            </w:r>
            <w:r>
              <w:t xml:space="preserve"> </w:t>
            </w:r>
            <w:r>
              <w:t xml:space="preserve">“</w:t>
            </w:r>
            <w:r>
              <w:t xml:space="preserve">C1a, C1 Commercial, and B2 Business</w:t>
            </w:r>
            <w:r>
              <w:t xml:space="preserve">”</w:t>
            </w:r>
          </w:p>
        </w:tc>
        <w:tc>
          <w:tcPr/>
          <w:p>
            <w:pPr>
              <w:pStyle w:val="Compact"/>
              <w:jc w:val="left"/>
            </w:pPr>
            <w:r>
              <w:rPr>
                <w:b/>
                <w:bCs/>
              </w:rPr>
              <w:t xml:space="preserve">Major Form error.</w:t>
            </w:r>
            <w:r>
              <w:t xml:space="preserve"> </w:t>
            </w:r>
            <w:r>
              <w:t xml:space="preserve">Form lists C1 and B2 (not authorized) and omits C2 and oC1 (authorized). Greenleaf’s C1a site is valid regardless.</w:t>
            </w:r>
          </w:p>
        </w:tc>
      </w:tr>
      <w:tr>
        <w:tc>
          <w:tcPr/>
          <w:p>
            <w:pPr>
              <w:pStyle w:val="Compact"/>
              <w:jc w:val="left"/>
            </w:pPr>
            <w:r>
              <w:t xml:space="preserve">A-5</w:t>
            </w:r>
          </w:p>
        </w:tc>
        <w:tc>
          <w:tcPr/>
          <w:p>
            <w:pPr>
              <w:pStyle w:val="Compact"/>
              <w:jc w:val="left"/>
            </w:pPr>
            <w:r>
              <w:t xml:space="preserve">Buffer measurement method</w:t>
            </w:r>
          </w:p>
        </w:tc>
        <w:tc>
          <w:tcPr/>
          <w:p>
            <w:pPr>
              <w:pStyle w:val="Compact"/>
              <w:jc w:val="left"/>
            </w:pPr>
            <w:r>
              <w:t xml:space="preserve">§9-5-9(C): nearest property line to nearest property line (straight-line)</w:t>
            </w:r>
          </w:p>
        </w:tc>
        <w:tc>
          <w:tcPr/>
          <w:p>
            <w:pPr>
              <w:pStyle w:val="Compact"/>
              <w:jc w:val="left"/>
            </w:pPr>
            <w:r>
              <w:t xml:space="preserve">Item 8:</w:t>
            </w:r>
            <w:r>
              <w:t xml:space="preserve"> </w:t>
            </w:r>
            <w:r>
              <w:t xml:space="preserve">“</w:t>
            </w:r>
            <w:r>
              <w:t xml:space="preserve">as set forth in the Application Form</w:t>
            </w:r>
            <w:r>
              <w:t xml:space="preserve">”</w:t>
            </w:r>
          </w:p>
        </w:tc>
        <w:tc>
          <w:tcPr/>
          <w:p>
            <w:pPr>
              <w:pStyle w:val="Compact"/>
              <w:jc w:val="left"/>
            </w:pPr>
            <w:r>
              <w:t xml:space="preserve">§3 Q7:</w:t>
            </w:r>
            <w:r>
              <w:t xml:space="preserve"> </w:t>
            </w:r>
            <w:r>
              <w:t xml:space="preserve">“</w:t>
            </w:r>
            <w:r>
              <w:t xml:space="preserve">nearest pedestrian route</w:t>
            </w:r>
            <w:r>
              <w:t xml:space="preserve">”</w:t>
            </w:r>
            <w:r>
              <w:t xml:space="preserve">; straight-line</w:t>
            </w:r>
            <w:r>
              <w:t xml:space="preserve"> </w:t>
            </w:r>
            <w:r>
              <w:t xml:space="preserve">“</w:t>
            </w:r>
            <w:r>
              <w:t xml:space="preserve">not acceptable</w:t>
            </w:r>
            <w:r>
              <w:t xml:space="preserve">”</w:t>
            </w:r>
          </w:p>
        </w:tc>
        <w:tc>
          <w:tcPr/>
          <w:p>
            <w:pPr>
              <w:pStyle w:val="Compact"/>
              <w:jc w:val="left"/>
            </w:pPr>
            <w:r>
              <w:rPr>
                <w:b/>
                <w:bCs/>
              </w:rPr>
              <w:t xml:space="preserve">Major Code/Form conflict.</w:t>
            </w:r>
            <w:r>
              <w:t xml:space="preserve"> </w:t>
            </w:r>
            <w:r>
              <w:t xml:space="preserve">The Lease Survey uses straight-line (matches Code). Form demands pedestrian route. Greenleaf’s margins are large enough to satisfy either method, but the Form’s instruction conflicts with the Code.</w:t>
            </w:r>
          </w:p>
        </w:tc>
      </w:tr>
      <w:tr>
        <w:tc>
          <w:tcPr/>
          <w:p>
            <w:pPr>
              <w:pStyle w:val="Compact"/>
              <w:jc w:val="left"/>
            </w:pPr>
            <w:r>
              <w:t xml:space="preserve">A-6</w:t>
            </w:r>
          </w:p>
        </w:tc>
        <w:tc>
          <w:tcPr/>
          <w:p>
            <w:pPr>
              <w:pStyle w:val="Compact"/>
              <w:jc w:val="left"/>
            </w:pPr>
            <w:r>
              <w:t xml:space="preserve">Maximum occupancy formula</w:t>
            </w:r>
          </w:p>
        </w:tc>
        <w:tc>
          <w:tcPr/>
          <w:p>
            <w:pPr>
              <w:pStyle w:val="Compact"/>
              <w:jc w:val="left"/>
            </w:pPr>
            <w:r>
              <w:t xml:space="preserve">§9-5-13(J): 1 customer per 40 sq. ft. of</w:t>
            </w:r>
            <w:r>
              <w:t xml:space="preserve"> </w:t>
            </w:r>
            <w:r>
              <w:rPr>
                <w:b/>
                <w:bCs/>
              </w:rPr>
              <w:t xml:space="preserve">retail floor area</w:t>
            </w:r>
            <w:r>
              <w:t xml:space="preserve"> </w:t>
            </w:r>
            <w:r>
              <w:t xml:space="preserve">(1,600 ÷ 40 = 40)</w:t>
            </w:r>
          </w:p>
        </w:tc>
        <w:tc>
          <w:tcPr/>
          <w:p>
            <w:pPr>
              <w:pStyle w:val="Compact"/>
              <w:jc w:val="left"/>
            </w:pPr>
            <w:r>
              <w:t xml:space="preserve">§7(8):</w:t>
            </w:r>
            <w:r>
              <w:t xml:space="preserve"> </w:t>
            </w:r>
            <w:r>
              <w:t xml:space="preserve">“</w:t>
            </w:r>
            <w:r>
              <w:t xml:space="preserve">based on retail floor area per the ordinance</w:t>
            </w:r>
            <w:r>
              <w:t xml:space="preserve">”</w:t>
            </w:r>
          </w:p>
        </w:tc>
        <w:tc>
          <w:tcPr/>
          <w:p>
            <w:pPr>
              <w:pStyle w:val="Compact"/>
              <w:jc w:val="left"/>
            </w:pPr>
            <w:r>
              <w:t xml:space="preserve">§5 Q12:</w:t>
            </w:r>
            <w:r>
              <w:t xml:space="preserve"> </w:t>
            </w:r>
            <w:r>
              <w:rPr>
                <w:b/>
                <w:bCs/>
              </w:rPr>
              <w:t xml:space="preserve">total</w:t>
            </w:r>
            <w:r>
              <w:t xml:space="preserve"> </w:t>
            </w:r>
            <w:r>
              <w:t xml:space="preserve">dispensary square footage ÷ 40 (3,200 ÷ 40 = 80)</w:t>
            </w:r>
          </w:p>
        </w:tc>
        <w:tc>
          <w:tcPr/>
          <w:p>
            <w:pPr>
              <w:pStyle w:val="Compact"/>
              <w:jc w:val="left"/>
            </w:pPr>
            <w:r>
              <w:rPr>
                <w:b/>
                <w:bCs/>
              </w:rPr>
              <w:t xml:space="preserve">Major Form error.</w:t>
            </w:r>
            <w:r>
              <w:t xml:space="preserve"> </w:t>
            </w:r>
            <w:r>
              <w:t xml:space="preserve">Form would double the lawful occupancy. Business Plan correctly uses retail floor area (40).</w:t>
            </w:r>
          </w:p>
        </w:tc>
      </w:tr>
      <w:tr>
        <w:tc>
          <w:tcPr/>
          <w:p>
            <w:pPr>
              <w:pStyle w:val="Compact"/>
              <w:jc w:val="left"/>
            </w:pPr>
            <w:r>
              <w:t xml:space="preserve">A-7</w:t>
            </w:r>
          </w:p>
        </w:tc>
        <w:tc>
          <w:tcPr/>
          <w:p>
            <w:pPr>
              <w:pStyle w:val="Compact"/>
              <w:jc w:val="left"/>
            </w:pPr>
            <w:r>
              <w:t xml:space="preserve">Certificate of Good Standing recency</w:t>
            </w:r>
          </w:p>
        </w:tc>
        <w:tc>
          <w:tcPr/>
          <w:p>
            <w:pPr>
              <w:pStyle w:val="Compact"/>
              <w:jc w:val="left"/>
            </w:pPr>
            <w:r>
              <w:t xml:space="preserve">§9-5-5(B)(3): within preceding 60 days</w:t>
            </w:r>
          </w:p>
        </w:tc>
        <w:tc>
          <w:tcPr/>
          <w:p>
            <w:pPr>
              <w:pStyle w:val="Compact"/>
              <w:jc w:val="left"/>
            </w:pPr>
            <w:r>
              <w:t xml:space="preserve">Item 4: within 60 days</w:t>
            </w:r>
          </w:p>
        </w:tc>
        <w:tc>
          <w:tcPr/>
          <w:p>
            <w:pPr>
              <w:pStyle w:val="Compact"/>
              <w:jc w:val="left"/>
            </w:pPr>
            <w:r>
              <w:t xml:space="preserve">§13 checklist: within 30 days</w:t>
            </w:r>
          </w:p>
        </w:tc>
        <w:tc>
          <w:tcPr/>
          <w:p>
            <w:pPr>
              <w:pStyle w:val="Compact"/>
              <w:jc w:val="left"/>
            </w:pPr>
            <w:r>
              <w:t xml:space="preserve">Form is more restrictive than Code/Guide.</w:t>
            </w:r>
          </w:p>
        </w:tc>
      </w:tr>
      <w:tr>
        <w:tc>
          <w:tcPr/>
          <w:p>
            <w:pPr>
              <w:pStyle w:val="Compact"/>
              <w:jc w:val="left"/>
            </w:pPr>
            <w:r>
              <w:t xml:space="preserve">A-8</w:t>
            </w:r>
          </w:p>
        </w:tc>
        <w:tc>
          <w:tcPr/>
          <w:p>
            <w:pPr>
              <w:pStyle w:val="Compact"/>
              <w:jc w:val="left"/>
            </w:pPr>
            <w:r>
              <w:t xml:space="preserve">Principal-officer SSN</w:t>
            </w:r>
          </w:p>
        </w:tc>
        <w:tc>
          <w:tcPr/>
          <w:p>
            <w:pPr>
              <w:pStyle w:val="Compact"/>
              <w:jc w:val="left"/>
            </w:pPr>
            <w:r>
              <w:t xml:space="preserve">§9-5-5(B)(4): Social Security number (full)</w:t>
            </w:r>
          </w:p>
        </w:tc>
        <w:tc>
          <w:tcPr/>
          <w:p>
            <w:pPr>
              <w:pStyle w:val="Compact"/>
              <w:jc w:val="left"/>
            </w:pPr>
            <w:r>
              <w:t xml:space="preserve">Item 5: not specified</w:t>
            </w:r>
          </w:p>
        </w:tc>
        <w:tc>
          <w:tcPr/>
          <w:p>
            <w:pPr>
              <w:pStyle w:val="Compact"/>
              <w:jc w:val="left"/>
            </w:pPr>
            <w:r>
              <w:t xml:space="preserve">§10 Q14A: last 4 digits only</w:t>
            </w:r>
          </w:p>
        </w:tc>
        <w:tc>
          <w:tcPr/>
          <w:p>
            <w:pPr>
              <w:pStyle w:val="Compact"/>
              <w:jc w:val="left"/>
            </w:pPr>
            <w:r>
              <w:t xml:space="preserve">Form does not collect what the Code requires.</w:t>
            </w:r>
          </w:p>
        </w:tc>
      </w:tr>
      <w:tr>
        <w:tc>
          <w:tcPr/>
          <w:p>
            <w:pPr>
              <w:pStyle w:val="Compact"/>
              <w:jc w:val="left"/>
            </w:pPr>
            <w:r>
              <w:t xml:space="preserve">A-9</w:t>
            </w:r>
          </w:p>
        </w:tc>
        <w:tc>
          <w:tcPr/>
          <w:p>
            <w:pPr>
              <w:pStyle w:val="Compact"/>
              <w:jc w:val="left"/>
            </w:pPr>
            <w:r>
              <w:t xml:space="preserve">Buffer survey recency</w:t>
            </w:r>
          </w:p>
        </w:tc>
        <w:tc>
          <w:tcPr/>
          <w:p>
            <w:pPr>
              <w:pStyle w:val="Compact"/>
              <w:jc w:val="left"/>
            </w:pPr>
            <w:r>
              <w:t xml:space="preserve">§9-5-5(B)(7): no recency stated</w:t>
            </w:r>
          </w:p>
        </w:tc>
        <w:tc>
          <w:tcPr/>
          <w:p>
            <w:pPr>
              <w:pStyle w:val="Compact"/>
              <w:jc w:val="left"/>
            </w:pPr>
            <w:r>
              <w:t xml:space="preserve">Item 8: not specified</w:t>
            </w:r>
          </w:p>
        </w:tc>
        <w:tc>
          <w:tcPr/>
          <w:p>
            <w:pPr>
              <w:pStyle w:val="Compact"/>
              <w:jc w:val="left"/>
            </w:pPr>
            <w:r>
              <w:t xml:space="preserve">§3 Q6 note: survey dated within 60 days of submission</w:t>
            </w:r>
          </w:p>
        </w:tc>
        <w:tc>
          <w:tcPr/>
          <w:p>
            <w:pPr>
              <w:pStyle w:val="Compact"/>
              <w:jc w:val="left"/>
            </w:pPr>
            <w:r>
              <w:t xml:space="preserve">Form adds a requirement not in the Code. The Lease Survey (Dec. 15, 2023) would exceed 60 days if submitted May 15, 2024.</w:t>
            </w:r>
          </w:p>
        </w:tc>
      </w:tr>
      <w:tr>
        <w:tc>
          <w:tcPr/>
          <w:p>
            <w:pPr>
              <w:pStyle w:val="Compact"/>
              <w:jc w:val="left"/>
            </w:pPr>
            <w:r>
              <w:t xml:space="preserve">A-10</w:t>
            </w:r>
          </w:p>
        </w:tc>
        <w:tc>
          <w:tcPr/>
          <w:p>
            <w:pPr>
              <w:pStyle w:val="Compact"/>
              <w:jc w:val="left"/>
            </w:pPr>
            <w:r>
              <w:t xml:space="preserve">Agent-in-Charge residency</w:t>
            </w:r>
          </w:p>
        </w:tc>
        <w:tc>
          <w:tcPr/>
          <w:p>
            <w:pPr>
              <w:pStyle w:val="Compact"/>
              <w:jc w:val="left"/>
            </w:pPr>
            <w:r>
              <w:t xml:space="preserve">§9-5-13(I): no residency rule; present or reachable within 30 minutes</w:t>
            </w:r>
          </w:p>
        </w:tc>
        <w:tc>
          <w:tcPr/>
          <w:p>
            <w:pPr>
              <w:pStyle w:val="Compact"/>
              <w:jc w:val="left"/>
            </w:pPr>
            <w:r>
              <w:t xml:space="preserve">Item 19: not specified</w:t>
            </w:r>
          </w:p>
        </w:tc>
        <w:tc>
          <w:tcPr/>
          <w:p>
            <w:pPr>
              <w:pStyle w:val="Compact"/>
              <w:jc w:val="left"/>
            </w:pPr>
            <w:r>
              <w:t xml:space="preserve">§2 Q13(d): must reside within 30 miles</w:t>
            </w:r>
          </w:p>
        </w:tc>
        <w:tc>
          <w:tcPr/>
          <w:p>
            <w:pPr>
              <w:pStyle w:val="Compact"/>
              <w:jc w:val="left"/>
            </w:pPr>
            <w:r>
              <w:t xml:space="preserve">Form adds a requirement not in the Code. Okonkwo (Evanston) satisfies it.</w:t>
            </w:r>
          </w:p>
        </w:tc>
      </w:tr>
      <w:tr>
        <w:tc>
          <w:tcPr/>
          <w:p>
            <w:pPr>
              <w:pStyle w:val="Compact"/>
              <w:jc w:val="left"/>
            </w:pPr>
            <w:r>
              <w:t xml:space="preserve">A-11</w:t>
            </w:r>
          </w:p>
        </w:tc>
        <w:tc>
          <w:tcPr/>
          <w:p>
            <w:pPr>
              <w:pStyle w:val="Compact"/>
              <w:jc w:val="left"/>
            </w:pPr>
            <w:r>
              <w:t xml:space="preserve">State license at application</w:t>
            </w:r>
          </w:p>
        </w:tc>
        <w:tc>
          <w:tcPr/>
          <w:p>
            <w:pPr>
              <w:pStyle w:val="Compact"/>
              <w:jc w:val="left"/>
            </w:pPr>
            <w:r>
              <w:t xml:space="preserve">§9-5-5(B)(2): conditional/permanent license</w:t>
            </w:r>
            <w:r>
              <w:t xml:space="preserve"> </w:t>
            </w:r>
            <w:r>
              <w:rPr>
                <w:b/>
                <w:bCs/>
              </w:rPr>
              <w:t xml:space="preserve">or</w:t>
            </w:r>
            <w:r>
              <w:t xml:space="preserve"> </w:t>
            </w:r>
            <w:r>
              <w:t xml:space="preserve">a pending State application in good standing</w:t>
            </w:r>
          </w:p>
        </w:tc>
        <w:tc>
          <w:tcPr/>
          <w:p>
            <w:pPr>
              <w:pStyle w:val="Compact"/>
              <w:jc w:val="left"/>
            </w:pPr>
            <w:r>
              <w:t xml:space="preserve">§2: must hold a valid license</w:t>
            </w:r>
          </w:p>
        </w:tc>
        <w:tc>
          <w:tcPr/>
          <w:p>
            <w:pPr>
              <w:pStyle w:val="Compact"/>
              <w:jc w:val="left"/>
            </w:pPr>
            <w:r>
              <w:t xml:space="preserve">§1 Notice 9: must hold a valid license; pending not accepted</w:t>
            </w:r>
          </w:p>
        </w:tc>
        <w:tc>
          <w:tcPr/>
          <w:p>
            <w:pPr>
              <w:pStyle w:val="Compact"/>
              <w:jc w:val="left"/>
            </w:pPr>
            <w:r>
              <w:t xml:space="preserve">Guide/Form are more restrictive than the Code. Greenleaf holds a conditional license, so satisfied either way.</w:t>
            </w:r>
          </w:p>
        </w:tc>
      </w:tr>
      <w:tr>
        <w:tc>
          <w:tcPr/>
          <w:p>
            <w:pPr>
              <w:pStyle w:val="Compact"/>
              <w:jc w:val="left"/>
            </w:pPr>
            <w:r>
              <w:t xml:space="preserve">A-12</w:t>
            </w:r>
          </w:p>
        </w:tc>
        <w:tc>
          <w:tcPr/>
          <w:p>
            <w:pPr>
              <w:pStyle w:val="Compact"/>
              <w:jc w:val="left"/>
            </w:pPr>
            <w:r>
              <w:t xml:space="preserve">Form section-citation errors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§5 Q11 cites §9-5-17 for operating hours (should be §9-5-13(F)); §7 Q22 cites §9-5-15 for community engagement (should be §9-5-8)</w:t>
            </w:r>
          </w:p>
        </w:tc>
        <w:tc>
          <w:tcPr/>
          <w:p>
            <w:pPr>
              <w:pStyle w:val="Compact"/>
              <w:jc w:val="left"/>
            </w:pPr>
            <w:r>
              <w:t xml:space="preserve">Form cites wrong Code sections.</w:t>
            </w:r>
          </w:p>
        </w:tc>
      </w:tr>
      <w:tr>
        <w:tc>
          <w:tcPr/>
          <w:p>
            <w:pPr>
              <w:pStyle w:val="Compact"/>
              <w:jc w:val="left"/>
            </w:pPr>
            <w:r>
              <w:t xml:space="preserve">A-13</w:t>
            </w:r>
          </w:p>
        </w:tc>
        <w:tc>
          <w:tcPr/>
          <w:p>
            <w:pPr>
              <w:pStyle w:val="Compact"/>
              <w:jc w:val="left"/>
            </w:pPr>
            <w:r>
              <w:t xml:space="preserve">Social-equity ownership threshold</w:t>
            </w:r>
          </w:p>
        </w:tc>
        <w:tc>
          <w:tcPr/>
          <w:p>
            <w:pPr>
              <w:pStyle w:val="Compact"/>
              <w:jc w:val="left"/>
            </w:pPr>
            <w:r>
              <w:t xml:space="preserve">§9-5-19(B):</w:t>
            </w:r>
            <w:r>
              <w:t xml:space="preserve"> </w:t>
            </w:r>
            <w:r>
              <w:t xml:space="preserve">“</w:t>
            </w:r>
            <w:r>
              <w:t xml:space="preserve">a principal officer holding a majority of the ownership interest</w:t>
            </w:r>
            <w:r>
              <w:t xml:space="preserve">”</w:t>
            </w:r>
          </w:p>
        </w:tc>
        <w:tc>
          <w:tcPr/>
          <w:p>
            <w:pPr>
              <w:pStyle w:val="Compact"/>
              <w:jc w:val="left"/>
            </w:pPr>
            <w:r>
              <w:t xml:space="preserve">§2: ≥51% held by one or more individuals</w:t>
            </w:r>
          </w:p>
        </w:tc>
        <w:tc>
          <w:tcPr/>
          <w:p>
            <w:pPr>
              <w:pStyle w:val="Compact"/>
              <w:jc w:val="left"/>
            </w:pPr>
            <w:r>
              <w:t xml:space="preserve">§6 Q19 note:</w:t>
            </w:r>
            <w:r>
              <w:t xml:space="preserve"> </w:t>
            </w:r>
            <w:r>
              <w:t xml:space="preserve">“</w:t>
            </w:r>
            <w:r>
              <w:t xml:space="preserve">individuals</w:t>
            </w:r>
            <w:r>
              <w:t xml:space="preserve">”</w:t>
            </w:r>
            <w:r>
              <w:t xml:space="preserve"> </w:t>
            </w:r>
            <w:r>
              <w:t xml:space="preserve">(plural)</w:t>
            </w:r>
          </w:p>
        </w:tc>
        <w:tc>
          <w:tcPr/>
          <w:p>
            <w:pPr>
              <w:pStyle w:val="Compact"/>
              <w:jc w:val="left"/>
            </w:pPr>
            <w:r>
              <w:t xml:space="preserve">Code requires a single principal officer holding a majority; Guide/Form/State allow 51% by one or more. Greenleaf (Okonkwo 60%) satisfies all.</w:t>
            </w:r>
          </w:p>
        </w:tc>
      </w:tr>
      <w:tr>
        <w:tc>
          <w:tcPr/>
          <w:p>
            <w:pPr>
              <w:pStyle w:val="Compact"/>
              <w:jc w:val="left"/>
            </w:pPr>
            <w:r>
              <w:t xml:space="preserve">A-14</w:t>
            </w:r>
          </w:p>
        </w:tc>
        <w:tc>
          <w:tcPr/>
          <w:p>
            <w:pPr>
              <w:pStyle w:val="Compact"/>
              <w:jc w:val="left"/>
            </w:pPr>
            <w:r>
              <w:t xml:space="preserve">Social-equity workforce definition</w:t>
            </w:r>
          </w:p>
        </w:tc>
        <w:tc>
          <w:tcPr/>
          <w:p>
            <w:pPr>
              <w:pStyle w:val="Compact"/>
              <w:jc w:val="left"/>
            </w:pPr>
            <w:r>
              <w:t xml:space="preserve">§9-5-19(D):</w:t>
            </w:r>
            <w:r>
              <w:t xml:space="preserve"> </w:t>
            </w:r>
            <w:r>
              <w:t xml:space="preserve">“</w:t>
            </w:r>
            <w:r>
              <w:t xml:space="preserve">all employees, including full-time and part-time</w:t>
            </w:r>
            <w:r>
              <w:t xml:space="preserve">”</w:t>
            </w:r>
          </w:p>
        </w:tc>
        <w:tc>
          <w:tcPr/>
          <w:p>
            <w:pPr>
              <w:pStyle w:val="Compact"/>
              <w:jc w:val="left"/>
            </w:pPr>
            <w:r>
              <w:t xml:space="preserve">Item 14: not specified</w:t>
            </w:r>
          </w:p>
        </w:tc>
        <w:tc>
          <w:tcPr/>
          <w:p>
            <w:pPr>
              <w:pStyle w:val="Compact"/>
              <w:jc w:val="left"/>
            </w:pPr>
            <w:r>
              <w:t xml:space="preserve">§6 Q21(a): excludes principal officers and legal counsel</w:t>
            </w:r>
          </w:p>
        </w:tc>
        <w:tc>
          <w:tcPr/>
          <w:p>
            <w:pPr>
              <w:pStyle w:val="Compact"/>
              <w:jc w:val="left"/>
            </w:pPr>
            <w:r>
              <w:t xml:space="preserve">Form narrows the workforce base vs. the Code. Affects the 50% R3 calculation.</w:t>
            </w:r>
          </w:p>
        </w:tc>
      </w:tr>
      <w:tr>
        <w:tc>
          <w:tcPr/>
          <w:p>
            <w:pPr>
              <w:pStyle w:val="Compact"/>
              <w:jc w:val="left"/>
            </w:pPr>
            <w:r>
              <w:t xml:space="preserve">A-15</w:t>
            </w:r>
          </w:p>
        </w:tc>
        <w:tc>
          <w:tcPr/>
          <w:p>
            <w:pPr>
              <w:pStyle w:val="Compact"/>
              <w:jc w:val="left"/>
            </w:pPr>
            <w:r>
              <w:t xml:space="preserve">Coordinator contact phone</w:t>
            </w:r>
          </w:p>
        </w:tc>
        <w:tc>
          <w:tcPr/>
          <w:p>
            <w:pPr>
              <w:pStyle w:val="Compact"/>
              <w:jc w:val="left"/>
            </w:pPr>
            <w:r>
              <w:t xml:space="preserve">n/a</w:t>
            </w:r>
          </w:p>
        </w:tc>
        <w:tc>
          <w:tcPr/>
          <w:p>
            <w:pPr>
              <w:pStyle w:val="Compact"/>
              <w:jc w:val="left"/>
            </w:pPr>
            <w:r>
              <w:t xml:space="preserve">(847) 448-4311</w:t>
            </w:r>
          </w:p>
        </w:tc>
        <w:tc>
          <w:tcPr/>
          <w:p>
            <w:pPr>
              <w:pStyle w:val="Compact"/>
              <w:jc w:val="left"/>
            </w:pPr>
            <w:r>
              <w:t xml:space="preserve">(847) 448-8163</w:t>
            </w:r>
          </w:p>
        </w:tc>
        <w:tc>
          <w:tcPr/>
          <w:p>
            <w:pPr>
              <w:pStyle w:val="Compact"/>
              <w:jc w:val="left"/>
            </w:pPr>
            <w:r>
              <w:t xml:space="preserve">Inconsistent contact number for the same official.</w:t>
            </w:r>
          </w:p>
        </w:tc>
      </w:tr>
      <w:tr>
        <w:tc>
          <w:tcPr/>
          <w:p>
            <w:pPr>
              <w:pStyle w:val="Compact"/>
              <w:jc w:val="left"/>
            </w:pPr>
            <w:r>
              <w:t xml:space="preserve">A-16</w:t>
            </w:r>
          </w:p>
        </w:tc>
        <w:tc>
          <w:tcPr/>
          <w:p>
            <w:pPr>
              <w:pStyle w:val="Compact"/>
              <w:jc w:val="left"/>
            </w:pPr>
            <w:r>
              <w:t xml:space="preserve">Coordinator contact email</w:t>
            </w:r>
          </w:p>
        </w:tc>
        <w:tc>
          <w:tcPr/>
          <w:p>
            <w:pPr>
              <w:pStyle w:val="Compact"/>
              <w:jc w:val="left"/>
            </w:pPr>
            <w:r>
              <w:t xml:space="preserve">n/a</w:t>
            </w:r>
          </w:p>
        </w:tc>
        <w:tc>
          <w:tcPr/>
          <w:p>
            <w:pPr>
              <w:pStyle w:val="Compact"/>
              <w:jc w:val="left"/>
            </w:pPr>
            <w:r>
              <w:t xml:space="preserve">rvasquezmorris@…</w:t>
            </w:r>
          </w:p>
        </w:tc>
        <w:tc>
          <w:tcPr/>
          <w:p>
            <w:pPr>
              <w:pStyle w:val="Compact"/>
              <w:jc w:val="left"/>
            </w:pPr>
            <w:r>
              <w:t xml:space="preserve">rvasquez-morris@… (hyphenated)</w:t>
            </w:r>
          </w:p>
        </w:tc>
        <w:tc>
          <w:tcPr/>
          <w:p>
            <w:pPr>
              <w:pStyle w:val="Compact"/>
              <w:jc w:val="left"/>
            </w:pPr>
            <w:r>
              <w:t xml:space="preserve">Inconsistent email format.</w:t>
            </w:r>
          </w:p>
        </w:tc>
      </w:tr>
    </w:tbl>
    <w:p>
      <w:r>
        <w:pict>
          <v:rect style="width:0;height:1.5pt" o:hralign="center" o:hrstd="t" o:hr="t"/>
        </w:pict>
      </w:r>
    </w:p>
    <w:bookmarkEnd w:id="22"/>
    <w:bookmarkStart w:id="42" w:name="part-b-compliance-requirements-matrix"/>
    <w:p>
      <w:pPr>
        <w:pStyle w:val="Heading2"/>
      </w:pPr>
      <w:r>
        <w:t xml:space="preserve">4. Part B — Compliance Requirements Matrix</w:t>
      </w:r>
    </w:p>
    <w:bookmarkStart w:id="23" w:name="X706787d2b9dce8ecdbd5a34c1284259af05bb12"/>
    <w:p>
      <w:pPr>
        <w:pStyle w:val="Heading3"/>
      </w:pPr>
      <w:r>
        <w:t xml:space="preserve">B.1 Application Form &amp; Submission Mechanics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R-01</w:t>
            </w:r>
          </w:p>
        </w:tc>
        <w:tc>
          <w:tcPr/>
          <w:p>
            <w:pPr>
              <w:pStyle w:val="Compact"/>
              <w:jc w:val="left"/>
            </w:pPr>
            <w:r>
              <w:t xml:space="preserve">Completed, signed, notarized application form</w:t>
            </w:r>
          </w:p>
        </w:tc>
        <w:tc>
          <w:tcPr/>
          <w:p>
            <w:pPr>
              <w:pStyle w:val="Compact"/>
              <w:jc w:val="left"/>
            </w:pPr>
            <w:r>
              <w:t xml:space="preserve">§9-5-5(B)(1); Guide Item 1; Form §§1–14</w:t>
            </w:r>
          </w:p>
        </w:tc>
        <w:tc>
          <w:tcPr/>
          <w:p>
            <w:pPr>
              <w:pStyle w:val="Compact"/>
              <w:jc w:val="left"/>
            </w:pPr>
            <w:r>
              <w:t xml:space="preserve">Form v3.2 included but</w:t>
            </w:r>
            <w:r>
              <w:t xml:space="preserve"> </w:t>
            </w:r>
            <w:r>
              <w:rPr>
                <w:b/>
                <w:bCs/>
              </w:rPr>
              <w:t xml:space="preserve">all data fields, certification, and notarization are blank</w:t>
            </w:r>
            <w:r>
              <w:t xml:space="preserve">. Substantive content is in supporting docs.</w:t>
            </w:r>
          </w:p>
        </w:tc>
        <w:tc>
          <w:tcPr/>
          <w:p>
            <w:pPr>
              <w:pStyle w:val="Compact"/>
              <w:jc w:val="left"/>
            </w:pPr>
            <w:r>
              <w:t xml:space="preserve">Not Submitted</w:t>
            </w:r>
          </w:p>
        </w:tc>
        <w:tc>
          <w:tcPr/>
          <w:p>
            <w:pPr>
              <w:pStyle w:val="Compact"/>
              <w:jc w:val="left"/>
            </w:pPr>
            <w:r>
              <w:rPr>
                <w:b/>
                <w:bCs/>
              </w:rPr>
              <w:t xml:space="preserve">[P1 — Blocking]</w:t>
            </w:r>
            <w:r>
              <w:t xml:space="preserve"> </w:t>
            </w:r>
            <w:r>
              <w:t xml:space="preserve">Complete every field (or</w:t>
            </w:r>
            <w:r>
              <w:t xml:space="preserve"> </w:t>
            </w:r>
            <w:r>
              <w:t xml:space="preserve">“</w:t>
            </w:r>
            <w:r>
              <w:t xml:space="preserve">N/A</w:t>
            </w:r>
            <w:r>
              <w:t xml:space="preserve">”</w:t>
            </w:r>
            <w:r>
              <w:t xml:space="preserve">), obtain authorized-signatory signature and notarization (Form §14), and index all exhibits by checklist item. Blank fields cause return without processing (Form §1).</w:t>
            </w:r>
          </w:p>
        </w:tc>
      </w:tr>
      <w:tr>
        <w:tc>
          <w:tcPr/>
          <w:p>
            <w:pPr>
              <w:pStyle w:val="Compact"/>
              <w:jc w:val="left"/>
            </w:pPr>
            <w:r>
              <w:t xml:space="preserve">R-02</w:t>
            </w:r>
          </w:p>
        </w:tc>
        <w:tc>
          <w:tcPr/>
          <w:p>
            <w:pPr>
              <w:pStyle w:val="Compact"/>
              <w:jc w:val="left"/>
            </w:pPr>
            <w:r>
              <w:t xml:space="preserve">Non-refundable $5,000 application fee</w:t>
            </w:r>
          </w:p>
        </w:tc>
        <w:tc>
          <w:tcPr/>
          <w:p>
            <w:pPr>
              <w:pStyle w:val="Compact"/>
              <w:jc w:val="left"/>
            </w:pPr>
            <w:r>
              <w:t xml:space="preserve">§9-5-5(B)(18); §9-5-6; Guide Item 2; Form §13</w:t>
            </w:r>
          </w:p>
        </w:tc>
        <w:tc>
          <w:tcPr/>
          <w:p>
            <w:pPr>
              <w:pStyle w:val="Compact"/>
              <w:jc w:val="left"/>
            </w:pPr>
            <w:r>
              <w:t xml:space="preserve">No evidence of payment in package; Form §13 payment fields blank.</w:t>
            </w:r>
          </w:p>
        </w:tc>
        <w:tc>
          <w:tcPr/>
          <w:p>
            <w:pPr>
              <w:pStyle w:val="Compact"/>
              <w:jc w:val="left"/>
            </w:pPr>
            <w:r>
              <w:t xml:space="preserve">Not Submitted</w:t>
            </w:r>
          </w:p>
        </w:tc>
        <w:tc>
          <w:tcPr/>
          <w:p>
            <w:pPr>
              <w:pStyle w:val="Compact"/>
              <w:jc w:val="left"/>
            </w:pPr>
            <w:r>
              <w:rPr>
                <w:b/>
                <w:bCs/>
              </w:rPr>
              <w:t xml:space="preserve">[P1 — Blocking]</w:t>
            </w:r>
            <w:r>
              <w:t xml:space="preserve"> </w:t>
            </w:r>
            <w:r>
              <w:t xml:space="preserve">Remit $5,000. Per the controlling Code, pay by</w:t>
            </w:r>
            <w:r>
              <w:t xml:space="preserve"> </w:t>
            </w:r>
            <w:r>
              <w:rPr>
                <w:b/>
                <w:bCs/>
              </w:rPr>
              <w:t xml:space="preserve">certified check or EFT</w:t>
            </w:r>
            <w:r>
              <w:t xml:space="preserve"> </w:t>
            </w:r>
            <w:r>
              <w:t xml:space="preserve">(see A-1). No application is deemed complete until the fee is received (§9-5-6(D)).</w:t>
            </w:r>
          </w:p>
        </w:tc>
      </w:tr>
      <w:tr>
        <w:tc>
          <w:tcPr/>
          <w:p>
            <w:pPr>
              <w:pStyle w:val="Compact"/>
              <w:jc w:val="left"/>
            </w:pPr>
            <w:r>
              <w:t xml:space="preserve">R-03</w:t>
            </w:r>
          </w:p>
        </w:tc>
        <w:tc>
          <w:tcPr/>
          <w:p>
            <w:pPr>
              <w:pStyle w:val="Compact"/>
              <w:jc w:val="left"/>
            </w:pPr>
            <w:r>
              <w:t xml:space="preserve">Submission format: 3 hard-copy sets + 1 electronic (PDF/USB)</w:t>
            </w:r>
          </w:p>
        </w:tc>
        <w:tc>
          <w:tcPr/>
          <w:p>
            <w:pPr>
              <w:pStyle w:val="Compact"/>
              <w:jc w:val="left"/>
            </w:pPr>
            <w:r>
              <w:t xml:space="preserve">§9-5-5(C); Guide §1; Form §1</w:t>
            </w:r>
          </w:p>
        </w:tc>
        <w:tc>
          <w:tcPr/>
          <w:p>
            <w:pPr>
              <w:pStyle w:val="Compact"/>
              <w:jc w:val="left"/>
            </w:pPr>
            <w:r>
              <w:t xml:space="preserve">Content assembled; delivery format is a submission logistics item.</w:t>
            </w:r>
          </w:p>
        </w:tc>
        <w:tc>
          <w:tcPr/>
          <w:p>
            <w:pPr>
              <w:pStyle w:val="Compact"/>
              <w:jc w:val="left"/>
            </w:pPr>
            <w:r>
              <w:t xml:space="preserve">Compliant</w:t>
            </w:r>
          </w:p>
        </w:tc>
        <w:tc>
          <w:tcPr/>
          <w:p>
            <w:pPr>
              <w:pStyle w:val="Compact"/>
              <w:jc w:val="left"/>
            </w:pPr>
            <w:r>
              <w:t xml:space="preserve">Confirm three collated/bound hard-copy sets and one USB PDF, tabbed by section/exhibit, delivered to the Civic Center during business hours.</w:t>
            </w:r>
          </w:p>
        </w:tc>
      </w:tr>
      <w:tr>
        <w:tc>
          <w:tcPr/>
          <w:p>
            <w:pPr>
              <w:pStyle w:val="Compact"/>
              <w:jc w:val="left"/>
            </w:pPr>
            <w:r>
              <w:t xml:space="preserve">R-04</w:t>
            </w:r>
          </w:p>
        </w:tc>
        <w:tc>
          <w:tcPr/>
          <w:p>
            <w:pPr>
              <w:pStyle w:val="Compact"/>
              <w:jc w:val="left"/>
            </w:pPr>
            <w:r>
              <w:t xml:space="preserve">Submission within application window</w:t>
            </w:r>
          </w:p>
        </w:tc>
        <w:tc>
          <w:tcPr/>
          <w:p>
            <w:pPr>
              <w:pStyle w:val="Compact"/>
              <w:jc w:val="left"/>
            </w:pPr>
            <w:r>
              <w:t xml:space="preserve">§9-5-7(A); Guide §1</w:t>
            </w:r>
          </w:p>
        </w:tc>
        <w:tc>
          <w:tcPr/>
          <w:p>
            <w:pPr>
              <w:pStyle w:val="Compact"/>
              <w:jc w:val="left"/>
            </w:pPr>
            <w:r>
              <w:t xml:space="preserve">Target submission May 15, 2024, within the Feb. 1–May 31, 2024 window.</w:t>
            </w:r>
          </w:p>
        </w:tc>
        <w:tc>
          <w:tcPr/>
          <w:p>
            <w:pPr>
              <w:pStyle w:val="Compact"/>
              <w:jc w:val="left"/>
            </w:pPr>
            <w:r>
              <w:t xml:space="preserve">Compliant</w:t>
            </w:r>
          </w:p>
        </w:tc>
        <w:tc>
          <w:tcPr/>
          <w:p>
            <w:pPr>
              <w:pStyle w:val="Compact"/>
              <w:jc w:val="left"/>
            </w:pPr>
            <w:r>
              <w:t xml:space="preserve">Maintain the May 15 target to preserve maximum processing time; do not slip past May 31.</w:t>
            </w:r>
          </w:p>
        </w:tc>
      </w:tr>
    </w:tbl>
    <w:bookmarkEnd w:id="23"/>
    <w:bookmarkStart w:id="24" w:name="X42a62397c390df53ba2c2d290997680204fa036"/>
    <w:p>
      <w:pPr>
        <w:pStyle w:val="Heading3"/>
      </w:pPr>
      <w:r>
        <w:t xml:space="preserve">B.2 Entity Formation &amp; Organizational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R-05</w:t>
            </w:r>
          </w:p>
        </w:tc>
        <w:tc>
          <w:tcPr/>
          <w:p>
            <w:pPr>
              <w:pStyle w:val="Compact"/>
              <w:jc w:val="left"/>
            </w:pPr>
            <w:r>
              <w:t xml:space="preserve">Articles of Organization/Incorporation</w:t>
            </w:r>
          </w:p>
        </w:tc>
        <w:tc>
          <w:tcPr/>
          <w:p>
            <w:pPr>
              <w:pStyle w:val="Compact"/>
              <w:jc w:val="left"/>
            </w:pPr>
            <w:r>
              <w:t xml:space="preserve">§9-5-5(B)(3); Guide Item 4</w:t>
            </w:r>
          </w:p>
        </w:tc>
        <w:tc>
          <w:tcPr/>
          <w:p>
            <w:pPr>
              <w:pStyle w:val="Compact"/>
              <w:jc w:val="left"/>
            </w:pPr>
            <w:r>
              <w:t xml:space="preserve">Business Plan states IL LLC formed March 14, 2023 (805 ILCS 180/); ILSOS File No. LLC-07842319. Articles referenced as</w:t>
            </w:r>
            <w:r>
              <w:t xml:space="preserve"> </w:t>
            </w:r>
            <w:r>
              <w:t xml:space="preserve">“</w:t>
            </w:r>
            <w:r>
              <w:t xml:space="preserve">on file,</w:t>
            </w:r>
            <w:r>
              <w:t xml:space="preserve">”</w:t>
            </w:r>
            <w:r>
              <w:t xml:space="preserve"> </w:t>
            </w:r>
            <w:r>
              <w:t xml:space="preserve">not reproduced.</w:t>
            </w:r>
          </w:p>
        </w:tc>
        <w:tc>
          <w:tcPr/>
          <w:p>
            <w:pPr>
              <w:pStyle w:val="Compact"/>
              <w:jc w:val="left"/>
            </w:pPr>
            <w:r>
              <w:t xml:space="preserve">Partial — Gap</w:t>
            </w:r>
          </w:p>
        </w:tc>
        <w:tc>
          <w:tcPr/>
          <w:p>
            <w:pPr>
              <w:pStyle w:val="Compact"/>
              <w:jc w:val="left"/>
            </w:pPr>
            <w:r>
              <w:rPr>
                <w:b/>
                <w:bCs/>
              </w:rPr>
              <w:t xml:space="preserve">[P3]</w:t>
            </w:r>
            <w:r>
              <w:t xml:space="preserve"> </w:t>
            </w:r>
            <w:r>
              <w:t xml:space="preserve">Include certified copies of Articles of Organization in the package.</w:t>
            </w:r>
          </w:p>
        </w:tc>
      </w:tr>
      <w:tr>
        <w:tc>
          <w:tcPr/>
          <w:p>
            <w:pPr>
              <w:pStyle w:val="Compact"/>
              <w:jc w:val="left"/>
            </w:pPr>
            <w:r>
              <w:t xml:space="preserve">R-06</w:t>
            </w:r>
          </w:p>
        </w:tc>
        <w:tc>
          <w:tcPr/>
          <w:p>
            <w:pPr>
              <w:pStyle w:val="Compact"/>
              <w:jc w:val="left"/>
            </w:pPr>
            <w:r>
              <w:t xml:space="preserve">Operating Agreement / Bylaws (fully executed)</w:t>
            </w:r>
          </w:p>
        </w:tc>
        <w:tc>
          <w:tcPr/>
          <w:p>
            <w:pPr>
              <w:pStyle w:val="Compact"/>
              <w:jc w:val="left"/>
            </w:pPr>
            <w:r>
              <w:t xml:space="preserve">§9-5-5(B)(3); Guide Item 4</w:t>
            </w:r>
          </w:p>
        </w:tc>
        <w:tc>
          <w:tcPr/>
          <w:p>
            <w:pPr>
              <w:pStyle w:val="Compact"/>
              <w:jc w:val="left"/>
            </w:pPr>
            <w:r>
              <w:t xml:space="preserve">Referenced as</w:t>
            </w:r>
            <w:r>
              <w:t xml:space="preserve"> </w:t>
            </w:r>
            <w:r>
              <w:t xml:space="preserve">“</w:t>
            </w:r>
            <w:r>
              <w:t xml:space="preserve">on file and available</w:t>
            </w:r>
            <w:r>
              <w:t xml:space="preserve">”</w:t>
            </w:r>
            <w:r>
              <w:t xml:space="preserve">; not reproduced.</w:t>
            </w:r>
          </w:p>
        </w:tc>
        <w:tc>
          <w:tcPr/>
          <w:p>
            <w:pPr>
              <w:pStyle w:val="Compact"/>
              <w:jc w:val="left"/>
            </w:pPr>
            <w:r>
              <w:t xml:space="preserve">Partial — Gap</w:t>
            </w:r>
          </w:p>
        </w:tc>
        <w:tc>
          <w:tcPr/>
          <w:p>
            <w:pPr>
              <w:pStyle w:val="Compact"/>
              <w:jc w:val="left"/>
            </w:pPr>
            <w:r>
              <w:rPr>
                <w:b/>
                <w:bCs/>
              </w:rPr>
              <w:t xml:space="preserve">[P3]</w:t>
            </w:r>
            <w:r>
              <w:t xml:space="preserve"> </w:t>
            </w:r>
            <w:r>
              <w:t xml:space="preserve">Include the fully executed Operating Agreement.</w:t>
            </w:r>
          </w:p>
        </w:tc>
      </w:tr>
      <w:tr>
        <w:tc>
          <w:tcPr/>
          <w:p>
            <w:pPr>
              <w:pStyle w:val="Compact"/>
              <w:jc w:val="left"/>
            </w:pPr>
            <w:r>
              <w:t xml:space="preserve">R-07</w:t>
            </w:r>
          </w:p>
        </w:tc>
        <w:tc>
          <w:tcPr/>
          <w:p>
            <w:pPr>
              <w:pStyle w:val="Compact"/>
              <w:jc w:val="left"/>
            </w:pPr>
            <w:r>
              <w:t xml:space="preserve">Certificate of Good Standing (IL SOS)</w:t>
            </w:r>
          </w:p>
        </w:tc>
        <w:tc>
          <w:tcPr/>
          <w:p>
            <w:pPr>
              <w:pStyle w:val="Compact"/>
              <w:jc w:val="left"/>
            </w:pPr>
            <w:r>
              <w:t xml:space="preserve">§9-5-5(B)(3); Guide Item 4; Form §13</w:t>
            </w:r>
          </w:p>
        </w:tc>
        <w:tc>
          <w:tcPr/>
          <w:p>
            <w:pPr>
              <w:pStyle w:val="Compact"/>
              <w:jc w:val="left"/>
            </w:pPr>
            <w:r>
              <w:t xml:space="preserve">Business Plan asserts good standing and current annual reports; actual certificate not in package.</w:t>
            </w:r>
          </w:p>
        </w:tc>
        <w:tc>
          <w:tcPr/>
          <w:p>
            <w:pPr>
              <w:pStyle w:val="Compact"/>
              <w:jc w:val="left"/>
            </w:pPr>
            <w:r>
              <w:t xml:space="preserve">Not Submitted</w:t>
            </w:r>
          </w:p>
        </w:tc>
        <w:tc>
          <w:tcPr/>
          <w:p>
            <w:pPr>
              <w:pStyle w:val="Compact"/>
              <w:jc w:val="left"/>
            </w:pPr>
            <w:r>
              <w:rPr>
                <w:b/>
                <w:bCs/>
              </w:rPr>
              <w:t xml:space="preserve">[P2]</w:t>
            </w:r>
            <w:r>
              <w:t xml:space="preserve"> </w:t>
            </w:r>
            <w:r>
              <w:t xml:space="preserve">Obtain and include a Certificate of Good Standing. Code/Guide require dated within 60 days; Form says 30 days — obtain within 30 days to satisfy the strictest standard (see A-7).</w:t>
            </w:r>
          </w:p>
        </w:tc>
      </w:tr>
      <w:tr>
        <w:tc>
          <w:tcPr/>
          <w:p>
            <w:pPr>
              <w:pStyle w:val="Compact"/>
              <w:jc w:val="left"/>
            </w:pPr>
            <w:r>
              <w:t xml:space="preserve">R-08</w:t>
            </w:r>
          </w:p>
        </w:tc>
        <w:tc>
          <w:tcPr/>
          <w:p>
            <w:pPr>
              <w:pStyle w:val="Compact"/>
              <w:jc w:val="left"/>
            </w:pPr>
            <w:r>
              <w:t xml:space="preserve">EIN verification letter (IRS)</w:t>
            </w:r>
          </w:p>
        </w:tc>
        <w:tc>
          <w:tcPr/>
          <w:p>
            <w:pPr>
              <w:pStyle w:val="Compact"/>
              <w:jc w:val="left"/>
            </w:pPr>
            <w:r>
              <w:t xml:space="preserve">Guide Item 4; Form §13</w:t>
            </w:r>
          </w:p>
        </w:tc>
        <w:tc>
          <w:tcPr/>
          <w:p>
            <w:pPr>
              <w:pStyle w:val="Compact"/>
              <w:jc w:val="left"/>
            </w:pPr>
            <w:r>
              <w:t xml:space="preserve">EIN 88-3921047 stated; IRS CP-575/147C letter not included.</w:t>
            </w:r>
          </w:p>
        </w:tc>
        <w:tc>
          <w:tcPr/>
          <w:p>
            <w:pPr>
              <w:pStyle w:val="Compact"/>
              <w:jc w:val="left"/>
            </w:pPr>
            <w:r>
              <w:t xml:space="preserve">Not Submitted</w:t>
            </w:r>
          </w:p>
        </w:tc>
        <w:tc>
          <w:tcPr/>
          <w:p>
            <w:pPr>
              <w:pStyle w:val="Compact"/>
              <w:jc w:val="left"/>
            </w:pPr>
            <w:r>
              <w:rPr>
                <w:b/>
                <w:bCs/>
              </w:rPr>
              <w:t xml:space="preserve">[P3]</w:t>
            </w:r>
            <w:r>
              <w:t xml:space="preserve"> </w:t>
            </w:r>
            <w:r>
              <w:t xml:space="preserve">Include IRS EIN verification letter.</w:t>
            </w:r>
          </w:p>
        </w:tc>
      </w:tr>
      <w:tr>
        <w:tc>
          <w:tcPr/>
          <w:p>
            <w:pPr>
              <w:pStyle w:val="Compact"/>
              <w:jc w:val="left"/>
            </w:pPr>
            <w:r>
              <w:t xml:space="preserve">R-09</w:t>
            </w:r>
          </w:p>
        </w:tc>
        <w:tc>
          <w:tcPr/>
          <w:p>
            <w:pPr>
              <w:pStyle w:val="Compact"/>
              <w:jc w:val="left"/>
            </w:pPr>
            <w:r>
              <w:t xml:space="preserve">Ownership chart (members/managers/officers/directors with %)</w:t>
            </w:r>
          </w:p>
        </w:tc>
        <w:tc>
          <w:tcPr/>
          <w:p>
            <w:pPr>
              <w:pStyle w:val="Compact"/>
              <w:jc w:val="left"/>
            </w:pPr>
            <w:r>
              <w:t xml:space="preserve">§9-5-5(B)(3); Guide Item 4</w:t>
            </w:r>
          </w:p>
        </w:tc>
        <w:tc>
          <w:tcPr/>
          <w:p>
            <w:pPr>
              <w:pStyle w:val="Compact"/>
              <w:jc w:val="left"/>
            </w:pPr>
            <w:r>
              <w:t xml:space="preserve">Ownership and org chart described in Business Plan §2.2 and Appendix A.</w:t>
            </w:r>
          </w:p>
        </w:tc>
        <w:tc>
          <w:tcPr/>
          <w:p>
            <w:pPr>
              <w:pStyle w:val="Compact"/>
              <w:jc w:val="left"/>
            </w:pPr>
            <w:r>
              <w:t xml:space="preserve">Compliant</w:t>
            </w:r>
          </w:p>
        </w:tc>
        <w:tc>
          <w:tcPr/>
          <w:p>
            <w:pPr>
              <w:pStyle w:val="Compact"/>
              <w:jc w:val="left"/>
            </w:pPr>
            <w:r>
              <w:t xml:space="preserve">Reproduce the ownership chart as a standalone exhibit indexed to Item 4.</w:t>
            </w:r>
          </w:p>
        </w:tc>
      </w:tr>
      <w:tr>
        <w:tc>
          <w:tcPr/>
          <w:p>
            <w:pPr>
              <w:pStyle w:val="Compact"/>
              <w:jc w:val="left"/>
            </w:pPr>
            <w:r>
              <w:t xml:space="preserve">R-10</w:t>
            </w:r>
          </w:p>
        </w:tc>
        <w:tc>
          <w:tcPr/>
          <w:p>
            <w:pPr>
              <w:pStyle w:val="Compact"/>
              <w:jc w:val="left"/>
            </w:pPr>
            <w:r>
              <w:t xml:space="preserve">Registered agent consistency</w:t>
            </w:r>
          </w:p>
        </w:tc>
        <w:tc>
          <w:tcPr/>
          <w:p>
            <w:pPr>
              <w:pStyle w:val="Compact"/>
              <w:jc w:val="left"/>
            </w:pPr>
            <w:r>
              <w:t xml:space="preserve">§9-5-5(B)(3)</w:t>
            </w:r>
          </w:p>
        </w:tc>
        <w:tc>
          <w:tcPr/>
          <w:p>
            <w:pPr>
              <w:pStyle w:val="Compact"/>
              <w:jc w:val="left"/>
            </w:pPr>
            <w:r>
              <w:rPr>
                <w:b/>
                <w:bCs/>
              </w:rPr>
              <w:t xml:space="preserve">Conflict:</w:t>
            </w:r>
            <w:r>
              <w:t xml:space="preserve"> </w:t>
            </w:r>
            <w:r>
              <w:t xml:space="preserve">State License lists</w:t>
            </w:r>
            <w:r>
              <w:t xml:space="preserve"> </w:t>
            </w:r>
            <w:r>
              <w:t xml:space="preserve">“</w:t>
            </w:r>
            <w:r>
              <w:t xml:space="preserve">Keystone Statutory Services</w:t>
            </w:r>
            <w:r>
              <w:t xml:space="preserve">”</w:t>
            </w:r>
            <w:r>
              <w:t xml:space="preserve">; Business Plan and Lease list</w:t>
            </w:r>
            <w:r>
              <w:t xml:space="preserve"> </w:t>
            </w:r>
            <w:r>
              <w:t xml:space="preserve">“</w:t>
            </w:r>
            <w:r>
              <w:t xml:space="preserve">Northwest Statutory Services</w:t>
            </w:r>
            <w:r>
              <w:t xml:space="preserve">”</w:t>
            </w:r>
            <w:r>
              <w:t xml:space="preserve"> </w:t>
            </w:r>
            <w:r>
              <w:t xml:space="preserve">(same address).</w:t>
            </w:r>
          </w:p>
        </w:tc>
        <w:tc>
          <w:tcPr/>
          <w:p>
            <w:pPr>
              <w:pStyle w:val="Compact"/>
              <w:jc w:val="left"/>
            </w:pPr>
            <w:r>
              <w:t xml:space="preserve">Discrepancy</w:t>
            </w:r>
          </w:p>
        </w:tc>
        <w:tc>
          <w:tcPr/>
          <w:p>
            <w:pPr>
              <w:pStyle w:val="Compact"/>
              <w:jc w:val="left"/>
            </w:pPr>
            <w:r>
              <w:rPr>
                <w:b/>
                <w:bCs/>
              </w:rPr>
              <w:t xml:space="preserve">[P4]</w:t>
            </w:r>
            <w:r>
              <w:t xml:space="preserve"> </w:t>
            </w:r>
            <w:r>
              <w:t xml:space="preserve">Reconcile the registered-agent name across all documents; correct whichever is wrong.</w:t>
            </w:r>
          </w:p>
        </w:tc>
      </w:tr>
    </w:tbl>
    <w:bookmarkEnd w:id="24"/>
    <w:bookmarkStart w:id="25" w:name="X9f37a48cdac24acfdf67e1031818d4da0718bfa"/>
    <w:p>
      <w:pPr>
        <w:pStyle w:val="Heading3"/>
      </w:pPr>
      <w:r>
        <w:t xml:space="preserve">B.3 Principal-Officer Disclosures &amp; Background Checks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R-11</w:t>
            </w:r>
          </w:p>
        </w:tc>
        <w:tc>
          <w:tcPr/>
          <w:p>
            <w:pPr>
              <w:pStyle w:val="Compact"/>
              <w:jc w:val="left"/>
            </w:pPr>
            <w:r>
              <w:t xml:space="preserve">Principal-officer list: full legal name, DOB, home address, ownership %, role, SSN</w:t>
            </w:r>
          </w:p>
        </w:tc>
        <w:tc>
          <w:tcPr/>
          <w:p>
            <w:pPr>
              <w:pStyle w:val="Compact"/>
              <w:jc w:val="left"/>
            </w:pPr>
            <w:r>
              <w:t xml:space="preserve">§9-5-5(B)(4); Guide Item 5; Form Q11</w:t>
            </w:r>
          </w:p>
        </w:tc>
        <w:tc>
          <w:tcPr/>
          <w:p>
            <w:pPr>
              <w:pStyle w:val="Compact"/>
              <w:jc w:val="left"/>
            </w:pPr>
            <w:r>
              <w:t xml:space="preserve">Okonkwo (60%, Managing Member, age 38, Evanston) and Ramachandran (40%, Silent Member, age 44, Wilmette) identified. Exact DOB, street addresses, and SSNs not provided in package.</w:t>
            </w:r>
          </w:p>
        </w:tc>
        <w:tc>
          <w:tcPr/>
          <w:p>
            <w:pPr>
              <w:pStyle w:val="Compact"/>
              <w:jc w:val="left"/>
            </w:pPr>
            <w:r>
              <w:t xml:space="preserve">Partial — Gap</w:t>
            </w:r>
          </w:p>
        </w:tc>
        <w:tc>
          <w:tcPr/>
          <w:p>
            <w:pPr>
              <w:pStyle w:val="Compact"/>
              <w:jc w:val="left"/>
            </w:pPr>
            <w:r>
              <w:rPr>
                <w:b/>
                <w:bCs/>
              </w:rPr>
              <w:t xml:space="preserve">[P2]</w:t>
            </w:r>
            <w:r>
              <w:t xml:space="preserve"> </w:t>
            </w:r>
            <w:r>
              <w:t xml:space="preserve">Complete Form Q11/Q12 with exact DOB and residential addresses for both officers. Code requires full SSN; Form collects last 4 only (A-8) — provide per the Code and mark FOIA-exempt.</w:t>
            </w:r>
          </w:p>
        </w:tc>
      </w:tr>
      <w:tr>
        <w:tc>
          <w:tcPr/>
          <w:p>
            <w:pPr>
              <w:pStyle w:val="Compact"/>
              <w:jc w:val="left"/>
            </w:pPr>
            <w:r>
              <w:t xml:space="preserve">R-12</w:t>
            </w:r>
          </w:p>
        </w:tc>
        <w:tc>
          <w:tcPr/>
          <w:p>
            <w:pPr>
              <w:pStyle w:val="Compact"/>
              <w:jc w:val="left"/>
            </w:pPr>
            <w:r>
              <w:t xml:space="preserve">Fingerprint-based background-check authorization (each principal officer)</w:t>
            </w:r>
          </w:p>
        </w:tc>
        <w:tc>
          <w:tcPr/>
          <w:p>
            <w:pPr>
              <w:pStyle w:val="Compact"/>
              <w:jc w:val="left"/>
            </w:pPr>
            <w:r>
              <w:t xml:space="preserve">§9-5-5(B)(17); §9-5-22; Guide Item 5; Form Q14A</w:t>
            </w:r>
          </w:p>
        </w:tc>
        <w:tc>
          <w:tcPr/>
          <w:p>
            <w:pPr>
              <w:pStyle w:val="Compact"/>
              <w:jc w:val="left"/>
            </w:pPr>
            <w:r>
              <w:t xml:space="preserve">State License confirms ISP/FBI fingerprint background checks completed for both officers with no disqualifying offenses. City Form Q14A authorizations are blank; fingerprint receipts not included.</w:t>
            </w:r>
          </w:p>
        </w:tc>
        <w:tc>
          <w:tcPr/>
          <w:p>
            <w:pPr>
              <w:pStyle w:val="Compact"/>
              <w:jc w:val="left"/>
            </w:pPr>
            <w:r>
              <w:t xml:space="preserve">Partial — Gap</w:t>
            </w:r>
          </w:p>
        </w:tc>
        <w:tc>
          <w:tcPr/>
          <w:p>
            <w:pPr>
              <w:pStyle w:val="Compact"/>
              <w:jc w:val="left"/>
            </w:pPr>
            <w:r>
              <w:rPr>
                <w:b/>
                <w:bCs/>
              </w:rPr>
              <w:t xml:space="preserve">[P2]</w:t>
            </w:r>
            <w:r>
              <w:t xml:space="preserve"> </w:t>
            </w:r>
            <w:r>
              <w:t xml:space="preserve">Complete and sign City Form Q14A for each 5%+ owner; include Live Scan fingerprint receipts. Note Code §9-5-22(E): results must be received before the application can be deemed complete.</w:t>
            </w:r>
          </w:p>
        </w:tc>
      </w:tr>
      <w:tr>
        <w:tc>
          <w:tcPr/>
          <w:p>
            <w:pPr>
              <w:pStyle w:val="Compact"/>
              <w:jc w:val="left"/>
            </w:pPr>
            <w:r>
              <w:t xml:space="preserve">R-13</w:t>
            </w:r>
          </w:p>
        </w:tc>
        <w:tc>
          <w:tcPr/>
          <w:p>
            <w:pPr>
              <w:pStyle w:val="Compact"/>
              <w:jc w:val="left"/>
            </w:pPr>
            <w:r>
              <w:t xml:space="preserve">Criminal-history disclosure (each principal officer)</w:t>
            </w:r>
          </w:p>
        </w:tc>
        <w:tc>
          <w:tcPr/>
          <w:p>
            <w:pPr>
              <w:pStyle w:val="Compact"/>
              <w:jc w:val="left"/>
            </w:pPr>
            <w:r>
              <w:t xml:space="preserve">§9-5-22; Form Q14B</w:t>
            </w:r>
          </w:p>
        </w:tc>
        <w:tc>
          <w:tcPr/>
          <w:p>
            <w:pPr>
              <w:pStyle w:val="Compact"/>
              <w:jc w:val="left"/>
            </w:pPr>
            <w:r>
              <w:t xml:space="preserve">Form Q14B blank. State License confirms no disqualifying offenses. Okonkwo discloses a 2016 expunged misdemeanor (Business Plan).</w:t>
            </w:r>
          </w:p>
        </w:tc>
        <w:tc>
          <w:tcPr/>
          <w:p>
            <w:pPr>
              <w:pStyle w:val="Compact"/>
              <w:jc w:val="left"/>
            </w:pPr>
            <w:r>
              <w:t xml:space="preserve">Partial — Gap</w:t>
            </w:r>
          </w:p>
        </w:tc>
        <w:tc>
          <w:tcPr/>
          <w:p>
            <w:pPr>
              <w:pStyle w:val="Compact"/>
              <w:jc w:val="left"/>
            </w:pPr>
            <w:r>
              <w:rPr>
                <w:b/>
                <w:bCs/>
              </w:rPr>
              <w:t xml:space="preserve">[P3]</w:t>
            </w:r>
            <w:r>
              <w:t xml:space="preserve"> </w:t>
            </w:r>
            <w:r>
              <w:t xml:space="preserve">Complete Q14B for both officers, including the expunged 2016 matter (disclosure of expunged records is required by the Form; expunged/sealed convictions are not disqualifying per §9-5-22(D)(3)).</w:t>
            </w:r>
          </w:p>
        </w:tc>
      </w:tr>
      <w:tr>
        <w:tc>
          <w:tcPr/>
          <w:p>
            <w:pPr>
              <w:pStyle w:val="Compact"/>
              <w:jc w:val="left"/>
            </w:pPr>
            <w:r>
              <w:t xml:space="preserve">R-14</w:t>
            </w:r>
          </w:p>
        </w:tc>
        <w:tc>
          <w:tcPr/>
          <w:p>
            <w:pPr>
              <w:pStyle w:val="Compact"/>
              <w:jc w:val="left"/>
            </w:pPr>
            <w:r>
              <w:t xml:space="preserve">Government photo ID + proof of residency (each principal officer, docs ≤90 days)</w:t>
            </w:r>
          </w:p>
        </w:tc>
        <w:tc>
          <w:tcPr/>
          <w:p>
            <w:pPr>
              <w:pStyle w:val="Compact"/>
              <w:jc w:val="left"/>
            </w:pPr>
            <w:r>
              <w:t xml:space="preserve">Guide Item 5</w:t>
            </w:r>
          </w:p>
        </w:tc>
        <w:tc>
          <w:tcPr/>
          <w:p>
            <w:pPr>
              <w:pStyle w:val="Compact"/>
              <w:jc w:val="left"/>
            </w:pPr>
            <w:r>
              <w:t xml:space="preserve">Not included in package.</w:t>
            </w:r>
          </w:p>
        </w:tc>
        <w:tc>
          <w:tcPr/>
          <w:p>
            <w:pPr>
              <w:pStyle w:val="Compact"/>
              <w:jc w:val="left"/>
            </w:pPr>
            <w:r>
              <w:t xml:space="preserve">Not Submitted</w:t>
            </w:r>
          </w:p>
        </w:tc>
        <w:tc>
          <w:tcPr/>
          <w:p>
            <w:pPr>
              <w:pStyle w:val="Compact"/>
              <w:jc w:val="left"/>
            </w:pPr>
            <w:r>
              <w:rPr>
                <w:b/>
                <w:bCs/>
              </w:rPr>
              <w:t xml:space="preserve">[P3]</w:t>
            </w:r>
            <w:r>
              <w:t xml:space="preserve"> </w:t>
            </w:r>
            <w:r>
              <w:t xml:space="preserve">Attach photo ID and proof-of-residency documents (utility bill/bank statement/lease ≤90 days) for each principal officer.</w:t>
            </w:r>
          </w:p>
        </w:tc>
      </w:tr>
    </w:tbl>
    <w:bookmarkEnd w:id="25"/>
    <w:bookmarkStart w:id="26" w:name="b.4-state-license"/>
    <w:p>
      <w:pPr>
        <w:pStyle w:val="Heading3"/>
      </w:pPr>
      <w:r>
        <w:t xml:space="preserve">B.4 State License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R-15</w:t>
            </w:r>
          </w:p>
        </w:tc>
        <w:tc>
          <w:tcPr/>
          <w:p>
            <w:pPr>
              <w:pStyle w:val="Compact"/>
              <w:jc w:val="left"/>
            </w:pPr>
            <w:r>
              <w:t xml:space="preserve">Proof of valid State conditional/permanent dispensing license</w:t>
            </w:r>
          </w:p>
        </w:tc>
        <w:tc>
          <w:tcPr/>
          <w:p>
            <w:pPr>
              <w:pStyle w:val="Compact"/>
              <w:jc w:val="left"/>
            </w:pPr>
            <w:r>
              <w:t xml:space="preserve">§9-5-5(B)(2); Guide Item 3; Form Q9</w:t>
            </w:r>
          </w:p>
        </w:tc>
        <w:tc>
          <w:tcPr/>
          <w:p>
            <w:pPr>
              <w:pStyle w:val="Compact"/>
              <w:jc w:val="left"/>
            </w:pPr>
            <w:r>
              <w:t xml:space="preserve">Conditional License ADC-285-0147 included (issued 9/22/2023; expires 9/21/2024); license number, dates, and social-equity designation present.</w:t>
            </w:r>
          </w:p>
        </w:tc>
        <w:tc>
          <w:tcPr/>
          <w:p>
            <w:pPr>
              <w:pStyle w:val="Compact"/>
              <w:jc w:val="left"/>
            </w:pPr>
            <w:r>
              <w:t xml:space="preserve">Compliant</w:t>
            </w:r>
          </w:p>
        </w:tc>
        <w:tc>
          <w:tcPr/>
          <w:p>
            <w:pPr>
              <w:pStyle w:val="Compact"/>
              <w:jc w:val="left"/>
            </w:pPr>
            <w:r>
              <w:t xml:space="preserve">Attach a certified copy indexed to Item 3; complete Form Q9 fields.</w:t>
            </w:r>
          </w:p>
        </w:tc>
      </w:tr>
      <w:tr>
        <w:tc>
          <w:tcPr/>
          <w:p>
            <w:pPr>
              <w:pStyle w:val="Compact"/>
              <w:jc w:val="left"/>
            </w:pPr>
            <w:r>
              <w:t xml:space="preserve">R-16</w:t>
            </w:r>
          </w:p>
        </w:tc>
        <w:tc>
          <w:tcPr/>
          <w:p>
            <w:pPr>
              <w:pStyle w:val="Compact"/>
              <w:jc w:val="left"/>
            </w:pPr>
            <w:r>
              <w:t xml:space="preserve">Conditional-license conversion plan (180 days from local permit issuance)</w:t>
            </w:r>
          </w:p>
        </w:tc>
        <w:tc>
          <w:tcPr/>
          <w:p>
            <w:pPr>
              <w:pStyle w:val="Compact"/>
              <w:jc w:val="left"/>
            </w:pPr>
            <w:r>
              <w:t xml:space="preserve">Form Q9 note; State License Cond. 2</w:t>
            </w:r>
          </w:p>
        </w:tc>
        <w:tc>
          <w:tcPr/>
          <w:p>
            <w:pPr>
              <w:pStyle w:val="Compact"/>
              <w:jc w:val="left"/>
            </w:pPr>
            <w:r>
              <w:t xml:space="preserve">Conversion within 180 days of local permit issuance documented; $100,000 conversion fee budgeted.</w:t>
            </w:r>
          </w:p>
        </w:tc>
        <w:tc>
          <w:tcPr/>
          <w:p>
            <w:pPr>
              <w:pStyle w:val="Compact"/>
              <w:jc w:val="left"/>
            </w:pPr>
            <w:r>
              <w:t xml:space="preserve">Compliant</w:t>
            </w:r>
          </w:p>
        </w:tc>
        <w:tc>
          <w:tcPr/>
          <w:p>
            <w:pPr>
              <w:pStyle w:val="Compact"/>
              <w:jc w:val="left"/>
            </w:pPr>
            <w:r>
              <w:rPr>
                <w:b/>
                <w:bCs/>
              </w:rPr>
              <w:t xml:space="preserve">Timeline risk:</w:t>
            </w:r>
            <w:r>
              <w:t xml:space="preserve"> </w:t>
            </w:r>
            <w:r>
              <w:t xml:space="preserve">conditional license expires 9/21/2024. At 120–150 days from a 5/15/2024 submission, local issuance may not occur before expiration. Consider petitioning IDFPR for the single 6-month extension (State Cond. 4) no later than ~7/23/2024.</w:t>
            </w:r>
          </w:p>
        </w:tc>
      </w:tr>
    </w:tbl>
    <w:bookmarkEnd w:id="26"/>
    <w:bookmarkStart w:id="27" w:name="b.5-location-lease-zoning"/>
    <w:p>
      <w:pPr>
        <w:pStyle w:val="Heading3"/>
      </w:pPr>
      <w:r>
        <w:t xml:space="preserve">B.5 Location, Lease &amp; Zoning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R-17</w:t>
            </w:r>
          </w:p>
        </w:tc>
        <w:tc>
          <w:tcPr/>
          <w:p>
            <w:pPr>
              <w:pStyle w:val="Compact"/>
              <w:jc w:val="left"/>
            </w:pPr>
            <w:r>
              <w:t xml:space="preserve">Proof of right to occupy: lease ≥3 years remaining (or deed)</w:t>
            </w:r>
          </w:p>
        </w:tc>
        <w:tc>
          <w:tcPr/>
          <w:p>
            <w:pPr>
              <w:pStyle w:val="Compact"/>
              <w:jc w:val="left"/>
            </w:pPr>
            <w:r>
              <w:t xml:space="preserve">§9-5-5(B)(5); Guide Item 6; Form Q4</w:t>
            </w:r>
          </w:p>
        </w:tc>
        <w:tc>
          <w:tcPr/>
          <w:p>
            <w:pPr>
              <w:pStyle w:val="Compact"/>
              <w:jc w:val="left"/>
            </w:pPr>
            <w:r>
              <w:t xml:space="preserve">Executed lease dated 1/8/2024: 7-year initial term (to 1/7/2031) + two 3-year renewals (potential 13 yrs). Far exceeds 3-year minimum.</w:t>
            </w:r>
          </w:p>
        </w:tc>
        <w:tc>
          <w:tcPr/>
          <w:p>
            <w:pPr>
              <w:pStyle w:val="Compact"/>
              <w:jc w:val="left"/>
            </w:pPr>
            <w:r>
              <w:t xml:space="preserve">Compliant</w:t>
            </w:r>
          </w:p>
        </w:tc>
        <w:tc>
          <w:tcPr/>
          <w:p>
            <w:pPr>
              <w:pStyle w:val="Compact"/>
              <w:jc w:val="left"/>
            </w:pPr>
            <w:r>
              <w:t xml:space="preserve">Include the fully executed lease with all exhibits (A–E) in the package.</w:t>
            </w:r>
          </w:p>
        </w:tc>
      </w:tr>
      <w:tr>
        <w:tc>
          <w:tcPr/>
          <w:p>
            <w:pPr>
              <w:pStyle w:val="Compact"/>
              <w:jc w:val="left"/>
            </w:pPr>
            <w:r>
              <w:t xml:space="preserve">R-18</w:t>
            </w:r>
          </w:p>
        </w:tc>
        <w:tc>
          <w:tcPr/>
          <w:p>
            <w:pPr>
              <w:pStyle w:val="Compact"/>
              <w:jc w:val="left"/>
            </w:pPr>
            <w:r>
              <w:t xml:space="preserve">Lease expressly permits cannabis dispensary; landlord consent</w:t>
            </w:r>
          </w:p>
        </w:tc>
        <w:tc>
          <w:tcPr/>
          <w:p>
            <w:pPr>
              <w:pStyle w:val="Compact"/>
              <w:jc w:val="left"/>
            </w:pPr>
            <w:r>
              <w:t xml:space="preserve">§9-5-5(B)(5); Guide Item 6; Form Q4</w:t>
            </w:r>
          </w:p>
        </w:tc>
        <w:tc>
          <w:tcPr/>
          <w:p>
            <w:pPr>
              <w:pStyle w:val="Compact"/>
              <w:jc w:val="left"/>
            </w:pPr>
            <w:r>
              <w:t xml:space="preserve">Lease §5: permitted use is cannabis dispensary; landlord Cannabis Use Acknowledgment &amp; Consent (Exhibit D) executed.</w:t>
            </w:r>
          </w:p>
        </w:tc>
        <w:tc>
          <w:tcPr/>
          <w:p>
            <w:pPr>
              <w:pStyle w:val="Compact"/>
              <w:jc w:val="left"/>
            </w:pPr>
            <w:r>
              <w:t xml:space="preserve">Compliant</w:t>
            </w:r>
          </w:p>
        </w:tc>
        <w:tc>
          <w:tcPr/>
          <w:p>
            <w:pPr>
              <w:pStyle w:val="Compact"/>
              <w:jc w:val="left"/>
            </w:pPr>
            <w:r>
              <w:t xml:space="preserve">Confirm Exhibit D is included and complete Form Q4 fields.</w:t>
            </w:r>
          </w:p>
        </w:tc>
      </w:tr>
      <w:tr>
        <w:tc>
          <w:tcPr/>
          <w:p>
            <w:pPr>
              <w:pStyle w:val="Compact"/>
              <w:jc w:val="left"/>
            </w:pPr>
            <w:r>
              <w:t xml:space="preserve">R-19</w:t>
            </w:r>
          </w:p>
        </w:tc>
        <w:tc>
          <w:tcPr/>
          <w:p>
            <w:pPr>
              <w:pStyle w:val="Compact"/>
              <w:jc w:val="left"/>
            </w:pPr>
            <w:r>
              <w:t xml:space="preserve">Location in a permitted zoning district (C1a/C2/oC1)</w:t>
            </w:r>
          </w:p>
        </w:tc>
        <w:tc>
          <w:tcPr/>
          <w:p>
            <w:pPr>
              <w:pStyle w:val="Compact"/>
              <w:jc w:val="left"/>
            </w:pPr>
            <w:r>
              <w:t xml:space="preserve">§9-5-9(A); Form Q3</w:t>
            </w:r>
          </w:p>
        </w:tc>
        <w:tc>
          <w:tcPr/>
          <w:p>
            <w:pPr>
              <w:pStyle w:val="Compact"/>
              <w:jc w:val="left"/>
            </w:pPr>
            <w:r>
              <w:t xml:space="preserve">Site is in C1a Commercial Mixed-Use (confirmed in Business Plan and Lease §2/§11).</w:t>
            </w:r>
          </w:p>
        </w:tc>
        <w:tc>
          <w:tcPr/>
          <w:p>
            <w:pPr>
              <w:pStyle w:val="Compact"/>
              <w:jc w:val="left"/>
            </w:pPr>
            <w:r>
              <w:t xml:space="preserve">Compliant</w:t>
            </w:r>
          </w:p>
        </w:tc>
        <w:tc>
          <w:tcPr/>
          <w:p>
            <w:pPr>
              <w:pStyle w:val="Compact"/>
              <w:jc w:val="left"/>
            </w:pPr>
            <w:r>
              <w:t xml:space="preserve">Complete Form Q3; obtain Zoning Division confirmation of district. Note Form’s district list is erroneous (A-4).</w:t>
            </w:r>
          </w:p>
        </w:tc>
      </w:tr>
      <w:tr>
        <w:tc>
          <w:tcPr/>
          <w:p>
            <w:pPr>
              <w:pStyle w:val="Compact"/>
              <w:jc w:val="left"/>
            </w:pPr>
            <w:r>
              <w:t xml:space="preserve">R-20</w:t>
            </w:r>
          </w:p>
        </w:tc>
        <w:tc>
          <w:tcPr/>
          <w:p>
            <w:pPr>
              <w:pStyle w:val="Compact"/>
              <w:jc w:val="left"/>
            </w:pPr>
            <w:r>
              <w:t xml:space="preserve">Special-use permit application filed/obtained (C1a requires ZBA special use)</w:t>
            </w:r>
          </w:p>
        </w:tc>
        <w:tc>
          <w:tcPr/>
          <w:p>
            <w:pPr>
              <w:pStyle w:val="Compact"/>
              <w:jc w:val="left"/>
            </w:pPr>
            <w:r>
              <w:t xml:space="preserve">§9-5-9(A),(D); Guide Item 20; Form Q3</w:t>
            </w:r>
          </w:p>
        </w:tc>
        <w:tc>
          <w:tcPr/>
          <w:p>
            <w:pPr>
              <w:pStyle w:val="Compact"/>
              <w:jc w:val="left"/>
            </w:pPr>
            <w:r>
              <w:t xml:space="preserve">Business Plan states intent to apply</w:t>
            </w:r>
            <w:r>
              <w:t xml:space="preserve"> </w:t>
            </w:r>
            <w:r>
              <w:t xml:space="preserve">“</w:t>
            </w:r>
            <w:r>
              <w:t xml:space="preserve">concurrent with</w:t>
            </w:r>
            <w:r>
              <w:t xml:space="preserve">”</w:t>
            </w:r>
            <w:r>
              <w:t xml:space="preserve"> </w:t>
            </w:r>
            <w:r>
              <w:t xml:space="preserve">the permit application; no evidence a special-use application has been filed.</w:t>
            </w:r>
          </w:p>
        </w:tc>
        <w:tc>
          <w:tcPr/>
          <w:p>
            <w:pPr>
              <w:pStyle w:val="Compact"/>
              <w:jc w:val="left"/>
            </w:pPr>
            <w:r>
              <w:t xml:space="preserve">Not Submitted</w:t>
            </w:r>
          </w:p>
        </w:tc>
        <w:tc>
          <w:tcPr/>
          <w:p>
            <w:pPr>
              <w:pStyle w:val="Compact"/>
              <w:jc w:val="left"/>
            </w:pPr>
            <w:r>
              <w:rPr>
                <w:b/>
                <w:bCs/>
              </w:rPr>
              <w:t xml:space="preserve">[P2]</w:t>
            </w:r>
            <w:r>
              <w:t xml:space="preserve"> </w:t>
            </w:r>
            <w:r>
              <w:t xml:space="preserve">File the special-use application with the Zoning Division and submit evidence of filing with the application (Guide Item 20 allows concurrent filing). Permit cannot issue without final special-use approval.</w:t>
            </w:r>
          </w:p>
        </w:tc>
      </w:tr>
      <w:tr>
        <w:tc>
          <w:tcPr/>
          <w:p>
            <w:pPr>
              <w:pStyle w:val="Compact"/>
              <w:jc w:val="left"/>
            </w:pPr>
            <w:r>
              <w:t xml:space="preserve">R-21</w:t>
            </w:r>
          </w:p>
        </w:tc>
        <w:tc>
          <w:tcPr/>
          <w:p>
            <w:pPr>
              <w:pStyle w:val="Compact"/>
              <w:jc w:val="left"/>
            </w:pPr>
            <w:r>
              <w:t xml:space="preserve">One dispensary per City block</w:t>
            </w:r>
          </w:p>
        </w:tc>
        <w:tc>
          <w:tcPr/>
          <w:p>
            <w:pPr>
              <w:pStyle w:val="Compact"/>
              <w:jc w:val="left"/>
            </w:pPr>
            <w:r>
              <w:t xml:space="preserve">§9-5-9(F)</w:t>
            </w:r>
          </w:p>
        </w:tc>
        <w:tc>
          <w:tcPr/>
          <w:p>
            <w:pPr>
              <w:pStyle w:val="Compact"/>
              <w:jc w:val="left"/>
            </w:pPr>
            <w:r>
              <w:t xml:space="preserve">Not explicitly addressed. Prairie Wellness is ~2,100 ft away (different block).</w:t>
            </w:r>
          </w:p>
        </w:tc>
        <w:tc>
          <w:tcPr/>
          <w:p>
            <w:pPr>
              <w:pStyle w:val="Compact"/>
              <w:jc w:val="left"/>
            </w:pPr>
            <w:r>
              <w:t xml:space="preserve">Partial — Gap</w:t>
            </w:r>
          </w:p>
        </w:tc>
        <w:tc>
          <w:tcPr/>
          <w:p>
            <w:pPr>
              <w:pStyle w:val="Compact"/>
              <w:jc w:val="left"/>
            </w:pPr>
            <w:r>
              <w:rPr>
                <w:b/>
                <w:bCs/>
              </w:rPr>
              <w:t xml:space="preserve">[P3]</w:t>
            </w:r>
            <w:r>
              <w:t xml:space="preserve"> </w:t>
            </w:r>
            <w:r>
              <w:t xml:space="preserve">Add a statement/depiction confirming no other dispensary on the same City block.</w:t>
            </w:r>
          </w:p>
        </w:tc>
      </w:tr>
    </w:tbl>
    <w:bookmarkEnd w:id="27"/>
    <w:bookmarkStart w:id="28" w:name="b.6-site-plan-floor-plan"/>
    <w:p>
      <w:pPr>
        <w:pStyle w:val="Heading3"/>
      </w:pPr>
      <w:r>
        <w:t xml:space="preserve">B.6 Site Plan &amp; Floor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R-22</w:t>
            </w:r>
          </w:p>
        </w:tc>
        <w:tc>
          <w:tcPr/>
          <w:p>
            <w:pPr>
              <w:pStyle w:val="Compact"/>
              <w:jc w:val="left"/>
            </w:pPr>
            <w:r>
              <w:t xml:space="preserve">Scaled site plan &amp; floor plan by licensed architect/engineer; sq-ft breakdown; entries/exits; camera locations w/ FOV; POS; secure storage; ADA; parking; signage</w:t>
            </w:r>
          </w:p>
        </w:tc>
        <w:tc>
          <w:tcPr/>
          <w:p>
            <w:pPr>
              <w:pStyle w:val="Compact"/>
              <w:jc w:val="left"/>
            </w:pPr>
            <w:r>
              <w:t xml:space="preserve">§9-5-5(B)(6); Guide Item 7; Form Q5</w:t>
            </w:r>
          </w:p>
        </w:tc>
        <w:tc>
          <w:tcPr/>
          <w:p>
            <w:pPr>
              <w:pStyle w:val="Compact"/>
              <w:jc w:val="left"/>
            </w:pPr>
            <w:r>
              <w:t xml:space="preserve">Layout and sq-ft breakdown (1,600 retail / 800 storage / 600 office / 200 vestibule = 3,200) described; floor plan referenced (Lease Ex. A; Business Plan App. D). Preparer credentials and required elements (camera FOV, ADA, parking, signage) not confirmed in package.</w:t>
            </w:r>
          </w:p>
        </w:tc>
        <w:tc>
          <w:tcPr/>
          <w:p>
            <w:pPr>
              <w:pStyle w:val="Compact"/>
              <w:jc w:val="left"/>
            </w:pPr>
            <w:r>
              <w:t xml:space="preserve">Partial — Gap</w:t>
            </w:r>
          </w:p>
        </w:tc>
        <w:tc>
          <w:tcPr/>
          <w:p>
            <w:pPr>
              <w:pStyle w:val="Compact"/>
              <w:jc w:val="left"/>
            </w:pPr>
            <w:r>
              <w:rPr>
                <w:b/>
                <w:bCs/>
              </w:rPr>
              <w:t xml:space="preserve">[P2]</w:t>
            </w:r>
            <w:r>
              <w:t xml:space="preserve"> </w:t>
            </w:r>
            <w:r>
              <w:t xml:space="preserve">Provide the architect/engineer-certified site plan and floor plan showing all Form Q5 elements (camera fields of view, ADA features, parking plan, signage plan). Confirm the preparer is an Illinois-licensed architect or engineer.</w:t>
            </w:r>
          </w:p>
        </w:tc>
      </w:tr>
    </w:tbl>
    <w:bookmarkEnd w:id="28"/>
    <w:bookmarkStart w:id="29" w:name="b.7-buffer-distances"/>
    <w:p>
      <w:pPr>
        <w:pStyle w:val="Heading3"/>
      </w:pPr>
      <w:r>
        <w:t xml:space="preserve">B.7 Buffer Distances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R-23</w:t>
            </w:r>
          </w:p>
        </w:tc>
        <w:tc>
          <w:tcPr/>
          <w:p>
            <w:pPr>
              <w:pStyle w:val="Compact"/>
              <w:jc w:val="left"/>
            </w:pPr>
            <w:r>
              <w:t xml:space="preserve">Certified survey/map by licensed IL surveyor or engineer identifying each sensitive use by name/address and measured distance</w:t>
            </w:r>
          </w:p>
        </w:tc>
        <w:tc>
          <w:tcPr/>
          <w:p>
            <w:pPr>
              <w:pStyle w:val="Compact"/>
              <w:jc w:val="left"/>
            </w:pPr>
            <w:r>
              <w:t xml:space="preserve">§9-5-5(B)(7); Guide Item 8; Form Q6–Q8</w:t>
            </w:r>
          </w:p>
        </w:tc>
        <w:tc>
          <w:tcPr/>
          <w:p>
            <w:pPr>
              <w:pStyle w:val="Compact"/>
              <w:jc w:val="left"/>
            </w:pPr>
            <w:r>
              <w:t xml:space="preserve">Survey by Meridian Land Surveyors LLC (IPLS #035-004728), dated 12/15/2023; identifies Chute Middle School, Tiny Acorns Learning Center, Prairie Wellness Dispensary, First United Methodist Church by name/address.</w:t>
            </w:r>
          </w:p>
        </w:tc>
        <w:tc>
          <w:tcPr/>
          <w:p>
            <w:pPr>
              <w:pStyle w:val="Compact"/>
              <w:jc w:val="left"/>
            </w:pPr>
            <w:r>
              <w:t xml:space="preserve">Compliant</w:t>
            </w:r>
          </w:p>
        </w:tc>
        <w:tc>
          <w:tcPr/>
          <w:p>
            <w:pPr>
              <w:pStyle w:val="Compact"/>
              <w:jc w:val="left"/>
            </w:pPr>
            <w:r>
              <w:t xml:space="preserve">Surveyor is licensed ✓. Note survey was commissioned by the landlord; confirm acceptability to the City.</w:t>
            </w:r>
          </w:p>
        </w:tc>
      </w:tr>
      <w:tr>
        <w:tc>
          <w:tcPr/>
          <w:p>
            <w:pPr>
              <w:pStyle w:val="Compact"/>
              <w:jc w:val="left"/>
            </w:pPr>
            <w:r>
              <w:t xml:space="preserve">R-24</w:t>
            </w:r>
          </w:p>
        </w:tc>
        <w:tc>
          <w:tcPr/>
          <w:p>
            <w:pPr>
              <w:pStyle w:val="Compact"/>
              <w:jc w:val="left"/>
            </w:pPr>
            <w:r>
              <w:t xml:space="preserve">K-12 school buffer ≥1,000 ft</w:t>
            </w:r>
          </w:p>
        </w:tc>
        <w:tc>
          <w:tcPr/>
          <w:p>
            <w:pPr>
              <w:pStyle w:val="Compact"/>
              <w:jc w:val="left"/>
            </w:pPr>
            <w:r>
              <w:t xml:space="preserve">§9-5-9(B)(1)</w:t>
            </w:r>
          </w:p>
        </w:tc>
        <w:tc>
          <w:tcPr/>
          <w:p>
            <w:pPr>
              <w:pStyle w:val="Compact"/>
              <w:jc w:val="left"/>
            </w:pPr>
            <w:r>
              <w:t xml:space="preserve">Chute Middle School: 1,180 ft (straight-line).</w:t>
            </w:r>
          </w:p>
        </w:tc>
        <w:tc>
          <w:tcPr/>
          <w:p>
            <w:pPr>
              <w:pStyle w:val="Compact"/>
              <w:jc w:val="left"/>
            </w:pPr>
            <w:r>
              <w:t xml:space="preserve">Compliant</w:t>
            </w:r>
          </w:p>
        </w:tc>
        <w:tc>
          <w:tcPr/>
          <w:p>
            <w:pPr>
              <w:pStyle w:val="Compact"/>
              <w:jc w:val="left"/>
            </w:pPr>
            <w:r>
              <w:t xml:space="preserve">Margin 180 ft. Satisfies Code method.</w:t>
            </w:r>
          </w:p>
        </w:tc>
      </w:tr>
      <w:tr>
        <w:tc>
          <w:tcPr/>
          <w:p>
            <w:pPr>
              <w:pStyle w:val="Compact"/>
              <w:jc w:val="left"/>
            </w:pPr>
            <w:r>
              <w:t xml:space="preserve">R-25</w:t>
            </w:r>
          </w:p>
        </w:tc>
        <w:tc>
          <w:tcPr/>
          <w:p>
            <w:pPr>
              <w:pStyle w:val="Compact"/>
              <w:jc w:val="left"/>
            </w:pPr>
            <w:r>
              <w:t xml:space="preserve">Daycare buffer ≥500 ft</w:t>
            </w:r>
          </w:p>
        </w:tc>
        <w:tc>
          <w:tcPr/>
          <w:p>
            <w:pPr>
              <w:pStyle w:val="Compact"/>
              <w:jc w:val="left"/>
            </w:pPr>
            <w:r>
              <w:t xml:space="preserve">§9-5-9(B)(2)</w:t>
            </w:r>
          </w:p>
        </w:tc>
        <w:tc>
          <w:tcPr/>
          <w:p>
            <w:pPr>
              <w:pStyle w:val="Compact"/>
              <w:jc w:val="left"/>
            </w:pPr>
            <w:r>
              <w:t xml:space="preserve">Tiny Acorns Learning Center: 890 ft (straight-line).</w:t>
            </w:r>
          </w:p>
        </w:tc>
        <w:tc>
          <w:tcPr/>
          <w:p>
            <w:pPr>
              <w:pStyle w:val="Compact"/>
              <w:jc w:val="left"/>
            </w:pPr>
            <w:r>
              <w:t xml:space="preserve">Compliant</w:t>
            </w:r>
          </w:p>
        </w:tc>
        <w:tc>
          <w:tcPr/>
          <w:p>
            <w:pPr>
              <w:pStyle w:val="Compact"/>
              <w:jc w:val="left"/>
            </w:pPr>
            <w:r>
              <w:t xml:space="preserve">Margin 390 ft. Satisfies Code method.</w:t>
            </w:r>
          </w:p>
        </w:tc>
      </w:tr>
      <w:tr>
        <w:tc>
          <w:tcPr/>
          <w:p>
            <w:pPr>
              <w:pStyle w:val="Compact"/>
              <w:jc w:val="left"/>
            </w:pPr>
            <w:r>
              <w:t xml:space="preserve">R-26</w:t>
            </w:r>
          </w:p>
        </w:tc>
        <w:tc>
          <w:tcPr/>
          <w:p>
            <w:pPr>
              <w:pStyle w:val="Compact"/>
              <w:jc w:val="left"/>
            </w:pPr>
            <w:r>
              <w:t xml:space="preserve">Other dispensary buffer ≥1,500 ft</w:t>
            </w:r>
          </w:p>
        </w:tc>
        <w:tc>
          <w:tcPr/>
          <w:p>
            <w:pPr>
              <w:pStyle w:val="Compact"/>
              <w:jc w:val="left"/>
            </w:pPr>
            <w:r>
              <w:t xml:space="preserve">§9-5-9(B)(3)</w:t>
            </w:r>
          </w:p>
        </w:tc>
        <w:tc>
          <w:tcPr/>
          <w:p>
            <w:pPr>
              <w:pStyle w:val="Compact"/>
              <w:jc w:val="left"/>
            </w:pPr>
            <w:r>
              <w:t xml:space="preserve">Prairie Wellness Dispensary: 2,100 ft (straight-line).</w:t>
            </w:r>
          </w:p>
        </w:tc>
        <w:tc>
          <w:tcPr/>
          <w:p>
            <w:pPr>
              <w:pStyle w:val="Compact"/>
              <w:jc w:val="left"/>
            </w:pPr>
            <w:r>
              <w:t xml:space="preserve">Compliant</w:t>
            </w:r>
          </w:p>
        </w:tc>
        <w:tc>
          <w:tcPr/>
          <w:p>
            <w:pPr>
              <w:pStyle w:val="Compact"/>
              <w:jc w:val="left"/>
            </w:pPr>
            <w:r>
              <w:t xml:space="preserve">Margin 600 ft. Satisfies Code method.</w:t>
            </w:r>
          </w:p>
        </w:tc>
      </w:tr>
      <w:tr>
        <w:tc>
          <w:tcPr/>
          <w:p>
            <w:pPr>
              <w:pStyle w:val="Compact"/>
              <w:jc w:val="left"/>
            </w:pPr>
            <w:r>
              <w:t xml:space="preserve">R-27</w:t>
            </w:r>
          </w:p>
        </w:tc>
        <w:tc>
          <w:tcPr/>
          <w:p>
            <w:pPr>
              <w:pStyle w:val="Compact"/>
              <w:jc w:val="left"/>
            </w:pPr>
            <w:r>
              <w:t xml:space="preserve">Measurement methodology &amp; survey recency</w:t>
            </w:r>
          </w:p>
        </w:tc>
        <w:tc>
          <w:tcPr/>
          <w:p>
            <w:pPr>
              <w:pStyle w:val="Compact"/>
              <w:jc w:val="left"/>
            </w:pPr>
            <w:r>
              <w:t xml:space="preserve">§9-5-9(C); Form §3 Q6/Q7</w:t>
            </w:r>
          </w:p>
        </w:tc>
        <w:tc>
          <w:tcPr/>
          <w:p>
            <w:pPr>
              <w:pStyle w:val="Compact"/>
              <w:jc w:val="left"/>
            </w:pPr>
            <w:r>
              <w:t xml:space="preserve">Survey uses straight-line (matches Code §9-5-9(C)). Form demands pedestrian-route measurement (conflict — A-5). Survey dated 12/15/2023; Form requires surveys within 60 days of submission (A-9).</w:t>
            </w:r>
          </w:p>
        </w:tc>
        <w:tc>
          <w:tcPr/>
          <w:p>
            <w:pPr>
              <w:pStyle w:val="Compact"/>
              <w:jc w:val="left"/>
            </w:pPr>
            <w:r>
              <w:t xml:space="preserve">Discrepancy</w:t>
            </w:r>
          </w:p>
        </w:tc>
        <w:tc>
          <w:tcPr/>
          <w:p>
            <w:pPr>
              <w:pStyle w:val="Compact"/>
              <w:jc w:val="left"/>
            </w:pPr>
            <w:r>
              <w:rPr>
                <w:b/>
                <w:bCs/>
              </w:rPr>
              <w:t xml:space="preserve">[P2]</w:t>
            </w:r>
            <w:r>
              <w:t xml:space="preserve"> </w:t>
            </w:r>
            <w:r>
              <w:t xml:space="preserve">Margins are large enough to satisfy either method, but to avoid a deficiency, also compute and submit pedestrian-route distances on Form Q6–Q8. If submitting ~5/15/2024, the Dec. 2023 survey exceeds the Form’s 60-day rule — obtain a refreshed survey/dated certification or seek the Coordinator’s acceptance (the Code imposes no recency).</w:t>
            </w:r>
          </w:p>
        </w:tc>
      </w:tr>
    </w:tbl>
    <w:bookmarkEnd w:id="29"/>
    <w:bookmarkStart w:id="30" w:name="b.8-business-plan"/>
    <w:p>
      <w:pPr>
        <w:pStyle w:val="Heading3"/>
      </w:pPr>
      <w:r>
        <w:t xml:space="preserve">B.8 Business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R-28</w:t>
            </w:r>
          </w:p>
        </w:tc>
        <w:tc>
          <w:tcPr/>
          <w:p>
            <w:pPr>
              <w:pStyle w:val="Compact"/>
              <w:jc w:val="left"/>
            </w:pPr>
            <w:r>
              <w:t xml:space="preserve">Comprehensive business plan</w:t>
            </w:r>
          </w:p>
        </w:tc>
        <w:tc>
          <w:tcPr/>
          <w:p>
            <w:pPr>
              <w:pStyle w:val="Compact"/>
              <w:jc w:val="left"/>
            </w:pPr>
            <w:r>
              <w:t xml:space="preserve">§9-5-5(B)(8); Guide Item 11</w:t>
            </w:r>
          </w:p>
        </w:tc>
        <w:tc>
          <w:tcPr/>
          <w:p>
            <w:pPr>
              <w:pStyle w:val="Compact"/>
              <w:jc w:val="left"/>
            </w:pPr>
            <w:r>
              <w:t xml:space="preserve">Business Plan Summary provided (exec summary, operations, market, financials, social equity, compliance, risk).</w:t>
            </w:r>
          </w:p>
        </w:tc>
        <w:tc>
          <w:tcPr/>
          <w:p>
            <w:pPr>
              <w:pStyle w:val="Compact"/>
              <w:jc w:val="left"/>
            </w:pPr>
            <w:r>
              <w:t xml:space="preserve">Compliant</w:t>
            </w:r>
          </w:p>
        </w:tc>
        <w:tc>
          <w:tcPr/>
          <w:p>
            <w:pPr>
              <w:pStyle w:val="Compact"/>
              <w:jc w:val="left"/>
            </w:pPr>
            <w:r>
              <w:t xml:space="preserve">Ensure the full plan (with appendices) is included as the Item 11 exhibit.</w:t>
            </w:r>
          </w:p>
        </w:tc>
      </w:tr>
      <w:tr>
        <w:tc>
          <w:tcPr/>
          <w:p>
            <w:pPr>
              <w:pStyle w:val="Compact"/>
              <w:jc w:val="left"/>
            </w:pPr>
            <w:r>
              <w:t xml:space="preserve">R-29</w:t>
            </w:r>
          </w:p>
        </w:tc>
        <w:tc>
          <w:tcPr/>
          <w:p>
            <w:pPr>
              <w:pStyle w:val="Compact"/>
              <w:jc w:val="left"/>
            </w:pPr>
            <w:r>
              <w:t xml:space="preserve">Market analysis</w:t>
            </w:r>
          </w:p>
        </w:tc>
        <w:tc>
          <w:tcPr/>
          <w:p>
            <w:pPr>
              <w:pStyle w:val="Compact"/>
              <w:jc w:val="left"/>
            </w:pPr>
            <w:r>
              <w:t xml:space="preserve">§9-5-5(B)(8); §9-5-10(C)(1)</w:t>
            </w:r>
          </w:p>
        </w:tc>
        <w:tc>
          <w:tcPr/>
          <w:p>
            <w:pPr>
              <w:pStyle w:val="Compact"/>
              <w:jc w:val="left"/>
            </w:pPr>
            <w:r>
              <w:t xml:space="preserve">Business Plan §4 (IL market, Evanston market, competitive landscape).</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R-30</w:t>
            </w:r>
          </w:p>
        </w:tc>
        <w:tc>
          <w:tcPr/>
          <w:p>
            <w:pPr>
              <w:pStyle w:val="Compact"/>
              <w:jc w:val="left"/>
            </w:pPr>
            <w:r>
              <w:t xml:space="preserve">Financial projections ≥3 years</w:t>
            </w:r>
          </w:p>
        </w:tc>
        <w:tc>
          <w:tcPr/>
          <w:p>
            <w:pPr>
              <w:pStyle w:val="Compact"/>
              <w:jc w:val="left"/>
            </w:pPr>
            <w:r>
              <w:t xml:space="preserve">§9-5-5(B)(8); Guide Item 11</w:t>
            </w:r>
          </w:p>
        </w:tc>
        <w:tc>
          <w:tcPr/>
          <w:p>
            <w:pPr>
              <w:pStyle w:val="Compact"/>
              <w:jc w:val="left"/>
            </w:pPr>
            <w:r>
              <w:t xml:space="preserve">3-year projections provided (5-year outlook included); Y1 $3.2M, Y2 $4.1M, Y3 $4.8M.</w:t>
            </w:r>
          </w:p>
        </w:tc>
        <w:tc>
          <w:tcPr/>
          <w:p>
            <w:pPr>
              <w:pStyle w:val="Compact"/>
              <w:jc w:val="left"/>
            </w:pPr>
            <w:r>
              <w:t xml:space="preserve">Compliant</w:t>
            </w:r>
          </w:p>
        </w:tc>
        <w:tc>
          <w:tcPr/>
          <w:p>
            <w:pPr>
              <w:pStyle w:val="Compact"/>
              <w:jc w:val="left"/>
            </w:pPr>
            <w:r>
              <w:t xml:space="preserve">Include detailed pro forma statements (App. E).</w:t>
            </w:r>
          </w:p>
        </w:tc>
      </w:tr>
      <w:tr>
        <w:tc>
          <w:tcPr/>
          <w:p>
            <w:pPr>
              <w:pStyle w:val="Compact"/>
              <w:jc w:val="left"/>
            </w:pPr>
            <w:r>
              <w:t xml:space="preserve">R-31</w:t>
            </w:r>
          </w:p>
        </w:tc>
        <w:tc>
          <w:tcPr/>
          <w:p>
            <w:pPr>
              <w:pStyle w:val="Compact"/>
              <w:jc w:val="left"/>
            </w:pPr>
            <w:r>
              <w:t xml:space="preserve">Staffing model (FT and PT counts)</w:t>
            </w:r>
          </w:p>
        </w:tc>
        <w:tc>
          <w:tcPr/>
          <w:p>
            <w:pPr>
              <w:pStyle w:val="Compact"/>
              <w:jc w:val="left"/>
            </w:pPr>
            <w:r>
              <w:t xml:space="preserve">§9-5-5(B)(8); Form Q13</w:t>
            </w:r>
          </w:p>
        </w:tc>
        <w:tc>
          <w:tcPr/>
          <w:p>
            <w:pPr>
              <w:pStyle w:val="Compact"/>
              <w:jc w:val="left"/>
            </w:pPr>
            <w:r>
              <w:t xml:space="preserve">12 FTEs projected; plan states</w:t>
            </w:r>
            <w:r>
              <w:t xml:space="preserve"> </w:t>
            </w:r>
            <w:r>
              <w:t xml:space="preserve">“</w:t>
            </w:r>
            <w:r>
              <w:t xml:space="preserve">12 full-time employees (FTEs).</w:t>
            </w:r>
            <w:r>
              <w:t xml:space="preserve">”</w:t>
            </w:r>
            <w:r>
              <w:t xml:space="preserve"> </w:t>
            </w:r>
            <w:r>
              <w:t xml:space="preserve">FT/PT split not explicitly broken out.</w:t>
            </w:r>
          </w:p>
        </w:tc>
        <w:tc>
          <w:tcPr/>
          <w:p>
            <w:pPr>
              <w:pStyle w:val="Compact"/>
              <w:jc w:val="left"/>
            </w:pPr>
            <w:r>
              <w:t xml:space="preserve">Partial — Gap</w:t>
            </w:r>
          </w:p>
        </w:tc>
        <w:tc>
          <w:tcPr/>
          <w:p>
            <w:pPr>
              <w:pStyle w:val="Compact"/>
              <w:jc w:val="left"/>
            </w:pPr>
            <w:r>
              <w:rPr>
                <w:b/>
                <w:bCs/>
              </w:rPr>
              <w:t xml:space="preserve">[P3]</w:t>
            </w:r>
            <w:r>
              <w:t xml:space="preserve"> </w:t>
            </w:r>
            <w:r>
              <w:t xml:space="preserve">State FT vs. PT counts explicitly on Form Q13 (appears 12 FT / 0 PT; confirm).</w:t>
            </w:r>
          </w:p>
        </w:tc>
      </w:tr>
      <w:tr>
        <w:tc>
          <w:tcPr/>
          <w:p>
            <w:pPr>
              <w:pStyle w:val="Compact"/>
              <w:jc w:val="left"/>
            </w:pPr>
            <w:r>
              <w:t xml:space="preserve">R-32</w:t>
            </w:r>
          </w:p>
        </w:tc>
        <w:tc>
          <w:tcPr/>
          <w:p>
            <w:pPr>
              <w:pStyle w:val="Compact"/>
              <w:jc w:val="left"/>
            </w:pPr>
            <w:r>
              <w:t xml:space="preserve">Management structure &amp; organizational chart</w:t>
            </w:r>
          </w:p>
        </w:tc>
        <w:tc>
          <w:tcPr/>
          <w:p>
            <w:pPr>
              <w:pStyle w:val="Compact"/>
              <w:jc w:val="left"/>
            </w:pPr>
            <w:r>
              <w:t xml:space="preserve">§9-5-5(B)(8)</w:t>
            </w:r>
          </w:p>
        </w:tc>
        <w:tc>
          <w:tcPr/>
          <w:p>
            <w:pPr>
              <w:pStyle w:val="Compact"/>
              <w:jc w:val="left"/>
            </w:pPr>
            <w:r>
              <w:t xml:space="preserve">Org chart described (§2.2) and in Appendix A.</w:t>
            </w:r>
          </w:p>
        </w:tc>
        <w:tc>
          <w:tcPr/>
          <w:p>
            <w:pPr>
              <w:pStyle w:val="Compact"/>
              <w:jc w:val="left"/>
            </w:pPr>
            <w:r>
              <w:t xml:space="preserve">Compliant</w:t>
            </w:r>
          </w:p>
        </w:tc>
        <w:tc>
          <w:tcPr/>
          <w:p>
            <w:pPr>
              <w:pStyle w:val="Compact"/>
              <w:jc w:val="left"/>
            </w:pPr>
            <w:r>
              <w:t xml:space="preserve">Reproduce Appendix A as an exhibit.</w:t>
            </w:r>
          </w:p>
        </w:tc>
      </w:tr>
      <w:tr>
        <w:tc>
          <w:tcPr/>
          <w:p>
            <w:pPr>
              <w:pStyle w:val="Compact"/>
              <w:jc w:val="left"/>
            </w:pPr>
            <w:r>
              <w:t xml:space="preserve">R-33</w:t>
            </w:r>
          </w:p>
        </w:tc>
        <w:tc>
          <w:tcPr/>
          <w:p>
            <w:pPr>
              <w:pStyle w:val="Compact"/>
              <w:jc w:val="left"/>
            </w:pPr>
            <w:r>
              <w:t xml:space="preserve">Operational plan</w:t>
            </w:r>
          </w:p>
        </w:tc>
        <w:tc>
          <w:tcPr/>
          <w:p>
            <w:pPr>
              <w:pStyle w:val="Compact"/>
              <w:jc w:val="left"/>
            </w:pPr>
            <w:r>
              <w:t xml:space="preserve">§9-5-5(B)(8)</w:t>
            </w:r>
          </w:p>
        </w:tc>
        <w:tc>
          <w:tcPr/>
          <w:p>
            <w:pPr>
              <w:pStyle w:val="Compact"/>
              <w:jc w:val="left"/>
            </w:pPr>
            <w:r>
              <w:t xml:space="preserve">Business Plan §5 (hours, customer flow, inventory, security overview, odor, training).</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R-34</w:t>
            </w:r>
          </w:p>
        </w:tc>
        <w:tc>
          <w:tcPr/>
          <w:p>
            <w:pPr>
              <w:pStyle w:val="Compact"/>
              <w:jc w:val="left"/>
            </w:pPr>
            <w:r>
              <w:t xml:space="preserve">Seed-to-sale/COMPASS integration plan + vendor confirmation letter</w:t>
            </w:r>
          </w:p>
        </w:tc>
        <w:tc>
          <w:tcPr/>
          <w:p>
            <w:pPr>
              <w:pStyle w:val="Compact"/>
              <w:jc w:val="left"/>
            </w:pPr>
            <w:r>
              <w:t xml:space="preserve">§9-5-13(D); Guide Item 11; Form Q14</w:t>
            </w:r>
          </w:p>
        </w:tc>
        <w:tc>
          <w:tcPr/>
          <w:p>
            <w:pPr>
              <w:pStyle w:val="Compact"/>
              <w:jc w:val="left"/>
            </w:pPr>
            <w:r>
              <w:t xml:space="preserve">COMPASS integration described (designed by Pinnacle). Lease references</w:t>
            </w:r>
            <w:r>
              <w:t xml:space="preserve"> </w:t>
            </w:r>
            <w:r>
              <w:t xml:space="preserve">“</w:t>
            </w:r>
            <w:r>
              <w:t xml:space="preserve">BioTrack or successor.</w:t>
            </w:r>
            <w:r>
              <w:t xml:space="preserve">”</w:t>
            </w:r>
            <w:r>
              <w:t xml:space="preserve"> </w:t>
            </w:r>
            <w:r>
              <w:t xml:space="preserve">No vendor confirmation letter mentioned; vendor name not clearly stated in the Business Plan.</w:t>
            </w:r>
          </w:p>
        </w:tc>
        <w:tc>
          <w:tcPr/>
          <w:p>
            <w:pPr>
              <w:pStyle w:val="Compact"/>
              <w:jc w:val="left"/>
            </w:pPr>
            <w:r>
              <w:t xml:space="preserve">Partial — Gap</w:t>
            </w:r>
          </w:p>
        </w:tc>
        <w:tc>
          <w:tcPr/>
          <w:p>
            <w:pPr>
              <w:pStyle w:val="Compact"/>
              <w:jc w:val="left"/>
            </w:pPr>
            <w:r>
              <w:rPr>
                <w:b/>
                <w:bCs/>
              </w:rPr>
              <w:t xml:space="preserve">[P2]</w:t>
            </w:r>
            <w:r>
              <w:t xml:space="preserve"> </w:t>
            </w:r>
            <w:r>
              <w:t xml:space="preserve">Identify the tracking-system vendor on Form Q14 and attach the vendor’s letter confirming COMPASS integration capability.</w:t>
            </w:r>
          </w:p>
        </w:tc>
      </w:tr>
    </w:tbl>
    <w:bookmarkEnd w:id="30"/>
    <w:bookmarkStart w:id="31" w:name="b.9-security-plan"/>
    <w:p>
      <w:pPr>
        <w:pStyle w:val="Heading3"/>
      </w:pPr>
      <w:r>
        <w:t xml:space="preserve">B.9 Security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R-35</w:t>
            </w:r>
          </w:p>
        </w:tc>
        <w:tc>
          <w:tcPr/>
          <w:p>
            <w:pPr>
              <w:pStyle w:val="Compact"/>
              <w:jc w:val="left"/>
            </w:pPr>
            <w:r>
              <w:t xml:space="preserve">Comprehensive security plan (standalone)</w:t>
            </w:r>
          </w:p>
        </w:tc>
        <w:tc>
          <w:tcPr/>
          <w:p>
            <w:pPr>
              <w:pStyle w:val="Compact"/>
              <w:jc w:val="left"/>
            </w:pPr>
            <w:r>
              <w:t xml:space="preserve">§9-5-5(B)(9); §9-5-13; Guide Item 9; Form Q15</w:t>
            </w:r>
          </w:p>
        </w:tc>
        <w:tc>
          <w:tcPr/>
          <w:p>
            <w:pPr>
              <w:pStyle w:val="Compact"/>
              <w:jc w:val="left"/>
            </w:pPr>
            <w:r>
              <w:t xml:space="preserve">Business Plan §5.3 gives an overview; states the full plan is a</w:t>
            </w:r>
            <w:r>
              <w:t xml:space="preserve"> </w:t>
            </w:r>
            <w:r>
              <w:t xml:space="preserve">“</w:t>
            </w:r>
            <w:r>
              <w:t xml:space="preserve">standalone submission</w:t>
            </w:r>
            <w:r>
              <w:t xml:space="preserve">”</w:t>
            </w:r>
            <w:r>
              <w:t xml:space="preserve"> </w:t>
            </w:r>
            <w:r>
              <w:t xml:space="preserve">by Pinnacle.</w:t>
            </w:r>
            <w:r>
              <w:t xml:space="preserve"> </w:t>
            </w:r>
            <w:r>
              <w:rPr>
                <w:b/>
                <w:bCs/>
              </w:rPr>
              <w:t xml:space="preserve">Insurance Memo confirms the full security plan is</w:t>
            </w:r>
            <w:r>
              <w:rPr>
                <w:b/>
                <w:bCs/>
              </w:rPr>
              <w:t xml:space="preserve"> </w:t>
            </w:r>
            <w:r>
              <w:rPr>
                <w:b/>
                <w:bCs/>
              </w:rPr>
              <w:t xml:space="preserve">“</w:t>
            </w:r>
            <w:r>
              <w:rPr>
                <w:b/>
                <w:bCs/>
              </w:rPr>
              <w:t xml:space="preserve">still being finalized… not yet delivered.</w:t>
            </w:r>
            <w:r>
              <w:rPr>
                <w:b/>
                <w:bCs/>
              </w:rPr>
              <w:t xml:space="preserve">”</w:t>
            </w:r>
          </w:p>
        </w:tc>
        <w:tc>
          <w:tcPr/>
          <w:p>
            <w:pPr>
              <w:pStyle w:val="Compact"/>
              <w:jc w:val="left"/>
            </w:pPr>
            <w:r>
              <w:t xml:space="preserve">Non-Compliant</w:t>
            </w:r>
          </w:p>
        </w:tc>
        <w:tc>
          <w:tcPr/>
          <w:p>
            <w:pPr>
              <w:pStyle w:val="Compact"/>
              <w:jc w:val="left"/>
            </w:pPr>
            <w:r>
              <w:rPr>
                <w:b/>
                <w:bCs/>
              </w:rPr>
              <w:t xml:space="preserve">[P1 — Blocking]</w:t>
            </w:r>
            <w:r>
              <w:t xml:space="preserve"> </w:t>
            </w:r>
            <w:r>
              <w:t xml:space="preserve">Finalize and include the complete security plan (camera placement maps, equipment models, access-control configs, alarm protocols, SOPs). Its completion also unblocks cannabis crime/theft underwriting (R-57).</w:t>
            </w:r>
          </w:p>
        </w:tc>
      </w:tr>
      <w:tr>
        <w:tc>
          <w:tcPr/>
          <w:p>
            <w:pPr>
              <w:pStyle w:val="Compact"/>
              <w:jc w:val="left"/>
            </w:pPr>
            <w:r>
              <w:t xml:space="preserve">R-36</w:t>
            </w:r>
          </w:p>
        </w:tc>
        <w:tc>
          <w:tcPr/>
          <w:p>
            <w:pPr>
              <w:pStyle w:val="Compact"/>
              <w:jc w:val="left"/>
            </w:pPr>
            <w:r>
              <w:t xml:space="preserve">24/7 video surveillance; ≥1080p; ≥30-day retention</w:t>
            </w:r>
          </w:p>
        </w:tc>
        <w:tc>
          <w:tcPr/>
          <w:p>
            <w:pPr>
              <w:pStyle w:val="Compact"/>
              <w:jc w:val="left"/>
            </w:pPr>
            <w:r>
              <w:t xml:space="preserve">§9-5-13(A)</w:t>
            </w:r>
          </w:p>
        </w:tc>
        <w:tc>
          <w:tcPr/>
          <w:p>
            <w:pPr>
              <w:pStyle w:val="Compact"/>
              <w:jc w:val="left"/>
            </w:pPr>
            <w:r>
              <w:t xml:space="preserve">Described: 24/7, 1080p min, 30-day retention, on-site server + cloud backup.</w:t>
            </w:r>
          </w:p>
        </w:tc>
        <w:tc>
          <w:tcPr/>
          <w:p>
            <w:pPr>
              <w:pStyle w:val="Compact"/>
              <w:jc w:val="left"/>
            </w:pPr>
            <w:r>
              <w:t xml:space="preserve">Compliant</w:t>
            </w:r>
          </w:p>
        </w:tc>
        <w:tc>
          <w:tcPr/>
          <w:p>
            <w:pPr>
              <w:pStyle w:val="Compact"/>
              <w:jc w:val="left"/>
            </w:pPr>
            <w:r>
              <w:t xml:space="preserve">Confirm in the finalized plan; ensure recordings available to EPD/Coordinator within 24 hrs of request.</w:t>
            </w:r>
          </w:p>
        </w:tc>
      </w:tr>
      <w:tr>
        <w:tc>
          <w:tcPr/>
          <w:p>
            <w:pPr>
              <w:pStyle w:val="Compact"/>
              <w:jc w:val="left"/>
            </w:pPr>
            <w:r>
              <w:t xml:space="preserve">R-37</w:t>
            </w:r>
          </w:p>
        </w:tc>
        <w:tc>
          <w:tcPr/>
          <w:p>
            <w:pPr>
              <w:pStyle w:val="Compact"/>
              <w:jc w:val="left"/>
            </w:pPr>
            <w:r>
              <w:t xml:space="preserve">Camera coverage of all required areas (incl. exterior, parking, loading, adjacent alley)</w:t>
            </w:r>
          </w:p>
        </w:tc>
        <w:tc>
          <w:tcPr/>
          <w:p>
            <w:pPr>
              <w:pStyle w:val="Compact"/>
              <w:jc w:val="left"/>
            </w:pPr>
            <w:r>
              <w:t xml:space="preserve">§9-5-13(A)</w:t>
            </w:r>
          </w:p>
        </w:tc>
        <w:tc>
          <w:tcPr/>
          <w:p>
            <w:pPr>
              <w:pStyle w:val="Compact"/>
              <w:jc w:val="left"/>
            </w:pPr>
            <w:r>
              <w:t xml:space="preserve">Overview covers entrances/exits, vestibule, retail floor, POS, secure storage, office, hallways,</w:t>
            </w:r>
            <w:r>
              <w:t xml:space="preserve"> </w:t>
            </w:r>
            <w:r>
              <w:t xml:space="preserve">“</w:t>
            </w:r>
            <w:r>
              <w:t xml:space="preserve">exterior perimeter.</w:t>
            </w:r>
            <w:r>
              <w:t xml:space="preserve">”</w:t>
            </w:r>
            <w:r>
              <w:t xml:space="preserve"> </w:t>
            </w:r>
            <w:r>
              <w:t xml:space="preserve">Parking/loading zones and adjacent alley not explicitly listed.</w:t>
            </w:r>
          </w:p>
        </w:tc>
        <w:tc>
          <w:tcPr/>
          <w:p>
            <w:pPr>
              <w:pStyle w:val="Compact"/>
              <w:jc w:val="left"/>
            </w:pPr>
            <w:r>
              <w:t xml:space="preserve">Partial — Gap</w:t>
            </w:r>
          </w:p>
        </w:tc>
        <w:tc>
          <w:tcPr/>
          <w:p>
            <w:pPr>
              <w:pStyle w:val="Compact"/>
              <w:jc w:val="left"/>
            </w:pPr>
            <w:r>
              <w:rPr>
                <w:b/>
                <w:bCs/>
              </w:rPr>
              <w:t xml:space="preserve">[P2]</w:t>
            </w:r>
            <w:r>
              <w:t xml:space="preserve"> </w:t>
            </w:r>
            <w:r>
              <w:t xml:space="preserve">Ensure the finalized plan explicitly covers parking areas, loading zones, and the service alley (rear delivery entrance per Lease §2).</w:t>
            </w:r>
          </w:p>
        </w:tc>
      </w:tr>
      <w:tr>
        <w:tc>
          <w:tcPr/>
          <w:p>
            <w:pPr>
              <w:pStyle w:val="Compact"/>
              <w:jc w:val="left"/>
            </w:pPr>
            <w:r>
              <w:t xml:space="preserve">R-38</w:t>
            </w:r>
          </w:p>
        </w:tc>
        <w:tc>
          <w:tcPr/>
          <w:p>
            <w:pPr>
              <w:pStyle w:val="Compact"/>
              <w:jc w:val="left"/>
            </w:pPr>
            <w:r>
              <w:t xml:space="preserve">Panic alarm at each POS, main entrance, secure storage; quarterly testing documented</w:t>
            </w:r>
          </w:p>
        </w:tc>
        <w:tc>
          <w:tcPr/>
          <w:p>
            <w:pPr>
              <w:pStyle w:val="Compact"/>
              <w:jc w:val="left"/>
            </w:pPr>
            <w:r>
              <w:t xml:space="preserve">§9-5-13(B)</w:t>
            </w:r>
          </w:p>
        </w:tc>
        <w:tc>
          <w:tcPr/>
          <w:p>
            <w:pPr>
              <w:pStyle w:val="Compact"/>
              <w:jc w:val="left"/>
            </w:pPr>
            <w:r>
              <w:t xml:space="preserve">Panic alarms described at each POS, vestibule ID station, manager’s office, secure storage. Quarterly testing not mentioned.</w:t>
            </w:r>
          </w:p>
        </w:tc>
        <w:tc>
          <w:tcPr/>
          <w:p>
            <w:pPr>
              <w:pStyle w:val="Compact"/>
              <w:jc w:val="left"/>
            </w:pPr>
            <w:r>
              <w:t xml:space="preserve">Partial — Gap</w:t>
            </w:r>
          </w:p>
        </w:tc>
        <w:tc>
          <w:tcPr/>
          <w:p>
            <w:pPr>
              <w:pStyle w:val="Compact"/>
              <w:jc w:val="left"/>
            </w:pPr>
            <w:r>
              <w:rPr>
                <w:b/>
                <w:bCs/>
              </w:rPr>
              <w:t xml:space="preserve">[P2]</w:t>
            </w:r>
            <w:r>
              <w:t xml:space="preserve"> </w:t>
            </w:r>
            <w:r>
              <w:t xml:space="preserve">Add quarterly panic-alarm testing protocol with on-site written test records to the finalized plan.</w:t>
            </w:r>
          </w:p>
        </w:tc>
      </w:tr>
      <w:tr>
        <w:tc>
          <w:tcPr/>
          <w:p>
            <w:pPr>
              <w:pStyle w:val="Compact"/>
              <w:jc w:val="left"/>
            </w:pPr>
            <w:r>
              <w:t xml:space="preserve">R-39</w:t>
            </w:r>
          </w:p>
        </w:tc>
        <w:tc>
          <w:tcPr/>
          <w:p>
            <w:pPr>
              <w:pStyle w:val="Compact"/>
              <w:jc w:val="left"/>
            </w:pPr>
            <w:r>
              <w:t xml:space="preserve">Secure vestibule entry with ID verification before retail-floor access</w:t>
            </w:r>
          </w:p>
        </w:tc>
        <w:tc>
          <w:tcPr/>
          <w:p>
            <w:pPr>
              <w:pStyle w:val="Compact"/>
              <w:jc w:val="left"/>
            </w:pPr>
            <w:r>
              <w:t xml:space="preserve">§9-5-13(C)</w:t>
            </w:r>
          </w:p>
        </w:tc>
        <w:tc>
          <w:tcPr/>
          <w:p>
            <w:pPr>
              <w:pStyle w:val="Compact"/>
              <w:jc w:val="left"/>
            </w:pPr>
            <w:r>
              <w:t xml:space="preserve">Described (controlled door-release; ID verification in vestibule).</w:t>
            </w:r>
          </w:p>
        </w:tc>
        <w:tc>
          <w:tcPr/>
          <w:p>
            <w:pPr>
              <w:pStyle w:val="Compact"/>
              <w:jc w:val="left"/>
            </w:pPr>
            <w:r>
              <w:t xml:space="preserve">Compliant</w:t>
            </w:r>
          </w:p>
        </w:tc>
        <w:tc>
          <w:tcPr/>
          <w:p>
            <w:pPr>
              <w:pStyle w:val="Compact"/>
              <w:jc w:val="left"/>
            </w:pPr>
            <w:r>
              <w:t xml:space="preserve">Confirm acceptable ID types (DL, state ID, US passport, military ID) in the finalized plan.</w:t>
            </w:r>
          </w:p>
        </w:tc>
      </w:tr>
      <w:tr>
        <w:tc>
          <w:tcPr/>
          <w:p>
            <w:pPr>
              <w:pStyle w:val="Compact"/>
              <w:jc w:val="left"/>
            </w:pPr>
            <w:r>
              <w:t xml:space="preserve">R-40</w:t>
            </w:r>
          </w:p>
        </w:tc>
        <w:tc>
          <w:tcPr/>
          <w:p>
            <w:pPr>
              <w:pStyle w:val="Compact"/>
              <w:jc w:val="left"/>
            </w:pPr>
            <w:r>
              <w:t xml:space="preserve">Cash handling &amp; transportation procedures</w:t>
            </w:r>
          </w:p>
        </w:tc>
        <w:tc>
          <w:tcPr/>
          <w:p>
            <w:pPr>
              <w:pStyle w:val="Compact"/>
              <w:jc w:val="left"/>
            </w:pPr>
            <w:r>
              <w:t xml:space="preserve">§9-5-13(A)/(Form Q15)</w:t>
            </w:r>
          </w:p>
        </w:tc>
        <w:tc>
          <w:tcPr/>
          <w:p>
            <w:pPr>
              <w:pStyle w:val="Compact"/>
              <w:jc w:val="left"/>
            </w:pPr>
            <w:r>
              <w:t xml:space="preserve">Described: time-delay safes, armored-car pickups, on-floor cash limits.</w:t>
            </w:r>
          </w:p>
        </w:tc>
        <w:tc>
          <w:tcPr/>
          <w:p>
            <w:pPr>
              <w:pStyle w:val="Compact"/>
              <w:jc w:val="left"/>
            </w:pPr>
            <w:r>
              <w:t xml:space="preserve">Compliant</w:t>
            </w:r>
          </w:p>
        </w:tc>
        <w:tc>
          <w:tcPr/>
          <w:p>
            <w:pPr>
              <w:pStyle w:val="Compact"/>
              <w:jc w:val="left"/>
            </w:pPr>
            <w:r>
              <w:t xml:space="preserve">Include detailed SOPs in the finalized plan.</w:t>
            </w:r>
          </w:p>
        </w:tc>
      </w:tr>
      <w:tr>
        <w:tc>
          <w:tcPr/>
          <w:p>
            <w:pPr>
              <w:pStyle w:val="Compact"/>
              <w:jc w:val="left"/>
            </w:pPr>
            <w:r>
              <w:t xml:space="preserve">R-41</w:t>
            </w:r>
          </w:p>
        </w:tc>
        <w:tc>
          <w:tcPr/>
          <w:p>
            <w:pPr>
              <w:pStyle w:val="Compact"/>
              <w:jc w:val="left"/>
            </w:pPr>
            <w:r>
              <w:t xml:space="preserve">Emergency response protocols</w:t>
            </w:r>
          </w:p>
        </w:tc>
        <w:tc>
          <w:tcPr/>
          <w:p>
            <w:pPr>
              <w:pStyle w:val="Compact"/>
              <w:jc w:val="left"/>
            </w:pPr>
            <w:r>
              <w:t xml:space="preserve">§9-5-5(B)(9); Form Q15</w:t>
            </w:r>
          </w:p>
        </w:tc>
        <w:tc>
          <w:tcPr/>
          <w:p>
            <w:pPr>
              <w:pStyle w:val="Compact"/>
              <w:jc w:val="left"/>
            </w:pPr>
            <w:r>
              <w:t xml:space="preserve">Referenced as part of the standalone plan (not yet finalized).</w:t>
            </w:r>
          </w:p>
        </w:tc>
        <w:tc>
          <w:tcPr/>
          <w:p>
            <w:pPr>
              <w:pStyle w:val="Compact"/>
              <w:jc w:val="left"/>
            </w:pPr>
            <w:r>
              <w:t xml:space="preserve">Not Submitted</w:t>
            </w:r>
          </w:p>
        </w:tc>
        <w:tc>
          <w:tcPr/>
          <w:p>
            <w:pPr>
              <w:pStyle w:val="Compact"/>
              <w:jc w:val="left"/>
            </w:pPr>
            <w:r>
              <w:rPr>
                <w:b/>
                <w:bCs/>
              </w:rPr>
              <w:t xml:space="preserve">[P1]</w:t>
            </w:r>
            <w:r>
              <w:t xml:space="preserve"> </w:t>
            </w:r>
            <w:r>
              <w:t xml:space="preserve">Include emergency response/robbery protocols in the finalized plan (R-35).</w:t>
            </w:r>
          </w:p>
        </w:tc>
      </w:tr>
      <w:tr>
        <w:tc>
          <w:tcPr/>
          <w:p>
            <w:pPr>
              <w:pStyle w:val="Compact"/>
              <w:jc w:val="left"/>
            </w:pPr>
            <w:r>
              <w:t xml:space="preserve">R-42</w:t>
            </w:r>
          </w:p>
        </w:tc>
        <w:tc>
          <w:tcPr/>
          <w:p>
            <w:pPr>
              <w:pStyle w:val="Compact"/>
              <w:jc w:val="left"/>
            </w:pPr>
            <w:r>
              <w:t xml:space="preserve">Security consultant identification/qualifications</w:t>
            </w:r>
          </w:p>
        </w:tc>
        <w:tc>
          <w:tcPr/>
          <w:p>
            <w:pPr>
              <w:pStyle w:val="Compact"/>
              <w:jc w:val="left"/>
            </w:pPr>
            <w:r>
              <w:t xml:space="preserve">Guide Item 9; Form Q15(h)</w:t>
            </w:r>
          </w:p>
        </w:tc>
        <w:tc>
          <w:tcPr/>
          <w:p>
            <w:pPr>
              <w:pStyle w:val="Compact"/>
              <w:jc w:val="left"/>
            </w:pPr>
            <w:r>
              <w:t xml:space="preserve">Pinnacle Compliance Advisors LLC, Principal Marcus Wren, identified.</w:t>
            </w:r>
          </w:p>
        </w:tc>
        <w:tc>
          <w:tcPr/>
          <w:p>
            <w:pPr>
              <w:pStyle w:val="Compact"/>
              <w:jc w:val="left"/>
            </w:pPr>
            <w:r>
              <w:t xml:space="preserve">Compliant</w:t>
            </w:r>
          </w:p>
        </w:tc>
        <w:tc>
          <w:tcPr/>
          <w:p>
            <w:pPr>
              <w:pStyle w:val="Compact"/>
              <w:jc w:val="left"/>
            </w:pPr>
            <w:r>
              <w:t xml:space="preserve">Include consultant qualifications/resume in the finalized plan.</w:t>
            </w:r>
          </w:p>
        </w:tc>
      </w:tr>
    </w:tbl>
    <w:bookmarkEnd w:id="31"/>
    <w:bookmarkStart w:id="32" w:name="b.10-odor-mitigation-plan"/>
    <w:p>
      <w:pPr>
        <w:pStyle w:val="Heading3"/>
      </w:pPr>
      <w:r>
        <w:t xml:space="preserve">B.10 Odor Mitigation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R-43</w:t>
            </w:r>
          </w:p>
        </w:tc>
        <w:tc>
          <w:tcPr/>
          <w:p>
            <w:pPr>
              <w:pStyle w:val="Compact"/>
              <w:jc w:val="left"/>
            </w:pPr>
            <w:r>
              <w:t xml:space="preserve">Odor mitigation plan: HVAC specs, carbon filtration details, air-exchange rates,</w:t>
            </w:r>
            <w:r>
              <w:t xml:space="preserve"> </w:t>
            </w:r>
            <w:r>
              <w:rPr>
                <w:b/>
                <w:bCs/>
              </w:rPr>
              <w:t xml:space="preserve">IL PE certification</w:t>
            </w:r>
            <w:r>
              <w:t xml:space="preserve"> </w:t>
            </w:r>
            <w:r>
              <w:t xml:space="preserve">that the system prevents odor migration beyond the property line</w:t>
            </w:r>
          </w:p>
        </w:tc>
        <w:tc>
          <w:tcPr/>
          <w:p>
            <w:pPr>
              <w:pStyle w:val="Compact"/>
              <w:jc w:val="left"/>
            </w:pPr>
            <w:r>
              <w:t xml:space="preserve">§9-5-5(B)(10); §9-5-13(G); Guide Item 10; Form Q16</w:t>
            </w:r>
          </w:p>
        </w:tc>
        <w:tc>
          <w:tcPr/>
          <w:p>
            <w:pPr>
              <w:pStyle w:val="Compact"/>
              <w:jc w:val="left"/>
            </w:pPr>
            <w:r>
              <w:t xml:space="preserve">Approach described (carbon filtration, negative pressure, sealed packaging).</w:t>
            </w:r>
            <w:r>
              <w:t xml:space="preserve"> </w:t>
            </w:r>
            <w:r>
              <w:rPr>
                <w:b/>
                <w:bCs/>
              </w:rPr>
              <w:t xml:space="preserve">HVAC specs</w:t>
            </w:r>
            <w:r>
              <w:rPr>
                <w:b/>
                <w:bCs/>
              </w:rPr>
              <w:t xml:space="preserve"> </w:t>
            </w:r>
            <w:r>
              <w:rPr>
                <w:b/>
                <w:bCs/>
              </w:rPr>
              <w:t xml:space="preserve">“</w:t>
            </w:r>
            <w:r>
              <w:rPr>
                <w:b/>
                <w:bCs/>
              </w:rPr>
              <w:t xml:space="preserve">will be finalized during build-out engineering phase.</w:t>
            </w:r>
            <w:r>
              <w:rPr>
                <w:b/>
                <w:bCs/>
              </w:rPr>
              <w:t xml:space="preserve">”</w:t>
            </w:r>
            <w:r>
              <w:t xml:space="preserve"> </w:t>
            </w:r>
            <w:r>
              <w:rPr>
                <w:b/>
                <w:bCs/>
              </w:rPr>
              <w:t xml:space="preserve">No Illinois PE certification obtained.</w:t>
            </w:r>
          </w:p>
        </w:tc>
        <w:tc>
          <w:tcPr/>
          <w:p>
            <w:pPr>
              <w:pStyle w:val="Compact"/>
              <w:jc w:val="left"/>
            </w:pPr>
            <w:r>
              <w:t xml:space="preserve">Non-Compliant</w:t>
            </w:r>
          </w:p>
        </w:tc>
        <w:tc>
          <w:tcPr/>
          <w:p>
            <w:pPr>
              <w:pStyle w:val="Compact"/>
              <w:jc w:val="left"/>
            </w:pPr>
            <w:r>
              <w:rPr>
                <w:b/>
                <w:bCs/>
              </w:rPr>
              <w:t xml:space="preserve">[P1 — Blocking]</w:t>
            </w:r>
            <w:r>
              <w:t xml:space="preserve"> </w:t>
            </w:r>
            <w:r>
              <w:t xml:space="preserve">Obtain and include the signed/sealed Illinois Professional Engineer certification. Form Q16 states applications without the PE certification</w:t>
            </w:r>
            <w:r>
              <w:t xml:space="preserve"> </w:t>
            </w:r>
            <w:r>
              <w:t xml:space="preserve">“</w:t>
            </w:r>
            <w:r>
              <w:t xml:space="preserve">will be deemed incomplete and will not proceed to scoring.</w:t>
            </w:r>
            <w:r>
              <w:t xml:space="preserve">”</w:t>
            </w:r>
            <w:r>
              <w:t xml:space="preserve"> </w:t>
            </w:r>
            <w:r>
              <w:t xml:space="preserve">Finalize HVAC make/model/capacity and air-exchange rates.</w:t>
            </w:r>
          </w:p>
        </w:tc>
      </w:tr>
    </w:tbl>
    <w:bookmarkEnd w:id="32"/>
    <w:bookmarkStart w:id="33" w:name="b.11-environmental-sustainability-plan"/>
    <w:p>
      <w:pPr>
        <w:pStyle w:val="Heading3"/>
      </w:pPr>
      <w:r>
        <w:t xml:space="preserve">B.11 Environmental Sustainability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R-44</w:t>
            </w:r>
          </w:p>
        </w:tc>
        <w:tc>
          <w:tcPr/>
          <w:p>
            <w:pPr>
              <w:pStyle w:val="Compact"/>
              <w:jc w:val="left"/>
            </w:pPr>
            <w:r>
              <w:t xml:space="preserve">Environmental sustainability plan: energy efficiency, waste reduction, water conservation, cannabis-waste disposal (IEPA-consistent)</w:t>
            </w:r>
          </w:p>
        </w:tc>
        <w:tc>
          <w:tcPr/>
          <w:p>
            <w:pPr>
              <w:pStyle w:val="Compact"/>
              <w:jc w:val="left"/>
            </w:pPr>
            <w:r>
              <w:t xml:space="preserve">§9-5-5(B)(11); §9-5-13(H); Guide Item 15; Form Q33</w:t>
            </w:r>
          </w:p>
        </w:tc>
        <w:tc>
          <w:tcPr/>
          <w:p>
            <w:pPr>
              <w:pStyle w:val="Compact"/>
              <w:jc w:val="left"/>
            </w:pPr>
            <w:r>
              <w:t xml:space="preserve">Elements mentioned across Business Plan §5.4 (waste, filtration) and Form Q33 prompts. No standalone environmental plan provided as a separate exhibit.</w:t>
            </w:r>
          </w:p>
        </w:tc>
        <w:tc>
          <w:tcPr/>
          <w:p>
            <w:pPr>
              <w:pStyle w:val="Compact"/>
              <w:jc w:val="left"/>
            </w:pPr>
            <w:r>
              <w:t xml:space="preserve">Partial — Gap</w:t>
            </w:r>
          </w:p>
        </w:tc>
        <w:tc>
          <w:tcPr/>
          <w:p>
            <w:pPr>
              <w:pStyle w:val="Compact"/>
              <w:jc w:val="left"/>
            </w:pPr>
            <w:r>
              <w:rPr>
                <w:b/>
                <w:bCs/>
              </w:rPr>
              <w:t xml:space="preserve">[P2]</w:t>
            </w:r>
            <w:r>
              <w:t xml:space="preserve"> </w:t>
            </w:r>
            <w:r>
              <w:t xml:space="preserve">Prepare and include a standalone Environmental Sustainability Plan (Item 15 exhibit) addressing all four required elements, including IEPA-consistent cannabis-waste procedures and 5-year waste-record retention (§9-5-13(H)).</w:t>
            </w:r>
          </w:p>
        </w:tc>
      </w:tr>
    </w:tbl>
    <w:bookmarkEnd w:id="33"/>
    <w:bookmarkStart w:id="34" w:name="b.12-community-benefits-plan"/>
    <w:p>
      <w:pPr>
        <w:pStyle w:val="Heading3"/>
      </w:pPr>
      <w:r>
        <w:t xml:space="preserve">B.12 Community Benefits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R-45</w:t>
            </w:r>
          </w:p>
        </w:tc>
        <w:tc>
          <w:tcPr/>
          <w:p>
            <w:pPr>
              <w:pStyle w:val="Compact"/>
              <w:jc w:val="left"/>
            </w:pPr>
            <w:r>
              <w:t xml:space="preserve">Community benefits plan; annual contribution = greater of $25,000 or 1% gross revenue; beneficiaries; reporting</w:t>
            </w:r>
          </w:p>
        </w:tc>
        <w:tc>
          <w:tcPr/>
          <w:p>
            <w:pPr>
              <w:pStyle w:val="Compact"/>
              <w:jc w:val="left"/>
            </w:pPr>
            <w:r>
              <w:t xml:space="preserve">§9-5-5(B)(12); §9-5-15; Guide Item 13; Form Q28</w:t>
            </w:r>
          </w:p>
        </w:tc>
        <w:tc>
          <w:tcPr/>
          <w:p>
            <w:pPr>
              <w:pStyle w:val="Compact"/>
              <w:jc w:val="left"/>
            </w:pPr>
            <w:r>
              <w:t xml:space="preserve">Plan provided: Y1 $32,000 (1% of $3.2M &gt; $25,000); beneficiary categories listed; reporting via renewal.</w:t>
            </w:r>
          </w:p>
        </w:tc>
        <w:tc>
          <w:tcPr/>
          <w:p>
            <w:pPr>
              <w:pStyle w:val="Compact"/>
              <w:jc w:val="left"/>
            </w:pPr>
            <w:r>
              <w:t xml:space="preserve">Compliant</w:t>
            </w:r>
          </w:p>
        </w:tc>
        <w:tc>
          <w:tcPr/>
          <w:p>
            <w:pPr>
              <w:pStyle w:val="Compact"/>
              <w:jc w:val="left"/>
            </w:pPr>
            <w:r>
              <w:rPr>
                <w:b/>
                <w:bCs/>
              </w:rPr>
              <w:t xml:space="preserve">[P3]</w:t>
            </w:r>
            <w:r>
              <w:t xml:space="preserve"> </w:t>
            </w:r>
            <w:r>
              <w:t xml:space="preserve">Clarify that the contribution is paid to the</w:t>
            </w:r>
            <w:r>
              <w:t xml:space="preserve"> </w:t>
            </w:r>
            <w:r>
              <w:rPr>
                <w:b/>
                <w:bCs/>
              </w:rPr>
              <w:t xml:space="preserve">City of Evanston Cannabis Community Benefit Fund</w:t>
            </w:r>
            <w:r>
              <w:t xml:space="preserve"> </w:t>
            </w:r>
            <w:r>
              <w:t xml:space="preserve">(§9-5-15(A)/(E)), administered by the Dept. of Community Development — not directly to selected organizations. Complete Form Q28.</w:t>
            </w:r>
          </w:p>
        </w:tc>
      </w:tr>
    </w:tbl>
    <w:bookmarkEnd w:id="34"/>
    <w:bookmarkStart w:id="35" w:name="b.13-diversity-inclusion-plan"/>
    <w:p>
      <w:pPr>
        <w:pStyle w:val="Heading3"/>
      </w:pPr>
      <w:r>
        <w:t xml:space="preserve">B.13 Diversity &amp; Inclusion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R-46</w:t>
            </w:r>
          </w:p>
        </w:tc>
        <w:tc>
          <w:tcPr/>
          <w:p>
            <w:pPr>
              <w:pStyle w:val="Compact"/>
              <w:jc w:val="left"/>
            </w:pPr>
            <w:r>
              <w:t xml:space="preserve">Diversity &amp; inclusion plan: hiring practices/partnerships, measurable goals (incl. R3 residents &amp; expunged-conviction individuals), vendor diversity, DEI training, measurement/reporting metrics</w:t>
            </w:r>
          </w:p>
        </w:tc>
        <w:tc>
          <w:tcPr/>
          <w:p>
            <w:pPr>
              <w:pStyle w:val="Compact"/>
              <w:jc w:val="left"/>
            </w:pPr>
            <w:r>
              <w:t xml:space="preserve">§9-5-5(B)(13); §9-5-20; Guide Item 14; Form Q31/Q32</w:t>
            </w:r>
          </w:p>
        </w:tc>
        <w:tc>
          <w:tcPr/>
          <w:p>
            <w:pPr>
              <w:pStyle w:val="Compact"/>
              <w:jc w:val="left"/>
            </w:pPr>
            <w:r>
              <w:t xml:space="preserve">Business Plan §7.5 covers workforce diversity goals (50% R3) and vendor diversity. No standalone 3–5 page plan; DEI training (unconscious bias, cultural competency) and measurement/reporting metrics not detailed.</w:t>
            </w:r>
          </w:p>
        </w:tc>
        <w:tc>
          <w:tcPr/>
          <w:p>
            <w:pPr>
              <w:pStyle w:val="Compact"/>
              <w:jc w:val="left"/>
            </w:pPr>
            <w:r>
              <w:t xml:space="preserve">Partial — Gap</w:t>
            </w:r>
          </w:p>
        </w:tc>
        <w:tc>
          <w:tcPr/>
          <w:p>
            <w:pPr>
              <w:pStyle w:val="Compact"/>
              <w:jc w:val="left"/>
            </w:pPr>
            <w:r>
              <w:rPr>
                <w:b/>
                <w:bCs/>
              </w:rPr>
              <w:t xml:space="preserve">[P2]</w:t>
            </w:r>
            <w:r>
              <w:t xml:space="preserve"> </w:t>
            </w:r>
            <w:r>
              <w:t xml:space="preserve">Prepare the standalone D&amp;I Plan (Item 14 exhibit, ~3–5 pp.) addressing all five §9-5-20(B) elements, including specific DEI training and quantified reporting metrics.</w:t>
            </w:r>
          </w:p>
        </w:tc>
      </w:tr>
      <w:tr>
        <w:tc>
          <w:tcPr/>
          <w:p>
            <w:pPr>
              <w:pStyle w:val="Compact"/>
              <w:jc w:val="left"/>
            </w:pPr>
            <w:r>
              <w:t xml:space="preserve">R-47</w:t>
            </w:r>
          </w:p>
        </w:tc>
        <w:tc>
          <w:tcPr/>
          <w:p>
            <w:pPr>
              <w:pStyle w:val="Compact"/>
              <w:jc w:val="left"/>
            </w:pPr>
            <w:r>
              <w:t xml:space="preserve">Social-equity hiring pipeline for 50% R3 workforce (specific partners, methods, timeline, contingencies)</w:t>
            </w:r>
          </w:p>
        </w:tc>
        <w:tc>
          <w:tcPr/>
          <w:p>
            <w:pPr>
              <w:pStyle w:val="Compact"/>
              <w:jc w:val="left"/>
            </w:pPr>
            <w:r>
              <w:t xml:space="preserve">§9-5-20(C); Form Q31 note</w:t>
            </w:r>
          </w:p>
        </w:tc>
        <w:tc>
          <w:tcPr/>
          <w:p>
            <w:pPr>
              <w:pStyle w:val="Compact"/>
              <w:jc w:val="left"/>
            </w:pPr>
            <w:r>
              <w:t xml:space="preserve">Pipeline strategy described (job fairs, community postings);</w:t>
            </w:r>
            <w:r>
              <w:t xml:space="preserve"> </w:t>
            </w:r>
            <w:r>
              <w:rPr>
                <w:b/>
                <w:bCs/>
              </w:rPr>
              <w:t xml:space="preserve">“</w:t>
            </w:r>
            <w:r>
              <w:rPr>
                <w:b/>
                <w:bCs/>
              </w:rPr>
              <w:t xml:space="preserve">specific partnerships with workforce development organizations have not yet been formalized.</w:t>
            </w:r>
            <w:r>
              <w:rPr>
                <w:b/>
                <w:bCs/>
              </w:rPr>
              <w:t xml:space="preserve">”</w:t>
            </w:r>
          </w:p>
        </w:tc>
        <w:tc>
          <w:tcPr/>
          <w:p>
            <w:pPr>
              <w:pStyle w:val="Compact"/>
              <w:jc w:val="left"/>
            </w:pPr>
            <w:r>
              <w:t xml:space="preserve">Partial — Gap</w:t>
            </w:r>
          </w:p>
        </w:tc>
        <w:tc>
          <w:tcPr/>
          <w:p>
            <w:pPr>
              <w:pStyle w:val="Compact"/>
              <w:jc w:val="left"/>
            </w:pPr>
            <w:r>
              <w:rPr>
                <w:b/>
                <w:bCs/>
              </w:rPr>
              <w:t xml:space="preserve">[P2]</w:t>
            </w:r>
            <w:r>
              <w:t xml:space="preserve"> </w:t>
            </w:r>
            <w:r>
              <w:t xml:space="preserve">Identify and document specific workforce-development partner organizations, recruitment methods, timeline to 50%, and contingency plan if initial recruitment is insufficient.</w:t>
            </w:r>
          </w:p>
        </w:tc>
      </w:tr>
    </w:tbl>
    <w:bookmarkEnd w:id="35"/>
    <w:bookmarkStart w:id="36" w:name="b.14-community-engagement"/>
    <w:p>
      <w:pPr>
        <w:pStyle w:val="Heading3"/>
      </w:pPr>
      <w:r>
        <w:t xml:space="preserve">B.14 Community Engagement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R-48</w:t>
            </w:r>
          </w:p>
        </w:tc>
        <w:tc>
          <w:tcPr/>
          <w:p>
            <w:pPr>
              <w:pStyle w:val="Compact"/>
              <w:jc w:val="left"/>
            </w:pPr>
            <w:r>
              <w:t xml:space="preserve">Minimum 2 sessions within Evanston, before application</w:t>
            </w:r>
          </w:p>
        </w:tc>
        <w:tc>
          <w:tcPr/>
          <w:p>
            <w:pPr>
              <w:pStyle w:val="Compact"/>
              <w:jc w:val="left"/>
            </w:pPr>
            <w:r>
              <w:t xml:space="preserve">§9-5-8(A); Guide Item 12</w:t>
            </w:r>
          </w:p>
        </w:tc>
        <w:tc>
          <w:tcPr/>
          <w:p>
            <w:pPr>
              <w:pStyle w:val="Compact"/>
              <w:jc w:val="left"/>
            </w:pPr>
            <w:r>
              <w:t xml:space="preserve">Two sessions held (3/12/2024 and 4/9/2024) at Evanston Public Library.</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R-49</w:t>
            </w:r>
          </w:p>
        </w:tc>
        <w:tc>
          <w:tcPr/>
          <w:p>
            <w:pPr>
              <w:pStyle w:val="Compact"/>
              <w:jc w:val="left"/>
            </w:pPr>
            <w:r>
              <w:t xml:space="preserve">≥14 calendar days advance notice (newspaper + City website)</w:t>
            </w:r>
          </w:p>
        </w:tc>
        <w:tc>
          <w:tcPr/>
          <w:p>
            <w:pPr>
              <w:pStyle w:val="Compact"/>
              <w:jc w:val="left"/>
            </w:pPr>
            <w:r>
              <w:t xml:space="preserve">§9-5-8(B); Guide Item 12</w:t>
            </w:r>
          </w:p>
        </w:tc>
        <w:tc>
          <w:tcPr/>
          <w:p>
            <w:pPr>
              <w:pStyle w:val="Compact"/>
              <w:jc w:val="left"/>
            </w:pPr>
            <w:r>
              <w:t xml:space="preserve">Session 1: notice 2/25/2024 → 3/12/2024 = 15 days ✓.</w:t>
            </w:r>
            <w:r>
              <w:t xml:space="preserve"> </w:t>
            </w:r>
            <w:r>
              <w:rPr>
                <w:b/>
                <w:bCs/>
              </w:rPr>
              <w:t xml:space="preserve">Session 2: notice 3/28/2024 → 4/9/2024 = 12 days ✗</w:t>
            </w:r>
            <w:r>
              <w:t xml:space="preserve"> </w:t>
            </w:r>
            <w:r>
              <w:t xml:space="preserve">(report itself states</w:t>
            </w:r>
            <w:r>
              <w:t xml:space="preserve"> </w:t>
            </w:r>
            <w:r>
              <w:t xml:space="preserve">“</w:t>
            </w:r>
            <w:r>
              <w:t xml:space="preserve">12 days</w:t>
            </w:r>
            <w:r>
              <w:t xml:space="preserve">”</w:t>
            </w:r>
            <w:r>
              <w:t xml:space="preserve">).</w:t>
            </w:r>
          </w:p>
        </w:tc>
        <w:tc>
          <w:tcPr/>
          <w:p>
            <w:pPr>
              <w:pStyle w:val="Compact"/>
              <w:jc w:val="left"/>
            </w:pPr>
            <w:r>
              <w:t xml:space="preserve">Non-Compliant</w:t>
            </w:r>
          </w:p>
        </w:tc>
        <w:tc>
          <w:tcPr/>
          <w:p>
            <w:pPr>
              <w:pStyle w:val="Compact"/>
              <w:jc w:val="left"/>
            </w:pPr>
            <w:r>
              <w:rPr>
                <w:b/>
                <w:bCs/>
              </w:rPr>
              <w:t xml:space="preserve">[P1 — Blocking]</w:t>
            </w:r>
            <w:r>
              <w:t xml:space="preserve"> </w:t>
            </w:r>
            <w:r>
              <w:t xml:space="preserve">Session 2 notice fails the 14-day minimum. Per §9-5-8(F) this renders the application incomplete and</w:t>
            </w:r>
            <w:r>
              <w:t xml:space="preserve"> </w:t>
            </w:r>
            <w:r>
              <w:rPr>
                <w:b/>
                <w:bCs/>
              </w:rPr>
              <w:t xml:space="preserve">no waiver</w:t>
            </w:r>
            <w:r>
              <w:t xml:space="preserve"> </w:t>
            </w:r>
            <w:r>
              <w:t xml:space="preserve">of the two-session minimum is available. Hold an additional session with ≥14-day newspaper + City-website notice before submission.</w:t>
            </w:r>
          </w:p>
        </w:tc>
      </w:tr>
      <w:tr>
        <w:tc>
          <w:tcPr/>
          <w:p>
            <w:pPr>
              <w:pStyle w:val="Compact"/>
              <w:jc w:val="left"/>
            </w:pPr>
            <w:r>
              <w:t xml:space="preserve">R-50</w:t>
            </w:r>
          </w:p>
        </w:tc>
        <w:tc>
          <w:tcPr/>
          <w:p>
            <w:pPr>
              <w:pStyle w:val="Compact"/>
              <w:jc w:val="left"/>
            </w:pPr>
            <w:r>
              <w:t xml:space="preserve">Notice content: applicant/establishment name, address, date/time/location, use description (adult-use/medical/both), contact phone</w:t>
            </w:r>
            <w:r>
              <w:t xml:space="preserve"> </w:t>
            </w:r>
            <w:r>
              <w:rPr>
                <w:b/>
                <w:bCs/>
              </w:rPr>
              <w:t xml:space="preserve">and</w:t>
            </w:r>
            <w:r>
              <w:t xml:space="preserve"> </w:t>
            </w:r>
            <w:r>
              <w:t xml:space="preserve">email</w:t>
            </w:r>
          </w:p>
        </w:tc>
        <w:tc>
          <w:tcPr/>
          <w:p>
            <w:pPr>
              <w:pStyle w:val="Compact"/>
              <w:jc w:val="left"/>
            </w:pPr>
            <w:r>
              <w:t xml:space="preserve">§9-5-8(C)</w:t>
            </w:r>
          </w:p>
        </w:tc>
        <w:tc>
          <w:tcPr/>
          <w:p>
            <w:pPr>
              <w:pStyle w:val="Compact"/>
              <w:jc w:val="left"/>
            </w:pPr>
            <w:r>
              <w:t xml:space="preserve">Notices (Ex. C) include name, address, date/time/location,</w:t>
            </w:r>
            <w:r>
              <w:t xml:space="preserve"> </w:t>
            </w:r>
            <w:r>
              <w:t xml:space="preserve">“</w:t>
            </w:r>
            <w:r>
              <w:t xml:space="preserve">adult-use</w:t>
            </w:r>
            <w:r>
              <w:t xml:space="preserve">”</w:t>
            </w:r>
            <w:r>
              <w:t xml:space="preserve"> </w:t>
            </w:r>
            <w:r>
              <w:t xml:space="preserve">description, and email.</w:t>
            </w:r>
            <w:r>
              <w:t xml:space="preserve"> </w:t>
            </w:r>
            <w:r>
              <w:rPr>
                <w:b/>
                <w:bCs/>
              </w:rPr>
              <w:t xml:space="preserve">No telephone number</w:t>
            </w:r>
            <w:r>
              <w:t xml:space="preserve"> </w:t>
            </w:r>
            <w:r>
              <w:t xml:space="preserve">on the notices; medical use not stated (Greenleaf will serve both).</w:t>
            </w:r>
          </w:p>
        </w:tc>
        <w:tc>
          <w:tcPr/>
          <w:p>
            <w:pPr>
              <w:pStyle w:val="Compact"/>
              <w:jc w:val="left"/>
            </w:pPr>
            <w:r>
              <w:t xml:space="preserve">Partial — Gap</w:t>
            </w:r>
          </w:p>
        </w:tc>
        <w:tc>
          <w:tcPr/>
          <w:p>
            <w:pPr>
              <w:pStyle w:val="Compact"/>
              <w:jc w:val="left"/>
            </w:pPr>
            <w:r>
              <w:rPr>
                <w:b/>
                <w:bCs/>
              </w:rPr>
              <w:t xml:space="preserve">[P3]</w:t>
            </w:r>
            <w:r>
              <w:t xml:space="preserve"> </w:t>
            </w:r>
            <w:r>
              <w:t xml:space="preserve">Future/replacement notices must include a telephone number and state both adult-use and medical service.</w:t>
            </w:r>
          </w:p>
        </w:tc>
      </w:tr>
      <w:tr>
        <w:tc>
          <w:tcPr/>
          <w:p>
            <w:pPr>
              <w:pStyle w:val="Compact"/>
              <w:jc w:val="left"/>
            </w:pPr>
            <w:r>
              <w:t xml:space="preserve">R-51</w:t>
            </w:r>
          </w:p>
        </w:tc>
        <w:tc>
          <w:tcPr/>
          <w:p>
            <w:pPr>
              <w:pStyle w:val="Compact"/>
              <w:jc w:val="left"/>
            </w:pPr>
            <w:r>
              <w:t xml:space="preserve">At least one session after 5:00 PM</w:t>
            </w:r>
          </w:p>
        </w:tc>
        <w:tc>
          <w:tcPr/>
          <w:p>
            <w:pPr>
              <w:pStyle w:val="Compact"/>
              <w:jc w:val="left"/>
            </w:pPr>
            <w:r>
              <w:t xml:space="preserve">§9-5-8(D)</w:t>
            </w:r>
          </w:p>
        </w:tc>
        <w:tc>
          <w:tcPr/>
          <w:p>
            <w:pPr>
              <w:pStyle w:val="Compact"/>
              <w:jc w:val="left"/>
            </w:pPr>
            <w:r>
              <w:t xml:space="preserve">Both sessions 6:30 PM–8:00/8:30 PM.</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R-52</w:t>
            </w:r>
          </w:p>
        </w:tc>
        <w:tc>
          <w:tcPr/>
          <w:p>
            <w:pPr>
              <w:pStyle w:val="Compact"/>
              <w:jc w:val="left"/>
            </w:pPr>
            <w:r>
              <w:t xml:space="preserve">Documentation: published notices + proof, website-posting evidence, sign-in sheets, written summaries, written comments received</w:t>
            </w:r>
          </w:p>
        </w:tc>
        <w:tc>
          <w:tcPr/>
          <w:p>
            <w:pPr>
              <w:pStyle w:val="Compact"/>
              <w:jc w:val="left"/>
            </w:pPr>
            <w:r>
              <w:t xml:space="preserve">§9-5-8(E); Guide Item 12</w:t>
            </w:r>
          </w:p>
        </w:tc>
        <w:tc>
          <w:tcPr/>
          <w:p>
            <w:pPr>
              <w:pStyle w:val="Compact"/>
              <w:jc w:val="left"/>
            </w:pPr>
            <w:r>
              <w:t xml:space="preserve">Attendance sheets (Ex. A/B), session summaries, published notices (Ex. C), and website-posting confirmations from the Coordinator provided. Publisher’s affidavit and any written public comments not explicitly included.</w:t>
            </w:r>
          </w:p>
        </w:tc>
        <w:tc>
          <w:tcPr/>
          <w:p>
            <w:pPr>
              <w:pStyle w:val="Compact"/>
              <w:jc w:val="left"/>
            </w:pPr>
            <w:r>
              <w:t xml:space="preserve">Partial — Gap</w:t>
            </w:r>
          </w:p>
        </w:tc>
        <w:tc>
          <w:tcPr/>
          <w:p>
            <w:pPr>
              <w:pStyle w:val="Compact"/>
              <w:jc w:val="left"/>
            </w:pPr>
            <w:r>
              <w:rPr>
                <w:b/>
                <w:bCs/>
              </w:rPr>
              <w:t xml:space="preserve">[P3]</w:t>
            </w:r>
            <w:r>
              <w:t xml:space="preserve"> </w:t>
            </w:r>
            <w:r>
              <w:t xml:space="preserve">Include a publisher’s affidavit (or confirm the published-notice copy suffices) and any written comments/correspondence received from the public.</w:t>
            </w:r>
          </w:p>
        </w:tc>
      </w:tr>
      <w:tr>
        <w:tc>
          <w:tcPr/>
          <w:p>
            <w:pPr>
              <w:pStyle w:val="Compact"/>
              <w:jc w:val="left"/>
            </w:pPr>
            <w:r>
              <w:t xml:space="preserve">R-53</w:t>
            </w:r>
          </w:p>
        </w:tc>
        <w:tc>
          <w:tcPr/>
          <w:p>
            <w:pPr>
              <w:pStyle w:val="Compact"/>
              <w:jc w:val="left"/>
            </w:pPr>
            <w:r>
              <w:t xml:space="preserve">Correct Code citation for community engagement</w:t>
            </w:r>
          </w:p>
        </w:tc>
        <w:tc>
          <w:tcPr/>
          <w:p>
            <w:pPr>
              <w:pStyle w:val="Compact"/>
              <w:jc w:val="left"/>
            </w:pPr>
            <w:r>
              <w:t xml:space="preserve">§9-5-8</w:t>
            </w:r>
          </w:p>
        </w:tc>
        <w:tc>
          <w:tcPr/>
          <w:p>
            <w:pPr>
              <w:pStyle w:val="Compact"/>
              <w:jc w:val="left"/>
            </w:pPr>
            <w:r>
              <w:t xml:space="preserve">Form §7 Q22 cites</w:t>
            </w:r>
            <w:r>
              <w:t xml:space="preserve"> </w:t>
            </w:r>
            <w:r>
              <w:rPr>
                <w:b/>
                <w:bCs/>
              </w:rPr>
              <w:t xml:space="preserve">§9-5-15</w:t>
            </w:r>
            <w:r>
              <w:t xml:space="preserve"> </w:t>
            </w:r>
            <w:r>
              <w:t xml:space="preserve">(Community Benefit Contribution) instead of §9-5-8.</w:t>
            </w:r>
          </w:p>
        </w:tc>
        <w:tc>
          <w:tcPr/>
          <w:p>
            <w:pPr>
              <w:pStyle w:val="Compact"/>
              <w:jc w:val="left"/>
            </w:pPr>
            <w:r>
              <w:t xml:space="preserve">Discrepancy</w:t>
            </w:r>
          </w:p>
        </w:tc>
        <w:tc>
          <w:tcPr/>
          <w:p>
            <w:pPr>
              <w:pStyle w:val="Compact"/>
              <w:jc w:val="left"/>
            </w:pPr>
            <w:r>
              <w:rPr>
                <w:b/>
                <w:bCs/>
              </w:rPr>
              <w:t xml:space="preserve">[P4]</w:t>
            </w:r>
            <w:r>
              <w:t xml:space="preserve"> </w:t>
            </w:r>
            <w:r>
              <w:t xml:space="preserve">Form error; cite §9-5-8 in any applicant-prepared materials. (See A-12.)</w:t>
            </w:r>
          </w:p>
        </w:tc>
      </w:tr>
    </w:tbl>
    <w:bookmarkEnd w:id="36"/>
    <w:bookmarkStart w:id="37" w:name="b.15-insurance"/>
    <w:p>
      <w:pPr>
        <w:pStyle w:val="Heading3"/>
      </w:pPr>
      <w:r>
        <w:t xml:space="preserve">B.15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R-54</w:t>
            </w:r>
          </w:p>
        </w:tc>
        <w:tc>
          <w:tcPr/>
          <w:p>
            <w:pPr>
              <w:pStyle w:val="Compact"/>
              <w:jc w:val="left"/>
            </w:pPr>
            <w:r>
              <w:t xml:space="preserve">Commercial General Liability $2M occ. / $4M agg.</w:t>
            </w:r>
          </w:p>
        </w:tc>
        <w:tc>
          <w:tcPr/>
          <w:p>
            <w:pPr>
              <w:pStyle w:val="Compact"/>
              <w:jc w:val="left"/>
            </w:pPr>
            <w:r>
              <w:t xml:space="preserve">§9-5-16(A)(1); Guide Item 16; Form Q27</w:t>
            </w:r>
          </w:p>
        </w:tc>
        <w:tc>
          <w:tcPr/>
          <w:p>
            <w:pPr>
              <w:pStyle w:val="Compact"/>
              <w:jc w:val="left"/>
            </w:pPr>
            <w:r>
              <w:t xml:space="preserve">Obtained; eff. 1/15/2024; cannabis-operations endorsement; certificate available.</w:t>
            </w:r>
          </w:p>
        </w:tc>
        <w:tc>
          <w:tcPr/>
          <w:p>
            <w:pPr>
              <w:pStyle w:val="Compact"/>
              <w:jc w:val="left"/>
            </w:pPr>
            <w:r>
              <w:t xml:space="preserve">Compliant</w:t>
            </w:r>
          </w:p>
        </w:tc>
        <w:tc>
          <w:tcPr/>
          <w:p>
            <w:pPr>
              <w:pStyle w:val="Compact"/>
              <w:jc w:val="left"/>
            </w:pPr>
            <w:r>
              <w:t xml:space="preserve">Submit certificate; endorse City as additional insured before issuance (R-58).</w:t>
            </w:r>
          </w:p>
        </w:tc>
      </w:tr>
      <w:tr>
        <w:tc>
          <w:tcPr/>
          <w:p>
            <w:pPr>
              <w:pStyle w:val="Compact"/>
              <w:jc w:val="left"/>
            </w:pPr>
            <w:r>
              <w:t xml:space="preserve">R-55</w:t>
            </w:r>
          </w:p>
        </w:tc>
        <w:tc>
          <w:tcPr/>
          <w:p>
            <w:pPr>
              <w:pStyle w:val="Compact"/>
              <w:jc w:val="left"/>
            </w:pPr>
            <w:r>
              <w:t xml:space="preserve">Product Liability $2M occ. / $4M agg.</w:t>
            </w:r>
          </w:p>
        </w:tc>
        <w:tc>
          <w:tcPr/>
          <w:p>
            <w:pPr>
              <w:pStyle w:val="Compact"/>
              <w:jc w:val="left"/>
            </w:pPr>
            <w:r>
              <w:t xml:space="preserve">§9-5-16(A)(2)</w:t>
            </w:r>
          </w:p>
        </w:tc>
        <w:tc>
          <w:tcPr/>
          <w:p>
            <w:pPr>
              <w:pStyle w:val="Compact"/>
              <w:jc w:val="left"/>
            </w:pPr>
            <w:r>
              <w:t xml:space="preserve">Obtained (bundled with GL); certificate available.</w:t>
            </w:r>
          </w:p>
        </w:tc>
        <w:tc>
          <w:tcPr/>
          <w:p>
            <w:pPr>
              <w:pStyle w:val="Compact"/>
              <w:jc w:val="left"/>
            </w:pPr>
            <w:r>
              <w:t xml:space="preserve">Compliant</w:t>
            </w:r>
          </w:p>
        </w:tc>
        <w:tc>
          <w:tcPr/>
          <w:p>
            <w:pPr>
              <w:pStyle w:val="Compact"/>
              <w:jc w:val="left"/>
            </w:pPr>
            <w:r>
              <w:t xml:space="preserve">Submit certificate; additional-insured endorsement before issuance.</w:t>
            </w:r>
          </w:p>
        </w:tc>
      </w:tr>
      <w:tr>
        <w:tc>
          <w:tcPr/>
          <w:p>
            <w:pPr>
              <w:pStyle w:val="Compact"/>
              <w:jc w:val="left"/>
            </w:pPr>
            <w:r>
              <w:t xml:space="preserve">R-56</w:t>
            </w:r>
          </w:p>
        </w:tc>
        <w:tc>
          <w:tcPr/>
          <w:p>
            <w:pPr>
              <w:pStyle w:val="Compact"/>
              <w:jc w:val="left"/>
            </w:pPr>
            <w:r>
              <w:t xml:space="preserve">Workers’ Comp (IL statutory)</w:t>
            </w:r>
            <w:r>
              <w:t xml:space="preserve"> </w:t>
            </w:r>
            <w:r>
              <w:rPr>
                <w:b/>
                <w:bCs/>
              </w:rPr>
              <w:t xml:space="preserve">+ Employer’s Liability ≥$1M/accident</w:t>
            </w:r>
          </w:p>
        </w:tc>
        <w:tc>
          <w:tcPr/>
          <w:p>
            <w:pPr>
              <w:pStyle w:val="Compact"/>
              <w:jc w:val="left"/>
            </w:pPr>
            <w:r>
              <w:t xml:space="preserve">§9-5-16(A)(3)</w:t>
            </w:r>
          </w:p>
        </w:tc>
        <w:tc>
          <w:tcPr/>
          <w:p>
            <w:pPr>
              <w:pStyle w:val="Compact"/>
              <w:jc w:val="left"/>
            </w:pPr>
            <w:r>
              <w:t xml:space="preserve">Quoted; to be bound upon first hire.</w:t>
            </w:r>
            <w:r>
              <w:t xml:space="preserve"> </w:t>
            </w:r>
            <w:r>
              <w:rPr>
                <w:b/>
                <w:bCs/>
              </w:rPr>
              <w:t xml:space="preserve">Employer’s Liability not addressed</w:t>
            </w:r>
            <w:r>
              <w:t xml:space="preserve"> </w:t>
            </w:r>
            <w:r>
              <w:t xml:space="preserve">in Insurance Memo. Lease requires only $500K EL (below City’s $1M).</w:t>
            </w:r>
          </w:p>
        </w:tc>
        <w:tc>
          <w:tcPr/>
          <w:p>
            <w:pPr>
              <w:pStyle w:val="Compact"/>
              <w:jc w:val="left"/>
            </w:pPr>
            <w:r>
              <w:t xml:space="preserve">Partial — Gap</w:t>
            </w:r>
          </w:p>
        </w:tc>
        <w:tc>
          <w:tcPr/>
          <w:p>
            <w:pPr>
              <w:pStyle w:val="Compact"/>
              <w:jc w:val="left"/>
            </w:pPr>
            <w:r>
              <w:rPr>
                <w:b/>
                <w:bCs/>
              </w:rPr>
              <w:t xml:space="preserve">[P2]</w:t>
            </w:r>
            <w:r>
              <w:t xml:space="preserve"> </w:t>
            </w:r>
            <w:r>
              <w:t xml:space="preserve">Confirm Employer’s Liability at ≥$1M/accident (Code) — above the Lease’s $500K floor. Bind WC before first hire; submit certificate pre-issuance.</w:t>
            </w:r>
          </w:p>
        </w:tc>
      </w:tr>
      <w:tr>
        <w:tc>
          <w:tcPr/>
          <w:p>
            <w:pPr>
              <w:pStyle w:val="Compact"/>
              <w:jc w:val="left"/>
            </w:pPr>
            <w:r>
              <w:t xml:space="preserve">R-57</w:t>
            </w:r>
          </w:p>
        </w:tc>
        <w:tc>
          <w:tcPr/>
          <w:p>
            <w:pPr>
              <w:pStyle w:val="Compact"/>
              <w:jc w:val="left"/>
            </w:pPr>
            <w:r>
              <w:t xml:space="preserve">Cannabis-Specific Crime/Theft ≥$500,000</w:t>
            </w:r>
          </w:p>
        </w:tc>
        <w:tc>
          <w:tcPr/>
          <w:p>
            <w:pPr>
              <w:pStyle w:val="Compact"/>
              <w:jc w:val="left"/>
            </w:pPr>
            <w:r>
              <w:t xml:space="preserve">§9-5-16(A)(4); Guide Item 16</w:t>
            </w:r>
          </w:p>
        </w:tc>
        <w:tc>
          <w:tcPr/>
          <w:p>
            <w:pPr>
              <w:pStyle w:val="Compact"/>
              <w:jc w:val="left"/>
            </w:pPr>
            <w:r>
              <w:t xml:space="preserve">Under negotiation with Canopy Risk Underwriters;</w:t>
            </w:r>
            <w:r>
              <w:t xml:space="preserve"> </w:t>
            </w:r>
            <w:r>
              <w:rPr>
                <w:b/>
                <w:bCs/>
              </w:rPr>
              <w:t xml:space="preserve">not bound; no binder or commitment letter yet</w:t>
            </w:r>
            <w:r>
              <w:t xml:space="preserve"> </w:t>
            </w:r>
            <w:r>
              <w:t xml:space="preserve">(pending finalized security plan).</w:t>
            </w:r>
          </w:p>
        </w:tc>
        <w:tc>
          <w:tcPr/>
          <w:p>
            <w:pPr>
              <w:pStyle w:val="Compact"/>
              <w:jc w:val="left"/>
            </w:pPr>
            <w:r>
              <w:t xml:space="preserve">Non-Compliant</w:t>
            </w:r>
          </w:p>
        </w:tc>
        <w:tc>
          <w:tcPr/>
          <w:p>
            <w:pPr>
              <w:pStyle w:val="Compact"/>
              <w:jc w:val="left"/>
            </w:pPr>
            <w:r>
              <w:rPr>
                <w:b/>
                <w:bCs/>
              </w:rPr>
              <w:t xml:space="preserve">[P1 — Blocking]</w:t>
            </w:r>
            <w:r>
              <w:t xml:space="preserve"> </w:t>
            </w:r>
            <w:r>
              <w:t xml:space="preserve">At application, the Code allows a binder/commitment letter evidencing ability to obtain coverage. Obtain at least a binder or commitment letter from Canopy (or an alternate specialty carrier) before submission; finalize the security plan to unblock underwriting. Coverage must be bound before permit issuance.</w:t>
            </w:r>
          </w:p>
        </w:tc>
      </w:tr>
      <w:tr>
        <w:tc>
          <w:tcPr/>
          <w:p>
            <w:pPr>
              <w:pStyle w:val="Compact"/>
              <w:jc w:val="left"/>
            </w:pPr>
            <w:r>
              <w:t xml:space="preserve">R-58</w:t>
            </w:r>
          </w:p>
        </w:tc>
        <w:tc>
          <w:tcPr/>
          <w:p>
            <w:pPr>
              <w:pStyle w:val="Compact"/>
              <w:jc w:val="left"/>
            </w:pPr>
            <w:r>
              <w:t xml:space="preserve">City named additional insured on GL &amp; Product Liability</w:t>
            </w:r>
          </w:p>
        </w:tc>
        <w:tc>
          <w:tcPr/>
          <w:p>
            <w:pPr>
              <w:pStyle w:val="Compact"/>
              <w:jc w:val="left"/>
            </w:pPr>
            <w:r>
              <w:t xml:space="preserve">§9-5-16(B)</w:t>
            </w:r>
          </w:p>
        </w:tc>
        <w:tc>
          <w:tcPr/>
          <w:p>
            <w:pPr>
              <w:pStyle w:val="Compact"/>
              <w:jc w:val="left"/>
            </w:pPr>
            <w:r>
              <w:t xml:space="preserve">Policies</w:t>
            </w:r>
            <w:r>
              <w:t xml:space="preserve"> </w:t>
            </w:r>
            <w:r>
              <w:t xml:space="preserve">“</w:t>
            </w:r>
            <w:r>
              <w:t xml:space="preserve">can be endorsed… upon request</w:t>
            </w:r>
            <w:r>
              <w:t xml:space="preserve">”</w:t>
            </w:r>
            <w:r>
              <w:t xml:space="preserve">; not yet endorsed.</w:t>
            </w:r>
          </w:p>
        </w:tc>
        <w:tc>
          <w:tcPr/>
          <w:p>
            <w:pPr>
              <w:pStyle w:val="Compact"/>
              <w:jc w:val="left"/>
            </w:pPr>
            <w:r>
              <w:t xml:space="preserve">Pending (Pre-Issuance)</w:t>
            </w:r>
          </w:p>
        </w:tc>
        <w:tc>
          <w:tcPr/>
          <w:p>
            <w:pPr>
              <w:pStyle w:val="Compact"/>
              <w:jc w:val="left"/>
            </w:pPr>
            <w:r>
              <w:t xml:space="preserve">Obtain additional-insured endorsements (form acceptable to City Attorney) and submit certificates before permit issuance.</w:t>
            </w:r>
          </w:p>
        </w:tc>
      </w:tr>
      <w:tr>
        <w:tc>
          <w:tcPr/>
          <w:p>
            <w:pPr>
              <w:pStyle w:val="Compact"/>
              <w:jc w:val="left"/>
            </w:pPr>
            <w:r>
              <w:t xml:space="preserve">R-59</w:t>
            </w:r>
          </w:p>
        </w:tc>
        <w:tc>
          <w:tcPr/>
          <w:p>
            <w:pPr>
              <w:pStyle w:val="Compact"/>
              <w:jc w:val="left"/>
            </w:pPr>
            <w:r>
              <w:t xml:space="preserve">Insurers rated ≥A- by AM Best</w:t>
            </w:r>
          </w:p>
        </w:tc>
        <w:tc>
          <w:tcPr/>
          <w:p>
            <w:pPr>
              <w:pStyle w:val="Compact"/>
              <w:jc w:val="left"/>
            </w:pPr>
            <w:r>
              <w:t xml:space="preserve">§9-5-16(C)</w:t>
            </w:r>
          </w:p>
        </w:tc>
        <w:tc>
          <w:tcPr/>
          <w:p>
            <w:pPr>
              <w:pStyle w:val="Compact"/>
              <w:jc w:val="left"/>
            </w:pPr>
            <w:r>
              <w:t xml:space="preserve">AM Best ratings not documented for any carrier.</w:t>
            </w:r>
          </w:p>
        </w:tc>
        <w:tc>
          <w:tcPr/>
          <w:p>
            <w:pPr>
              <w:pStyle w:val="Compact"/>
              <w:jc w:val="left"/>
            </w:pPr>
            <w:r>
              <w:t xml:space="preserve">Partial — Gap</w:t>
            </w:r>
          </w:p>
        </w:tc>
        <w:tc>
          <w:tcPr/>
          <w:p>
            <w:pPr>
              <w:pStyle w:val="Compact"/>
              <w:jc w:val="left"/>
            </w:pPr>
            <w:r>
              <w:rPr>
                <w:b/>
                <w:bCs/>
              </w:rPr>
              <w:t xml:space="preserve">[P3]</w:t>
            </w:r>
            <w:r>
              <w:t xml:space="preserve"> </w:t>
            </w:r>
            <w:r>
              <w:t xml:space="preserve">Confirm and document A- (or equivalent) AM Best ratings for all carriers; include on certificates.</w:t>
            </w:r>
          </w:p>
        </w:tc>
      </w:tr>
      <w:tr>
        <w:tc>
          <w:tcPr/>
          <w:p>
            <w:pPr>
              <w:pStyle w:val="Compact"/>
              <w:jc w:val="left"/>
            </w:pPr>
            <w:r>
              <w:t xml:space="preserve">R-60</w:t>
            </w:r>
          </w:p>
        </w:tc>
        <w:tc>
          <w:tcPr/>
          <w:p>
            <w:pPr>
              <w:pStyle w:val="Compact"/>
              <w:jc w:val="left"/>
            </w:pPr>
            <w:r>
              <w:t xml:space="preserve">30-day written notice of cancellation/non-renewal/material change</w:t>
            </w:r>
          </w:p>
        </w:tc>
        <w:tc>
          <w:tcPr/>
          <w:p>
            <w:pPr>
              <w:pStyle w:val="Compact"/>
              <w:jc w:val="left"/>
            </w:pPr>
            <w:r>
              <w:t xml:space="preserve">§9-5-16(D)</w:t>
            </w:r>
          </w:p>
        </w:tc>
        <w:tc>
          <w:tcPr/>
          <w:p>
            <w:pPr>
              <w:pStyle w:val="Compact"/>
              <w:jc w:val="left"/>
            </w:pPr>
            <w:r>
              <w:t xml:space="preserve">Not addressed in Insurance Memo.</w:t>
            </w:r>
          </w:p>
        </w:tc>
        <w:tc>
          <w:tcPr/>
          <w:p>
            <w:pPr>
              <w:pStyle w:val="Compact"/>
              <w:jc w:val="left"/>
            </w:pPr>
            <w:r>
              <w:t xml:space="preserve">Partial — Gap</w:t>
            </w:r>
          </w:p>
        </w:tc>
        <w:tc>
          <w:tcPr/>
          <w:p>
            <w:pPr>
              <w:pStyle w:val="Compact"/>
              <w:jc w:val="left"/>
            </w:pPr>
            <w:r>
              <w:rPr>
                <w:b/>
                <w:bCs/>
              </w:rPr>
              <w:t xml:space="preserve">[P3]</w:t>
            </w:r>
            <w:r>
              <w:t xml:space="preserve"> </w:t>
            </w:r>
            <w:r>
              <w:t xml:space="preserve">Confirm 30-day cancellation-notice endorsement on all policies; reflect on certificates.</w:t>
            </w:r>
          </w:p>
        </w:tc>
      </w:tr>
    </w:tbl>
    <w:bookmarkEnd w:id="37"/>
    <w:bookmarkStart w:id="38" w:name="b.16-bonding"/>
    <w:p>
      <w:pPr>
        <w:pStyle w:val="Heading3"/>
      </w:pPr>
      <w:r>
        <w:t xml:space="preserve">B.16 Bonding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R-61</w:t>
            </w:r>
          </w:p>
        </w:tc>
        <w:tc>
          <w:tcPr/>
          <w:p>
            <w:pPr>
              <w:pStyle w:val="Compact"/>
              <w:jc w:val="left"/>
            </w:pPr>
            <w:r>
              <w:t xml:space="preserve">Evidence of bonding capacity (commitment letter) for $50,000 performance bond/LOC</w:t>
            </w:r>
          </w:p>
        </w:tc>
        <w:tc>
          <w:tcPr/>
          <w:p>
            <w:pPr>
              <w:pStyle w:val="Compact"/>
              <w:jc w:val="left"/>
            </w:pPr>
            <w:r>
              <w:t xml:space="preserve">§9-5-5(B)(16); §9-5-17; Guide Item 17; Form Q26</w:t>
            </w:r>
          </w:p>
        </w:tc>
        <w:tc>
          <w:tcPr/>
          <w:p>
            <w:pPr>
              <w:pStyle w:val="Compact"/>
              <w:jc w:val="left"/>
            </w:pPr>
            <w:r>
              <w:rPr>
                <w:b/>
                <w:bCs/>
              </w:rPr>
              <w:t xml:space="preserve">Preliminary inquiry only</w:t>
            </w:r>
            <w:r>
              <w:t xml:space="preserve"> </w:t>
            </w:r>
            <w:r>
              <w:t xml:space="preserve">with Thornfield Surety Group; no formal commitment letter. Insurance Memo flags this as an open question.</w:t>
            </w:r>
          </w:p>
        </w:tc>
        <w:tc>
          <w:tcPr/>
          <w:p>
            <w:pPr>
              <w:pStyle w:val="Compact"/>
              <w:jc w:val="left"/>
            </w:pPr>
            <w:r>
              <w:t xml:space="preserve">Non-Compliant</w:t>
            </w:r>
          </w:p>
        </w:tc>
        <w:tc>
          <w:tcPr/>
          <w:p>
            <w:pPr>
              <w:pStyle w:val="Compact"/>
              <w:jc w:val="left"/>
            </w:pPr>
            <w:r>
              <w:rPr>
                <w:b/>
                <w:bCs/>
              </w:rPr>
              <w:t xml:space="preserve">[P2 — High]</w:t>
            </w:r>
            <w:r>
              <w:t xml:space="preserve"> </w:t>
            </w:r>
            <w:r>
              <w:t xml:space="preserve">Obtain a formal commitment letter (on surety/financial-institution letterhead, signed by an authorized officer, dated ≤60 days) confirming ability to provide the $50,000 bond/LOC naming the City as obligee/beneficiary.</w:t>
            </w:r>
            <w:r>
              <w:t xml:space="preserve"> </w:t>
            </w:r>
            <w:r>
              <w:rPr>
                <w:b/>
                <w:bCs/>
              </w:rPr>
              <w:t xml:space="preserve">Without it, the application forfeits the 10-point bonding-capacity sub-score</w:t>
            </w:r>
            <w:r>
              <w:t xml:space="preserve"> </w:t>
            </w:r>
            <w:r>
              <w:t xml:space="preserve">(Form §8 rubric note: 0 points if not provided). Confirm surety AM Best ≥A- (§9-5-17(B)). The bond/LOC itself is due pre-issuance.</w:t>
            </w:r>
          </w:p>
        </w:tc>
      </w:tr>
    </w:tbl>
    <w:bookmarkEnd w:id="38"/>
    <w:bookmarkStart w:id="39" w:name="b.17-social-equity"/>
    <w:p>
      <w:pPr>
        <w:pStyle w:val="Heading3"/>
      </w:pPr>
      <w:r>
        <w:t xml:space="preserve">B.17 Social Equity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R-62</w:t>
            </w:r>
          </w:p>
        </w:tc>
        <w:tc>
          <w:tcPr/>
          <w:p>
            <w:pPr>
              <w:pStyle w:val="Compact"/>
              <w:jc w:val="left"/>
            </w:pPr>
            <w:r>
              <w:t xml:space="preserve">Social-equity eligibility (R3 residency ≥24 mo. continuous; or expunged/sealed/pardoned cannabis record; or qualifying family-member offense before 6/25/2019)</w:t>
            </w:r>
          </w:p>
        </w:tc>
        <w:tc>
          <w:tcPr/>
          <w:p>
            <w:pPr>
              <w:pStyle w:val="Compact"/>
              <w:jc w:val="left"/>
            </w:pPr>
            <w:r>
              <w:t xml:space="preserve">§9-5-19(B); Guide §2; Form Q19</w:t>
            </w:r>
          </w:p>
        </w:tc>
        <w:tc>
          <w:tcPr/>
          <w:p>
            <w:pPr>
              <w:pStyle w:val="Compact"/>
              <w:jc w:val="left"/>
            </w:pPr>
            <w:r>
              <w:t xml:space="preserve">Okonkwo holds 60% (majority). Two bases asserted: (a) R3 residency in tract 8092.02 —</w:t>
            </w:r>
            <w:r>
              <w:t xml:space="preserve"> </w:t>
            </w:r>
            <w:r>
              <w:rPr>
                <w:b/>
                <w:bCs/>
              </w:rPr>
              <w:t xml:space="preserve">24-month continuous duration not documented</w:t>
            </w:r>
            <w:r>
              <w:t xml:space="preserve">; (b) 2016 expunged misdemeanor — qualifies, but Code phrasing</w:t>
            </w:r>
            <w:r>
              <w:t xml:space="preserve"> </w:t>
            </w:r>
            <w:r>
              <w:t xml:space="preserve">“</w:t>
            </w:r>
            <w:r>
              <w:t xml:space="preserve">expunged, sealed, or pardoned by the Governor of Illinois</w:t>
            </w:r>
            <w:r>
              <w:t xml:space="preserve">”</w:t>
            </w:r>
            <w:r>
              <w:t xml:space="preserve"> </w:t>
            </w:r>
            <w:r>
              <w:t xml:space="preserve">is ambiguous as to whether</w:t>
            </w:r>
            <w:r>
              <w:t xml:space="preserve"> </w:t>
            </w:r>
            <w:r>
              <w:t xml:space="preserve">“</w:t>
            </w:r>
            <w:r>
              <w:t xml:space="preserve">by the Governor</w:t>
            </w:r>
            <w:r>
              <w:t xml:space="preserve">”</w:t>
            </w:r>
            <w:r>
              <w:t xml:space="preserve"> </w:t>
            </w:r>
            <w:r>
              <w:t xml:space="preserve">modifies</w:t>
            </w:r>
            <w:r>
              <w:t xml:space="preserve"> </w:t>
            </w:r>
            <w:r>
              <w:t xml:space="preserve">“</w:t>
            </w:r>
            <w:r>
              <w:t xml:space="preserve">expunged/sealed</w:t>
            </w:r>
            <w:r>
              <w:t xml:space="preserve">”</w:t>
            </w:r>
            <w:r>
              <w:t xml:space="preserve"> </w:t>
            </w:r>
            <w:r>
              <w:t xml:space="preserve">or only</w:t>
            </w:r>
            <w:r>
              <w:t xml:space="preserve"> </w:t>
            </w:r>
            <w:r>
              <w:t xml:space="preserve">“</w:t>
            </w:r>
            <w:r>
              <w:t xml:space="preserve">pardoned.</w:t>
            </w:r>
            <w:r>
              <w:t xml:space="preserve">”</w:t>
            </w:r>
            <w:r>
              <w:t xml:space="preserve"> </w:t>
            </w:r>
            <w:r>
              <w:t xml:space="preserve">State has granted SE designation under the State’s broader standard.</w:t>
            </w:r>
          </w:p>
        </w:tc>
        <w:tc>
          <w:tcPr/>
          <w:p>
            <w:pPr>
              <w:pStyle w:val="Compact"/>
              <w:jc w:val="left"/>
            </w:pPr>
            <w:r>
              <w:t xml:space="preserve">Partial — Gap</w:t>
            </w:r>
          </w:p>
        </w:tc>
        <w:tc>
          <w:tcPr/>
          <w:p>
            <w:pPr>
              <w:pStyle w:val="Compact"/>
              <w:jc w:val="left"/>
            </w:pPr>
            <w:r>
              <w:rPr>
                <w:b/>
                <w:bCs/>
              </w:rPr>
              <w:t xml:space="preserve">[P2]</w:t>
            </w:r>
            <w:r>
              <w:t xml:space="preserve"> </w:t>
            </w:r>
            <w:r>
              <w:t xml:space="preserve">Cleanest path: document Okonkwo’s ≥24-month continuous residency in R3 tract 8092.02 under §9-5-19(B)(1). Separately, request the Coordinator’s interpretation of (B)(2) re: court expungement vs. gubernatorial action. Complete Form Q19/Q20.</w:t>
            </w:r>
          </w:p>
        </w:tc>
      </w:tr>
      <w:tr>
        <w:tc>
          <w:tcPr/>
          <w:p>
            <w:pPr>
              <w:pStyle w:val="Compact"/>
              <w:jc w:val="left"/>
            </w:pPr>
            <w:r>
              <w:t xml:space="preserve">R-63</w:t>
            </w:r>
          </w:p>
        </w:tc>
        <w:tc>
          <w:tcPr/>
          <w:p>
            <w:pPr>
              <w:pStyle w:val="Compact"/>
              <w:jc w:val="left"/>
            </w:pPr>
            <w:r>
              <w:t xml:space="preserve">R3 census-tract verification: tract number, address, duration, 2 forms of proof (≤90 days)</w:t>
            </w:r>
          </w:p>
        </w:tc>
        <w:tc>
          <w:tcPr/>
          <w:p>
            <w:pPr>
              <w:pStyle w:val="Compact"/>
              <w:jc w:val="left"/>
            </w:pPr>
            <w:r>
              <w:t xml:space="preserve">§9-5-19(B)(1),(G); Form Q20</w:t>
            </w:r>
          </w:p>
        </w:tc>
        <w:tc>
          <w:tcPr/>
          <w:p>
            <w:pPr>
              <w:pStyle w:val="Compact"/>
              <w:jc w:val="left"/>
            </w:pPr>
            <w:r>
              <w:t xml:space="preserve">Tract 8092.02 is on the City’s R3 list (§9-5-19(G)) ✓. Duration and two proofs of residency not in package.</w:t>
            </w:r>
          </w:p>
        </w:tc>
        <w:tc>
          <w:tcPr/>
          <w:p>
            <w:pPr>
              <w:pStyle w:val="Compact"/>
              <w:jc w:val="left"/>
            </w:pPr>
            <w:r>
              <w:t xml:space="preserve">Not Submitted</w:t>
            </w:r>
          </w:p>
        </w:tc>
        <w:tc>
          <w:tcPr/>
          <w:p>
            <w:pPr>
              <w:pStyle w:val="Compact"/>
              <w:jc w:val="left"/>
            </w:pPr>
            <w:r>
              <w:rPr>
                <w:b/>
                <w:bCs/>
              </w:rPr>
              <w:t xml:space="preserve">[P2]</w:t>
            </w:r>
            <w:r>
              <w:t xml:space="preserve"> </w:t>
            </w:r>
            <w:r>
              <w:t xml:space="preserve">Complete Form Q20 with ≥24-month duration and attach two proofs of residency (utility bill, bank statement, lease, tax bill, or vehicle registration, ≤90 days).</w:t>
            </w:r>
          </w:p>
        </w:tc>
      </w:tr>
      <w:tr>
        <w:tc>
          <w:tcPr/>
          <w:p>
            <w:pPr>
              <w:pStyle w:val="Compact"/>
              <w:jc w:val="left"/>
            </w:pPr>
            <w:r>
              <w:t xml:space="preserve">R-64</w:t>
            </w:r>
          </w:p>
        </w:tc>
        <w:tc>
          <w:tcPr/>
          <w:p>
            <w:pPr>
              <w:pStyle w:val="Compact"/>
              <w:jc w:val="left"/>
            </w:pPr>
            <w:r>
              <w:t xml:space="preserve">50% R3 workforce hiring commitment (binding, continuing)</w:t>
            </w:r>
          </w:p>
        </w:tc>
        <w:tc>
          <w:tcPr/>
          <w:p>
            <w:pPr>
              <w:pStyle w:val="Compact"/>
              <w:jc w:val="left"/>
            </w:pPr>
            <w:r>
              <w:t xml:space="preserve">§9-5-19(D); Form Q21(a)</w:t>
            </w:r>
          </w:p>
        </w:tc>
        <w:tc>
          <w:tcPr/>
          <w:p>
            <w:pPr>
              <w:pStyle w:val="Compact"/>
              <w:jc w:val="left"/>
            </w:pPr>
            <w:r>
              <w:t xml:space="preserve">Committed: ≥6 of 12 FTEs from R3 tracts. Partnerships not yet formalized (R-47).</w:t>
            </w:r>
          </w:p>
        </w:tc>
        <w:tc>
          <w:tcPr/>
          <w:p>
            <w:pPr>
              <w:pStyle w:val="Compact"/>
              <w:jc w:val="left"/>
            </w:pPr>
            <w:r>
              <w:t xml:space="preserve">Partial — Gap</w:t>
            </w:r>
          </w:p>
        </w:tc>
        <w:tc>
          <w:tcPr/>
          <w:p>
            <w:pPr>
              <w:pStyle w:val="Compact"/>
              <w:jc w:val="left"/>
            </w:pPr>
            <w:r>
              <w:t xml:space="preserve">Formalize workforce-development partnerships (R-47); sign Form Q21 commitment. Note Form’s workforce definition excludes principal officers/counsel (A-14) — confirm the calculation basis with the Coordinator.</w:t>
            </w:r>
          </w:p>
        </w:tc>
      </w:tr>
      <w:tr>
        <w:tc>
          <w:tcPr/>
          <w:p>
            <w:pPr>
              <w:pStyle w:val="Compact"/>
              <w:jc w:val="left"/>
            </w:pPr>
            <w:r>
              <w:t xml:space="preserve">R-65</w:t>
            </w:r>
          </w:p>
        </w:tc>
        <w:tc>
          <w:tcPr/>
          <w:p>
            <w:pPr>
              <w:pStyle w:val="Compact"/>
              <w:jc w:val="left"/>
            </w:pPr>
            <w:r>
              <w:t xml:space="preserve">2-year Cannabis Business Mentorship Program participation</w:t>
            </w:r>
          </w:p>
        </w:tc>
        <w:tc>
          <w:tcPr/>
          <w:p>
            <w:pPr>
              <w:pStyle w:val="Compact"/>
              <w:jc w:val="left"/>
            </w:pPr>
            <w:r>
              <w:t xml:space="preserve">§9-5-19(E); Form Q21(b)</w:t>
            </w:r>
          </w:p>
        </w:tc>
        <w:tc>
          <w:tcPr/>
          <w:p>
            <w:pPr>
              <w:pStyle w:val="Compact"/>
              <w:jc w:val="left"/>
            </w:pPr>
            <w:r>
              <w:t xml:space="preserve">Committed (Business Plan §7.3; Form Q21(b)).</w:t>
            </w:r>
          </w:p>
        </w:tc>
        <w:tc>
          <w:tcPr/>
          <w:p>
            <w:pPr>
              <w:pStyle w:val="Compact"/>
              <w:jc w:val="left"/>
            </w:pPr>
            <w:r>
              <w:t xml:space="preserve">Compliant</w:t>
            </w:r>
          </w:p>
        </w:tc>
        <w:tc>
          <w:tcPr/>
          <w:p>
            <w:pPr>
              <w:pStyle w:val="Compact"/>
              <w:jc w:val="left"/>
            </w:pPr>
            <w:r>
              <w:t xml:space="preserve">Sign the Form Q21 commitment; ensure participation covers quarterly meetings, annual workshop, and semi-annual progress reports (§9-5-19(E)).</w:t>
            </w:r>
          </w:p>
        </w:tc>
      </w:tr>
      <w:tr>
        <w:tc>
          <w:tcPr/>
          <w:p>
            <w:pPr>
              <w:pStyle w:val="Compact"/>
              <w:jc w:val="left"/>
            </w:pPr>
            <w:r>
              <w:t xml:space="preserve">R-66</w:t>
            </w:r>
          </w:p>
        </w:tc>
        <w:tc>
          <w:tcPr/>
          <w:p>
            <w:pPr>
              <w:pStyle w:val="Compact"/>
              <w:jc w:val="left"/>
            </w:pPr>
            <w:r>
              <w:t xml:space="preserve">Correct attribution of R3 designation</w:t>
            </w:r>
          </w:p>
        </w:tc>
        <w:tc>
          <w:tcPr/>
          <w:p>
            <w:pPr>
              <w:pStyle w:val="Compact"/>
              <w:jc w:val="left"/>
            </w:pPr>
            <w:r>
              <w:t xml:space="preserve">§9-5-19(G)</w:t>
            </w:r>
          </w:p>
        </w:tc>
        <w:tc>
          <w:tcPr/>
          <w:p>
            <w:pPr>
              <w:pStyle w:val="Compact"/>
              <w:jc w:val="left"/>
            </w:pPr>
            <w:r>
              <w:t xml:space="preserve">Business Plan §7.1 states tract 8092.02 was</w:t>
            </w:r>
            <w:r>
              <w:t xml:space="preserve"> </w:t>
            </w:r>
            <w:r>
              <w:t xml:space="preserve">“</w:t>
            </w:r>
            <w:r>
              <w:t xml:space="preserve">designated by the</w:t>
            </w:r>
            <w:r>
              <w:t xml:space="preserve"> </w:t>
            </w:r>
            <w:r>
              <w:rPr>
                <w:b/>
                <w:bCs/>
              </w:rPr>
              <w:t xml:space="preserve">State of Illinois</w:t>
            </w:r>
            <w:r>
              <w:t xml:space="preserve">”</w:t>
            </w:r>
            <w:r>
              <w:t xml:space="preserve"> </w:t>
            </w:r>
            <w:r>
              <w:t xml:space="preserve">as an R3 area. R3 areas are designated by the</w:t>
            </w:r>
            <w:r>
              <w:t xml:space="preserve"> </w:t>
            </w:r>
            <w:r>
              <w:rPr>
                <w:b/>
                <w:bCs/>
              </w:rPr>
              <w:t xml:space="preserve">Evanston City Council</w:t>
            </w:r>
            <w:r>
              <w:t xml:space="preserve"> </w:t>
            </w:r>
            <w:r>
              <w:t xml:space="preserve">(§9-5-19(G)); the State designates</w:t>
            </w:r>
            <w:r>
              <w:t xml:space="preserve"> </w:t>
            </w:r>
            <w:r>
              <w:t xml:space="preserve">“</w:t>
            </w:r>
            <w:r>
              <w:t xml:space="preserve">Disproportionately Impacted Areas</w:t>
            </w:r>
            <w:r>
              <w:t xml:space="preserve">”</w:t>
            </w:r>
            <w:r>
              <w:t xml:space="preserve"> </w:t>
            </w:r>
            <w:r>
              <w:t xml:space="preserve">(a different program).</w:t>
            </w:r>
          </w:p>
        </w:tc>
        <w:tc>
          <w:tcPr/>
          <w:p>
            <w:pPr>
              <w:pStyle w:val="Compact"/>
              <w:jc w:val="left"/>
            </w:pPr>
            <w:r>
              <w:t xml:space="preserve">Discrepancy</w:t>
            </w:r>
          </w:p>
        </w:tc>
        <w:tc>
          <w:tcPr/>
          <w:p>
            <w:pPr>
              <w:pStyle w:val="Compact"/>
              <w:jc w:val="left"/>
            </w:pPr>
            <w:r>
              <w:rPr>
                <w:b/>
                <w:bCs/>
              </w:rPr>
              <w:t xml:space="preserve">[P4]</w:t>
            </w:r>
            <w:r>
              <w:t xml:space="preserve"> </w:t>
            </w:r>
            <w:r>
              <w:t xml:space="preserve">Correct the attribution: R3 areas are City-Council-designated; State DIAs are separate. Tract 8092.02 is validly on the City’s R3 list.</w:t>
            </w:r>
          </w:p>
        </w:tc>
      </w:tr>
    </w:tbl>
    <w:bookmarkEnd w:id="39"/>
    <w:bookmarkStart w:id="40" w:name="b.18-agent-in-charge"/>
    <w:p>
      <w:pPr>
        <w:pStyle w:val="Heading3"/>
      </w:pPr>
      <w:r>
        <w:t xml:space="preserve">B.18 Agent-in-Charge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R-67</w:t>
            </w:r>
          </w:p>
        </w:tc>
        <w:tc>
          <w:tcPr/>
          <w:p>
            <w:pPr>
              <w:pStyle w:val="Compact"/>
              <w:jc w:val="left"/>
            </w:pPr>
            <w:r>
              <w:t xml:space="preserve">Agent-in-Charge designation; holds/applied for IL Agent ID Card; accepts compliance responsibility</w:t>
            </w:r>
          </w:p>
        </w:tc>
        <w:tc>
          <w:tcPr/>
          <w:p>
            <w:pPr>
              <w:pStyle w:val="Compact"/>
              <w:jc w:val="left"/>
            </w:pPr>
            <w:r>
              <w:t xml:space="preserve">§9-5-13(I); Guide Item 19; Form Q13</w:t>
            </w:r>
          </w:p>
        </w:tc>
        <w:tc>
          <w:tcPr/>
          <w:p>
            <w:pPr>
              <w:pStyle w:val="Compact"/>
              <w:jc w:val="left"/>
            </w:pPr>
            <w:r>
              <w:t xml:space="preserve">Okonkwo designated (State License confirms</w:t>
            </w:r>
            <w:r>
              <w:t xml:space="preserve"> </w:t>
            </w:r>
            <w:r>
              <w:t xml:space="preserve">“</w:t>
            </w:r>
            <w:r>
              <w:t xml:space="preserve">Designated Agent-in-Charge</w:t>
            </w:r>
            <w:r>
              <w:t xml:space="preserve">”</w:t>
            </w:r>
            <w:r>
              <w:t xml:space="preserve">).</w:t>
            </w:r>
            <w:r>
              <w:t xml:space="preserve"> </w:t>
            </w:r>
            <w:r>
              <w:rPr>
                <w:b/>
                <w:bCs/>
              </w:rPr>
              <w:t xml:space="preserve">Agent ID Card number/status not confirmed</w:t>
            </w:r>
            <w:r>
              <w:t xml:space="preserve"> </w:t>
            </w:r>
            <w:r>
              <w:t xml:space="preserve">in package.</w:t>
            </w:r>
          </w:p>
        </w:tc>
        <w:tc>
          <w:tcPr/>
          <w:p>
            <w:pPr>
              <w:pStyle w:val="Compact"/>
              <w:jc w:val="left"/>
            </w:pPr>
            <w:r>
              <w:t xml:space="preserve">Partial — Gap</w:t>
            </w:r>
          </w:p>
        </w:tc>
        <w:tc>
          <w:tcPr/>
          <w:p>
            <w:pPr>
              <w:pStyle w:val="Compact"/>
              <w:jc w:val="left"/>
            </w:pPr>
            <w:r>
              <w:rPr>
                <w:b/>
                <w:bCs/>
              </w:rPr>
              <w:t xml:space="preserve">[P2]</w:t>
            </w:r>
            <w:r>
              <w:t xml:space="preserve"> </w:t>
            </w:r>
            <w:r>
              <w:t xml:space="preserve">Complete Form Q13 with Okonkwo’s Agent ID Card number (or</w:t>
            </w:r>
            <w:r>
              <w:t xml:space="preserve"> </w:t>
            </w:r>
            <w:r>
              <w:t xml:space="preserve">“</w:t>
            </w:r>
            <w:r>
              <w:t xml:space="preserve">Application Pending</w:t>
            </w:r>
            <w:r>
              <w:t xml:space="preserve">”</w:t>
            </w:r>
            <w:r>
              <w:t xml:space="preserve">) and the signed compliance-responsibility statement. Form’s 30-mile residency rule (A-10) is satisfied (Evanston).</w:t>
            </w:r>
          </w:p>
        </w:tc>
      </w:tr>
    </w:tbl>
    <w:bookmarkEnd w:id="40"/>
    <w:bookmarkStart w:id="41" w:name="b.19-operations"/>
    <w:p>
      <w:pPr>
        <w:pStyle w:val="Heading3"/>
      </w:pPr>
      <w:r>
        <w:t xml:space="preserve">B.19 Operations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Submission Status / Evidence</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R-68</w:t>
            </w:r>
          </w:p>
        </w:tc>
        <w:tc>
          <w:tcPr/>
          <w:p>
            <w:pPr>
              <w:pStyle w:val="Compact"/>
              <w:jc w:val="left"/>
            </w:pPr>
            <w:r>
              <w:t xml:space="preserve">Operating hours 6:00 AM–10:00 PM daily</w:t>
            </w:r>
          </w:p>
        </w:tc>
        <w:tc>
          <w:tcPr/>
          <w:p>
            <w:pPr>
              <w:pStyle w:val="Compact"/>
              <w:jc w:val="left"/>
            </w:pPr>
            <w:r>
              <w:t xml:space="preserve">§9-5-13(F); Form Q11</w:t>
            </w:r>
          </w:p>
        </w:tc>
        <w:tc>
          <w:tcPr/>
          <w:p>
            <w:pPr>
              <w:pStyle w:val="Compact"/>
              <w:jc w:val="left"/>
            </w:pPr>
            <w:r>
              <w:t xml:space="preserve">Business Plan confirms 6:00 AM–10:00 PM daily.</w:t>
            </w:r>
          </w:p>
        </w:tc>
        <w:tc>
          <w:tcPr/>
          <w:p>
            <w:pPr>
              <w:pStyle w:val="Compact"/>
              <w:jc w:val="left"/>
            </w:pPr>
            <w:r>
              <w:t xml:space="preserve">Compliant</w:t>
            </w:r>
          </w:p>
        </w:tc>
        <w:tc>
          <w:tcPr/>
          <w:p>
            <w:pPr>
              <w:pStyle w:val="Compact"/>
              <w:jc w:val="left"/>
            </w:pPr>
            <w:r>
              <w:t xml:space="preserve">Complete Form Q11. Note Form cites the wrong section (§9-5-17; should be §9-5-13(F)) — A-12.</w:t>
            </w:r>
          </w:p>
        </w:tc>
      </w:tr>
      <w:tr>
        <w:tc>
          <w:tcPr/>
          <w:p>
            <w:pPr>
              <w:pStyle w:val="Compact"/>
              <w:jc w:val="left"/>
            </w:pPr>
            <w:r>
              <w:t xml:space="preserve">R-69</w:t>
            </w:r>
          </w:p>
        </w:tc>
        <w:tc>
          <w:tcPr/>
          <w:p>
            <w:pPr>
              <w:pStyle w:val="Compact"/>
              <w:jc w:val="left"/>
            </w:pPr>
            <w:r>
              <w:t xml:space="preserve">Maximum customer occupancy (1 per 40 sq. ft. retail floor area)</w:t>
            </w:r>
          </w:p>
        </w:tc>
        <w:tc>
          <w:tcPr/>
          <w:p>
            <w:pPr>
              <w:pStyle w:val="Compact"/>
              <w:jc w:val="left"/>
            </w:pPr>
            <w:r>
              <w:t xml:space="preserve">§9-5-13(J); Form Q12</w:t>
            </w:r>
          </w:p>
        </w:tc>
        <w:tc>
          <w:tcPr/>
          <w:p>
            <w:pPr>
              <w:pStyle w:val="Compact"/>
              <w:jc w:val="left"/>
            </w:pPr>
            <w:r>
              <w:t xml:space="preserve">Business Plan correctly calculates 40 (1,600 ÷ 40). Form’s formula (total ÷ 40 = 80) is erroneous (A-6).</w:t>
            </w:r>
          </w:p>
        </w:tc>
        <w:tc>
          <w:tcPr/>
          <w:p>
            <w:pPr>
              <w:pStyle w:val="Compact"/>
              <w:jc w:val="left"/>
            </w:pPr>
            <w:r>
              <w:t xml:space="preserve">Compliant</w:t>
            </w:r>
          </w:p>
        </w:tc>
        <w:tc>
          <w:tcPr/>
          <w:p>
            <w:pPr>
              <w:pStyle w:val="Compact"/>
              <w:jc w:val="left"/>
            </w:pPr>
            <w:r>
              <w:t xml:space="preserve">Use the Code-correct figure (40) on Form Q12; post the limit conspicuously at the retail-floor entrance.</w:t>
            </w:r>
          </w:p>
        </w:tc>
      </w:tr>
      <w:tr>
        <w:tc>
          <w:tcPr/>
          <w:p>
            <w:pPr>
              <w:pStyle w:val="Compact"/>
              <w:jc w:val="left"/>
            </w:pPr>
            <w:r>
              <w:t xml:space="preserve">R-70</w:t>
            </w:r>
          </w:p>
        </w:tc>
        <w:tc>
          <w:tcPr/>
          <w:p>
            <w:pPr>
              <w:pStyle w:val="Compact"/>
              <w:jc w:val="left"/>
            </w:pPr>
            <w:r>
              <w:t xml:space="preserve">Seed-to-sale tracking integrated with COMPASS; real-time; daily reconciliation</w:t>
            </w:r>
          </w:p>
        </w:tc>
        <w:tc>
          <w:tcPr/>
          <w:p>
            <w:pPr>
              <w:pStyle w:val="Compact"/>
              <w:jc w:val="left"/>
            </w:pPr>
            <w:r>
              <w:t xml:space="preserve">§9-5-13(D); Form Q14</w:t>
            </w:r>
          </w:p>
        </w:tc>
        <w:tc>
          <w:tcPr/>
          <w:p>
            <w:pPr>
              <w:pStyle w:val="Compact"/>
              <w:jc w:val="left"/>
            </w:pPr>
            <w:r>
              <w:t xml:space="preserve">COMPASS integration described; daily/weekly/monthly reconciliation protocols described. Vendor confirmation letter gap (R-34).</w:t>
            </w:r>
          </w:p>
        </w:tc>
        <w:tc>
          <w:tcPr/>
          <w:p>
            <w:pPr>
              <w:pStyle w:val="Compact"/>
              <w:jc w:val="left"/>
            </w:pPr>
            <w:r>
              <w:t xml:space="preserve">Partial — Gap</w:t>
            </w:r>
          </w:p>
        </w:tc>
        <w:tc>
          <w:tcPr/>
          <w:p>
            <w:pPr>
              <w:pStyle w:val="Compact"/>
              <w:jc w:val="left"/>
            </w:pPr>
            <w:r>
              <w:t xml:space="preserve">Cure R-34 (vendor letter). Confirm real-time recording and daily physical reconciliation in the finalized plan.</w:t>
            </w:r>
          </w:p>
        </w:tc>
      </w:tr>
    </w:tbl>
    <w:p>
      <w:r>
        <w:pict>
          <v:rect style="width:0;height:1.5pt" o:hralign="center" o:hrstd="t" o:hr="t"/>
        </w:pict>
      </w:r>
    </w:p>
    <w:bookmarkEnd w:id="41"/>
    <w:bookmarkEnd w:id="42"/>
    <w:bookmarkStart w:id="43" w:name="part-c-internal-package-inconsistencies"/>
    <w:p>
      <w:pPr>
        <w:pStyle w:val="Heading2"/>
      </w:pPr>
      <w:r>
        <w:t xml:space="preserve">5. Part C — Internal Package Inconsistencies</w:t>
      </w:r>
    </w:p>
    <w:p>
      <w:pPr>
        <w:pStyle w:val="FirstParagraph"/>
      </w:pPr>
      <w:r>
        <w:t xml:space="preserve">These accuracy items should be reconciled before submission (§9-5-5(C); material misrepresentation is a revocation ground under §9-5-25(D)(6)).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Conflict</w:t>
            </w:r>
          </w:p>
        </w:tc>
        <w:tc>
          <w:tcPr/>
          <w:p>
            <w:pPr>
              <w:pStyle w:val="Compact"/>
              <w:jc w:val="left"/>
            </w:pPr>
            <w:r>
              <w:t xml:space="preserve">Recommendation</w:t>
            </w:r>
          </w:p>
        </w:tc>
      </w:tr>
      <w:tr>
        <w:tc>
          <w:tcPr/>
          <w:p>
            <w:pPr>
              <w:pStyle w:val="Compact"/>
              <w:jc w:val="left"/>
            </w:pPr>
            <w:r>
              <w:t xml:space="preserve">C-1</w:t>
            </w:r>
          </w:p>
        </w:tc>
        <w:tc>
          <w:tcPr/>
          <w:p>
            <w:pPr>
              <w:pStyle w:val="Compact"/>
              <w:jc w:val="left"/>
            </w:pPr>
            <w:r>
              <w:t xml:space="preserve">Registered agent name</w:t>
            </w:r>
          </w:p>
        </w:tc>
        <w:tc>
          <w:tcPr/>
          <w:p>
            <w:pPr>
              <w:pStyle w:val="Compact"/>
              <w:jc w:val="left"/>
            </w:pPr>
            <w:r>
              <w:t xml:space="preserve">State License:</w:t>
            </w:r>
            <w:r>
              <w:t xml:space="preserve"> </w:t>
            </w:r>
            <w:r>
              <w:t xml:space="preserve">“</w:t>
            </w:r>
            <w:r>
              <w:t xml:space="preserve">Keystone Statutory Services</w:t>
            </w:r>
            <w:r>
              <w:t xml:space="preserve">”</w:t>
            </w:r>
            <w:r>
              <w:t xml:space="preserve">; Business Plan &amp; Lease:</w:t>
            </w:r>
            <w:r>
              <w:t xml:space="preserve"> </w:t>
            </w:r>
            <w:r>
              <w:t xml:space="preserve">“</w:t>
            </w:r>
            <w:r>
              <w:t xml:space="preserve">Northwest Statutory Services</w:t>
            </w:r>
            <w:r>
              <w:t xml:space="preserve">”</w:t>
            </w:r>
            <w:r>
              <w:t xml:space="preserve"> </w:t>
            </w:r>
            <w:r>
              <w:t xml:space="preserve">(same address).</w:t>
            </w:r>
          </w:p>
        </w:tc>
        <w:tc>
          <w:tcPr/>
          <w:p>
            <w:pPr>
              <w:pStyle w:val="Compact"/>
              <w:jc w:val="left"/>
            </w:pPr>
            <w:r>
              <w:t xml:space="preserve">Verify the correct registered agent with the IL SOS and correct all documents.</w:t>
            </w:r>
          </w:p>
        </w:tc>
      </w:tr>
      <w:tr>
        <w:tc>
          <w:tcPr/>
          <w:p>
            <w:pPr>
              <w:pStyle w:val="Compact"/>
              <w:jc w:val="left"/>
            </w:pPr>
            <w:r>
              <w:t xml:space="preserve">C-2</w:t>
            </w:r>
          </w:p>
        </w:tc>
        <w:tc>
          <w:tcPr/>
          <w:p>
            <w:pPr>
              <w:pStyle w:val="Compact"/>
              <w:jc w:val="left"/>
            </w:pPr>
            <w:r>
              <w:t xml:space="preserve">Parking spaces</w:t>
            </w:r>
          </w:p>
        </w:tc>
        <w:tc>
          <w:tcPr/>
          <w:p>
            <w:pPr>
              <w:pStyle w:val="Compact"/>
              <w:jc w:val="left"/>
            </w:pPr>
            <w:r>
              <w:t xml:space="preserve">Lease §2/Ex. B: 8 designated spaces; Community Engagement Report (Session 1):</w:t>
            </w:r>
            <w:r>
              <w:t xml:space="preserve"> </w:t>
            </w:r>
            <w:r>
              <w:t xml:space="preserve">“</w:t>
            </w:r>
            <w:r>
              <w:t xml:space="preserve">twelve (12) dedicated parking spaces.</w:t>
            </w:r>
            <w:r>
              <w:t xml:space="preserve">”</w:t>
            </w:r>
          </w:p>
        </w:tc>
        <w:tc>
          <w:tcPr/>
          <w:p>
            <w:pPr>
              <w:pStyle w:val="Compact"/>
              <w:jc w:val="left"/>
            </w:pPr>
            <w:r>
              <w:t xml:space="preserve">Reconcile to the Lease figure (8) and correct the community-engagement narrative.</w:t>
            </w:r>
          </w:p>
        </w:tc>
      </w:tr>
      <w:tr>
        <w:tc>
          <w:tcPr/>
          <w:p>
            <w:pPr>
              <w:pStyle w:val="Compact"/>
              <w:jc w:val="left"/>
            </w:pPr>
            <w:r>
              <w:t xml:space="preserve">C-3</w:t>
            </w:r>
          </w:p>
        </w:tc>
        <w:tc>
          <w:tcPr/>
          <w:p>
            <w:pPr>
              <w:pStyle w:val="Compact"/>
              <w:jc w:val="left"/>
            </w:pPr>
            <w:r>
              <w:t xml:space="preserve">Applicant contact phone</w:t>
            </w:r>
          </w:p>
        </w:tc>
        <w:tc>
          <w:tcPr/>
          <w:p>
            <w:pPr>
              <w:pStyle w:val="Compact"/>
              <w:jc w:val="left"/>
            </w:pPr>
            <w:r>
              <w:t xml:space="preserve">Business Plan: (872) 555-0193; Insurance Memo: (847) 555-0193.</w:t>
            </w:r>
          </w:p>
        </w:tc>
        <w:tc>
          <w:tcPr/>
          <w:p>
            <w:pPr>
              <w:pStyle w:val="Compact"/>
              <w:jc w:val="left"/>
            </w:pPr>
            <w:r>
              <w:t xml:space="preserve">Use one consistent number on the Form and all exhibits.</w:t>
            </w:r>
          </w:p>
        </w:tc>
      </w:tr>
      <w:tr>
        <w:tc>
          <w:tcPr/>
          <w:p>
            <w:pPr>
              <w:pStyle w:val="Compact"/>
              <w:jc w:val="left"/>
            </w:pPr>
            <w:r>
              <w:t xml:space="preserve">C-4</w:t>
            </w:r>
          </w:p>
        </w:tc>
        <w:tc>
          <w:tcPr/>
          <w:p>
            <w:pPr>
              <w:pStyle w:val="Compact"/>
              <w:jc w:val="left"/>
            </w:pPr>
            <w:r>
              <w:t xml:space="preserve">Applicant contact email</w:t>
            </w:r>
          </w:p>
        </w:tc>
        <w:tc>
          <w:tcPr/>
          <w:p>
            <w:pPr>
              <w:pStyle w:val="Compact"/>
              <w:jc w:val="left"/>
            </w:pPr>
            <w:r>
              <w:t xml:space="preserve">Business Plan/Engagement Report: greenleaftherapeuticsllc.com (and info@…); Insurance Memo: greenleaftherapeutics.com (no</w:t>
            </w:r>
            <w:r>
              <w:t xml:space="preserve"> </w:t>
            </w:r>
            <w:r>
              <w:t xml:space="preserve">“</w:t>
            </w:r>
            <w:r>
              <w:t xml:space="preserve">llc</w:t>
            </w:r>
            <w:r>
              <w:t xml:space="preserve">”</w:t>
            </w:r>
            <w:r>
              <w:t xml:space="preserve">).</w:t>
            </w:r>
          </w:p>
        </w:tc>
        <w:tc>
          <w:tcPr/>
          <w:p>
            <w:pPr>
              <w:pStyle w:val="Compact"/>
              <w:jc w:val="left"/>
            </w:pPr>
            <w:r>
              <w:t xml:space="preserve">Standardize one domain across all documents.</w:t>
            </w:r>
          </w:p>
        </w:tc>
      </w:tr>
      <w:tr>
        <w:tc>
          <w:tcPr/>
          <w:p>
            <w:pPr>
              <w:pStyle w:val="Compact"/>
              <w:jc w:val="left"/>
            </w:pPr>
            <w:r>
              <w:t xml:space="preserve">C-5</w:t>
            </w:r>
          </w:p>
        </w:tc>
        <w:tc>
          <w:tcPr/>
          <w:p>
            <w:pPr>
              <w:pStyle w:val="Compact"/>
              <w:jc w:val="left"/>
            </w:pPr>
            <w:r>
              <w:t xml:space="preserve">R3 designation attribution</w:t>
            </w:r>
          </w:p>
        </w:tc>
        <w:tc>
          <w:tcPr/>
          <w:p>
            <w:pPr>
              <w:pStyle w:val="Compact"/>
              <w:jc w:val="left"/>
            </w:pPr>
            <w:r>
              <w:t xml:space="preserve">Business Plan attributes R3 designation to the</w:t>
            </w:r>
            <w:r>
              <w:t xml:space="preserve"> </w:t>
            </w:r>
            <w:r>
              <w:t xml:space="preserve">“</w:t>
            </w:r>
            <w:r>
              <w:t xml:space="preserve">State of Illinois</w:t>
            </w:r>
            <w:r>
              <w:t xml:space="preserve">”</w:t>
            </w:r>
            <w:r>
              <w:t xml:space="preserve">; Code §9-5-19(G) attributes it to the City Council.</w:t>
            </w:r>
          </w:p>
        </w:tc>
        <w:tc>
          <w:tcPr/>
          <w:p>
            <w:pPr>
              <w:pStyle w:val="Compact"/>
              <w:jc w:val="left"/>
            </w:pPr>
            <w:r>
              <w:t xml:space="preserve">Correct to</w:t>
            </w:r>
            <w:r>
              <w:t xml:space="preserve"> </w:t>
            </w:r>
            <w:r>
              <w:t xml:space="preserve">“</w:t>
            </w:r>
            <w:r>
              <w:t xml:space="preserve">City of Evanston City Council.</w:t>
            </w:r>
            <w:r>
              <w:t xml:space="preserve">”</w:t>
            </w:r>
            <w:r>
              <w:t xml:space="preserve"> </w:t>
            </w:r>
            <w:r>
              <w:t xml:space="preserve">(See R-66.)</w:t>
            </w:r>
          </w:p>
        </w:tc>
      </w:tr>
      <w:tr>
        <w:tc>
          <w:tcPr/>
          <w:p>
            <w:pPr>
              <w:pStyle w:val="Compact"/>
              <w:jc w:val="left"/>
            </w:pPr>
            <w:r>
              <w:t xml:space="preserve">C-6</w:t>
            </w:r>
          </w:p>
        </w:tc>
        <w:tc>
          <w:tcPr/>
          <w:p>
            <w:pPr>
              <w:pStyle w:val="Compact"/>
              <w:jc w:val="left"/>
            </w:pPr>
            <w:r>
              <w:t xml:space="preserve">Coordinator contact (City)</w:t>
            </w:r>
          </w:p>
        </w:tc>
        <w:tc>
          <w:tcPr/>
          <w:p>
            <w:pPr>
              <w:pStyle w:val="Compact"/>
              <w:jc w:val="left"/>
            </w:pPr>
            <w:r>
              <w:t xml:space="preserve">Guide phone (847) 448-4311 vs. Form (847) 448-8163; Guide email unhyphenated vs. Form hyphenated.</w:t>
            </w:r>
          </w:p>
        </w:tc>
        <w:tc>
          <w:tcPr/>
          <w:p>
            <w:pPr>
              <w:pStyle w:val="Compact"/>
              <w:jc w:val="left"/>
            </w:pPr>
            <w:r>
              <w:t xml:space="preserve">City-side inconsistency; confirm the correct contact with the Department of Community Development.</w:t>
            </w:r>
          </w:p>
        </w:tc>
      </w:tr>
    </w:tbl>
    <w:p>
      <w:r>
        <w:pict>
          <v:rect style="width:0;height:1.5pt" o:hralign="center" o:hrstd="t" o:hr="t"/>
        </w:pict>
      </w:r>
    </w:p>
    <w:bookmarkEnd w:id="43"/>
    <w:bookmarkStart w:id="47" w:name="Xf6dd8b6ff3c837d9afa47e708466c3ea238a1ff"/>
    <w:p>
      <w:pPr>
        <w:pStyle w:val="Heading2"/>
      </w:pPr>
      <w:r>
        <w:t xml:space="preserve">6. Part D — Critical Deficiencies &amp; Priority Remediation Plan</w:t>
      </w:r>
    </w:p>
    <w:bookmarkStart w:id="44" w:name="X411df28df80224c9ae0a790c4317c7f536ef40c"/>
    <w:p>
      <w:pPr>
        <w:pStyle w:val="Heading3"/>
      </w:pPr>
      <w:r>
        <w:t xml:space="preserve">D.1 Blocking items (P1) — cure before submission or the application will be deemed incomplete / will not proceed to scoring</w:t>
      </w:r>
    </w:p>
    <w:p>
      <w:pPr>
        <w:pStyle w:val="Compact"/>
        <w:numPr>
          <w:ilvl w:val="0"/>
          <w:numId w:val="1002"/>
        </w:numPr>
      </w:pPr>
      <w:r>
        <w:rPr>
          <w:b/>
          <w:bCs/>
        </w:rPr>
        <w:t xml:space="preserve">Complete and execute the Application Form (R-01).</w:t>
      </w:r>
      <w:r>
        <w:t xml:space="preserve"> </w:t>
      </w:r>
      <w:r>
        <w:t xml:space="preserve">All fields, signature, and notarization are currently blank.</w:t>
      </w:r>
    </w:p>
    <w:p>
      <w:pPr>
        <w:pStyle w:val="Compact"/>
        <w:numPr>
          <w:ilvl w:val="0"/>
          <w:numId w:val="1002"/>
        </w:numPr>
      </w:pPr>
      <w:r>
        <w:rPr>
          <w:b/>
          <w:bCs/>
        </w:rPr>
        <w:t xml:space="preserve">Pay the $5,000 application fee (R-02)</w:t>
      </w:r>
      <w:r>
        <w:t xml:space="preserve"> </w:t>
      </w:r>
      <w:r>
        <w:t xml:space="preserve">by certified check or EFT (Code method).</w:t>
      </w:r>
    </w:p>
    <w:p>
      <w:pPr>
        <w:pStyle w:val="Compact"/>
        <w:numPr>
          <w:ilvl w:val="0"/>
          <w:numId w:val="1002"/>
        </w:numPr>
      </w:pPr>
      <w:r>
        <w:rPr>
          <w:b/>
          <w:bCs/>
        </w:rPr>
        <w:t xml:space="preserve">Obtain the Illinois PE certification for the Odor Mitigation Plan (R-43).</w:t>
      </w:r>
      <w:r>
        <w:t xml:space="preserve"> </w:t>
      </w:r>
      <w:r>
        <w:t xml:space="preserve">The Form states the application will not proceed to scoring without it; finalize HVAC specs and air-exchange rates.</w:t>
      </w:r>
    </w:p>
    <w:p>
      <w:pPr>
        <w:pStyle w:val="Compact"/>
        <w:numPr>
          <w:ilvl w:val="0"/>
          <w:numId w:val="1002"/>
        </w:numPr>
      </w:pPr>
      <w:r>
        <w:rPr>
          <w:b/>
          <w:bCs/>
        </w:rPr>
        <w:t xml:space="preserve">Finalize the Security Plan (R-35, R-41).</w:t>
      </w:r>
      <w:r>
        <w:t xml:space="preserve"> </w:t>
      </w:r>
      <w:r>
        <w:t xml:space="preserve">Currently unfinished; its completion also unblocks cannabis crime/theft insurance underwriting.</w:t>
      </w:r>
    </w:p>
    <w:p>
      <w:pPr>
        <w:pStyle w:val="Compact"/>
        <w:numPr>
          <w:ilvl w:val="0"/>
          <w:numId w:val="1002"/>
        </w:numPr>
      </w:pPr>
      <w:r>
        <w:rPr>
          <w:b/>
          <w:bCs/>
        </w:rPr>
        <w:t xml:space="preserve">Remedy the Session 2 notice deficiency (R-49).</w:t>
      </w:r>
      <w:r>
        <w:t xml:space="preserve"> </w:t>
      </w:r>
      <w:r>
        <w:t xml:space="preserve">Only 12 days’ notice was given (14 required). Hold an additional community engagement session with compliant ≥14-day newspaper and City-website notice. No waiver of the two-session minimum is available (§9-5-8(F)).</w:t>
      </w:r>
    </w:p>
    <w:p>
      <w:pPr>
        <w:pStyle w:val="Compact"/>
        <w:numPr>
          <w:ilvl w:val="0"/>
          <w:numId w:val="1002"/>
        </w:numPr>
      </w:pPr>
      <w:r>
        <w:rPr>
          <w:b/>
          <w:bCs/>
        </w:rPr>
        <w:t xml:space="preserve">Obtain a binder or commitment letter for Cannabis Crime/Theft insurance (R-57).</w:t>
      </w:r>
      <w:r>
        <w:t xml:space="preserve"> </w:t>
      </w:r>
      <w:r>
        <w:t xml:space="preserve">No evidence of ability to obtain the required $500,000 coverage exists yet.</w:t>
      </w:r>
    </w:p>
    <w:bookmarkEnd w:id="44"/>
    <w:bookmarkStart w:id="45" w:name="X5c85cb9250bea1f5e825f8f9ea69ab3d432f00d"/>
    <w:p>
      <w:pPr>
        <w:pStyle w:val="Heading3"/>
      </w:pPr>
      <w:r>
        <w:t xml:space="preserve">D.2 High-priority items (P2) — materially weaken the application or forfeit scoring points</w:t>
      </w:r>
    </w:p>
    <w:p>
      <w:pPr>
        <w:pStyle w:val="Compact"/>
        <w:numPr>
          <w:ilvl w:val="0"/>
          <w:numId w:val="1003"/>
        </w:numPr>
      </w:pPr>
      <w:r>
        <w:rPr>
          <w:b/>
          <w:bCs/>
        </w:rPr>
        <w:t xml:space="preserve">Obtain a bonding commitment letter (R-61).</w:t>
      </w:r>
      <w:r>
        <w:t xml:space="preserve"> </w:t>
      </w:r>
      <w:r>
        <w:t xml:space="preserve">Without it, Greenleaf forfeits the 10-point Financial Viability bonding-capacity sub-score and does not meet Guide Item 17 expectations.</w:t>
      </w:r>
    </w:p>
    <w:p>
      <w:pPr>
        <w:pStyle w:val="Compact"/>
        <w:numPr>
          <w:ilvl w:val="0"/>
          <w:numId w:val="1003"/>
        </w:numPr>
      </w:pPr>
      <w:r>
        <w:rPr>
          <w:b/>
          <w:bCs/>
        </w:rPr>
        <w:t xml:space="preserve">File the special-use permit application (R-20)</w:t>
      </w:r>
      <w:r>
        <w:t xml:space="preserve"> </w:t>
      </w:r>
      <w:r>
        <w:t xml:space="preserve">and submit evidence of filing; the C1a site requires ZBA special-use approval before the permit can issue.</w:t>
      </w:r>
    </w:p>
    <w:p>
      <w:pPr>
        <w:pStyle w:val="Compact"/>
        <w:numPr>
          <w:ilvl w:val="0"/>
          <w:numId w:val="1003"/>
        </w:numPr>
      </w:pPr>
      <w:r>
        <w:rPr>
          <w:b/>
          <w:bCs/>
        </w:rPr>
        <w:t xml:space="preserve">Document ≥24-month continuous R3 residency (R-62, R-63)</w:t>
      </w:r>
      <w:r>
        <w:t xml:space="preserve"> </w:t>
      </w:r>
      <w:r>
        <w:t xml:space="preserve">with two proofs of residency, and resolve the §9-5-19(B)(2) interpretive question with the Coordinator.</w:t>
      </w:r>
    </w:p>
    <w:p>
      <w:pPr>
        <w:pStyle w:val="Compact"/>
        <w:numPr>
          <w:ilvl w:val="0"/>
          <w:numId w:val="1003"/>
        </w:numPr>
      </w:pPr>
      <w:r>
        <w:rPr>
          <w:b/>
          <w:bCs/>
        </w:rPr>
        <w:t xml:space="preserve">Provide the architect/engineer-certified site plan and floor plan (R-22)</w:t>
      </w:r>
      <w:r>
        <w:t xml:space="preserve"> </w:t>
      </w:r>
      <w:r>
        <w:t xml:space="preserve">with all required elements.</w:t>
      </w:r>
    </w:p>
    <w:p>
      <w:pPr>
        <w:pStyle w:val="Compact"/>
        <w:numPr>
          <w:ilvl w:val="0"/>
          <w:numId w:val="1003"/>
        </w:numPr>
      </w:pPr>
      <w:r>
        <w:rPr>
          <w:b/>
          <w:bCs/>
        </w:rPr>
        <w:t xml:space="preserve">Reconcile buffer measurement methodology (R-27)</w:t>
      </w:r>
      <w:r>
        <w:t xml:space="preserve"> </w:t>
      </w:r>
      <w:r>
        <w:t xml:space="preserve">— submit pedestrian-route distances on the Form in addition to the straight-line survey.</w:t>
      </w:r>
    </w:p>
    <w:p>
      <w:pPr>
        <w:pStyle w:val="Compact"/>
        <w:numPr>
          <w:ilvl w:val="0"/>
          <w:numId w:val="1003"/>
        </w:numPr>
      </w:pPr>
      <w:r>
        <w:rPr>
          <w:b/>
          <w:bCs/>
        </w:rPr>
        <w:t xml:space="preserve">Obtain the Certificate of Good Standing (R-07)</w:t>
      </w:r>
      <w:r>
        <w:t xml:space="preserve"> </w:t>
      </w:r>
      <w:r>
        <w:t xml:space="preserve">and EIN verification letter (R-08).</w:t>
      </w:r>
    </w:p>
    <w:p>
      <w:pPr>
        <w:pStyle w:val="Compact"/>
        <w:numPr>
          <w:ilvl w:val="0"/>
          <w:numId w:val="1003"/>
        </w:numPr>
      </w:pPr>
      <w:r>
        <w:rPr>
          <w:b/>
          <w:bCs/>
        </w:rPr>
        <w:t xml:space="preserve">Complete City background-check authorizations and fingerprint receipts (R-12)</w:t>
      </w:r>
      <w:r>
        <w:t xml:space="preserve"> </w:t>
      </w:r>
      <w:r>
        <w:t xml:space="preserve">and principal-officer disclosures (R-11, R-14).</w:t>
      </w:r>
    </w:p>
    <w:p>
      <w:pPr>
        <w:pStyle w:val="Compact"/>
        <w:numPr>
          <w:ilvl w:val="0"/>
          <w:numId w:val="1003"/>
        </w:numPr>
      </w:pPr>
      <w:r>
        <w:rPr>
          <w:b/>
          <w:bCs/>
        </w:rPr>
        <w:t xml:space="preserve">Confirm Employer’s Liability at ≥$1M/accident (R-56)</w:t>
      </w:r>
      <w:r>
        <w:t xml:space="preserve"> </w:t>
      </w:r>
      <w:r>
        <w:t xml:space="preserve">and document AM Best ratings (R-59).</w:t>
      </w:r>
    </w:p>
    <w:p>
      <w:pPr>
        <w:pStyle w:val="Compact"/>
        <w:numPr>
          <w:ilvl w:val="0"/>
          <w:numId w:val="1003"/>
        </w:numPr>
      </w:pPr>
      <w:r>
        <w:rPr>
          <w:b/>
          <w:bCs/>
        </w:rPr>
        <w:t xml:space="preserve">Prepare the standalone Diversity &amp; Inclusion Plan (R-46, R-47)</w:t>
      </w:r>
      <w:r>
        <w:t xml:space="preserve"> </w:t>
      </w:r>
      <w:r>
        <w:t xml:space="preserve">and Environmental Sustainability Plan (R-44) as separate exhibits.</w:t>
      </w:r>
    </w:p>
    <w:p>
      <w:pPr>
        <w:pStyle w:val="Compact"/>
        <w:numPr>
          <w:ilvl w:val="0"/>
          <w:numId w:val="1003"/>
        </w:numPr>
      </w:pPr>
      <w:r>
        <w:rPr>
          <w:b/>
          <w:bCs/>
        </w:rPr>
        <w:t xml:space="preserve">Obtain the seed-to-sale vendor confirmation letter (R-34, R-70).</w:t>
      </w:r>
    </w:p>
    <w:p>
      <w:pPr>
        <w:pStyle w:val="Compact"/>
        <w:numPr>
          <w:ilvl w:val="0"/>
          <w:numId w:val="1003"/>
        </w:numPr>
      </w:pPr>
      <w:r>
        <w:rPr>
          <w:b/>
          <w:bCs/>
        </w:rPr>
        <w:t xml:space="preserve">Confirm the Agent-in-Charge’s Agent ID Card status (R-67).</w:t>
      </w:r>
    </w:p>
    <w:bookmarkEnd w:id="45"/>
    <w:bookmarkStart w:id="46" w:name="d.3-moderate-clean-up-items-p3p4"/>
    <w:p>
      <w:pPr>
        <w:pStyle w:val="Heading3"/>
      </w:pPr>
      <w:r>
        <w:t xml:space="preserve">D.3 Moderate / clean-up items (P3–P4)</w:t>
      </w:r>
    </w:p>
    <w:p>
      <w:pPr>
        <w:pStyle w:val="Compact"/>
        <w:numPr>
          <w:ilvl w:val="0"/>
          <w:numId w:val="1004"/>
        </w:numPr>
      </w:pPr>
      <w:r>
        <w:t xml:space="preserve">Reconcile internal inconsistencies (Part C): registered-agent name, parking count, contact phone/email, R3 attribution.</w:t>
      </w:r>
    </w:p>
    <w:p>
      <w:pPr>
        <w:pStyle w:val="Compact"/>
        <w:numPr>
          <w:ilvl w:val="0"/>
          <w:numId w:val="1004"/>
        </w:numPr>
      </w:pPr>
      <w:r>
        <w:t xml:space="preserve">Complete criminal-history disclosures (R-13); include publisher’s affidavit and any written public comments (R-52); correct notice content for future notices (R-50).</w:t>
      </w:r>
    </w:p>
    <w:p>
      <w:pPr>
        <w:pStyle w:val="Compact"/>
        <w:numPr>
          <w:ilvl w:val="0"/>
          <w:numId w:val="1004"/>
        </w:numPr>
      </w:pPr>
      <w:r>
        <w:t xml:space="preserve">Clarify that the community benefit contribution is paid to the City’s Cannabis Community Benefit Fund (R-45).</w:t>
      </w:r>
    </w:p>
    <w:p>
      <w:pPr>
        <w:pStyle w:val="Compact"/>
        <w:numPr>
          <w:ilvl w:val="0"/>
          <w:numId w:val="1004"/>
        </w:numPr>
      </w:pPr>
      <w:r>
        <w:t xml:space="preserve">Address one-dispensary-per-block confirmation (R-21) and FT/PT staffing split (R-31).</w:t>
      </w:r>
    </w:p>
    <w:p>
      <w:pPr>
        <w:pStyle w:val="Compact"/>
        <w:numPr>
          <w:ilvl w:val="0"/>
          <w:numId w:val="1004"/>
        </w:numPr>
      </w:pPr>
      <w:r>
        <w:t xml:space="preserve">Note Form errors (zoning list, occupancy formula, section citations) for the Coordinator (Part A).</w:t>
      </w:r>
    </w:p>
    <w:p>
      <w:r>
        <w:pict>
          <v:rect style="width:0;height:1.5pt" o:hralign="center" o:hrstd="t" o:hr="t"/>
        </w:pict>
      </w:r>
    </w:p>
    <w:bookmarkEnd w:id="46"/>
    <w:bookmarkEnd w:id="47"/>
    <w:bookmarkStart w:id="48" w:name="part-e-scoring-impact-note"/>
    <w:p>
      <w:pPr>
        <w:pStyle w:val="Heading2"/>
      </w:pPr>
      <w:r>
        <w:t xml:space="preserve">7. Part E — Scoring Impact Note</w:t>
      </w:r>
    </w:p>
    <w:p>
      <w:pPr>
        <w:pStyle w:val="FirstParagraph"/>
      </w:pPr>
      <w:r>
        <w:t xml:space="preserve">Under the §9-5-10 / Guide §4 rubric (250 base + 20 social-equity bonus = 270 max), the following gaps have direct scoring consequences if not cured: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Scoring Category (max)</w:t>
            </w:r>
          </w:p>
        </w:tc>
        <w:tc>
          <w:tcPr/>
          <w:p>
            <w:pPr>
              <w:pStyle w:val="Compact"/>
              <w:jc w:val="left"/>
            </w:pPr>
            <w:r>
              <w:t xml:space="preserve">Gap</w:t>
            </w:r>
          </w:p>
        </w:tc>
        <w:tc>
          <w:tcPr/>
          <w:p>
            <w:pPr>
              <w:pStyle w:val="Compact"/>
              <w:jc w:val="left"/>
            </w:pPr>
            <w:r>
              <w:t xml:space="preserve">Potential Point Impact</w:t>
            </w:r>
          </w:p>
        </w:tc>
      </w:tr>
      <w:tr>
        <w:tc>
          <w:tcPr/>
          <w:p>
            <w:pPr>
              <w:pStyle w:val="Compact"/>
              <w:jc w:val="left"/>
            </w:pPr>
            <w:r>
              <w:t xml:space="preserve">Financial Viability (30)</w:t>
            </w:r>
          </w:p>
        </w:tc>
        <w:tc>
          <w:tcPr/>
          <w:p>
            <w:pPr>
              <w:pStyle w:val="Compact"/>
              <w:jc w:val="left"/>
            </w:pPr>
            <w:r>
              <w:t xml:space="preserve">No bonding commitment letter (R-61)</w:t>
            </w:r>
          </w:p>
        </w:tc>
        <w:tc>
          <w:tcPr/>
          <w:p>
            <w:pPr>
              <w:pStyle w:val="Compact"/>
              <w:jc w:val="left"/>
            </w:pPr>
            <w:r>
              <w:t xml:space="preserve">−10 (bonding-capacity sub-score)</w:t>
            </w:r>
          </w:p>
        </w:tc>
      </w:tr>
      <w:tr>
        <w:tc>
          <w:tcPr/>
          <w:p>
            <w:pPr>
              <w:pStyle w:val="Compact"/>
              <w:jc w:val="left"/>
            </w:pPr>
            <w:r>
              <w:t xml:space="preserve">Security Plan (50)</w:t>
            </w:r>
          </w:p>
        </w:tc>
        <w:tc>
          <w:tcPr/>
          <w:p>
            <w:pPr>
              <w:pStyle w:val="Compact"/>
              <w:jc w:val="left"/>
            </w:pPr>
            <w:r>
              <w:t xml:space="preserve">Security plan not finalized (R-35)</w:t>
            </w:r>
          </w:p>
        </w:tc>
        <w:tc>
          <w:tcPr/>
          <w:p>
            <w:pPr>
              <w:pStyle w:val="Compact"/>
              <w:jc w:val="left"/>
            </w:pPr>
            <w:r>
              <w:t xml:space="preserve">At risk — cannot be fully scored until submitted</w:t>
            </w:r>
          </w:p>
        </w:tc>
      </w:tr>
      <w:tr>
        <w:tc>
          <w:tcPr/>
          <w:p>
            <w:pPr>
              <w:pStyle w:val="Compact"/>
              <w:jc w:val="left"/>
            </w:pPr>
            <w:r>
              <w:t xml:space="preserve">Environmental Sustainability (20)</w:t>
            </w:r>
          </w:p>
        </w:tc>
        <w:tc>
          <w:tcPr/>
          <w:p>
            <w:pPr>
              <w:pStyle w:val="Compact"/>
              <w:jc w:val="left"/>
            </w:pPr>
            <w:r>
              <w:t xml:space="preserve">No standalone plan (R-44)</w:t>
            </w:r>
          </w:p>
        </w:tc>
        <w:tc>
          <w:tcPr/>
          <w:p>
            <w:pPr>
              <w:pStyle w:val="Compact"/>
              <w:jc w:val="left"/>
            </w:pPr>
            <w:r>
              <w:t xml:space="preserve">At risk</w:t>
            </w:r>
          </w:p>
        </w:tc>
      </w:tr>
      <w:tr>
        <w:tc>
          <w:tcPr/>
          <w:p>
            <w:pPr>
              <w:pStyle w:val="Compact"/>
              <w:jc w:val="left"/>
            </w:pPr>
            <w:r>
              <w:t xml:space="preserve">Diversity &amp; Inclusion (25)</w:t>
            </w:r>
          </w:p>
        </w:tc>
        <w:tc>
          <w:tcPr/>
          <w:p>
            <w:pPr>
              <w:pStyle w:val="Compact"/>
              <w:jc w:val="left"/>
            </w:pPr>
            <w:r>
              <w:t xml:space="preserve">No standalone plan; partnerships not formalized (R-46/R-47)</w:t>
            </w:r>
          </w:p>
        </w:tc>
        <w:tc>
          <w:tcPr/>
          <w:p>
            <w:pPr>
              <w:pStyle w:val="Compact"/>
              <w:jc w:val="left"/>
            </w:pPr>
            <w:r>
              <w:t xml:space="preserve">At risk</w:t>
            </w:r>
          </w:p>
        </w:tc>
      </w:tr>
      <w:tr>
        <w:tc>
          <w:tcPr/>
          <w:p>
            <w:pPr>
              <w:pStyle w:val="Compact"/>
              <w:jc w:val="left"/>
            </w:pPr>
            <w:r>
              <w:t xml:space="preserve">Business Plan (60)</w:t>
            </w:r>
          </w:p>
        </w:tc>
        <w:tc>
          <w:tcPr/>
          <w:p>
            <w:pPr>
              <w:pStyle w:val="Compact"/>
              <w:jc w:val="left"/>
            </w:pPr>
            <w:r>
              <w:t xml:space="preserve">Missing vendor COMPASS letter (R-34)</w:t>
            </w:r>
          </w:p>
        </w:tc>
        <w:tc>
          <w:tcPr/>
          <w:p>
            <w:pPr>
              <w:pStyle w:val="Compact"/>
              <w:jc w:val="left"/>
            </w:pPr>
            <w:r>
              <w:t xml:space="preserve">Minor</w:t>
            </w:r>
          </w:p>
        </w:tc>
      </w:tr>
      <w:tr>
        <w:tc>
          <w:tcPr/>
          <w:p>
            <w:pPr>
              <w:pStyle w:val="Compact"/>
              <w:jc w:val="left"/>
            </w:pPr>
            <w:r>
              <w:t xml:space="preserve">Social Equity Bonus (20)</w:t>
            </w:r>
          </w:p>
        </w:tc>
        <w:tc>
          <w:tcPr/>
          <w:p>
            <w:pPr>
              <w:pStyle w:val="Compact"/>
              <w:jc w:val="left"/>
            </w:pPr>
            <w:r>
              <w:t xml:space="preserve">R3 residency duration undocumented; (B)(2) ambiguity (R-62)</w:t>
            </w:r>
          </w:p>
        </w:tc>
        <w:tc>
          <w:tcPr/>
          <w:p>
            <w:pPr>
              <w:pStyle w:val="Compact"/>
              <w:jc w:val="left"/>
            </w:pPr>
            <w:r>
              <w:t xml:space="preserve">Bonus at risk until verified</w:t>
            </w:r>
          </w:p>
        </w:tc>
      </w:tr>
    </w:tbl>
    <w:p>
      <w:pPr>
        <w:pStyle w:val="BodyText"/>
      </w:pPr>
      <w:r>
        <w:t xml:space="preserve">Curing the P1 and P2 items above protects the maximum attainable score and avoids a completeness deficiency notice.</w:t>
      </w:r>
    </w:p>
    <w:p>
      <w:r>
        <w:pict>
          <v:rect style="width:0;height:1.5pt" o:hralign="center" o:hrstd="t" o:hr="t"/>
        </w:pict>
      </w:r>
    </w:p>
    <w:p>
      <w:pPr>
        <w:pStyle w:val="FirstParagraph"/>
      </w:pPr>
      <w:r>
        <w:rPr>
          <w:i/>
          <w:iCs/>
        </w:rPr>
        <w:t xml:space="preserve">Prepared as a compliance review of the Greenleaf Therapeutics LLC dispensary permit application package against Evanston Municipal Code Chapter 9, Article 5, the City Application Checklist &amp; Submission Guide, and the Cannabis Dispensary Permit Application Form (v3.2). This matrix is an analytical work product and does not constitute a City completeness determination, which is made solely by the Cannabis Licensing Coordinator under §9-5-7(C).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2026-06-28T10:03:05Z</dcterms:created>
  <dcterms:modified xsi:type="dcterms:W3CDTF">2026-06-28T10:03:05Z</dcterms:modified>
</cp:coreProperties>
</file>

<file path=docProps/custom.xml><?xml version="1.0" encoding="utf-8"?>
<Properties xmlns="http://schemas.openxmlformats.org/officeDocument/2006/custom-properties" xmlns:vt="http://schemas.openxmlformats.org/officeDocument/2006/docPropsVTypes"/>
</file>