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2d28ecd2ff284cbed0552505ea2bf96d3bf9a2"/>
    <w:p>
      <w:pPr>
        <w:pStyle w:val="Heading1"/>
      </w:pPr>
      <w:r>
        <w:t xml:space="preserve">Cannabis Dispensary Permit — Compliance Requirements Matrix</w:t>
      </w:r>
    </w:p>
    <w:p>
      <w:pPr>
        <w:pStyle w:val="FirstParagraph"/>
      </w:pPr>
      <w:r>
        <w:rPr>
          <w:b/>
          <w:bCs/>
        </w:rPr>
        <w:t xml:space="preserve">Applicant:</w:t>
      </w:r>
      <w:r>
        <w:t xml:space="preserve"> </w:t>
      </w:r>
      <w:r>
        <w:t xml:space="preserve">Greenleaf Therapeutics LLC</w:t>
      </w:r>
      <w:r>
        <w:t xml:space="preserve"> </w:t>
      </w:r>
      <w:r>
        <w:rPr>
          <w:b/>
          <w:bCs/>
        </w:rPr>
        <w:t xml:space="preserve">Proposed Location:</w:t>
      </w:r>
      <w:r>
        <w:t xml:space="preserve"> </w:t>
      </w:r>
      <w:r>
        <w:t xml:space="preserve">1420 Sherman Ave., Unit B, Evanston, IL 60201 (C1a Commercial Mixed-Use district)</w:t>
      </w:r>
      <w:r>
        <w:t xml:space="preserve"> </w:t>
      </w:r>
      <w:r>
        <w:rPr>
          <w:b/>
          <w:bCs/>
        </w:rPr>
        <w:t xml:space="preserve">State Conditional License:</w:t>
      </w:r>
      <w:r>
        <w:t xml:space="preserve"> </w:t>
      </w:r>
      <w:r>
        <w:t xml:space="preserve">ADC-285-0147 (issued 9/22/2023; expires 9/21/2024)</w:t>
      </w:r>
      <w:r>
        <w:t xml:space="preserve"> </w:t>
      </w:r>
      <w:r>
        <w:rPr>
          <w:b/>
          <w:bCs/>
        </w:rPr>
        <w:t xml:space="preserve">Target Local Submission Date:</w:t>
      </w:r>
      <w:r>
        <w:t xml:space="preserve"> </w:t>
      </w:r>
      <w:r>
        <w:t xml:space="preserve">May 15, 2024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City of Evanston Department of Community Development — Cannabis Licensing Division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Compliance review of the Greenleaf Therapeutics LLC dispensary permit application package against Evanston Municipal Code Title 9, Article 5 and the City’s Application Checklist &amp; Submission Guide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matrix evaluates the Greenleaf Therapeutics LLC 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 application package against the controlling legal authority —</w:t>
      </w:r>
      <w:r>
        <w:t xml:space="preserve"> </w:t>
      </w:r>
      <w:r>
        <w:rPr>
          <w:b/>
          <w:bCs/>
        </w:rPr>
        <w:t xml:space="preserve">Evanston Municipal Code Chapter 9, Article 5</w:t>
      </w:r>
      <w:r>
        <w:t xml:space="preserve"> </w:t>
      </w:r>
      <w:r>
        <w:t xml:space="preserve">(</w:t>
      </w:r>
      <w:r>
        <w:t xml:space="preserve">“</w:t>
      </w:r>
      <w:r>
        <w:t xml:space="preserve">the Code</w:t>
      </w:r>
      <w:r>
        <w:t xml:space="preserve">”</w:t>
      </w:r>
      <w:r>
        <w:t xml:space="preserve">) — and the City’s</w:t>
      </w:r>
      <w:r>
        <w:t xml:space="preserve"> </w:t>
      </w:r>
      <w:r>
        <w:rPr>
          <w:b/>
          <w:bCs/>
        </w:rPr>
        <w:t xml:space="preserve">Application Checklist and Submission Guide</w:t>
      </w:r>
      <w:r>
        <w:t xml:space="preserve"> </w:t>
      </w:r>
      <w:r>
        <w:t xml:space="preserve">(</w:t>
      </w:r>
      <w:r>
        <w:t xml:space="preserve">“</w:t>
      </w:r>
      <w:r>
        <w:t xml:space="preserve">the Guide</w:t>
      </w:r>
      <w:r>
        <w:t xml:space="preserve">”</w:t>
      </w:r>
      <w:r>
        <w:t xml:space="preserve">), with reference to the City’s</w:t>
      </w:r>
      <w:r>
        <w:t xml:space="preserve"> </w:t>
      </w:r>
      <w:r>
        <w:rPr>
          <w:b/>
          <w:bCs/>
        </w:rPr>
        <w:t xml:space="preserve">Cannabis Dispensary Permit Application Form, Version 3.2</w:t>
      </w:r>
      <w:r>
        <w:t xml:space="preserve"> </w:t>
      </w:r>
      <w:r>
        <w:t xml:space="preserve">(</w:t>
      </w:r>
      <w:r>
        <w:t xml:space="preserve">“</w:t>
      </w:r>
      <w:r>
        <w:t xml:space="preserve">the Form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Greenleaf’s package is, on the whole,</w:t>
      </w:r>
      <w:r>
        <w:t xml:space="preserve"> </w:t>
      </w:r>
      <w:r>
        <w:rPr>
          <w:b/>
          <w:bCs/>
        </w:rPr>
        <w:t xml:space="preserve">substantially developed and largely code-conforming on the substantive merits</w:t>
      </w:r>
      <w:r>
        <w:t xml:space="preserve">: the entity is properly formed and capitalized ($1.85M, all equity); the lease provides a 7-year term with express cannabis use and landlord consent; the C1a location satisfies all buffer distances under the Code’s property-line measurement standard; the business plan, financial projections, security concept, and social-equity narrative are thorough; and the community-benefit and R3 hiring commitments are correctly structured.</w:t>
      </w:r>
    </w:p>
    <w:p>
      <w:pPr>
        <w:pStyle w:val="BodyText"/>
      </w:pPr>
      <w:r>
        <w:t xml:space="preserve">However, the review identifies</w:t>
      </w:r>
      <w:r>
        <w:t xml:space="preserve"> </w:t>
      </w:r>
      <w:r>
        <w:rPr>
          <w:b/>
          <w:bCs/>
        </w:rPr>
        <w:t xml:space="preserve">six critical deficiencies</w:t>
      </w:r>
      <w:r>
        <w:t xml:space="preserve"> </w:t>
      </w:r>
      <w:r>
        <w:t xml:space="preserve">that, if not cured before the May 15, 2024 submission, will either render the application incomplete or materially depress the application’s competitive score: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evidence of bonding capacity</w:t>
      </w:r>
      <w:r>
        <w:t xml:space="preserve"> </w:t>
      </w:r>
      <w:r>
        <w:t xml:space="preserve">— only a verbal/preliminary inquiry with Thornfield Surety Group; no commitment letter. The Guide (Item 17) and the Form’s scoring rubric require a commitment letter at submission (worth 10 of 30 Financial Viability points; zero if absent).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Cannabis crime/theft insurance ($500,000) not bound</w:t>
      </w:r>
      <w:r>
        <w:t xml:space="preserve"> </w:t>
      </w:r>
      <w:r>
        <w:t xml:space="preserve">— under negotiation with Canopy Risk Underwriters, blocked on completion of the security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plan not finalized</w:t>
      </w:r>
      <w:r>
        <w:t xml:space="preserve"> </w:t>
      </w:r>
      <w:r>
        <w:t xml:space="preserve">as of the April 22, 2024 insurance memo (Pinnacle Compliance Advisors).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Odor-mitigation Professional Engineer (P.E.) certification not yet available</w:t>
      </w:r>
      <w:r>
        <w:t xml:space="preserve"> </w:t>
      </w:r>
      <w:r>
        <w:t xml:space="preserve">— the business plan states the system design</w:t>
      </w:r>
      <w:r>
        <w:t xml:space="preserve"> </w:t>
      </w:r>
      <w:r>
        <w:t xml:space="preserve">“</w:t>
      </w:r>
      <w:r>
        <w:t xml:space="preserve">will be finalized during the build-out engineering phase,</w:t>
      </w:r>
      <w:r>
        <w:t xml:space="preserve">”</w:t>
      </w:r>
      <w:r>
        <w:t xml:space="preserve"> </w:t>
      </w:r>
      <w:r>
        <w:t xml:space="preserve">but the Code (§9-5-5(B)(10)), Guide (Item 10), and Form (Q16) all require the sealed P.E. certification</w:t>
      </w:r>
      <w:r>
        <w:t xml:space="preserve"> </w:t>
      </w:r>
      <w:r>
        <w:rPr>
          <w:b/>
          <w:bCs/>
        </w:rPr>
        <w:t xml:space="preserve">at the time of submission</w:t>
      </w:r>
      <w:r>
        <w:t xml:space="preserve">; absence is an automatic incompleteness trigger.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conditional license expiration timing risk</w:t>
      </w:r>
      <w:r>
        <w:t xml:space="preserve"> </w:t>
      </w:r>
      <w:r>
        <w:t xml:space="preserve">— the State license expires 9/21/2024, but the City’s 120–150 day process from a 5/15/2024 submission projects permit issuance in October–November 2024. A State extension petition (due ~7/22/2024) should be filed as a precaution.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Engagement Session 2 notice was only 12 days</w:t>
      </w:r>
      <w:r>
        <w:t xml:space="preserve"> </w:t>
      </w:r>
      <w:r>
        <w:t xml:space="preserve">(published 3/28/2024 for a 4/9/2024 session), short of the 14-day minimum in §9-5-8(B). The Code permits</w:t>
      </w:r>
      <w:r>
        <w:t xml:space="preserve"> </w:t>
      </w:r>
      <w:r>
        <w:rPr>
          <w:b/>
          <w:bCs/>
        </w:rPr>
        <w:t xml:space="preserve">no waiver</w:t>
      </w:r>
      <w:r>
        <w:t xml:space="preserve"> </w:t>
      </w:r>
      <w:r>
        <w:t xml:space="preserve">of the notice/session requirements; a non-qualifying session must be re-held.</w:t>
      </w:r>
    </w:p>
    <w:p>
      <w:pPr>
        <w:pStyle w:val="FirstParagraph"/>
      </w:pPr>
      <w:r>
        <w:t xml:space="preserve">The review also documents a series of</w:t>
      </w:r>
      <w:r>
        <w:t xml:space="preserve"> </w:t>
      </w:r>
      <w:r>
        <w:rPr>
          <w:b/>
          <w:bCs/>
        </w:rPr>
        <w:t xml:space="preserve">errors and internal inconsistencies in the City’s own Form</w:t>
      </w:r>
      <w:r>
        <w:t xml:space="preserve"> </w:t>
      </w:r>
      <w:r>
        <w:t xml:space="preserve">(e.g., an occupancy formula using total rather than retail floor area; a buffer-measurement method that conflicts with the Code; incorrect zoning-district listings; wrong section citations) and</w:t>
      </w:r>
      <w:r>
        <w:t xml:space="preserve"> </w:t>
      </w:r>
      <w:r>
        <w:rPr>
          <w:b/>
          <w:bCs/>
        </w:rPr>
        <w:t xml:space="preserve">internal inconsistencies within Greenleaf’s package</w:t>
      </w:r>
      <w:r>
        <w:t xml:space="preserve"> </w:t>
      </w:r>
      <w:r>
        <w:t xml:space="preserve">(registered-agent name, parking count, contact details). These are itemized in Sections 5 and 6 and should be reconciled before submission.</w:t>
      </w:r>
    </w:p>
    <w:p>
      <w:r>
        <w:pict>
          <v:rect style="width:0;height:1.5pt" o:hralign="center" o:hrstd="t" o:hr="t"/>
        </w:pict>
      </w:r>
    </w:p>
    <w:bookmarkEnd w:id="20"/>
    <w:bookmarkStart w:id="21" w:name="documents-reviewed"/>
    <w:p>
      <w:pPr>
        <w:pStyle w:val="Heading2"/>
      </w:pPr>
      <w:r>
        <w:t xml:space="preserve">2. Documents Reviewed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4168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Evanston Municipal Code, Title 9, Article 5 (Cannabis Business Establishments)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 legal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of Evanston Cannabis Dispensary Permit Application Checklist &amp; Submission Guide (pub. 1/15/2024)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instructions / master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of Evanston Cannabis Dispensary Permit Application Form, v3.2 (rev. 1/12/2024)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form template 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Illinois Conditional Adult-Use Dispensing Organization License No. ADC-285-0147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Therapeutics LLC — Business Plan: Executive Summary and Operations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/ financial viability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Key Lease Terms (Hargrove &amp; Sinclair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Right-to-occupy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 Session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and Bonding Status Memorandum (4/22/2024)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/ bonding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ethodology-and-status-legend"/>
    <w:p>
      <w:pPr>
        <w:pStyle w:val="Heading2"/>
      </w:pPr>
      <w:r>
        <w:t xml:space="preserve">3. Methodology and Status Legend</w:t>
      </w:r>
    </w:p>
    <w:p>
      <w:pPr>
        <w:pStyle w:val="FirstParagraph"/>
      </w:pPr>
      <w:r>
        <w:t xml:space="preserve">Each requirement is traced to its source in the Code (§9-5-</w:t>
      </w:r>
      <w:r>
        <w:rPr>
          <w:i/>
          <w:iCs/>
        </w:rPr>
        <w:t xml:space="preserve">), the Guide (Item</w:t>
      </w:r>
      <w:r>
        <w:rPr>
          <w:i/>
          <w:iCs/>
        </w:rPr>
        <w:t xml:space="preserve"> </w:t>
      </w:r>
      <w:r>
        <w:t xml:space="preserve">), and/or the Form (Q_), then assessed against the evidence in the application package. Status values: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is met; supporting evidence is present and sufficient.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is substantially addressed but contains a gap, ambiguity, or minor defect.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is not met or is in conflict with the controlling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item not yet in the package; must be produced/attached before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does not apply to this application.</w:t>
            </w:r>
          </w:p>
        </w:tc>
      </w:tr>
    </w:tbl>
    <w:p>
      <w:pPr>
        <w:pStyle w:val="BodyText"/>
      </w:pPr>
      <w:r>
        <w:t xml:space="preserve">Items flagged</w:t>
      </w:r>
      <w:r>
        <w:t xml:space="preserve"> </w:t>
      </w:r>
      <w:r>
        <w:rPr>
          <w:b/>
          <w:bCs/>
        </w:rPr>
        <w:t xml:space="preserve">[CRITICAL]</w:t>
      </w:r>
      <w:r>
        <w:t xml:space="preserve"> </w:t>
      </w:r>
      <w:r>
        <w:t xml:space="preserve">are deficiencies that trigger automatic incompleteness, scoring loss, or a permit-jeopardizing risk if not cured. Items flagged</w:t>
      </w:r>
      <w:r>
        <w:t xml:space="preserve"> </w:t>
      </w:r>
      <w:r>
        <w:rPr>
          <w:b/>
          <w:bCs/>
        </w:rPr>
        <w:t xml:space="preserve">[FORM ERROR]</w:t>
      </w:r>
      <w:r>
        <w:t xml:space="preserve"> </w:t>
      </w:r>
      <w:r>
        <w:t xml:space="preserve">are defects in the City’s Form that conflict with the Code (the Code controls).</w:t>
      </w:r>
    </w:p>
    <w:p>
      <w:r>
        <w:pict>
          <v:rect style="width:0;height:1.5pt" o:hralign="center" o:hrstd="t" o:hr="t"/>
        </w:pict>
      </w:r>
    </w:p>
    <w:bookmarkEnd w:id="22"/>
    <w:bookmarkStart w:id="38" w:name="compliance-requirements-matrix"/>
    <w:p>
      <w:pPr>
        <w:pStyle w:val="Heading2"/>
      </w:pPr>
      <w:r>
        <w:t xml:space="preserve">4. Compliance Requirements Matrix</w:t>
      </w:r>
    </w:p>
    <w:bookmarkStart w:id="23" w:name="entity-formation-state-licensing"/>
    <w:p>
      <w:pPr>
        <w:pStyle w:val="Heading3"/>
      </w:pPr>
      <w:r>
        <w:t xml:space="preserve">4.1 Entity Formation &amp; State Licensing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§9-5-5(B)(1); Guide Item 1; Form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Completed, signed, notarized application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v3.2 is a blank template; all fields must be completed or marked</w:t>
            </w:r>
            <w:r>
              <w:t xml:space="preserve"> </w:t>
            </w:r>
            <w:r>
              <w:t xml:space="preserve">“</w:t>
            </w:r>
            <w:r>
              <w:t xml:space="preserve">N/A,</w:t>
            </w:r>
            <w:r>
              <w:t xml:space="preserve">”</w:t>
            </w:r>
            <w:r>
              <w:t xml:space="preserve"> </w:t>
            </w:r>
            <w:r>
              <w:t xml:space="preserve">signed by an authorized representative, and notarized.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every field; obtain notarization; ensure authorized signatory (Dara Okonkwo, Managing Member) executes.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§9-5-5(B)(2); Guide Item 3; Form 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State conditional/permanent dispensing license (copy attached)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Conditional Adult-Use License ADC-285-0147 provided; issued 9/22/2023, expires 9/21/2024. Licensee = Greenleaf Therapeutics LLC; location matches.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certified copy.</w:t>
            </w:r>
            <w:r>
              <w:t xml:space="preserve"> </w:t>
            </w: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See timing risk in §4.1 below — license expires 9/21/2024.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§9-5-5(B)(3); Guide Item 4; Form §13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of organization/incorporation; operating agreement/bylaws; Certificate of Good Standing (IL SOS); EIN verification; ownership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confirms IL LLC formed 3/14/2023, EIN 88-3921047, ILSOS File # LLC-07842319, and states docs are</w:t>
            </w:r>
            <w:r>
              <w:t xml:space="preserve"> </w:t>
            </w:r>
            <w:r>
              <w:t xml:space="preserve">“</w:t>
            </w:r>
            <w:r>
              <w:t xml:space="preserve">on file and available… upon request.</w:t>
            </w:r>
            <w:r>
              <w:t xml:space="preserve">”</w:t>
            </w:r>
            <w:r>
              <w:t xml:space="preserve"> </w:t>
            </w:r>
            <w:r>
              <w:rPr>
                <w:b/>
                <w:bCs/>
              </w:rPr>
              <w:t xml:space="preserve">Not confirmed as attached exhibits.</w:t>
            </w:r>
            <w:r>
              <w:t xml:space="preserve"> </w:t>
            </w:r>
            <w:r>
              <w:t xml:space="preserve">Certificate of Good Standing date not stated.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Attach</w:t>
            </w:r>
            <w:r>
              <w:t xml:space="preserve"> </w:t>
            </w:r>
            <w:r>
              <w:t xml:space="preserve">articles, operating agreement, IRS EIN letter (CP 575/147C), and ownership chart as exhibits. Obtain a current Certificate of Good Standing — dated within</w:t>
            </w:r>
            <w:r>
              <w:t xml:space="preserve"> </w:t>
            </w:r>
            <w:r>
              <w:rPr>
                <w:b/>
                <w:bCs/>
              </w:rPr>
              <w:t xml:space="preserve">60 days</w:t>
            </w:r>
            <w:r>
              <w:t xml:space="preserve"> </w:t>
            </w:r>
            <w:r>
              <w:t xml:space="preserve">of submission per Code/Guide (the Form’s 30-day requirement is stricter; satisfy the 30-day standard to be safe).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§9-5-3; §9-5-27(D)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license must remain valid throughout local process; lapse auto-suspends local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(timing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license expires</w:t>
            </w:r>
            <w:r>
              <w:t xml:space="preserve"> </w:t>
            </w:r>
            <w:r>
              <w:rPr>
                <w:b/>
                <w:bCs/>
              </w:rPr>
              <w:t xml:space="preserve">9/21/2024</w:t>
            </w:r>
            <w:r>
              <w:t xml:space="preserve">. City process from a 5/15/2024 submission runs ~120–150 days → permit issuance projected Oct–Nov 2024,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State expiration. Business plan asserts permit will issue</w:t>
            </w:r>
            <w:r>
              <w:t xml:space="preserve"> </w:t>
            </w:r>
            <w:r>
              <w:t xml:space="preserve">“</w:t>
            </w:r>
            <w:r>
              <w:t xml:space="preserve">late Q3 2024</w:t>
            </w:r>
            <w:r>
              <w:t xml:space="preserve">”</w:t>
            </w:r>
            <w:r>
              <w:t xml:space="preserve"> </w:t>
            </w:r>
            <w:r>
              <w:t xml:space="preserve">and conflates the 90-day completeness clock with the full review timeline.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File a State extension petition (Form CR-EXT-01)</w:t>
            </w:r>
            <w:r>
              <w:t xml:space="preserve"> </w:t>
            </w:r>
            <w:r>
              <w:rPr>
                <w:b/>
                <w:bCs/>
              </w:rPr>
              <w:t xml:space="preserve">no later than ~7/22/2024</w:t>
            </w:r>
            <w:r>
              <w:t xml:space="preserve"> </w:t>
            </w:r>
            <w:r>
              <w:t xml:space="preserve">(60 days before expiration) to obtain up to 6 additional months. Revise the business-plan timeline to reflect the Code’s actual sequence (completeness ≤90 days → hearing ≤45 days → Council vote → 30-day pre-issuance). Confirm the 180-day conversion clock runs from</w:t>
            </w:r>
            <w:r>
              <w:t xml:space="preserve"> </w:t>
            </w:r>
            <w:r>
              <w:rPr>
                <w:b/>
                <w:bCs/>
              </w:rPr>
              <w:t xml:space="preserve">local permit issuance</w:t>
            </w:r>
            <w:r>
              <w:t xml:space="preserve">, not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Q9 note; State License Cond.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Conditional→permanent conversion within 180 days of local permit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(concept)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correctly identifies the 180-day conversion window and $100,000 conversion fee, and budgets for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conversion application is filed within 180 days of local permit issuance; coordinate with State expiration/extension.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§9-5-5(B)(8); Guide Item 11; Form Q25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with ≥3-year financial projections, staffing model, org chart, operational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provides 5-year projections (exceeds 3-year minimum), 12-FTE staffing model, org chart (Appendix A), operational/customer-flow plan, seed-to-sale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appendices (org chart, resumes, pro forma, floor/site plan).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§9-5-10(C)(7)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&amp; Qualifications (25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Okonkwo: licensed IL pharmacist (#051-302887) with controlled-substance/inventory experience; Felix Ramachandran: VP Operations, logistics/distribution.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resumes (Appendix B); emphasize cannabis-adjacent regulatory experience.</w:t>
            </w:r>
          </w:p>
        </w:tc>
      </w:tr>
    </w:tbl>
    <w:bookmarkEnd w:id="23"/>
    <w:bookmarkStart w:id="24" w:name="location-zoning-buffer-distances"/>
    <w:p>
      <w:pPr>
        <w:pStyle w:val="Heading3"/>
      </w:pPr>
      <w:r>
        <w:t xml:space="preserve">4.2 Location, Zoning &amp; Buffer Distances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§9-5-9(A); Guide Item 20; Form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Dispensary permitted only in C1a, C2, or oC1 districts,</w:t>
            </w:r>
            <w:r>
              <w:t xml:space="preserve"> </w:t>
            </w:r>
            <w:r>
              <w:rPr>
                <w:b/>
                <w:bCs/>
              </w:rPr>
              <w:t xml:space="preserve">by special use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(location) / Pending (special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1420 Sherman Ave. is in</w:t>
            </w:r>
            <w:r>
              <w:t xml:space="preserve"> </w:t>
            </w:r>
            <w:r>
              <w:rPr>
                <w:b/>
                <w:bCs/>
              </w:rPr>
              <w:t xml:space="preserve">C1a</w:t>
            </w:r>
            <w:r>
              <w:t xml:space="preserve"> </w:t>
            </w:r>
            <w:r>
              <w:t xml:space="preserve">(confirmed by lease &amp; business plan) — a permitted district. Special use approval from ZBA is required and</w:t>
            </w:r>
            <w:r>
              <w:t xml:space="preserve"> </w:t>
            </w:r>
            <w:r>
              <w:rPr>
                <w:b/>
                <w:bCs/>
              </w:rPr>
              <w:t xml:space="preserve">not yet confirmed filed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File the special use application concurrently with the permit application and include evidence of filing. Permit will not issue until City Council grants special use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Form Q3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lists permitted special-use districts as</w:t>
            </w:r>
            <w:r>
              <w:t xml:space="preserve"> </w:t>
            </w:r>
            <w:r>
              <w:t xml:space="preserve">“</w:t>
            </w:r>
            <w:r>
              <w:t xml:space="preserve">C1a,</w:t>
            </w:r>
            <w:r>
              <w:t xml:space="preserve"> </w:t>
            </w:r>
            <w:r>
              <w:rPr>
                <w:b/>
                <w:bCs/>
              </w:rPr>
              <w:t xml:space="preserve">C1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B2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 (§9-5-9(A)) authorizes only</w:t>
            </w:r>
            <w:r>
              <w:t xml:space="preserve"> </w:t>
            </w:r>
            <w:r>
              <w:rPr>
                <w:b/>
                <w:bCs/>
              </w:rPr>
              <w:t xml:space="preserve">C1a, C2, and oC1</w:t>
            </w:r>
            <w:r>
              <w:t xml:space="preserve">. The Form names the wrong districts (C1, B2). Greenleaf’s C1a location is valid regardless.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the Form error; rely on the Code. Confirm C1a status with the Zoning Division in writing.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§9-5-9(B)(1); Guide Item 8; Form 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≥1,000 ft from any K-12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Chute Middle School (K–8) at 1400 Oakton St. =</w:t>
            </w:r>
            <w:r>
              <w:t xml:space="preserve"> </w:t>
            </w:r>
            <w:r>
              <w:rPr>
                <w:b/>
                <w:bCs/>
              </w:rPr>
              <w:t xml:space="preserve">1,180 ft</w:t>
            </w:r>
            <w:r>
              <w:t xml:space="preserve"> </w:t>
            </w:r>
            <w:r>
              <w:t xml:space="preserve">(straight-line, property-line to property-line per §9-5-9(C)). Exceeds minimum by 180 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survey (Meridian Land Surveyors, IPLS #035-004728).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§9-5-9(B)(2); Guide Item 8; Form Q7A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≥500 ft from any licensed daycare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Acorns Learning Center, 1635 Hinman Ave. =</w:t>
            </w:r>
            <w:r>
              <w:t xml:space="preserve"> </w:t>
            </w:r>
            <w:r>
              <w:rPr>
                <w:b/>
                <w:bCs/>
              </w:rPr>
              <w:t xml:space="preserve">890 ft</w:t>
            </w:r>
            <w:r>
              <w:t xml:space="preserve">. Exceeds minimum by 390 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survey.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§9-5-9(B)(3); Guide Item 8; Form Q7B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≥1,500 ft from any other licensed dispensary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Prairie Wellness Dispensary, 807 Church St. =</w:t>
            </w:r>
            <w:r>
              <w:t xml:space="preserve"> </w:t>
            </w:r>
            <w:r>
              <w:rPr>
                <w:b/>
                <w:bCs/>
              </w:rPr>
              <w:t xml:space="preserve">2,100 ft</w:t>
            </w:r>
            <w:r>
              <w:t xml:space="preserve">. Exceeds minimum by 600 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survey.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§9-5-9(C)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measured nearest property line to nearest property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uses straight-line (Euclidean) property-line-to-property-line measurement —</w:t>
            </w:r>
            <w:r>
              <w:t xml:space="preserve"> </w:t>
            </w:r>
            <w:r>
              <w:rPr>
                <w:b/>
                <w:bCs/>
              </w:rPr>
              <w:t xml:space="preserve">matches the Code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straight-line methodology; it is the Code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Form Q6/Q7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requires</w:t>
            </w:r>
            <w:r>
              <w:t xml:space="preserve"> </w:t>
            </w:r>
            <w:r>
              <w:t xml:space="preserve">“</w:t>
            </w:r>
            <w:r>
              <w:t xml:space="preserve">nearest pedestrian route</w:t>
            </w:r>
            <w:r>
              <w:t xml:space="preserve">”</w:t>
            </w:r>
            <w:r>
              <w:t xml:space="preserve"> </w:t>
            </w:r>
            <w:r>
              <w:t xml:space="preserve">measurement and rejects straight-line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Form’s pedestrian-route method</w:t>
            </w:r>
            <w:r>
              <w:t xml:space="preserve"> </w:t>
            </w:r>
            <w:r>
              <w:rPr>
                <w:b/>
                <w:bCs/>
              </w:rPr>
              <w:t xml:space="preserve">conflicts</w:t>
            </w:r>
            <w:r>
              <w:t xml:space="preserve"> </w:t>
            </w:r>
            <w:r>
              <w:t xml:space="preserve">with §9-5-9(C). Greenleaf’s straight-line survey is Code-compliant but would not satisfy the Form as written.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the Code-compliant straight-line survey; include a cover note citing §9-5-9(C) and request the Coordinator confirm the property-line standard controls.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re-measure on a pedestrian-route basis unless the City insists, as that would be inconsistent with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§9-5-9(E)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Religious institutions, parks, libraries, hospitals, residential properties are</w:t>
            </w:r>
            <w:r>
              <w:t xml:space="preserve"> </w:t>
            </w:r>
            <w:r>
              <w:rPr>
                <w:b/>
                <w:bCs/>
              </w:rPr>
              <w:t xml:space="preserve">excluded</w:t>
            </w:r>
            <w:r>
              <w:t xml:space="preserve"> </w:t>
            </w:r>
            <w:r>
              <w:t xml:space="preserve">from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correctly notes First United Methodist Church (1,450 ft) is informational only and not a protected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action; ensure the Form’s Q8</w:t>
            </w:r>
            <w:r>
              <w:t xml:space="preserve"> </w:t>
            </w:r>
            <w:r>
              <w:t xml:space="preserve">“</w:t>
            </w:r>
            <w:r>
              <w:t xml:space="preserve">other sensitive uses</w:t>
            </w:r>
            <w:r>
              <w:t xml:space="preserve">”</w:t>
            </w:r>
            <w:r>
              <w:t xml:space="preserve"> </w:t>
            </w:r>
            <w:r>
              <w:t xml:space="preserve">disclosure does not treat parks/libraries as disqualifying (see Form-error row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Form 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asks for parks, public libraries, and residential treatment facilities within 500 ft as</w:t>
            </w:r>
            <w:r>
              <w:t xml:space="preserve"> </w:t>
            </w:r>
            <w:r>
              <w:t xml:space="preserve">“</w:t>
            </w:r>
            <w:r>
              <w:t xml:space="preserve">sensitive uses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§9-5-9(E) expressly</w:t>
            </w:r>
            <w:r>
              <w:t xml:space="preserve"> </w:t>
            </w:r>
            <w:r>
              <w:rPr>
                <w:b/>
                <w:bCs/>
              </w:rPr>
              <w:t xml:space="preserve">excludes</w:t>
            </w:r>
            <w:r>
              <w:t xml:space="preserve"> </w:t>
            </w:r>
            <w:r>
              <w:t xml:space="preserve">public parks and public libraries from buffer requirements. The Form improperly solicits disclosure of non-protected uses.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Q8 only to the extent accurate; add a note that parks and libraries are excluded protected uses under §9-5-9(E) and cannot be a basis for denial.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§9-5-9(F)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than one dispensary per City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the package. Prairie Wellness is 2,100 ft away (different block), but the per-block rule is independent of the 1,500-ft buffer.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no other dispensary (licensed or pending) is on the same City block as 1420 Sherman Ave.; document the 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§9-5-5(B)(7); Guide Item 8; Form Q6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Scaled map/survey by licensed IL land surveyor or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by Meridian Land Surveyors LLC (IPLS #035-004728) — properly licensed.</w:t>
            </w:r>
            <w:r>
              <w:t xml:space="preserve"> </w:t>
            </w:r>
            <w:r>
              <w:rPr>
                <w:b/>
                <w:bCs/>
              </w:rPr>
              <w:t xml:space="preserve">However</w:t>
            </w:r>
            <w:r>
              <w:t xml:space="preserve">, survey is dated</w:t>
            </w:r>
            <w:r>
              <w:t xml:space="preserve"> </w:t>
            </w:r>
            <w:r>
              <w:rPr>
                <w:b/>
                <w:bCs/>
              </w:rPr>
              <w:t xml:space="preserve">12/15/2023</w:t>
            </w:r>
            <w:r>
              <w:t xml:space="preserve">; the Form requires surveys</w:t>
            </w:r>
            <w:r>
              <w:t xml:space="preserve"> </w:t>
            </w:r>
            <w:r>
              <w:t xml:space="preserve">“</w:t>
            </w:r>
            <w:r>
              <w:t xml:space="preserve">dated within 60 days of the application submission date</w:t>
            </w:r>
            <w:r>
              <w:t xml:space="preserve">”</w:t>
            </w:r>
            <w:r>
              <w:t xml:space="preserve"> </w:t>
            </w:r>
            <w:r>
              <w:t xml:space="preserve">(~151 days old at 5/15/2024). The Code itself imposes no 60-day recency limit.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satisfy the Form, obtain an updated/re-certified survey dated within 60 days of submission, or seek written confirmation from the Coordinator that the 12/15/2023 survey suffices under the Code.</w:t>
            </w:r>
          </w:p>
        </w:tc>
      </w:tr>
    </w:tbl>
    <w:bookmarkEnd w:id="24"/>
    <w:bookmarkStart w:id="25" w:name="right-to-occupy-lease"/>
    <w:p>
      <w:pPr>
        <w:pStyle w:val="Heading3"/>
      </w:pPr>
      <w:r>
        <w:t xml:space="preserve">4.3 Right to Occupy (Lease)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§9-5-5(B)(5); Guide Item 6; Form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lease with ≥3-year remaining term (from anticipated permit issuance)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recorded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executed 1/8/2024; initial 7-year term (to 1/7/2031) + two 3-year renewal options (to 1/7/2037). Far exceeds the 3-year minimum.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full executed lease + exhibits.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 Item 6; Form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must</w:t>
            </w:r>
            <w:r>
              <w:t xml:space="preserve"> </w:t>
            </w:r>
            <w:r>
              <w:rPr>
                <w:b/>
                <w:bCs/>
              </w:rPr>
              <w:t xml:space="preserve">expressly permit</w:t>
            </w:r>
            <w:r>
              <w:t xml:space="preserve"> </w:t>
            </w:r>
            <w:r>
              <w:t xml:space="preserve">cannabis dispensary operations; Landlord Acknowledgment &amp;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§5</w:t>
            </w:r>
            <w:r>
              <w:t xml:space="preserve"> </w:t>
            </w:r>
            <w:r>
              <w:t xml:space="preserve">“</w:t>
            </w:r>
            <w:r>
              <w:t xml:space="preserve">Permitted Use</w:t>
            </w:r>
            <w:r>
              <w:t xml:space="preserve">”</w:t>
            </w:r>
            <w:r>
              <w:t xml:space="preserve"> </w:t>
            </w:r>
            <w:r>
              <w:t xml:space="preserve">expressly authorizes adult-use/medical cannabis dispensary; Landlord Cannabis Use Acknowledgment &amp; Consent (Exhibit D) executed.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Exhibit D (Landlord Consent / Appendix B form).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§9-5-5(B)(6); Guide Item 7; Form 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plan &amp; floor plan by licensed architect/engineer with SF breakdown and functional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 breakdown provided (retail 1,600; secure storage 800; office 600; vestibule 200; total 3,200).</w:t>
            </w:r>
            <w:r>
              <w:t xml:space="preserve"> </w:t>
            </w:r>
            <w:r>
              <w:rPr>
                <w:b/>
                <w:bCs/>
              </w:rPr>
              <w:t xml:space="preserve">Preparer/certification by a licensed architect or engineer not confirmed</w:t>
            </w:r>
            <w:r>
              <w:t xml:space="preserve">; camera, POS, ADA, parking, and signage locations not confirmed on the plans.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Attach</w:t>
            </w:r>
            <w:r>
              <w:t xml:space="preserve"> </w:t>
            </w:r>
            <w:r>
              <w:t xml:space="preserve">architect/engineer-certified site plan and floor plan showing all Form Q5 elements (camera fields of view, POS, secure vestibule, vault, ADA features, parking, signage).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Q12; §9-5-13(J)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customer occupancy = 1 customer per 40 sq ft of</w:t>
            </w:r>
            <w:r>
              <w:t xml:space="preserve"> </w:t>
            </w:r>
            <w:r>
              <w:rPr>
                <w:b/>
                <w:bCs/>
              </w:rPr>
              <w:t xml:space="preserve">retail floor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(Greenleaf) /</w:t>
            </w:r>
            <w:r>
              <w:t xml:space="preserve"> </w:t>
            </w:r>
            <w:r>
              <w:rPr>
                <w:b/>
                <w:bCs/>
              </w:rPr>
              <w:t xml:space="preserve">[FORM ERROR]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correctly calculates</w:t>
            </w:r>
            <w:r>
              <w:t xml:space="preserve"> </w:t>
            </w:r>
            <w:r>
              <w:rPr>
                <w:b/>
                <w:bCs/>
              </w:rPr>
              <w:t xml:space="preserve">40</w:t>
            </w:r>
            <w:r>
              <w:t xml:space="preserve"> </w:t>
            </w:r>
            <w:r>
              <w:t xml:space="preserve">(1,600 retail ÷ 40) in the business plan and community report. The</w:t>
            </w:r>
            <w:r>
              <w:t xml:space="preserve"> </w:t>
            </w:r>
            <w:r>
              <w:rPr>
                <w:b/>
                <w:bCs/>
              </w:rPr>
              <w:t xml:space="preserve">Form Q12 incorrectly directs use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Total Dispensary Square Footage ÷ 40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(= 80)</w:t>
            </w:r>
            <w:r>
              <w:t xml:space="preserve">, which would double the Code limit.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Code-correct</w:t>
            </w:r>
            <w:r>
              <w:t xml:space="preserve"> </w:t>
            </w:r>
            <w:r>
              <w:rPr>
                <w:b/>
                <w:bCs/>
              </w:rPr>
              <w:t xml:space="preserve">40</w:t>
            </w:r>
            <w:r>
              <w:t xml:space="preserve"> </w:t>
            </w:r>
            <w:r>
              <w:t xml:space="preserve">(retail floor area). Flag the Form error to the Coordinator;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report 80. Post the 40-customer limit conspicuously at the entrance to the retail floor area (§9-5-13(J)).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(inconsistency)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§2/Exhibit B states</w:t>
            </w:r>
            <w:r>
              <w:t xml:space="preserve"> </w:t>
            </w: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designated spaces; community report (Session 1) states</w:t>
            </w:r>
            <w:r>
              <w:t xml:space="preserve"> </w:t>
            </w: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t xml:space="preserve">dedicated spaces.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to the lease figure (8) or amend the lease; correct the community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(inconsistency)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license lists</w:t>
            </w:r>
            <w:r>
              <w:t xml:space="preserve"> </w:t>
            </w:r>
            <w:r>
              <w:rPr>
                <w:b/>
                <w:bCs/>
              </w:rPr>
              <w:t xml:space="preserve">Keystone Statutory Services</w:t>
            </w:r>
            <w:r>
              <w:t xml:space="preserve">; lease &amp; business plan list</w:t>
            </w:r>
            <w:r>
              <w:t xml:space="preserve"> </w:t>
            </w:r>
            <w:r>
              <w:rPr>
                <w:b/>
                <w:bCs/>
              </w:rPr>
              <w:t xml:space="preserve">Northwest Statutory Services</w:t>
            </w:r>
            <w:r>
              <w:t xml:space="preserve"> </w:t>
            </w:r>
            <w:r>
              <w:t xml:space="preserve">(same address, 205 N. Michigan Ave., Ste. 810).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registered agent with the IL SOS and make all package references consistent.</w:t>
            </w:r>
          </w:p>
        </w:tc>
      </w:tr>
    </w:tbl>
    <w:bookmarkEnd w:id="25"/>
    <w:bookmarkStart w:id="26" w:name="security-plan"/>
    <w:p>
      <w:pPr>
        <w:pStyle w:val="Heading3"/>
      </w:pPr>
      <w:r>
        <w:t xml:space="preserve">4.4 Security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§9-5-5(B)(9); §9-5-13; Guide Item 9; Form 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security plan (consultant-prepared)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is thorough (Pinnacle Compliance Advisors / Marcus Wren): 24/7 1080p surveillance, 30-day retention, panic alarm to EPD, secure vestibule, access control, cash handling (armored transport), employee training.</w:t>
            </w:r>
            <w:r>
              <w:t xml:space="preserve"> </w:t>
            </w:r>
            <w:r>
              <w:rPr>
                <w:b/>
                <w:bCs/>
              </w:rPr>
              <w:t xml:space="preserve">However, the plan is not yet finalized</w:t>
            </w:r>
            <w:r>
              <w:t xml:space="preserve"> </w:t>
            </w:r>
            <w:r>
              <w:t xml:space="preserve">per the 4/22/2024 insurance memo.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Finalize and attach the complete security plan (camera placement map, equipment specs, SOPs, emergency response) before submission. The crime/theft insurance underwriting is blocked on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video, ≥1080p, ≥30-day retention, coverage of all required areas, available to EPD/Coordinator within 24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§5.3 confirms 1080p, 30-day retention, on-site server + cloud backup, full coverage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final plan specifies on-site dedicated recording device and 24-hour production-on-request.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 alarm at each POS, main entrance, secure storage; tested</w:t>
            </w:r>
            <w:r>
              <w:t xml:space="preserve"> </w:t>
            </w:r>
            <w:r>
              <w:rPr>
                <w:b/>
                <w:bCs/>
              </w:rPr>
              <w:t xml:space="preserve">≥ once per calendar quarter</w:t>
            </w:r>
            <w:r>
              <w:t xml:space="preserve"> </w:t>
            </w:r>
            <w:r>
              <w:t xml:space="preserve">with written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places panic alarms at POS, vestibule ID station, manager’s office, secure storage.</w:t>
            </w:r>
            <w:r>
              <w:t xml:space="preserve"> </w:t>
            </w:r>
            <w:r>
              <w:rPr>
                <w:b/>
                <w:bCs/>
              </w:rPr>
              <w:t xml:space="preserve">Quarterly testing with written documentation not addressed</w:t>
            </w:r>
            <w:r>
              <w:t xml:space="preserve"> </w:t>
            </w:r>
            <w:r>
              <w:t xml:space="preserve">in the business plan or 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quarterly panic-alarm testing protocol with on-site test logs to the security plan and ongoing compliance procedures.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vestibule; no customer admitted to retail floor until age/ID verified with valid government photo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§5.1 describes vestibule ID verification (driver’s license, state ID, passport, military ID) before retail-floor admission.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acceptable ID list matches §9-5-13(C).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Seed-to-sale (COMPASS) integration;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 integration confirmed; reconciliation protocol is</w:t>
            </w:r>
            <w:r>
              <w:t xml:space="preserve"> </w:t>
            </w:r>
            <w:r>
              <w:rPr>
                <w:b/>
                <w:bCs/>
              </w:rPr>
              <w:t xml:space="preserve">daily for high-value items only, weekly for full count, monthly comprehensive</w:t>
            </w:r>
            <w:r>
              <w:t xml:space="preserve">. The Code requires reconciliation with physical inventory</w:t>
            </w:r>
            <w:r>
              <w:t xml:space="preserve"> </w:t>
            </w:r>
            <w:r>
              <w:rPr>
                <w:b/>
                <w:bCs/>
              </w:rPr>
              <w:t xml:space="preserve">on a daily basis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to provide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full inventory reconciliation (or daily reconciliation of all cannabis inventory) to match §9-5-13(D); document the daily procedure.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employees hold valid IL Cannabis Dispensing Organization Agent ID Cards before duties; cards worn/displayed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§5.5 requires Agent ID Cards before commencing work and maintains copies in compliance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Dara’s own Agent ID Card status (see §4.16).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§9-5-13(F); Form 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hours 6:00 AM–10:00 PM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and community report confirm 6:00 AM–10:00 PM.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Form Q11 cites</w:t>
            </w:r>
            <w:r>
              <w:t xml:space="preserve"> </w:t>
            </w:r>
            <w:r>
              <w:t xml:space="preserve">“</w:t>
            </w:r>
            <w:r>
              <w:t xml:space="preserve">§9-5-17</w:t>
            </w:r>
            <w:r>
              <w:t xml:space="preserve">”</w:t>
            </w:r>
            <w:r>
              <w:t xml:space="preserve"> </w:t>
            </w:r>
            <w:r>
              <w:t xml:space="preserve">for hours; the correct citation is</w:t>
            </w:r>
            <w:r>
              <w:t xml:space="preserve"> </w:t>
            </w:r>
            <w:r>
              <w:rPr>
                <w:b/>
                <w:bCs/>
              </w:rPr>
              <w:t xml:space="preserve">§9-5-13(F)</w:t>
            </w:r>
            <w:r>
              <w:t xml:space="preserve"> </w:t>
            </w:r>
            <w:r>
              <w:t xml:space="preserve">(§9-5-17 governs the performance bond). Note the error; hours themselves are compliant.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§9-5-13(G); §9-5-5(B)(10); Guide Item 10; Form 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Odor mitigation plan with</w:t>
            </w:r>
            <w:r>
              <w:t xml:space="preserve"> </w:t>
            </w:r>
            <w:r>
              <w:rPr>
                <w:b/>
                <w:bCs/>
              </w:rPr>
              <w:t xml:space="preserve">sealed P.E. certification</w:t>
            </w:r>
            <w:r>
              <w:t xml:space="preserve"> </w:t>
            </w:r>
            <w:r>
              <w:t xml:space="preserve">(IL-licensed) that the system prevents odor beyond the property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(not yet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§5.4 states HVAC/filtration design</w:t>
            </w:r>
            <w:r>
              <w:t xml:space="preserve"> </w:t>
            </w:r>
            <w:r>
              <w:t xml:space="preserve">“</w:t>
            </w:r>
            <w:r>
              <w:t xml:space="preserve">will be finalized during the build-out engineering phase.</w:t>
            </w:r>
            <w:r>
              <w:t xml:space="preserve">”</w:t>
            </w:r>
            <w:r>
              <w:t xml:space="preserve"> </w:t>
            </w:r>
            <w:r>
              <w:t xml:space="preserve">The Code, Guide, and Form all require the P.E. certification</w:t>
            </w:r>
            <w:r>
              <w:t xml:space="preserve"> </w:t>
            </w:r>
            <w:r>
              <w:rPr>
                <w:b/>
                <w:bCs/>
              </w:rPr>
              <w:t xml:space="preserve">at submission</w:t>
            </w:r>
            <w:r>
              <w:t xml:space="preserve">; the Form states applications without it</w:t>
            </w:r>
            <w:r>
              <w:t xml:space="preserve"> </w:t>
            </w:r>
            <w:r>
              <w:t xml:space="preserve">“</w:t>
            </w:r>
            <w:r>
              <w:t xml:space="preserve">will be deemed incomplete and will not proceed to scoring.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Engage an IL-licensed P.E. now to design and</w:t>
            </w:r>
            <w:r>
              <w:t xml:space="preserve"> </w:t>
            </w:r>
            <w:r>
              <w:rPr>
                <w:b/>
                <w:bCs/>
              </w:rPr>
              <w:t xml:space="preserve">seal</w:t>
            </w:r>
            <w:r>
              <w:t xml:space="preserve"> </w:t>
            </w:r>
            <w:r>
              <w:t xml:space="preserve">the odor-mitigation certification before 5/15/2024. Include HVAC specs, carbon filtration details, air-exchange rates, negative pressure, and the property-line adequacy certification. If the design cannot be finalized in time, request a pre-submission conference with the Coordinator regarding sequencing.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Cannabis waste disposal per IEPA/State rules; written waste plan; disposal records retained</w:t>
            </w:r>
            <w:r>
              <w:t xml:space="preserve"> </w:t>
            </w:r>
            <w:r>
              <w:rPr>
                <w:b/>
                <w:bCs/>
              </w:rPr>
              <w:t xml:space="preserve">≥5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§5.4 addresses rendering unusable/unrecognizable, waste logs, licensed vendor, COMPASS recording.</w:t>
            </w:r>
            <w:r>
              <w:t xml:space="preserve"> </w:t>
            </w:r>
            <w:r>
              <w:rPr>
                <w:b/>
                <w:bCs/>
              </w:rPr>
              <w:t xml:space="preserve">5-year retention period not 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explicit 5-year retention for waste disposal records to the waste plan (also satisfies §9-5-18(B)).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Agent-in-Charge present all operating hours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available to return within 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designated AIC.</w:t>
            </w:r>
            <w:r>
              <w:t xml:space="preserve"> </w:t>
            </w:r>
            <w:r>
              <w:rPr>
                <w:b/>
                <w:bCs/>
              </w:rPr>
              <w:t xml:space="preserve">Form Q13 relaxes this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available by telephone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and adds a 30-mile residency rule not in the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for AIC on-site presence or ≤30-minute return capability per the Code (not merely telephone availability). See §4.16.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occupancy posted conspicuously at entrance to retail floor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commits to queue management and posting.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at the</w:t>
            </w:r>
            <w:r>
              <w:t xml:space="preserve"> </w:t>
            </w:r>
            <w:r>
              <w:rPr>
                <w:b/>
                <w:bCs/>
              </w:rPr>
              <w:t xml:space="preserve">entrance to the retail floor area</w:t>
            </w:r>
            <w:r>
              <w:t xml:space="preserve"> </w:t>
            </w:r>
            <w:r>
              <w:t xml:space="preserve">specifically (Form says</w:t>
            </w:r>
            <w:r>
              <w:t xml:space="preserve"> </w:t>
            </w:r>
            <w:r>
              <w:t xml:space="preserve">“</w:t>
            </w:r>
            <w:r>
              <w:t xml:space="preserve">within the dispensary</w:t>
            </w:r>
            <w:r>
              <w:t xml:space="preserve">”</w:t>
            </w:r>
            <w:r>
              <w:t xml:space="preserve"> </w:t>
            </w:r>
            <w:r>
              <w:t xml:space="preserve">— follow the Code).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§9-5-13(K); Form Q29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compliance self-audits; report within 15 days of quarter-end (4/15, 7/15, 10/15, 1/15)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(acknowledged)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§9.2 and Form Q29 acknowledge the quarterly audit schedule and 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at application stage; build the audit template for post-issuance use.</w:t>
            </w:r>
          </w:p>
        </w:tc>
      </w:tr>
    </w:tbl>
    <w:bookmarkEnd w:id="26"/>
    <w:bookmarkStart w:id="27" w:name="environmental-sustainability-plan"/>
    <w:p>
      <w:pPr>
        <w:pStyle w:val="Heading3"/>
      </w:pPr>
      <w:r>
        <w:t xml:space="preserve">4.5 Environmental Sustainability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§9-5-5(B)(11); Guide Item 15; Form Q33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sustainability plan: energy efficiency, waste reduction, water conservation, cannabis waste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§5.4/§3.3 references LED lighting, Energy Star equipment, carbon filtration, waste handling, but</w:t>
            </w:r>
            <w:r>
              <w:t xml:space="preserve"> </w:t>
            </w:r>
            <w:r>
              <w:rPr>
                <w:b/>
                <w:bCs/>
              </w:rPr>
              <w:t xml:space="preserve">no standalone Environmental Sustainability Plan exhibit is confirmed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Attach</w:t>
            </w:r>
            <w:r>
              <w:t xml:space="preserve"> </w:t>
            </w:r>
            <w:r>
              <w:t xml:space="preserve">a standalone Environmental Sustainability Plan exhibit addressing all four required elements (energy, waste reduction/recycling, water conservation, cannabis waste disposal per IEPA).</w:t>
            </w:r>
          </w:p>
        </w:tc>
      </w:tr>
    </w:tbl>
    <w:bookmarkEnd w:id="27"/>
    <w:bookmarkStart w:id="28" w:name="insurance"/>
    <w:p>
      <w:pPr>
        <w:pStyle w:val="Heading3"/>
      </w:pPr>
      <w:r>
        <w:t xml:space="preserve">4.6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§9-5-16(A)(1); Guide Item 16; Form Q27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General Liability ≥ $2M occ. / $4M agg.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obtained, eff. 1/15/2024, $2M/$4M, with cannabis dispensary operations endorsement. Certificate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certificate; ensure City named as additional insured.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§9-5-16(A)(2)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Liability ≥ $2M occ. / $4M agg.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with GL; $2M/$4M; cannabis sale/distribution coverage.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certificate; ensure City named as additional insured.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§9-5-16(A)(3)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Workers’ Comp at IL statutory limits</w:t>
            </w:r>
            <w:r>
              <w:t xml:space="preserve"> </w:t>
            </w:r>
            <w:r>
              <w:rPr>
                <w:b/>
                <w:bCs/>
              </w:rPr>
              <w:t xml:space="preserve">and Employer’s Liability ≥ $1M per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quoted, to be bound upon first hire.</w:t>
            </w:r>
            <w:r>
              <w:t xml:space="preserve"> </w:t>
            </w:r>
            <w:r>
              <w:rPr>
                <w:b/>
                <w:bCs/>
              </w:rPr>
              <w:t xml:space="preserve">Employer’s Liability limit not addressed</w:t>
            </w:r>
            <w:r>
              <w:t xml:space="preserve"> </w:t>
            </w:r>
            <w:r>
              <w:t xml:space="preserve">in the insurance memo; the lease only requires $500K (below the Code’s $1M).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Confirm Employer’s Liability at</w:t>
            </w:r>
            <w:r>
              <w:t xml:space="preserve"> </w:t>
            </w:r>
            <w:r>
              <w:rPr>
                <w:b/>
                <w:bCs/>
              </w:rPr>
              <w:t xml:space="preserve">≥ $1M per accident</w:t>
            </w:r>
            <w:r>
              <w:t xml:space="preserve"> </w:t>
            </w:r>
            <w:r>
              <w:t xml:space="preserve">(not the lease’s $500K). Bind WC before first hire; submit certificate pre-issuance.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§9-5-16(A)(4)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Cannabis-Specific Crime &amp; Theft ≥ 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(not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negotiation with Canopy Risk Underwriters;</w:t>
            </w:r>
            <w:r>
              <w:t xml:space="preserve"> </w:t>
            </w:r>
            <w:r>
              <w:rPr>
                <w:b/>
                <w:bCs/>
              </w:rPr>
              <w:t xml:space="preserve">not bound</w:t>
            </w:r>
            <w:r>
              <w:t xml:space="preserve">; underwriting blocked on the unfinished security plan. Standard markets declined.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Finalize the security plan to unblock Canopy underwriting; obtain at minimum a</w:t>
            </w:r>
            <w:r>
              <w:t xml:space="preserve"> </w:t>
            </w:r>
            <w:r>
              <w:rPr>
                <w:b/>
                <w:bCs/>
              </w:rPr>
              <w:t xml:space="preserve">binding commitment letter/binder</w:t>
            </w:r>
            <w:r>
              <w:t xml:space="preserve"> </w:t>
            </w:r>
            <w:r>
              <w:t xml:space="preserve">before submission (Guide Item 16 permits a commitment letter for policies to be bound pre-issuance). Identify a backup specialty carrier.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named additional insured on all GL and Product Liability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states policies</w:t>
            </w:r>
            <w:r>
              <w:t xml:space="preserve"> </w:t>
            </w:r>
            <w:r>
              <w:t xml:space="preserve">“</w:t>
            </w:r>
            <w:r>
              <w:t xml:space="preserve">can be endorsed to name the City… upon request.</w:t>
            </w:r>
            <w:r>
              <w:t xml:space="preserve">”</w:t>
            </w:r>
            <w:r>
              <w:t xml:space="preserve"> </w:t>
            </w:r>
            <w:r>
              <w:t xml:space="preserve">Not yet endorsed.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additional-insured endorsements on GL and Product Liability certificates before permit issuance.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Insurers authorized in IL and rated</w:t>
            </w:r>
            <w:r>
              <w:t xml:space="preserve"> </w:t>
            </w:r>
            <w:r>
              <w:rPr>
                <w:b/>
                <w:bCs/>
              </w:rPr>
              <w:t xml:space="preserve">≥ A- by AM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 Best ratings of the carriers (commercial broker, Canopy Risk)</w:t>
            </w:r>
            <w:r>
              <w:t xml:space="preserve"> </w:t>
            </w:r>
            <w:r>
              <w:rPr>
                <w:b/>
                <w:bCs/>
              </w:rPr>
              <w:t xml:space="preserve">not stated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and document AM Best ratings (≥ A-) for all carriers; if a carrier is below A-, replace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 days’ written notice to City of cancellation/non-renewal/material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§6.4 and Form Q27 note acknowledge 30-day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30-day notice endorsement is in each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§9-5-16(E)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Lapse &gt;14 consecutive days = grounds for immediate suspension; suspend ops within 48 hrs of any 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(acknowledged)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 in the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lapse-monitoring into compliance procedures.</w:t>
            </w:r>
          </w:p>
        </w:tc>
      </w:tr>
    </w:tbl>
    <w:bookmarkEnd w:id="28"/>
    <w:bookmarkStart w:id="29" w:name="bonding-letter-of-credit"/>
    <w:p>
      <w:pPr>
        <w:pStyle w:val="Heading3"/>
      </w:pPr>
      <w:r>
        <w:t xml:space="preserve">4.7 Bonding / Letter of Credit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§9-5-5(B)(16); §9-5-17(A); Guide Item 17; Form 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bonding capacity (commitment letter)</w:t>
            </w:r>
            <w:r>
              <w:t xml:space="preserve"> </w:t>
            </w:r>
            <w:r>
              <w:rPr>
                <w:b/>
                <w:bCs/>
              </w:rPr>
              <w:t xml:space="preserve">at application</w:t>
            </w:r>
            <w:r>
              <w:t xml:space="preserve">; $50,000 bond/LOC</w:t>
            </w:r>
            <w:r>
              <w:t xml:space="preserve"> </w:t>
            </w:r>
            <w:r>
              <w:rPr>
                <w:b/>
                <w:bCs/>
              </w:rPr>
              <w:t xml:space="preserve">pre-issuance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</w:t>
            </w:r>
            <w:r>
              <w:t xml:space="preserve"> </w:t>
            </w:r>
            <w:r>
              <w:rPr>
                <w:b/>
                <w:bCs/>
              </w:rPr>
              <w:t xml:space="preserve">verbal/preliminary inquiry</w:t>
            </w:r>
            <w:r>
              <w:t xml:space="preserve"> </w:t>
            </w:r>
            <w:r>
              <w:t xml:space="preserve">with Thornfield Surety Group;</w:t>
            </w:r>
            <w:r>
              <w:t xml:space="preserve"> </w:t>
            </w:r>
            <w:r>
              <w:rPr>
                <w:b/>
                <w:bCs/>
              </w:rPr>
              <w:t xml:space="preserve">no formal commitment letter</w:t>
            </w:r>
            <w:r>
              <w:t xml:space="preserve">. Ridgeline Bank LOC discussed but no formal terms.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Obtain a</w:t>
            </w:r>
            <w:r>
              <w:t xml:space="preserve"> </w:t>
            </w:r>
            <w:r>
              <w:rPr>
                <w:b/>
                <w:bCs/>
              </w:rPr>
              <w:t xml:space="preserve">formal commitment letter</w:t>
            </w:r>
            <w:r>
              <w:t xml:space="preserve"> </w:t>
            </w:r>
            <w:r>
              <w:t xml:space="preserve">from Thornfield (or an LOC commitment from Ridgeline) on letterhead, signed by an authorized officer, dated within 60 days of submission, confirming ability to provide the $50,000 instrument naming the City as obligee/beneficiary.</w:t>
            </w:r>
            <w:r>
              <w:t xml:space="preserve"> </w:t>
            </w:r>
            <w:r>
              <w:rPr>
                <w:b/>
                <w:bCs/>
              </w:rPr>
              <w:t xml:space="preserve">Without it, the application loses 10 of 30 Financial Viability points and risks an incompleteness finding under Guide Item 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§9-5-17(B)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Surety authorized in IL and rated</w:t>
            </w:r>
            <w:r>
              <w:t xml:space="preserve"> </w:t>
            </w:r>
            <w:r>
              <w:rPr>
                <w:b/>
                <w:bCs/>
              </w:rPr>
              <w:t xml:space="preserve">≥ A- by AM Best</w:t>
            </w:r>
            <w:r>
              <w:t xml:space="preserve"> </w:t>
            </w:r>
            <w:r>
              <w:t xml:space="preserve">(or federally insured FI for LOC)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Thornfield’s AM Best rating and IL authorization not 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Thornfield’s AM Best rating (≥ A-) and IL authorization, or select a qualifying surety.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§9-5-17(C)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Bond/LOC guarantees compliance; City may draw upon written notice (except emergencies)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(concept)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the instrument’s form permits City draw as required; have the City Attorney approve the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§9-5-17(D)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Bond/LOC remains in force for permit duration</w:t>
            </w:r>
            <w:r>
              <w:t xml:space="preserve"> </w:t>
            </w:r>
            <w:r>
              <w:rPr>
                <w:b/>
                <w:bCs/>
              </w:rPr>
              <w:t xml:space="preserve">+ 1 year</w:t>
            </w:r>
            <w:r>
              <w:t xml:space="preserve"> </w:t>
            </w:r>
            <w:r>
              <w:t xml:space="preserve">after expiration/revocation/surrender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instruction 5 and Guide §6 state the bond must remain</w:t>
            </w:r>
            <w:r>
              <w:t xml:space="preserve"> </w:t>
            </w:r>
            <w:r>
              <w:t xml:space="preserve">“</w:t>
            </w:r>
            <w:r>
              <w:t xml:space="preserve">for the duration of the permit term</w:t>
            </w:r>
            <w:r>
              <w:t xml:space="preserve">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omit the +1-year tail</w:t>
            </w:r>
            <w:r>
              <w:t xml:space="preserve"> </w:t>
            </w:r>
            <w:r>
              <w:t xml:space="preserve">required by the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the bond/LOC to run</w:t>
            </w:r>
            <w:r>
              <w:t xml:space="preserve"> </w:t>
            </w:r>
            <w:r>
              <w:rPr>
                <w:b/>
                <w:bCs/>
              </w:rPr>
              <w:t xml:space="preserve">through the permit term plus one year</w:t>
            </w:r>
            <w:r>
              <w:t xml:space="preserve">; do not rely on the Form/Guide’s shorter duration.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§9-5-17(E)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Renew/replace bond/LOC</w:t>
            </w:r>
            <w:r>
              <w:t xml:space="preserve"> </w:t>
            </w:r>
            <w:r>
              <w:rPr>
                <w:b/>
                <w:bCs/>
              </w:rPr>
              <w:t xml:space="preserve">≥30 days</w:t>
            </w:r>
            <w:r>
              <w:t xml:space="preserve"> </w:t>
            </w:r>
            <w:r>
              <w:t xml:space="preserve">before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the Form/Guide or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30-day pre-expiration renewal calendar into compliance procedures.</w:t>
            </w:r>
          </w:p>
        </w:tc>
      </w:tr>
    </w:tbl>
    <w:bookmarkEnd w:id="29"/>
    <w:bookmarkStart w:id="30" w:name="community-engagement"/>
    <w:p>
      <w:pPr>
        <w:pStyle w:val="Heading3"/>
      </w:pPr>
      <w:r>
        <w:t xml:space="preserve">4.8 Community Engagement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§9-5-8(A); Guide Item 12; Form Q22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sessions within Evanston, before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sessions held (3/12/2024 and 4/9/2024) at Evanston Public Library, within city limits.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session noticed</w:t>
            </w:r>
            <w:r>
              <w:t xml:space="preserve"> </w:t>
            </w:r>
            <w:r>
              <w:rPr>
                <w:b/>
                <w:bCs/>
              </w:rPr>
              <w:t xml:space="preserve">≥14 calendar days</w:t>
            </w:r>
            <w:r>
              <w:t xml:space="preserve"> </w:t>
            </w:r>
            <w:r>
              <w:t xml:space="preserve">in advance by (1) newspaper publication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(2) City website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(Session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1: published 2/25/2024 → 3/12/2024 =</w:t>
            </w:r>
            <w:r>
              <w:t xml:space="preserve"> </w:t>
            </w:r>
            <w:r>
              <w:rPr>
                <w:b/>
                <w:bCs/>
              </w:rPr>
              <w:t xml:space="preserve">15 days</w:t>
            </w:r>
            <w:r>
              <w:t xml:space="preserve"> </w:t>
            </w:r>
            <w:r>
              <w:t xml:space="preserve">✓. Session 2: published 3/28/2024 → 4/9/2024 =</w:t>
            </w:r>
            <w:r>
              <w:t xml:space="preserve"> </w:t>
            </w:r>
            <w:r>
              <w:rPr>
                <w:b/>
                <w:bCs/>
              </w:rPr>
              <w:t xml:space="preserve">12 days</w:t>
            </w:r>
            <w:r>
              <w:t xml:space="preserve"> </w:t>
            </w:r>
            <w:r>
              <w:t xml:space="preserve">✗ (short of 14). Website posting done for both (per report).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[CRITICAL]</w:t>
            </w:r>
            <w:r>
              <w:t xml:space="preserve"> </w:t>
            </w:r>
            <w:r>
              <w:t xml:space="preserve">Session 2’s 12-day notice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§9-5-8(B). The Code allows</w:t>
            </w:r>
            <w:r>
              <w:t xml:space="preserve"> </w:t>
            </w:r>
            <w:r>
              <w:rPr>
                <w:b/>
                <w:bCs/>
              </w:rPr>
              <w:t xml:space="preserve">no waiver</w:t>
            </w:r>
            <w:r>
              <w:t xml:space="preserve"> </w:t>
            </w:r>
            <w:r>
              <w:t xml:space="preserve">of the notice/session requirements (§9-5-8(F)).</w:t>
            </w:r>
            <w:r>
              <w:t xml:space="preserve"> </w:t>
            </w:r>
            <w:r>
              <w:rPr>
                <w:b/>
                <w:bCs/>
              </w:rPr>
              <w:t xml:space="preserve">Re-hold Session 2</w:t>
            </w:r>
            <w:r>
              <w:t xml:space="preserve"> </w:t>
            </w:r>
            <w:r>
              <w:t xml:space="preserve">(or hold a third qualifying session) with ≥14-day newspaper + website notice, and submit compliant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content: applicant name, address, date/time/location, description (adult-use/medical/both),</w:t>
            </w:r>
            <w:r>
              <w:t xml:space="preserve"> </w:t>
            </w:r>
            <w:r>
              <w:rPr>
                <w:b/>
                <w:bCs/>
              </w:rPr>
              <w:t xml:space="preserve">telephone and email</w:t>
            </w:r>
            <w:r>
              <w:t xml:space="preserve"> </w:t>
            </w: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notices (Exhibit C) include applicant, address, date/time/location,</w:t>
            </w:r>
            <w:r>
              <w:t xml:space="preserve"> </w:t>
            </w:r>
            <w:r>
              <w:t xml:space="preserve">“</w:t>
            </w:r>
            <w:r>
              <w:t xml:space="preserve">adult-use cannabis dispensary,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email only — no telephone number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b/>
                <w:bCs/>
              </w:rPr>
              <w:t xml:space="preserve">telephone number</w:t>
            </w:r>
            <w:r>
              <w:t xml:space="preserve"> </w:t>
            </w:r>
            <w:r>
              <w:t xml:space="preserve">to all future notices (§9-5-8(C)(5)). If medical service is intended (lease permits adult-use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medical), state</w:t>
            </w:r>
            <w:r>
              <w:t xml:space="preserve"> </w:t>
            </w:r>
            <w:r>
              <w:t xml:space="preserve">“</w:t>
            </w:r>
            <w:r>
              <w:t xml:space="preserve">both.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session during evening hours after 5:00 PM; presentation + dedicated public comment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sessions at 6:30 PM (after 5:00 PM) with presentation + Q&amp;A.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§9-5-8(E)(1)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 of published notices +</w:t>
            </w:r>
            <w:r>
              <w:t xml:space="preserve"> </w:t>
            </w:r>
            <w:r>
              <w:rPr>
                <w:b/>
                <w:bCs/>
              </w:rPr>
              <w:t xml:space="preserve">proof of publication</w:t>
            </w:r>
            <w:r>
              <w:t xml:space="preserve"> </w:t>
            </w:r>
            <w:r>
              <w:t xml:space="preserve">(publisher’s affidavit or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 of notices attached (Exhibit C);</w:t>
            </w:r>
            <w:r>
              <w:t xml:space="preserve"> </w:t>
            </w:r>
            <w:r>
              <w:rPr>
                <w:b/>
                <w:bCs/>
              </w:rPr>
              <w:t xml:space="preserve">publisher’s affidavit not included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t xml:space="preserve">“</w:t>
            </w:r>
            <w:r>
              <w:t xml:space="preserve">copies of the original published notices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and attach a</w:t>
            </w:r>
            <w:r>
              <w:t xml:space="preserve"> </w:t>
            </w:r>
            <w:r>
              <w:rPr>
                <w:b/>
                <w:bCs/>
              </w:rPr>
              <w:t xml:space="preserve">publisher’s affidavit</w:t>
            </w:r>
            <w:r>
              <w:t xml:space="preserve"> </w:t>
            </w:r>
            <w:r>
              <w:t xml:space="preserve">of publication from the Evanston Roundtable for each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§9-5-8(E)(2)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City website posting, including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states website posting confirmations were received via email from the Coordinator, but</w:t>
            </w:r>
            <w:r>
              <w:t xml:space="preserve"> </w:t>
            </w:r>
            <w:r>
              <w:rPr>
                <w:b/>
                <w:bCs/>
              </w:rPr>
              <w:t xml:space="preserve">the confirmations are not attached as exhibits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the actual website-posting confirmation emails/dates as exhibits.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§9-5-8(E)(3)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 sheet / attendance record (names + voluntary addresses)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Exhibits A &amp; B: signed attendance sheets with names and addresses (22 and 31 attendees).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§9-5-8(E)(4)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summary: date, time, location,</w:t>
            </w:r>
            <w:r>
              <w:t xml:space="preserve"> </w:t>
            </w:r>
            <w:r>
              <w:rPr>
                <w:b/>
                <w:bCs/>
              </w:rPr>
              <w:t xml:space="preserve">duration</w:t>
            </w:r>
            <w:r>
              <w:t xml:space="preserve">, topics, questions, concerns, applicant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includes date, time, location, duration (90 min / 120 min), topics, questions, concerns, and responses.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§9-5-8(E)(5)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written comments/correspondence received from the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referenced or attached.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written comments were received, attach them; if none, state so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Form Q22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cites</w:t>
            </w:r>
            <w:r>
              <w:t xml:space="preserve"> </w:t>
            </w:r>
            <w:r>
              <w:t xml:space="preserve">“</w:t>
            </w:r>
            <w:r>
              <w:t xml:space="preserve">§9-5-15</w:t>
            </w:r>
            <w:r>
              <w:t xml:space="preserve">”</w:t>
            </w:r>
            <w:r>
              <w:t xml:space="preserve"> </w:t>
            </w:r>
            <w:r>
              <w:t xml:space="preserve">for community engagement and requires only newspaper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 is governed by</w:t>
            </w:r>
            <w:r>
              <w:t xml:space="preserve"> </w:t>
            </w:r>
            <w:r>
              <w:rPr>
                <w:b/>
                <w:bCs/>
              </w:rPr>
              <w:t xml:space="preserve">§9-5-8</w:t>
            </w:r>
            <w:r>
              <w:t xml:space="preserve"> </w:t>
            </w:r>
            <w:r>
              <w:t xml:space="preserve">(§9-5-15 is the community benefit contribution). The Form also omits the</w:t>
            </w:r>
            <w:r>
              <w:t xml:space="preserve"> </w:t>
            </w:r>
            <w:r>
              <w:rPr>
                <w:b/>
                <w:bCs/>
              </w:rPr>
              <w:t xml:space="preserve">website-posting</w:t>
            </w:r>
            <w:r>
              <w:t xml:space="preserve"> </w:t>
            </w:r>
            <w:r>
              <w:t xml:space="preserve">requirement that §9-5-8(B)(2) mandates.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</w:t>
            </w:r>
            <w:r>
              <w:t xml:space="preserve"> </w:t>
            </w:r>
            <w:r>
              <w:rPr>
                <w:b/>
                <w:bCs/>
              </w:rPr>
              <w:t xml:space="preserve">did</w:t>
            </w:r>
            <w:r>
              <w:t xml:space="preserve"> </w:t>
            </w:r>
            <w:r>
              <w:t xml:space="preserve">post to the website (code-compliant). Note the Form’s wrong citation and missing website-posting element; satisfy the Code in full.</w:t>
            </w:r>
          </w:p>
        </w:tc>
      </w:tr>
    </w:tbl>
    <w:bookmarkEnd w:id="30"/>
    <w:bookmarkStart w:id="31" w:name="community-benefits-plan"/>
    <w:p>
      <w:pPr>
        <w:pStyle w:val="Heading3"/>
      </w:pPr>
      <w:r>
        <w:t xml:space="preserve">4.9 Community Benefits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§9-5-5(B)(12); §9-5-15; Guide Item 13; Form Q28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benefits plan; annual contribution = greater of $25,000 or 1% of gross annual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(calculation)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1: 1% of $3,200,000 = $32,000 &gt; $25,000 →</w:t>
            </w:r>
            <w:r>
              <w:t xml:space="preserve"> </w:t>
            </w:r>
            <w:r>
              <w:rPr>
                <w:b/>
                <w:bCs/>
              </w:rPr>
              <w:t xml:space="preserve">$32,000</w:t>
            </w:r>
            <w:r>
              <w:t xml:space="preserve">. Correctly calculated. Years 2–3 projected ($41K, $48K).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a standalone Community Benefits Plan exhibit; the signed community benefit agreement is a</w:t>
            </w:r>
            <w:r>
              <w:t xml:space="preserve"> </w:t>
            </w:r>
            <w:r>
              <w:rPr>
                <w:b/>
                <w:bCs/>
              </w:rPr>
              <w:t xml:space="preserve">pre-issuance</w:t>
            </w:r>
            <w:r>
              <w:t xml:space="preserve"> </w:t>
            </w:r>
            <w:r>
              <w:t xml:space="preserve">item (§9-5-11(H)).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§9-5-15(D)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gross-revenue statement by IL-licensed CPA at payment (within 90 days of permit year-end)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(acknowledged)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acknowledges annual documentation at renewal.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Note: the Form Q28 note and Guide §7.4 reference an</w:t>
            </w:r>
            <w:r>
              <w:t xml:space="preserve"> </w:t>
            </w:r>
            <w:r>
              <w:t xml:space="preserve">“</w:t>
            </w:r>
            <w:r>
              <w:t xml:space="preserve">annual report</w:t>
            </w:r>
            <w:r>
              <w:t xml:space="preserve">”</w:t>
            </w:r>
            <w:r>
              <w:t xml:space="preserve"> </w:t>
            </w:r>
            <w:r>
              <w:t xml:space="preserve">but do not explicitly require the</w:t>
            </w:r>
            <w:r>
              <w:t xml:space="preserve"> </w:t>
            </w:r>
            <w:r>
              <w:rPr>
                <w:b/>
                <w:bCs/>
              </w:rPr>
              <w:t xml:space="preserve">audited CPA statement</w:t>
            </w:r>
            <w:r>
              <w:t xml:space="preserve">; follow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§9-5-15(E)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used only for enumerated R3/workforce/health/youth/justice/infrastructure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§7.4 targets youth/education, substance-abuse prevention, R3 community development, local nonprofits — all eligible uses.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final beneficiary selections with the six enumerated uses.</w:t>
            </w:r>
          </w:p>
        </w:tc>
      </w:tr>
    </w:tbl>
    <w:bookmarkEnd w:id="31"/>
    <w:bookmarkStart w:id="32" w:name="diversity-inclusion-plan"/>
    <w:p>
      <w:pPr>
        <w:pStyle w:val="Heading3"/>
      </w:pPr>
      <w:r>
        <w:t xml:space="preserve">4.10 Diversity &amp; Inclusion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§9-5-5(B)(13); §9-5-20(A)–(B); Guide Item 14; Form Q31/Q32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D&amp;I plan: hiring practices, measurable goals, vendor diversity, DEI training, measurement/reporting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§7.5 addresses diverse procurement and §7.2 addresses hiring, but</w:t>
            </w:r>
            <w:r>
              <w:t xml:space="preserve"> </w:t>
            </w:r>
            <w:r>
              <w:rPr>
                <w:b/>
                <w:bCs/>
              </w:rPr>
              <w:t xml:space="preserve">no standalone D&amp;I plan exhibit (3–5 pages) is confirmed</w:t>
            </w:r>
            <w:r>
              <w:t xml:space="preserve">, and workforce-development partnerships are</w:t>
            </w:r>
            <w:r>
              <w:t xml:space="preserve"> </w:t>
            </w:r>
            <w:r>
              <w:t xml:space="preserve">“</w:t>
            </w:r>
            <w:r>
              <w:t xml:space="preserve">not yet formalized.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Attach</w:t>
            </w:r>
            <w:r>
              <w:t xml:space="preserve"> </w:t>
            </w:r>
            <w:r>
              <w:t xml:space="preserve">a standalone D&amp;I plan exhibit with specific, measurable goals, identified partners, vendor-diversity strategies, DEI training, and reporting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§9-5-20(C)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Social-equity applicants: detailed hiring pipeline for the 50% R3 workforce requirement, with</w:t>
            </w:r>
            <w:r>
              <w:t xml:space="preserve"> </w:t>
            </w:r>
            <w:r>
              <w:rPr>
                <w:b/>
                <w:bCs/>
              </w:rPr>
              <w:t xml:space="preserve">specific workforce-development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§7.2 lists recruitment strategies (job fairs, community boards) but states partnerships</w:t>
            </w:r>
            <w:r>
              <w:t xml:space="preserve"> </w:t>
            </w:r>
            <w:r>
              <w:t xml:space="preserve">“</w:t>
            </w:r>
            <w:r>
              <w:t xml:space="preserve">have not yet been formalized</w:t>
            </w:r>
            <w:r>
              <w:t xml:space="preserve">”</w:t>
            </w:r>
            <w:r>
              <w:t xml:space="preserve"> </w:t>
            </w:r>
            <w:r>
              <w:t xml:space="preserve">and will be developed</w:t>
            </w:r>
            <w:r>
              <w:t xml:space="preserve"> </w:t>
            </w:r>
            <w:r>
              <w:t xml:space="preserve">“</w:t>
            </w:r>
            <w:r>
              <w:t xml:space="preserve">during the pre-opening phase.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Identify specific workforce-development partner organizations</w:t>
            </w:r>
            <w:r>
              <w:t xml:space="preserve"> </w:t>
            </w:r>
            <w:r>
              <w:t xml:space="preserve">by name and describe the recruitment methodology and timeline to reach 50% — the Code expects identified partners, not post-issuance intentions.</w:t>
            </w:r>
          </w:p>
        </w:tc>
      </w:tr>
    </w:tbl>
    <w:bookmarkEnd w:id="32"/>
    <w:bookmarkStart w:id="33" w:name="social-equity-designation"/>
    <w:p>
      <w:pPr>
        <w:pStyle w:val="Heading3"/>
      </w:pPr>
      <w:r>
        <w:t xml:space="preserve">4.11 Social Equity Designation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§9-5-19(B); Guide §2; Form Q19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Qualifying individual holds</w:t>
            </w:r>
            <w:r>
              <w:t xml:space="preserve"> </w:t>
            </w:r>
            <w:r>
              <w:rPr>
                <w:b/>
                <w:bCs/>
              </w:rPr>
              <w:t xml:space="preserve">majority</w:t>
            </w:r>
            <w:r>
              <w:t xml:space="preserve"> </w:t>
            </w:r>
            <w:r>
              <w:t xml:space="preserve">ownership (Code: &gt;50%; Guide/State: ≥51%)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Okonkwo holds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  <w:r>
              <w:t xml:space="preserve"> </w:t>
            </w:r>
            <w:r>
              <w:t xml:space="preserve">— satisfies all thresholds.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§9-5-19(B)(1)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residency: primary residence in a designated R3 tract for</w:t>
            </w:r>
            <w:r>
              <w:t xml:space="preserve"> </w:t>
            </w:r>
            <w:r>
              <w:rPr>
                <w:b/>
                <w:bCs/>
              </w:rPr>
              <w:t xml:space="preserve">≥24 continuous months</w:t>
            </w:r>
            <w:r>
              <w:t xml:space="preserve"> </w:t>
            </w:r>
            <w:r>
              <w:t xml:space="preserve">before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resides in</w:t>
            </w:r>
            <w:r>
              <w:t xml:space="preserve"> </w:t>
            </w:r>
            <w:r>
              <w:rPr>
                <w:b/>
                <w:bCs/>
              </w:rPr>
              <w:t xml:space="preserve">tract 8092.02</w:t>
            </w:r>
            <w:r>
              <w:t xml:space="preserve"> </w:t>
            </w:r>
            <w:r>
              <w:t xml:space="preserve">(on the §9-5-19(G) R3 list).</w:t>
            </w:r>
            <w:r>
              <w:t xml:space="preserve"> </w:t>
            </w:r>
            <w:r>
              <w:rPr>
                <w:b/>
                <w:bCs/>
              </w:rPr>
              <w:t xml:space="preserve">Duration of residency (24 months) is not documented</w:t>
            </w:r>
            <w:r>
              <w:t xml:space="preserve"> </w:t>
            </w:r>
            <w:r>
              <w:t xml:space="preserve">in the package; the State license cites 5-of-10-years DIA residency (a State criterion, not the City’s 24-month R3 rule).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  <w:r>
              <w:t xml:space="preserve"> </w:t>
            </w:r>
            <w:r>
              <w:rPr>
                <w:b/>
                <w:bCs/>
              </w:rPr>
              <w:t xml:space="preserve">≥24 months</w:t>
            </w:r>
            <w:r>
              <w:t xml:space="preserve"> </w:t>
            </w:r>
            <w:r>
              <w:t xml:space="preserve">of continuous residence in tract 8092.02 (Form Q20 asks for duration + two proofs of residency dated within 90 days). If 24 months cannot be shown, rely on criterion (2)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§9-5-19(B)(2)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cannabis-related arrest/conviction</w:t>
            </w:r>
            <w:r>
              <w:t xml:space="preserve"> </w:t>
            </w:r>
            <w:r>
              <w:rPr>
                <w:b/>
                <w:bCs/>
              </w:rPr>
              <w:t xml:space="preserve">subsequently expunged, sealed, or pardoned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Dara’s 2016 misdemeanor possession (&lt;30g), Cook County,</w:t>
            </w:r>
            <w:r>
              <w:t xml:space="preserve"> </w:t>
            </w:r>
            <w:r>
              <w:rPr>
                <w:b/>
                <w:bCs/>
              </w:rPr>
              <w:t xml:space="preserve">expunged 2020</w:t>
            </w:r>
            <w:r>
              <w:t xml:space="preserve"> </w:t>
            </w:r>
            <w:r>
              <w:t xml:space="preserve">— satisfies §9-5-19(B)(2).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Attach the expungement court order</w:t>
            </w:r>
            <w:r>
              <w:t xml:space="preserve"> </w:t>
            </w:r>
            <w:r>
              <w:t xml:space="preserve">as social-equity documentation (Guide Item 18(b)). This basis alone qualifies Greenleaf even if the 24-month R3 residency is not documented.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§9-5-19(C)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20-point scoring bonus upon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claims the bonus; qualifying individual at 60% ownership.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Form Q19/Q20 and Item 18 documentation fully support the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§9-5-19(D)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≥50% of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employees (FT and PT) are R3 residents; binding continuing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Plan: 6 of 12 FTEs from R3 tracts.</w:t>
            </w:r>
            <w:r>
              <w:t xml:space="preserve"> </w:t>
            </w:r>
            <w:r>
              <w:rPr>
                <w:b/>
                <w:bCs/>
              </w:rPr>
              <w:t xml:space="preserve">Form Q21(a) excludes principal officers and contractors 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workforce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— the Code contains no such exclusion and applies to FT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PT employees. If any PT employees are later hired, they must be counted.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to count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FT and PT employees (per the Code, not the Form’s narrower definition). Maintain contemporaneous residency proof for each R3 employee.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§9-5-19(E)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Participate in Cannabis Business Mentorship Program for</w:t>
            </w:r>
            <w:r>
              <w:t xml:space="preserve"> </w:t>
            </w:r>
            <w:r>
              <w:rPr>
                <w:b/>
                <w:bCs/>
              </w:rPr>
              <w:t xml:space="preserve">≥2 years</w:t>
            </w:r>
            <w:r>
              <w:t xml:space="preserve"> </w:t>
            </w:r>
            <w:r>
              <w:t xml:space="preserve">from permit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(commitment)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§7.3 and Form Q21(b) commit to the 2-year mentorship.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the mentorship commitment (Guide Item 18(c)); track attendance/workshops/semi-annual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§9-5-19(G)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tracts: 8092.01, 8092.02, 8093.00, 8094.01, 8094.02, 8095.00, 8096.00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Dara’s tract 8092.02 is on the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License §3 vs. Code §9-5-19(B)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social-equity basis (DIA 5/10 yrs;</w:t>
            </w:r>
            <w:r>
              <w:t xml:space="preserve"> </w:t>
            </w:r>
            <w:r>
              <w:t xml:space="preserve">“</w:t>
            </w:r>
            <w:r>
              <w:t xml:space="preserve">eligible for expungement</w:t>
            </w:r>
            <w:r>
              <w:t xml:space="preserve">”</w:t>
            </w:r>
            <w:r>
              <w:t xml:space="preserve">) differs from City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qualifies Dara on DIA residency and</w:t>
            </w:r>
            <w:r>
              <w:t xml:space="preserve"> </w:t>
            </w:r>
            <w:r>
              <w:t xml:space="preserve">“</w:t>
            </w:r>
            <w:r>
              <w:t xml:space="preserve">eligible for expungement</w:t>
            </w:r>
            <w:r>
              <w:t xml:space="preserve">”</w:t>
            </w:r>
            <w:r>
              <w:t xml:space="preserve">; the City requires R3-tract 24-month residency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an actually expunged/sealed/pardoned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Rely on the</w:t>
            </w:r>
            <w:r>
              <w:t xml:space="preserve"> </w:t>
            </w:r>
            <w:r>
              <w:rPr>
                <w:b/>
                <w:bCs/>
              </w:rPr>
              <w:t xml:space="preserve">City</w:t>
            </w:r>
            <w:r>
              <w:t xml:space="preserve"> </w:t>
            </w:r>
            <w:r>
              <w:t xml:space="preserve">criteria for the local bonus; the State designation is supportive but not dispositive of City eligibility. Document the expungement (criterion 2) as the primary City basis.</w:t>
            </w:r>
          </w:p>
        </w:tc>
      </w:tr>
    </w:tbl>
    <w:bookmarkEnd w:id="33"/>
    <w:bookmarkStart w:id="34" w:name="Xf1509636b3661b41ac8d8c779281b8058148982"/>
    <w:p>
      <w:pPr>
        <w:pStyle w:val="Heading3"/>
      </w:pPr>
      <w:r>
        <w:t xml:space="preserve">4.12 Principal Officer Disclosures &amp; Background Checks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§9-5-5(B)(4); Guide Item 5; Form Q11/Q12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list of principal officers (≥5% owners): full legal name,</w:t>
            </w:r>
            <w:r>
              <w:t xml:space="preserve"> </w:t>
            </w:r>
            <w:r>
              <w:rPr>
                <w:b/>
                <w:bCs/>
              </w:rPr>
              <w:t xml:space="preserve">DOB</w:t>
            </w:r>
            <w:r>
              <w:t xml:space="preserve">, home address, ownership %, role,</w:t>
            </w:r>
            <w:r>
              <w:t xml:space="preserve"> </w:t>
            </w:r>
            <w:r>
              <w:rPr>
                <w:b/>
                <w:bCs/>
              </w:rPr>
              <w:t xml:space="preserve">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names Dara (60%) and Felix (40%) with roles/addresses, but</w:t>
            </w:r>
            <w:r>
              <w:t xml:space="preserve"> </w:t>
            </w:r>
            <w:r>
              <w:rPr>
                <w:b/>
                <w:bCs/>
              </w:rPr>
              <w:t xml:space="preserve">DOB (only ages given), SSN, and Individual Disclosure Forms are not in the package</w:t>
            </w:r>
            <w:r>
              <w:t xml:space="preserve"> </w:t>
            </w:r>
            <w:r>
              <w:t xml:space="preserve">(Form is blank).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Form Q11/Q12 and Appendix A Individual Disclosure Forms for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Dara and Felix with full legal name, DOB, address, ownership %, role, and SSN.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§9-5-22(A); Guide Item 5; Form Q14A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Fingerprint-based background check (IL State Police + FBI) authorization for each principal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license confirms both underwent State/FBI fingerprint checks, but the</w:t>
            </w:r>
            <w:r>
              <w:t xml:space="preserve"> </w:t>
            </w:r>
            <w:r>
              <w:rPr>
                <w:b/>
                <w:bCs/>
              </w:rPr>
              <w:t xml:space="preserve">City requires its own authorization forms and fingerprint receipts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signed City background-check authorizations (Form Q14A) and Live Scan fingerprint receipts for both Dara and Felix.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§9-5-22(C)–(D)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Disqualifying offenses (felony ≤10 yrs; controlled-substance/sex/violent felony any time); expunged/sealed not disqualifying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Felix reported to have no criminal history; Dara’s 2016 cannabis misdemeanor was expunged (not disqualifying under §9-5-22(D)(3)).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Form Q14B criminal-history disclosure for both; attach expungement order for Dara.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 Item 5; Form Q14C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license denial/suspension/revocation disclosure (≥10% ownership entities)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the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Form Q14C for both owners; Felix’s employment at a non-cannabis distributor should be reviewed for any prior cannabis-license history (Form Q10).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photo ID + proof of residency (within 90 days) for each principal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attached.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photo ID and proof-of-residency documents (within 90 days) for both Dara and Felix.</w:t>
            </w:r>
          </w:p>
        </w:tc>
      </w:tr>
    </w:tbl>
    <w:bookmarkEnd w:id="34"/>
    <w:bookmarkStart w:id="35" w:name="agent-in-charge"/>
    <w:p>
      <w:pPr>
        <w:pStyle w:val="Heading3"/>
      </w:pPr>
      <w:r>
        <w:t xml:space="preserve">4.13 Agent-in-Charge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§9-5-13(I); §9-5-5(B); Guide Item 19; Form 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 Agent-in-Charge; present all operating hours</w:t>
            </w:r>
            <w:r>
              <w:t xml:space="preserve"> </w:t>
            </w:r>
            <w:r>
              <w:rPr>
                <w:b/>
                <w:bCs/>
              </w:rPr>
              <w:t xml:space="preserve">or available to return within 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designated AIC (State license &amp; business plan).</w:t>
            </w:r>
            <w:r>
              <w:t xml:space="preserve"> </w:t>
            </w:r>
            <w:r>
              <w:rPr>
                <w:b/>
                <w:bCs/>
              </w:rPr>
              <w:t xml:space="preserve">Form Q13 relaxes the standard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available by telephone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and adds a 30-mile residency rule not in the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for on-site AIC presence or ≤30-minute return capability per the Code. Dara (Evanston resident) satisfies the Form’s 30-mile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§9-5-13(I); §9-5-11(G)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 and all opening employees hold valid IL Cannabis Dispensing Organization Agent ID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Dara’s</w:t>
            </w:r>
            <w:r>
              <w:t xml:space="preserve"> </w:t>
            </w:r>
            <w:r>
              <w:rPr>
                <w:b/>
                <w:bCs/>
              </w:rPr>
              <w:t xml:space="preserve">Agent ID Card status is not confirmed</w:t>
            </w:r>
            <w:r>
              <w:t xml:space="preserve"> </w:t>
            </w:r>
            <w:r>
              <w:t xml:space="preserve">(State license lists her IL Pharmacist License, not a Cannabis Agent ID Card).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Dara holds (or has applied for) the Cannabis Agent ID Card; enter the card number or</w:t>
            </w:r>
            <w:r>
              <w:t xml:space="preserve"> </w:t>
            </w:r>
            <w:r>
              <w:t xml:space="preserve">“</w:t>
            </w:r>
            <w:r>
              <w:t xml:space="preserve">Application Pending</w:t>
            </w:r>
            <w:r>
              <w:t xml:space="preserve">”</w:t>
            </w:r>
            <w:r>
              <w:t xml:space="preserve"> </w:t>
            </w:r>
            <w:r>
              <w:t xml:space="preserve">on Form Q13. Verify all opening staff obtain cards pre-issuance.</w:t>
            </w:r>
          </w:p>
        </w:tc>
      </w:tr>
    </w:tbl>
    <w:bookmarkEnd w:id="35"/>
    <w:bookmarkStart w:id="36" w:name="Xe8f012cea66bf26fef39c1c18f53c4d048ec02c"/>
    <w:p>
      <w:pPr>
        <w:pStyle w:val="Heading3"/>
      </w:pPr>
      <w:r>
        <w:t xml:space="preserve">4.14 Application Form, Fee &amp; Submission Logistics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§9-5-6; Guide §1; Form §13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Non-refundable</w:t>
            </w:r>
            <w:r>
              <w:t xml:space="preserve"> </w:t>
            </w:r>
            <w:r>
              <w:rPr>
                <w:b/>
                <w:bCs/>
              </w:rPr>
              <w:t xml:space="preserve">$5,000</w:t>
            </w:r>
            <w:r>
              <w:t xml:space="preserve"> </w:t>
            </w:r>
            <w:r>
              <w:t xml:space="preserve">application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amount understood.</w:t>
            </w:r>
            <w:r>
              <w:t xml:space="preserve"> </w:t>
            </w:r>
            <w:r>
              <w:rPr>
                <w:b/>
                <w:bCs/>
              </w:rPr>
              <w:t xml:space="preserve">Payment-method instructions conflict across documents</w:t>
            </w:r>
            <w:r>
              <w:t xml:space="preserve"> </w:t>
            </w:r>
            <w:r>
              <w:t xml:space="preserve">(see §5).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by a method valid under the</w:t>
            </w:r>
            <w: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t xml:space="preserve">: certified check or electronic funds transfer. (The Guide says cashier’s check/money order; the Form adds wire transfer — satisfy the Code to be safe.)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§9-5-5(C); Guide §1; Form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hard-copy sets + one electronic (USB/PDF)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Understood; to be prepared.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three collated/bound hard copies + one USB (PDF), tabbed by section/exhibit, delivered to the Civic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§9-5-7(C)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 for deficiencies =</w:t>
            </w:r>
            <w:r>
              <w:t xml:space="preserve"> </w:t>
            </w:r>
            <w:r>
              <w:rPr>
                <w:b/>
                <w:bCs/>
              </w:rPr>
              <w:t xml:space="preserve">30 calendar days</w:t>
            </w:r>
            <w:r>
              <w:t xml:space="preserve"> </w:t>
            </w:r>
            <w:r>
              <w:t xml:space="preserve">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(Form/Guide)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Guide (§1, §4) and Form (§13, §15) state</w:t>
            </w:r>
            <w:r>
              <w:t xml:space="preserve"> </w:t>
            </w:r>
            <w:r>
              <w:rPr>
                <w:b/>
                <w:bCs/>
              </w:rPr>
              <w:t xml:space="preserve">14 days</w:t>
            </w:r>
            <w:r>
              <w:t xml:space="preserve"> </w:t>
            </w:r>
            <w:r>
              <w:t xml:space="preserve">— shorter than the Code’s 30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The Code controls; the applicant is entitled to 30 days. Note the discrepancy; if a deficiency notice issues, the 30-day Code period should govern.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§9-5-7(C)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determination within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of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Understood. (The Form conflates this 90-day completeness clock with a 90-day post-completeness review target — see §5.)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the Code’s 90-day completeness deadline from the date-stamp of receipt.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§9-5-7(D)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hearing within 45 days of completeness; notice on City website + mailed to owners within 500 ft ≥15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§9-5-10(A)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by Coordinator in consultation with L&amp;C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(Form)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The Form’s rubric states the panel includes</w:t>
            </w:r>
            <w:r>
              <w:t xml:space="preserve"> </w:t>
            </w:r>
            <w:r>
              <w:t xml:space="preserve">“</w:t>
            </w:r>
            <w:r>
              <w:t xml:space="preserve">two community members appointed by the Mayor</w:t>
            </w:r>
            <w:r>
              <w:t xml:space="preserve">”</w:t>
            </w:r>
            <w:r>
              <w:t xml:space="preserve"> </w:t>
            </w:r>
            <w:r>
              <w:t xml:space="preserve">— not provided for in the Code or Guide.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the discrepancy; the Code’s scoring authority controls.</w:t>
            </w:r>
          </w:p>
        </w:tc>
      </w:tr>
    </w:tbl>
    <w:bookmarkEnd w:id="36"/>
    <w:bookmarkStart w:id="37" w:name="X2a1152d12305bd570695e3417f7e5dc8bfe465f"/>
    <w:p>
      <w:pPr>
        <w:pStyle w:val="Heading3"/>
      </w:pPr>
      <w:r>
        <w:t xml:space="preserve">4.15 Operational &amp; Ongoing-Compliance Readiness (Plan-Level)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application 60–90 days before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(acknowledged)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§9.2 acknowledges annual renewal.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the Guide (§7.2) omits the</w:t>
            </w:r>
            <w:r>
              <w:t xml:space="preserve"> </w:t>
            </w:r>
            <w:r>
              <w:rPr>
                <w:b/>
                <w:bCs/>
              </w:rPr>
              <w:t xml:space="preserve">90-day outer limit</w:t>
            </w:r>
            <w:r>
              <w:t xml:space="preserve">; follow the Code’s 60–90 day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§9-5-18(D)(2)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  <w:r>
              <w:t xml:space="preserve"> </w:t>
            </w:r>
            <w:r>
              <w:rPr>
                <w:b/>
                <w:bCs/>
              </w:rPr>
              <w:t xml:space="preserve">audited</w:t>
            </w:r>
            <w:r>
              <w:t xml:space="preserve"> </w:t>
            </w:r>
            <w:r>
              <w:t xml:space="preserve">financial statements by IL-licensed CPA within 90 days of permit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[FORM ERROR]</w:t>
            </w:r>
            <w:r>
              <w:t xml:space="preserve"> </w:t>
            </w:r>
            <w:r>
              <w:t xml:space="preserve">Form Q30(a) allows statements</w:t>
            </w:r>
            <w:r>
              <w:t xml:space="preserve"> </w:t>
            </w:r>
            <w:r>
              <w:t xml:space="preserve">“</w:t>
            </w:r>
            <w:r>
              <w:t xml:space="preserve">audited</w:t>
            </w:r>
            <w:r>
              <w:t xml:space="preserve"> </w:t>
            </w:r>
            <w:r>
              <w:rPr>
                <w:b/>
                <w:bCs/>
              </w:rPr>
              <w:t xml:space="preserve">or reviewed</w:t>
            </w:r>
            <w:r>
              <w:t xml:space="preserve">”</w:t>
            </w:r>
            <w:r>
              <w:t xml:space="preserve"> </w:t>
            </w:r>
            <w:r>
              <w:t xml:space="preserve">— the Code requires</w:t>
            </w:r>
            <w:r>
              <w:t xml:space="preserve"> </w:t>
            </w:r>
            <w:r>
              <w:rPr>
                <w:b/>
                <w:bCs/>
              </w:rPr>
              <w:t xml:space="preserve">audited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for</w:t>
            </w:r>
            <w:r>
              <w:t xml:space="preserve"> </w:t>
            </w:r>
            <w:r>
              <w:rPr>
                <w:b/>
                <w:bCs/>
              </w:rPr>
              <w:t xml:space="preserve">audited</w:t>
            </w:r>
            <w:r>
              <w:t xml:space="preserve"> </w:t>
            </w:r>
            <w:r>
              <w:t xml:space="preserve">annual financial statements (not merely reviewed).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§9-5-24(B)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transfer of</w:t>
            </w:r>
            <w:r>
              <w:t xml:space="preserve"> </w:t>
            </w:r>
            <w:r>
              <w:rPr>
                <w:b/>
                <w:bCs/>
              </w:rPr>
              <w:t xml:space="preserve">≥10%</w:t>
            </w:r>
            <w:r>
              <w:t xml:space="preserve"> </w:t>
            </w:r>
            <w:r>
              <w:t xml:space="preserve">ownership requires prior City Council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(awareness)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change-of-control triggers at &gt;50%; the Code’s 10% threshold is stricter.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any future ≥10% ownership change obtains City Council approval (and State approval) regardless of lease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§9-5-23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inspection rights (unannounced during operating hours; 24-hr notice otherwise)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(acknowledged)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§9.2 commits to audit-ready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990004327bf199aab793efd9fe61adf99ea8209"/>
    <w:p>
      <w:pPr>
        <w:pStyle w:val="Heading2"/>
      </w:pPr>
      <w:r>
        <w:t xml:space="preserve">5. Cross-Document Discrepancies: Code vs. Guide vs. Application Form</w:t>
      </w:r>
    </w:p>
    <w:p>
      <w:pPr>
        <w:pStyle w:val="FirstParagraph"/>
      </w:pPr>
      <w:r>
        <w:t xml:space="preserve">These are conflicts</w:t>
      </w:r>
      <w:r>
        <w:t xml:space="preserve"> </w:t>
      </w:r>
      <w:r>
        <w:rPr>
          <w:b/>
          <w:bCs/>
        </w:rPr>
        <w:t xml:space="preserve">among the City’s own documents</w:t>
      </w:r>
      <w:r>
        <w:t xml:space="preserve">. The</w:t>
      </w:r>
      <w:r>
        <w:t xml:space="preserve"> </w:t>
      </w:r>
      <w:r>
        <w:rPr>
          <w:b/>
          <w:bCs/>
        </w:rPr>
        <w:t xml:space="preserve">Municipal Code is the controlling legal authority</w:t>
      </w:r>
      <w:r>
        <w:t xml:space="preserve">; where the Guide or Form conflicts, the Code governs (§9-5-27(B): the more restrictive provision controls). Greenleaf should satisfy the Code in every case and flag the Form/Guide errors to the Coordinator.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/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 cure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calendar days</w:t>
            </w:r>
            <w:r>
              <w:t xml:space="preserve"> </w:t>
            </w:r>
            <w:r>
              <w:t xml:space="preserve">(§9-5-7(C))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loses 16 cure days if the Guide/Form figure is applied. Rely on the Code’s 30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fee payment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Certified check or electronic funds transfer</w:t>
            </w:r>
            <w:r>
              <w:t xml:space="preserve"> </w:t>
            </w:r>
            <w:r>
              <w:t xml:space="preserve">(§9-5-6(C))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Cashier’s check or money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check, cashier’s check, or wire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different lists. Pay by a Code-valid method (certified check or EFT).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review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determination ≤90 days of receipt (§9-5-7(C))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review 30 days + substantive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Initial review</w:t>
            </w:r>
            <w:r>
              <w:t xml:space="preserve">”</w:t>
            </w:r>
            <w:r>
              <w:t xml:space="preserve"> </w:t>
            </w:r>
            <w:r>
              <w:t xml:space="preserve">90 days</w:t>
            </w:r>
            <w:r>
              <w:t xml:space="preserve"> </w:t>
            </w:r>
            <w:r>
              <w:rPr>
                <w:b/>
                <w:bCs/>
              </w:rPr>
              <w:t xml:space="preserve">from</w:t>
            </w:r>
            <w:r>
              <w:t xml:space="preserve"> </w:t>
            </w:r>
            <w: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 conflates the completeness clock with the review clock. Track the Code’s 90-day completeness deadline from receipt.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occupancy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customer / 40 sq ft of</w:t>
            </w:r>
            <w:r>
              <w:t xml:space="preserve"> </w:t>
            </w:r>
            <w:r>
              <w:rPr>
                <w:b/>
                <w:bCs/>
              </w:rPr>
              <w:t xml:space="preserve">retail floor area</w:t>
            </w:r>
            <w:r>
              <w:t xml:space="preserve"> </w:t>
            </w:r>
            <w:r>
              <w:t xml:space="preserve">(§9-5-13(J))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retail floor area per the ordinance</w:t>
            </w:r>
            <w:r>
              <w:t xml:space="preserve">”</w:t>
            </w:r>
            <w:r>
              <w:t xml:space="preserve"> </w:t>
            </w:r>
            <w:r>
              <w:t xml:space="preserve">(§7.8)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dispensary SF ÷ 40</w:t>
            </w:r>
            <w:r>
              <w:t xml:space="preserve"> </w:t>
            </w:r>
            <w:r>
              <w:t xml:space="preserve">(Q12)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is wrong.</w:t>
            </w:r>
            <w:r>
              <w:t xml:space="preserve"> </w:t>
            </w:r>
            <w:r>
              <w:t xml:space="preserve">Using total SF yields 80 (double the Code limit of 40). Use retail floor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measurement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property line to nearest property line (§9-5-9(C))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Defers to Form 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Nearest pedestrian route</w:t>
            </w:r>
            <w:r>
              <w:t xml:space="preserve">”</w:t>
            </w:r>
            <w:r>
              <w:t xml:space="preserve">; straight-line rejected (Q6/Q7)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conflicts with the Code.</w:t>
            </w:r>
            <w:r>
              <w:t xml:space="preserve"> </w:t>
            </w:r>
            <w:r>
              <w:t xml:space="preserve">Straight-line survey is Code-compliant.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zoning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C1a, C2, oC1 (§9-5-9(A))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 only (Item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C1a, C1, B2</w:t>
            </w:r>
            <w:r>
              <w:t xml:space="preserve">”</w:t>
            </w:r>
            <w:r>
              <w:t xml:space="preserve"> </w:t>
            </w:r>
            <w:r>
              <w:t xml:space="preserve">(Q3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names wrong districts.</w:t>
            </w:r>
            <w:r>
              <w:t xml:space="preserve"> </w:t>
            </w:r>
            <w:r>
              <w:t xml:space="preserve">Greenleaf’s C1a location is valid.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§9-5-8; notice by newspaper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City website (§9-5-8(B))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methods (Item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Cites</w:t>
            </w:r>
            <w:r>
              <w:t xml:space="preserve"> </w:t>
            </w:r>
            <w:r>
              <w:t xml:space="preserve">“</w:t>
            </w:r>
            <w:r>
              <w:t xml:space="preserve">§9-5-15</w:t>
            </w:r>
            <w:r>
              <w:t xml:space="preserve">”</w:t>
            </w:r>
            <w:r>
              <w:t xml:space="preserve">; newspaper only (Q22)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cites the wrong section and omits website posting.</w:t>
            </w:r>
            <w:r>
              <w:t xml:space="preserve"> </w:t>
            </w:r>
            <w:r>
              <w:t xml:space="preserve">Greenleaf complied with both; satisfy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Other sensitive uses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Parks, libraries, hospitals, residential</w:t>
            </w:r>
            <w:r>
              <w:t xml:space="preserve"> </w:t>
            </w:r>
            <w:r>
              <w:rPr>
                <w:b/>
                <w:bCs/>
              </w:rPr>
              <w:t xml:space="preserve">excluded</w:t>
            </w:r>
            <w:r>
              <w:t xml:space="preserve"> </w:t>
            </w:r>
            <w:r>
              <w:t xml:space="preserve">(§9-5-9(E))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Solicits parks/libraries within 500 ft (Q8)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improperly treats excluded uses as sensitive.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Operating-hours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§9-5-13(F)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Cites</w:t>
            </w:r>
            <w:r>
              <w:t xml:space="preserve"> </w:t>
            </w:r>
            <w:r>
              <w:t xml:space="preserve">“</w:t>
            </w:r>
            <w:r>
              <w:t xml:space="preserve">§9-5-17</w:t>
            </w:r>
            <w:r>
              <w:t xml:space="preserve">”</w:t>
            </w:r>
            <w:r>
              <w:t xml:space="preserve"> </w:t>
            </w:r>
            <w:r>
              <w:t xml:space="preserve">(Q11)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cites the wrong section</w:t>
            </w:r>
            <w:r>
              <w:t xml:space="preserve"> </w:t>
            </w:r>
            <w:r>
              <w:t xml:space="preserve">(§9-5-17 is the bond). Hours themselves are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Good Standing 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(§9-5-5(B)(3))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(Item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(§13 checklist)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is stricter; satisfy 30 days to be safe.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Audited</w:t>
            </w:r>
            <w:r>
              <w:t xml:space="preserve"> </w:t>
            </w:r>
            <w:r>
              <w:t xml:space="preserve">by IL-licensed CPA (§9-5-18(D)(2))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Audited or reviewed</w:t>
            </w:r>
            <w:r>
              <w:t xml:space="preserve">”</w:t>
            </w:r>
            <w:r>
              <w:t xml:space="preserve"> </w:t>
            </w:r>
            <w:r>
              <w:t xml:space="preserve">(Q30(a))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relaxes the standard.</w:t>
            </w:r>
            <w:r>
              <w:t xml:space="preserve"> </w:t>
            </w:r>
            <w:r>
              <w:t xml:space="preserve">Plan for audited statements.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panel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 + L&amp;C Board (§9-5-10(A))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DCD + City Manager + 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t xml:space="preserve">“</w:t>
            </w:r>
            <w:r>
              <w:t xml:space="preserve">two community members appointed by the Mayor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adds members not in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Pre-issuance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in Code (§9-5-11)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from Council approval 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adds a 30-day deadline not in the Code; comply with it as a practical matter.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application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 before expiration (§9-5-12(B))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least 60 days</w:t>
            </w:r>
            <w:r>
              <w:t xml:space="preserve">”</w:t>
            </w:r>
            <w:r>
              <w:t xml:space="preserve"> </w:t>
            </w:r>
            <w:r>
              <w:t xml:space="preserve">(§7.2)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omits the 90-day outer bound; follow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 duration after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term</w:t>
            </w:r>
            <w:r>
              <w:t xml:space="preserve"> </w:t>
            </w:r>
            <w:r>
              <w:rPr>
                <w:b/>
                <w:bCs/>
              </w:rPr>
              <w:t xml:space="preserve">+ 1 year</w:t>
            </w:r>
            <w:r>
              <w:t xml:space="preserve"> </w:t>
            </w:r>
            <w:r>
              <w:t xml:space="preserve">(§9-5-17(D))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Duration of the permit</w:t>
            </w:r>
            <w:r>
              <w:t xml:space="preserve">”</w:t>
            </w:r>
            <w:r>
              <w:t xml:space="preserve"> </w:t>
            </w:r>
            <w:r>
              <w:t xml:space="preserve">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Duration of the permit term</w:t>
            </w:r>
            <w:r>
              <w:t xml:space="preserve">”</w:t>
            </w:r>
            <w:r>
              <w:t xml:space="preserve"> </w:t>
            </w:r>
            <w:r>
              <w:t xml:space="preserve">(instr.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Form/Guide omit the +1-year tail; follow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 renewal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 days before expiration (§9-5-17(E))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Form/Guide omit; follow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AM Best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A- (§9-5-16(C))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Form/Guide omit; verify carrier ratings.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Surety AM Best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A- (§9-5-17(B))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Form/Guide omit; verify surety rating.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Employer’s Liability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$1M per accident (§9-5-16(A)(3))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only requires $500K; secure $1M per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 contact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(847) 448-4311; rvasquezmorris@cityofevanston.org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(847) 448-8163; rvasquez-morris@cityofevanston.org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and email differ between Guide and Form. Confirm the correct contact with the Department.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ad1b2329c2e6cf8cbdb9d99d4bd6893e216c29c"/>
    <w:p>
      <w:pPr>
        <w:pStyle w:val="Heading2"/>
      </w:pPr>
      <w:r>
        <w:t xml:space="preserve">6. Internal Inconsistencies Within the Application Package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license:</w:t>
            </w:r>
            <w:r>
              <w:t xml:space="preserve"> </w:t>
            </w:r>
            <w:r>
              <w:rPr>
                <w:b/>
                <w:bCs/>
              </w:rPr>
              <w:t xml:space="preserve">Keystone Statutory Services</w:t>
            </w:r>
            <w:r>
              <w:t xml:space="preserve">; lease &amp; business plan:</w:t>
            </w:r>
            <w:r>
              <w:t xml:space="preserve"> </w:t>
            </w:r>
            <w:r>
              <w:rPr>
                <w:b/>
                <w:bCs/>
              </w:rPr>
              <w:t xml:space="preserve">Northwest Statutory Services</w:t>
            </w:r>
            <w:r>
              <w:t xml:space="preserve"> </w:t>
            </w:r>
            <w:r>
              <w:t xml:space="preserve">(same address).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registered agent with the IL SOS and make all references 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§2/Exhibit B:</w:t>
            </w:r>
            <w:r>
              <w:t xml:space="preserve"> </w:t>
            </w: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designated spaces; community report (Session 1):</w:t>
            </w:r>
            <w:r>
              <w:t xml:space="preserve"> </w:t>
            </w: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t xml:space="preserve">dedicated spaces.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to the lease (8) or amend the lease; correct the community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Okonkwo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plan: dokonkwo@greenleaftherapeutics</w:t>
            </w:r>
            <w:r>
              <w:rPr>
                <w:b/>
                <w:bCs/>
              </w:rPr>
              <w:t xml:space="preserve">llc</w:t>
            </w:r>
            <w:r>
              <w:t xml:space="preserve">.com; insurance memo: dokonkwo@greenleaftherapeutics.com.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one consistent email throughout.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Okonkwo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plan:</w:t>
            </w:r>
            <w:r>
              <w:t xml:space="preserve"> </w:t>
            </w:r>
            <w:r>
              <w:rPr>
                <w:b/>
                <w:bCs/>
              </w:rPr>
              <w:t xml:space="preserve">(872)</w:t>
            </w:r>
            <w:r>
              <w:t xml:space="preserve"> </w:t>
            </w:r>
            <w:r>
              <w:t xml:space="preserve">555-0193; insurance memo:</w:t>
            </w:r>
            <w:r>
              <w:t xml:space="preserve"> </w:t>
            </w:r>
            <w:r>
              <w:rPr>
                <w:b/>
                <w:bCs/>
              </w:rPr>
              <w:t xml:space="preserve">(847)</w:t>
            </w:r>
            <w:r>
              <w:t xml:space="preserve"> </w:t>
            </w:r>
            <w:r>
              <w:t xml:space="preserve">555-0193.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and use one consistent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Social-equity qualifying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license: DIA residency (5/10 yrs) +</w:t>
            </w:r>
            <w:r>
              <w:t xml:space="preserve"> </w:t>
            </w:r>
            <w:r>
              <w:t xml:space="preserve">“</w:t>
            </w:r>
            <w:r>
              <w:t xml:space="preserve">eligible for expungement</w:t>
            </w:r>
            <w:r>
              <w:t xml:space="preserve">”</w:t>
            </w:r>
            <w:r>
              <w:t xml:space="preserve">; business plan/community report: R3 tract 8092.02 residency + expunged 2016 conviction.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</w:t>
            </w:r>
            <w:r>
              <w:t xml:space="preserve"> </w:t>
            </w:r>
            <w:r>
              <w:rPr>
                <w:b/>
                <w:bCs/>
              </w:rPr>
              <w:t xml:space="preserve">City</w:t>
            </w:r>
            <w:r>
              <w:t xml:space="preserve"> </w:t>
            </w:r>
            <w:r>
              <w:t xml:space="preserve">bonus, document the Code bases (R3 24-month residency and/or the expunged conviction). Attach the expungement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&amp; community report:</w:t>
            </w:r>
            <w:r>
              <w:t xml:space="preserve"> </w:t>
            </w:r>
            <w:r>
              <w:rPr>
                <w:b/>
                <w:bCs/>
              </w:rPr>
              <w:t xml:space="preserve">40</w:t>
            </w:r>
            <w:r>
              <w:t xml:space="preserve"> </w:t>
            </w:r>
            <w:r>
              <w:t xml:space="preserve">(retail floor area ÷ 40); Form Q12 formula would yield</w:t>
            </w:r>
            <w:r>
              <w:t xml:space="preserve"> </w:t>
            </w:r>
            <w:r>
              <w:rPr>
                <w:b/>
                <w:bCs/>
              </w:rPr>
              <w:t xml:space="preserve">80</w:t>
            </w:r>
            <w:r>
              <w:t xml:space="preserve"> </w:t>
            </w:r>
            <w:r>
              <w:t xml:space="preserve">(total SF ÷ 40).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40 (Code-correct); flag the Form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Survey: straight-line (Code-compliant); Form Q6/Q7: pedestrian route.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the straight-line survey; cite §9-5-9(C).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Conditional-license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plan:</w:t>
            </w:r>
            <w:r>
              <w:t xml:space="preserve"> </w:t>
            </w:r>
            <w:r>
              <w:t xml:space="preserve">“</w:t>
            </w:r>
            <w:r>
              <w:t xml:space="preserve">late Q3 2024</w:t>
            </w:r>
            <w:r>
              <w:t xml:space="preserve">”</w:t>
            </w:r>
            <w:r>
              <w:t xml:space="preserve"> </w:t>
            </w:r>
            <w:r>
              <w:t xml:space="preserve">permit issuance; Code sequence projects Oct–Nov 2024; State license expires 9/21/2024.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the timeline; file the State extension petition by ~7/22/2024.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44fbf8225e06f3262dc4000eea72aa1486bf064"/>
    <w:p>
      <w:pPr>
        <w:pStyle w:val="Heading2"/>
      </w:pPr>
      <w:r>
        <w:t xml:space="preserve">7. Critical Deficiencies &amp; Priority Remediation Actions</w:t>
      </w:r>
    </w:p>
    <w:p>
      <w:pPr>
        <w:pStyle w:val="FirstParagraph"/>
      </w:pPr>
      <w:r>
        <w:t xml:space="preserve">The following must be resolved</w:t>
      </w:r>
      <w:r>
        <w:t xml:space="preserve"> </w:t>
      </w:r>
      <w:r>
        <w:rPr>
          <w:b/>
          <w:bCs/>
        </w:rPr>
        <w:t xml:space="preserve">before the May 15, 2024 submission</w:t>
      </w:r>
      <w:r>
        <w:t xml:space="preserve"> </w:t>
      </w:r>
      <w:r>
        <w:t xml:space="preserve">to avoid an incompleteness finding or scoring loss: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bonding-capacity commitment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§9-5-5(B)(16); §9-5-17; Guide Item 17; Form Q26 (10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formal commitment letter from Thornfield Surety Group (or an LOC commitment from Ridgeline Bank) on letterhead, signed, dated within 60 days, confirming the $50,000 instrument.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Cannabis crime/theft insurance not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§9-5-16(A)(4); Guide Item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security plan to unblock Canopy Risk underwriting; obtain at least a binding commitment letter/binder; line up a backup carrier.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Marcus Wren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plan not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§9-5-5(B)(9); §9-5-13; Guide Item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and seal the Pinnacle Compliance Advisors security plan (camera map, specs, SOPs, emergency response).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Odor-mitigation P.E. certification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§9-5-5(B)(10); §9-5-13(G); Guide Item 10; Form 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an IL-licensed P.E. to design and seal the odor-mitigation certification (HVAC, carbon filtration, air exchange, negative pressure, property-line adequacy) before submission.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HVAC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conditional license expires 9/21/2024 before likely local permit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License Cond. 3–4; §9-5-27(D)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State extension petition (Form CR-EXT-01) by ~7/22/2024; revise the business-plan timeline to reflect the actual Code sequence.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 Session 2 notice only 12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§9-5-8(B),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Re-hold Session 2 (or hold a third session) with ≥14-day newspaper + City-website notice; submit compliant documentation. No waiver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Employer’s Liability below Code ($500K vs $1M)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§9-5-16(A)(3)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Employer’s Liability ≥ $1M per accident in the WC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use application not confirmed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§9-5-9(A),(D); Guide Item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the special use application with the ZBA concurrently; include evidence of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&gt;60 days old at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Q6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 updated/re-certified survey dated within 60 days, or obtain Coordinator confirmation that the 12/15/2023 survey suffices.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plans not attached (D&amp;I, Environmental, Community Benefits)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§9-5-5(B)(11)–(13); §9-5-20; Guide Items 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attach standalone exhibits for 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Principal-officer disclosures &amp; background checks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§9-5-5(B)(4); §9-5-22; Guide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Individual Disclosure Forms, photo IDs, residency proofs, background-check authorizations, and fingerprint receipts for both Dara and Felix.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/ Felix /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Dara’s Agent ID Card 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§9-5-13(E); §9-5-11(G); Guide Item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Dara holds or has applied for the Cannabis Dispensing Organization Agent ID Card.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tatus-summary"/>
    <w:p>
      <w:pPr>
        <w:pStyle w:val="Heading2"/>
      </w:pPr>
      <w:r>
        <w:t xml:space="preserve">8. Status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(approx.)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Substantively met with evidence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Substantially addressed but with gaps to close.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6 critical applicant deficiencies + Form errors that conflict with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items not yet in the package (largely Form completion and exhibit attachment).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Greenleaf’s application is</w:t>
      </w:r>
      <w:r>
        <w:t xml:space="preserve"> </w:t>
      </w:r>
      <w:r>
        <w:rPr>
          <w:b/>
          <w:bCs/>
        </w:rPr>
        <w:t xml:space="preserve">substantively strong and largely Code-conforming on the merits</w:t>
      </w:r>
      <w:r>
        <w:t xml:space="preserve">, but it is</w:t>
      </w:r>
      <w:r>
        <w:t xml:space="preserve"> </w:t>
      </w:r>
      <w:r>
        <w:rPr>
          <w:b/>
          <w:bCs/>
        </w:rPr>
        <w:t xml:space="preserve">not yet submission-ready</w:t>
      </w:r>
      <w:r>
        <w:t xml:space="preserve">. The six critical deficiencies in Section 7 — bonding evidence, crime/theft insurance, security-plan finalization, the odor P.E. certification, the State-license timing risk, and the Session 2 notice shortfall — must be cured before May 15, 2024 (or, for the State extension, by ~July 22, 2024). The City’s Application Form contains multiple errors that conflict with the controlling Municipal Code; Greenleaf should satisfy the Code in every instance, use the Code-correct figures (e.g., 40-customer occupancy; straight-line buffer measurement), and flag the Form discrepancies to the Cannabis Licensing Coordinator. Internal inconsistencies (registered agent, parking count, contact details) should be reconciled across all package documents before submission.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as a compliance review of the Greenleaf Therapeutics LLC cannabis dispensary permit application package against Evanston Municipal Code Chapter 9, Article 5 and the City of Evanston Application Checklist &amp; Submission Guide. This matrix is provided for application-preparation purposes and does not constitute legal advice; the applicant should confirm all interpretations with the Cannabis Licensing Coordinator and qualified Illinois cannabis counsel.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2026-06-28T21:35:59Z</dcterms:created>
  <dcterms:modified xsi:type="dcterms:W3CDTF">2026-06-28T21:35:59Z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