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Cannabis Dispensary Permit — Compliance Requirements Matrix</w:t>
      </w:r>
    </w:p>
    <w:p>
      <w:pPr>
        <w:pStyle w:val="Author"/>
      </w:pPr>
      <w:r>
        <w:t xml:space="preserve">Compliance 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1" w:name="X62d28ecd2ff284cbed0552505ea2bf96d3bf9a2"/>
    <w:p>
      <w:pPr>
        <w:pStyle w:val="Heading1"/>
      </w:pPr>
      <w:r>
        <w:t xml:space="preserve">Cannabis Dispensary Permit — Compliance Requirements Matrix</w:t>
      </w:r>
    </w:p>
    <w:bookmarkStart w:id="20" w:name="X4d40d434ebd45f1ef73ca9a5c2c57f72822a9da"/>
    <w:p>
      <w:pPr>
        <w:pStyle w:val="Heading2"/>
      </w:pPr>
      <w:r>
        <w:t xml:space="preserve">Applicant: Greenleaf Therapeutics LLC — Proposed Dispensary at 1420 Sherman Ave., Unit B, Evanston, IL 60201</w:t>
      </w:r>
    </w:p>
    <w:p>
      <w:pPr>
        <w:pStyle w:val="FirstParagraph"/>
      </w:pPr>
      <w:r>
        <w:rPr>
          <w:b/>
          <w:bCs/>
        </w:rPr>
        <w:t xml:space="preserve">Prepared as a compliance review of the dispensary permit application package against the City of Evanston Municipal Code, Title 9, Article 5 (</w:t>
      </w:r>
      <w:r>
        <w:rPr>
          <w:b/>
          <w:bCs/>
        </w:rPr>
        <w:t xml:space="preserve">“</w:t>
      </w:r>
      <w:r>
        <w:rPr>
          <w:b/>
          <w:bCs/>
        </w:rPr>
        <w:t xml:space="preserve">Cannabis Business Establishments</w:t>
      </w:r>
      <w:r>
        <w:rPr>
          <w:b/>
          <w:bCs/>
        </w:rPr>
        <w:t xml:space="preserve">”</w:t>
      </w:r>
      <w:r>
        <w:rPr>
          <w:b/>
          <w:bCs/>
        </w:rPr>
        <w:t xml:space="preserve">) and the City of Evanston Cannabis Dispensary Permit Application Checklist and Submission Guide.</w:t>
      </w:r>
    </w:p>
    <w:p>
      <w:pPr>
        <w:pStyle w:val="BodyText"/>
      </w:pPr>
      <w:r>
        <w:rPr>
          <w:b/>
          <w:bCs/>
        </w:rPr>
        <w:t xml:space="preserve">Subject application package documents reviewed:</w:t>
      </w:r>
    </w:p>
    <w:p>
      <w:pPr>
        <w:pStyle w:val="Compact"/>
        <w:numPr>
          <w:ilvl w:val="0"/>
          <w:numId w:val="1001"/>
        </w:numPr>
      </w:pPr>
      <w:r>
        <w:t xml:space="preserve">Evanston Cannabis Dispensary Permit Application Form (Form v3.2, Rev. Jan. 12, 2024)</w:t>
      </w:r>
    </w:p>
    <w:p>
      <w:pPr>
        <w:pStyle w:val="Compact"/>
        <w:numPr>
          <w:ilvl w:val="0"/>
          <w:numId w:val="1001"/>
        </w:numPr>
      </w:pPr>
      <w:r>
        <w:t xml:space="preserve">Greenleaf Therapeutics LLC — Business Plan: Executive Summary and Operations Plan (April 2024)</w:t>
      </w:r>
    </w:p>
    <w:p>
      <w:pPr>
        <w:pStyle w:val="Compact"/>
        <w:numPr>
          <w:ilvl w:val="0"/>
          <w:numId w:val="1001"/>
        </w:numPr>
      </w:pPr>
      <w:r>
        <w:t xml:space="preserve">Community Engagement Session Documentation (April 15, 2024)</w:t>
      </w:r>
    </w:p>
    <w:p>
      <w:pPr>
        <w:pStyle w:val="Compact"/>
        <w:numPr>
          <w:ilvl w:val="0"/>
          <w:numId w:val="1001"/>
        </w:numPr>
      </w:pPr>
      <w:r>
        <w:t xml:space="preserve">Insurance and Bonding Status Memorandum (April 22, 2024)</w:t>
      </w:r>
    </w:p>
    <w:p>
      <w:pPr>
        <w:pStyle w:val="Compact"/>
        <w:numPr>
          <w:ilvl w:val="0"/>
          <w:numId w:val="1001"/>
        </w:numPr>
      </w:pPr>
      <w:r>
        <w:t xml:space="preserve">Summary of Key Lease Terms — Commercial Lease Agreement (April 2024)</w:t>
      </w:r>
    </w:p>
    <w:p>
      <w:pPr>
        <w:pStyle w:val="Compact"/>
        <w:numPr>
          <w:ilvl w:val="0"/>
          <w:numId w:val="1001"/>
        </w:numPr>
      </w:pPr>
      <w:r>
        <w:t xml:space="preserve">State of Illinois Conditional Adult-Use Dispensing Organization License No. ADC-285-0147 (Sept. 22, 2023)</w:t>
      </w:r>
    </w:p>
    <w:p>
      <w:pPr>
        <w:pStyle w:val="Compact"/>
        <w:numPr>
          <w:ilvl w:val="0"/>
          <w:numId w:val="1001"/>
        </w:numPr>
      </w:pPr>
      <w:r>
        <w:t xml:space="preserve">City of Evanston Municipal Code, Title 9, Article 5 (Ord. 78-O-23, eff. Jan. 1, 2024) — governing law</w:t>
      </w:r>
    </w:p>
    <w:p>
      <w:pPr>
        <w:pStyle w:val="Compact"/>
        <w:numPr>
          <w:ilvl w:val="0"/>
          <w:numId w:val="1001"/>
        </w:numPr>
      </w:pPr>
      <w:r>
        <w:t xml:space="preserve">City of Evanston Application Checklist and Submission Guide (Pub. Jan. 15, 2024) — governing instructions</w:t>
      </w:r>
    </w:p>
    <w:p>
      <w:pPr>
        <w:pStyle w:val="FirstParagraph"/>
      </w:pPr>
      <w:r>
        <w:rPr>
          <w:b/>
          <w:bCs/>
        </w:rPr>
        <w:t xml:space="preserve">Review date:</w:t>
      </w:r>
      <w:r>
        <w:t xml:space="preserve"> </w:t>
      </w:r>
      <w:r>
        <w:t xml:space="preserve">Based on package contents as of the April 2024 target submission window (application window: February 1, 2024 – May 31, 2024; applicant targets May 15, 2024 submission).</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matrix evaluates whether the Greenleaf Therapeutics LLC (</w:t>
      </w:r>
      <w:r>
        <w:t xml:space="preserve">“</w:t>
      </w:r>
      <w:r>
        <w:t xml:space="preserve">Greenleaf</w:t>
      </w:r>
      <w:r>
        <w:t xml:space="preserve">”</w:t>
      </w:r>
      <w:r>
        <w:t xml:space="preserve">) application package satisfies each requirement of the Evanston Municipal Code Chapter 9, Article 5 (the</w:t>
      </w:r>
      <w:r>
        <w:t xml:space="preserve"> </w:t>
      </w:r>
      <w:r>
        <w:t xml:space="preserve">“</w:t>
      </w:r>
      <w:r>
        <w:t xml:space="preserve">Code</w:t>
      </w:r>
      <w:r>
        <w:t xml:space="preserve">”</w:t>
      </w:r>
      <w:r>
        <w:t xml:space="preserve">) and the City’s Application Checklist and Submission Guide (the</w:t>
      </w:r>
      <w:r>
        <w:t xml:space="preserve"> </w:t>
      </w:r>
      <w:r>
        <w:t xml:space="preserve">“</w:t>
      </w:r>
      <w:r>
        <w:t xml:space="preserve">Guide</w:t>
      </w:r>
      <w:r>
        <w:t xml:space="preserve">”</w:t>
      </w:r>
      <w:r>
        <w:t xml:space="preserve">), as evidenced by the documents in the package. Each requirement is assigned a status and accompanied by remediation notes.</w:t>
      </w:r>
    </w:p>
    <w:p>
      <w:pPr>
        <w:pStyle w:val="BodyText"/>
      </w:pPr>
      <w:r>
        <w:rPr>
          <w:b/>
          <w:bCs/>
        </w:rPr>
        <w:t xml:space="preserve">Overall assessment.</w:t>
      </w:r>
      <w:r>
        <w:t xml:space="preserve"> </w:t>
      </w:r>
      <w:r>
        <w:t xml:space="preserve">Greenleaf has assembled a substantially complete and well-documented application. The entity is properly formed and capitalized, holds a valid State conditional license, has secured a compliant long-term lease with landlord cannabis-use consent, satisfies all buffer-distance requirements under the Code, qualifies for Social Equity designation, and has conducted the required two community engagement sessions. The business plan, financial projections, and community benefit commitments are thorough.</w:t>
      </w:r>
    </w:p>
    <w:p>
      <w:pPr>
        <w:pStyle w:val="BodyText"/>
      </w:pPr>
      <w:r>
        <w:t xml:space="preserve">However, the review identifies</w:t>
      </w:r>
      <w:r>
        <w:t xml:space="preserve"> </w:t>
      </w:r>
      <w:r>
        <w:rPr>
          <w:b/>
          <w:bCs/>
        </w:rPr>
        <w:t xml:space="preserve">fifteen (15) material compliance gaps</w:t>
      </w:r>
      <w:r>
        <w:t xml:space="preserve"> </w:t>
      </w:r>
      <w:r>
        <w:t xml:space="preserve">that must be cured before or at submission, several of which would cause the application to be deemed incomplete under Code §9-5-7(C), and</w:t>
      </w:r>
      <w:r>
        <w:t xml:space="preserve"> </w:t>
      </w:r>
      <w:r>
        <w:rPr>
          <w:b/>
          <w:bCs/>
        </w:rPr>
        <w:t xml:space="preserve">a number of conflicts among the three governing documents</w:t>
      </w:r>
      <w:r>
        <w:t xml:space="preserve"> </w:t>
      </w:r>
      <w:r>
        <w:t xml:space="preserve">(Code, Guide, and Application Form) that create ambiguity the applicant must navigate carefully. The most serious findings are:</w:t>
      </w:r>
    </w:p>
    <w:p>
      <w:pPr>
        <w:pStyle w:val="Compact"/>
        <w:numPr>
          <w:ilvl w:val="0"/>
          <w:numId w:val="1002"/>
        </w:numPr>
      </w:pPr>
      <w:r>
        <w:rPr>
          <w:b/>
          <w:bCs/>
        </w:rPr>
        <w:t xml:space="preserve">Community Engagement Session 2 notice was published only 12 days before the session</w:t>
      </w:r>
      <w:r>
        <w:t xml:space="preserve">, failing the 14-day minimum advance-notice requirement of Code §9-5-8(B). Under §9-5-8(F) this renders the application incomplete and requires an additional compliant session; no waiver of the two-session minimum is available.</w:t>
      </w:r>
    </w:p>
    <w:p>
      <w:pPr>
        <w:pStyle w:val="Compact"/>
        <w:numPr>
          <w:ilvl w:val="0"/>
          <w:numId w:val="1002"/>
        </w:numPr>
      </w:pPr>
      <w:r>
        <w:rPr>
          <w:b/>
          <w:bCs/>
        </w:rPr>
        <w:t xml:space="preserve">The Odor Mitigation Plan Professional Engineer (P.E.) certification is not yet obtained</w:t>
      </w:r>
      <w:r>
        <w:t xml:space="preserve">, and system specifications are not finalized. The Guide (Item 10) and Application Form (§5, Q16) require the P.E. certification to be included</w:t>
      </w:r>
      <w:r>
        <w:t xml:space="preserve"> </w:t>
      </w:r>
      <w:r>
        <w:rPr>
          <w:b/>
          <w:bCs/>
        </w:rPr>
        <w:t xml:space="preserve">at the time of submission</w:t>
      </w:r>
      <w:r>
        <w:t xml:space="preserve">; the package instead defers finalization to the post-permit build-out phase.</w:t>
      </w:r>
    </w:p>
    <w:p>
      <w:pPr>
        <w:pStyle w:val="Compact"/>
        <w:numPr>
          <w:ilvl w:val="0"/>
          <w:numId w:val="1002"/>
        </w:numPr>
      </w:pPr>
      <w:r>
        <w:rPr>
          <w:b/>
          <w:bCs/>
        </w:rPr>
        <w:t xml:space="preserve">The Security Plan is not yet finalized</w:t>
      </w:r>
      <w:r>
        <w:t xml:space="preserve"> </w:t>
      </w:r>
      <w:r>
        <w:t xml:space="preserve">(per the Insurance/Bonding Memo), yet it is required at submission (Guide Item 9; Form §5 Q15). Its delay also blocks underwriting of the required cannabis crime/theft insurance.</w:t>
      </w:r>
    </w:p>
    <w:p>
      <w:pPr>
        <w:pStyle w:val="Compact"/>
        <w:numPr>
          <w:ilvl w:val="0"/>
          <w:numId w:val="1002"/>
        </w:numPr>
      </w:pPr>
      <w:r>
        <w:rPr>
          <w:b/>
          <w:bCs/>
        </w:rPr>
        <w:t xml:space="preserve">No performance-bond commitment letter has been obtained</w:t>
      </w:r>
      <w:r>
        <w:t xml:space="preserve"> </w:t>
      </w:r>
      <w:r>
        <w:t xml:space="preserve">— only a verbal preliminary inquiry. The Code (§9-5-5(B)(16)) and Form require evidence of bonding capacity at application; absence also forfeits 10 of 30 Financial Viability scoring points.</w:t>
      </w:r>
    </w:p>
    <w:p>
      <w:pPr>
        <w:pStyle w:val="Compact"/>
        <w:numPr>
          <w:ilvl w:val="0"/>
          <w:numId w:val="1002"/>
        </w:numPr>
      </w:pPr>
      <w:r>
        <w:rPr>
          <w:b/>
          <w:bCs/>
        </w:rPr>
        <w:t xml:space="preserve">Cannabis-specific crime/theft insurance is not bound and no commitment letter exists</w:t>
      </w:r>
      <w:r>
        <w:t xml:space="preserve">; only a preliminary indication from Canopy Risk Underwriters.</w:t>
      </w:r>
    </w:p>
    <w:p>
      <w:pPr>
        <w:pStyle w:val="Compact"/>
        <w:numPr>
          <w:ilvl w:val="0"/>
          <w:numId w:val="1002"/>
        </w:numPr>
      </w:pPr>
      <w:r>
        <w:rPr>
          <w:b/>
          <w:bCs/>
        </w:rPr>
        <w:t xml:space="preserve">The buffer-distance survey is dated December 15, 2023</w:t>
      </w:r>
      <w:r>
        <w:t xml:space="preserve">, which is not within the 60 days of the May 15, 2024 submission required by the Form, and it uses straight-line measurements that satisfy the Code but conflict with the Form’s</w:t>
      </w:r>
      <w:r>
        <w:t xml:space="preserve"> </w:t>
      </w:r>
      <w:r>
        <w:t xml:space="preserve">“</w:t>
      </w:r>
      <w:r>
        <w:t xml:space="preserve">nearest pedestrian route</w:t>
      </w:r>
      <w:r>
        <w:t xml:space="preserve">”</w:t>
      </w:r>
      <w:r>
        <w:t xml:space="preserve"> </w:t>
      </w:r>
      <w:r>
        <w:t xml:space="preserve">methodology.</w:t>
      </w:r>
    </w:p>
    <w:p>
      <w:pPr>
        <w:pStyle w:val="Compact"/>
        <w:numPr>
          <w:ilvl w:val="0"/>
          <w:numId w:val="1002"/>
        </w:numPr>
      </w:pPr>
      <w:r>
        <w:rPr>
          <w:b/>
          <w:bCs/>
        </w:rPr>
        <w:t xml:space="preserve">Social Equity R3 residency of 24 continuous months is not documented</w:t>
      </w:r>
      <w:r>
        <w:t xml:space="preserve">; the Code (§9-5-19(B)(1)) requires proof of not less than 24 months’ continuous primary residence in the R3 tract immediately preceding application.</w:t>
      </w:r>
    </w:p>
    <w:p>
      <w:pPr>
        <w:pStyle w:val="Compact"/>
        <w:numPr>
          <w:ilvl w:val="0"/>
          <w:numId w:val="1002"/>
        </w:numPr>
      </w:pPr>
      <w:r>
        <w:rPr>
          <w:b/>
          <w:bCs/>
        </w:rPr>
        <w:t xml:space="preserve">The State conditional license expires September 21, 2024</w:t>
      </w:r>
      <w:r>
        <w:t xml:space="preserve">, creating a timeline risk if the City’s 120–150 day process runs past that date; a State extension petition may be required by approximately July 23, 2024.</w:t>
      </w:r>
    </w:p>
    <w:p>
      <w:pPr>
        <w:pStyle w:val="FirstParagraph"/>
      </w:pPr>
      <w:r>
        <w:t xml:space="preserve">A prioritized remediation action list appears in Section 5.</w:t>
      </w:r>
    </w:p>
    <w:p>
      <w:r>
        <w:pict>
          <v:rect style="width:0;height:1.5pt" o:hralign="center" o:hrstd="t" o:hr="t"/>
        </w:pict>
      </w:r>
    </w:p>
    <w:bookmarkEnd w:id="21"/>
    <w:bookmarkStart w:id="22" w:name="status-legend"/>
    <w:p>
      <w:pPr>
        <w:pStyle w:val="Heading2"/>
      </w:pPr>
      <w:r>
        <w:t xml:space="preserve">2. Status Legend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Status</w:t>
            </w:r>
          </w:p>
        </w:tc>
        <w:tc>
          <w:tcPr/>
          <w:p>
            <w:pPr>
              <w:pStyle w:val="Compact"/>
              <w:jc w:val="left"/>
            </w:pPr>
            <w:r>
              <w:t xml:space="preserve">Meaning</w:t>
            </w:r>
          </w:p>
        </w:tc>
      </w:tr>
      <w:tr>
        <w:tc>
          <w:tcPr/>
          <w:p>
            <w:pPr>
              <w:pStyle w:val="Compact"/>
              <w:jc w:val="left"/>
            </w:pPr>
            <w:r>
              <w:rPr>
                <w:b/>
                <w:bCs/>
              </w:rPr>
              <w:t xml:space="preserve">Compliant</w:t>
            </w:r>
          </w:p>
        </w:tc>
        <w:tc>
          <w:tcPr/>
          <w:p>
            <w:pPr>
              <w:pStyle w:val="Compact"/>
              <w:jc w:val="left"/>
            </w:pPr>
            <w:r>
              <w:t xml:space="preserve">Requirement is fully satisfied by the evidence in the package.</w:t>
            </w:r>
          </w:p>
        </w:tc>
      </w:tr>
      <w:tr>
        <w:tc>
          <w:tcPr/>
          <w:p>
            <w:pPr>
              <w:pStyle w:val="Compact"/>
              <w:jc w:val="left"/>
            </w:pPr>
            <w:r>
              <w:rPr>
                <w:b/>
                <w:bCs/>
              </w:rPr>
              <w:t xml:space="preserve">Substantially Compliant</w:t>
            </w:r>
          </w:p>
        </w:tc>
        <w:tc>
          <w:tcPr/>
          <w:p>
            <w:pPr>
              <w:pStyle w:val="Compact"/>
              <w:jc w:val="left"/>
            </w:pPr>
            <w:r>
              <w:t xml:space="preserve">Requirement is largely satisfied; only minor documentation/clarification needed.</w:t>
            </w:r>
          </w:p>
        </w:tc>
      </w:tr>
      <w:tr>
        <w:tc>
          <w:tcPr/>
          <w:p>
            <w:pPr>
              <w:pStyle w:val="Compact"/>
              <w:jc w:val="left"/>
            </w:pPr>
            <w:r>
              <w:rPr>
                <w:b/>
                <w:bCs/>
              </w:rPr>
              <w:t xml:space="preserve">Partial / In Progress</w:t>
            </w:r>
          </w:p>
        </w:tc>
        <w:tc>
          <w:tcPr/>
          <w:p>
            <w:pPr>
              <w:pStyle w:val="Compact"/>
              <w:jc w:val="left"/>
            </w:pPr>
            <w:r>
              <w:t xml:space="preserve">Some required elements are present; key items remain outstanding.</w:t>
            </w:r>
          </w:p>
        </w:tc>
      </w:tr>
      <w:tr>
        <w:tc>
          <w:tcPr/>
          <w:p>
            <w:pPr>
              <w:pStyle w:val="Compact"/>
              <w:jc w:val="left"/>
            </w:pPr>
            <w:r>
              <w:rPr>
                <w:b/>
                <w:bCs/>
              </w:rPr>
              <w:t xml:space="preserve">Gap — Cure Required</w:t>
            </w:r>
          </w:p>
        </w:tc>
        <w:tc>
          <w:tcPr/>
          <w:p>
            <w:pPr>
              <w:pStyle w:val="Compact"/>
              <w:jc w:val="left"/>
            </w:pPr>
            <w:r>
              <w:t xml:space="preserve">Required item is missing or insufficient; must be cured before/at submission or the application is incomplete.</w:t>
            </w:r>
          </w:p>
        </w:tc>
      </w:tr>
      <w:tr>
        <w:tc>
          <w:tcPr/>
          <w:p>
            <w:pPr>
              <w:pStyle w:val="Compact"/>
              <w:jc w:val="left"/>
            </w:pPr>
            <w:r>
              <w:rPr>
                <w:b/>
                <w:bCs/>
              </w:rPr>
              <w:t xml:space="preserve">Non-Compliant</w:t>
            </w:r>
          </w:p>
        </w:tc>
        <w:tc>
          <w:tcPr/>
          <w:p>
            <w:pPr>
              <w:pStyle w:val="Compact"/>
              <w:jc w:val="left"/>
            </w:pPr>
            <w:r>
              <w:t xml:space="preserve">A submitted item affirmatively fails a requirement.</w:t>
            </w:r>
          </w:p>
        </w:tc>
      </w:tr>
      <w:tr>
        <w:tc>
          <w:tcPr/>
          <w:p>
            <w:pPr>
              <w:pStyle w:val="Compact"/>
              <w:jc w:val="left"/>
            </w:pPr>
            <w:r>
              <w:rPr>
                <w:b/>
                <w:bCs/>
              </w:rPr>
              <w:t xml:space="preserve">Conflict</w:t>
            </w:r>
          </w:p>
        </w:tc>
        <w:tc>
          <w:tcPr/>
          <w:p>
            <w:pPr>
              <w:pStyle w:val="Compact"/>
              <w:jc w:val="left"/>
            </w:pPr>
            <w:r>
              <w:t xml:space="preserve">The Code, Guide, and/or Form state inconsistent rules for the same requirement.</w:t>
            </w:r>
          </w:p>
        </w:tc>
      </w:tr>
      <w:tr>
        <w:tc>
          <w:tcPr/>
          <w:p>
            <w:pPr>
              <w:pStyle w:val="Compact"/>
              <w:jc w:val="left"/>
            </w:pPr>
            <w:r>
              <w:rPr>
                <w:b/>
                <w:bCs/>
              </w:rPr>
              <w:t xml:space="preserve">Pre-Issuance</w:t>
            </w:r>
          </w:p>
        </w:tc>
        <w:tc>
          <w:tcPr/>
          <w:p>
            <w:pPr>
              <w:pStyle w:val="Compact"/>
              <w:jc w:val="left"/>
            </w:pPr>
            <w:r>
              <w:t xml:space="preserve">Not required at application; must be satisfied after City Council approval and before the permit is physically issued.</w:t>
            </w:r>
          </w:p>
        </w:tc>
      </w:tr>
      <w:tr>
        <w:tc>
          <w:tcPr/>
          <w:p>
            <w:pPr>
              <w:pStyle w:val="Compact"/>
              <w:jc w:val="left"/>
            </w:pPr>
            <w:r>
              <w:rPr>
                <w:b/>
                <w:bCs/>
              </w:rPr>
              <w:t xml:space="preserve">N/A</w:t>
            </w:r>
          </w:p>
        </w:tc>
        <w:tc>
          <w:tcPr/>
          <w:p>
            <w:pPr>
              <w:pStyle w:val="Compact"/>
              <w:jc w:val="left"/>
            </w:pPr>
            <w:r>
              <w:t xml:space="preserve">Not applicable to this applicant.</w:t>
            </w:r>
          </w:p>
        </w:tc>
      </w:tr>
    </w:tbl>
    <w:p>
      <w:r>
        <w:pict>
          <v:rect style="width:0;height:1.5pt" o:hralign="center" o:hrstd="t" o:hr="t"/>
        </w:pict>
      </w:r>
    </w:p>
    <w:bookmarkEnd w:id="22"/>
    <w:bookmarkStart w:id="23" w:name="X51025f03f7b98ca523a373f80b718f4de610268"/>
    <w:p>
      <w:pPr>
        <w:pStyle w:val="Heading2"/>
      </w:pPr>
      <w:r>
        <w:t xml:space="preserve">3. Cross-Cutting Conflicts Among Governing Documents</w:t>
      </w:r>
    </w:p>
    <w:p>
      <w:pPr>
        <w:pStyle w:val="FirstParagraph"/>
      </w:pPr>
      <w:r>
        <w:t xml:space="preserve">Before assessing the package item-by-item, the reviewer flags the following inconsistencies</w:t>
      </w:r>
      <w:r>
        <w:t xml:space="preserve"> </w:t>
      </w:r>
      <w:r>
        <w:rPr>
          <w:b/>
          <w:bCs/>
        </w:rPr>
        <w:t xml:space="preserve">among the Code, the Guide, and the Application Form themselves</w:t>
      </w:r>
      <w:r>
        <w:t xml:space="preserve">. These conflicts affect how the applicant should prepare the submission. Where the Code conflicts with the Guide or Form, the Code (an enacted ordinance) is the controlling law; however, the applicant should expect City staff to administer the process using the Guide and Form, so each conflict should be raised with the Cannabis Licensing Coordinator in advance to avoid a deficiency notice.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Code (Ch. 9, Art. 5)</w:t>
            </w:r>
          </w:p>
        </w:tc>
        <w:tc>
          <w:tcPr/>
          <w:p>
            <w:pPr>
              <w:pStyle w:val="Compact"/>
              <w:jc w:val="left"/>
            </w:pPr>
            <w:r>
              <w:t xml:space="preserve">Submission Guide</w:t>
            </w:r>
          </w:p>
        </w:tc>
        <w:tc>
          <w:tcPr/>
          <w:p>
            <w:pPr>
              <w:pStyle w:val="Compact"/>
              <w:jc w:val="left"/>
            </w:pPr>
            <w:r>
              <w:t xml:space="preserve">Application Form</w:t>
            </w:r>
          </w:p>
        </w:tc>
        <w:tc>
          <w:tcPr/>
          <w:p>
            <w:pPr>
              <w:pStyle w:val="Compact"/>
              <w:jc w:val="left"/>
            </w:pPr>
            <w:r>
              <w:t xml:space="preserve">Impact / Recommended Position</w:t>
            </w:r>
          </w:p>
        </w:tc>
      </w:tr>
      <w:tr>
        <w:tc>
          <w:tcPr/>
          <w:p>
            <w:pPr>
              <w:pStyle w:val="Compact"/>
              <w:jc w:val="left"/>
            </w:pPr>
            <w:r>
              <w:t xml:space="preserve">C-1</w:t>
            </w:r>
          </w:p>
        </w:tc>
        <w:tc>
          <w:tcPr/>
          <w:p>
            <w:pPr>
              <w:pStyle w:val="Compact"/>
              <w:jc w:val="left"/>
            </w:pPr>
            <w:r>
              <w:t xml:space="preserve">Deficiency cure period</w:t>
            </w:r>
          </w:p>
        </w:tc>
        <w:tc>
          <w:tcPr/>
          <w:p>
            <w:pPr>
              <w:pStyle w:val="Compact"/>
              <w:jc w:val="left"/>
            </w:pPr>
            <w:r>
              <w:t xml:space="preserve">§9-5-7(C):</w:t>
            </w:r>
            <w:r>
              <w:t xml:space="preserve"> </w:t>
            </w:r>
            <w:r>
              <w:rPr>
                <w:b/>
                <w:bCs/>
              </w:rPr>
              <w:t xml:space="preserve">30 calendar days</w:t>
            </w:r>
            <w:r>
              <w:t xml:space="preserve"> </w:t>
            </w:r>
            <w:r>
              <w:t xml:space="preserve">to cure</w:t>
            </w:r>
          </w:p>
        </w:tc>
        <w:tc>
          <w:tcPr/>
          <w:p>
            <w:pPr>
              <w:pStyle w:val="Compact"/>
              <w:jc w:val="left"/>
            </w:pPr>
            <w:r>
              <w:t xml:space="preserve">§1 &amp; §5:</w:t>
            </w:r>
            <w:r>
              <w:t xml:space="preserve"> </w:t>
            </w:r>
            <w:r>
              <w:rPr>
                <w:b/>
                <w:bCs/>
              </w:rPr>
              <w:t xml:space="preserve">14 calendar days</w:t>
            </w:r>
          </w:p>
        </w:tc>
        <w:tc>
          <w:tcPr/>
          <w:p>
            <w:pPr>
              <w:pStyle w:val="Compact"/>
              <w:jc w:val="left"/>
            </w:pPr>
            <w:r>
              <w:t xml:space="preserve">§13:</w:t>
            </w:r>
            <w:r>
              <w:t xml:space="preserve"> </w:t>
            </w:r>
            <w:r>
              <w:rPr>
                <w:b/>
                <w:bCs/>
              </w:rPr>
              <w:t xml:space="preserve">14 calendar days</w:t>
            </w:r>
          </w:p>
        </w:tc>
        <w:tc>
          <w:tcPr/>
          <w:p>
            <w:pPr>
              <w:pStyle w:val="Compact"/>
              <w:jc w:val="left"/>
            </w:pPr>
            <w:r>
              <w:t xml:space="preserve">The Guide/Form give the applicant</w:t>
            </w:r>
            <w:r>
              <w:t xml:space="preserve"> </w:t>
            </w:r>
            <w:r>
              <w:rPr>
                <w:b/>
                <w:bCs/>
              </w:rPr>
              <w:t xml:space="preserve">less</w:t>
            </w:r>
            <w:r>
              <w:t xml:space="preserve"> </w:t>
            </w:r>
            <w:r>
              <w:t xml:space="preserve">cure time than the Code. The Code controls as a matter of law, but staff may administer 14 days.</w:t>
            </w:r>
            <w:r>
              <w:t xml:space="preserve"> </w:t>
            </w:r>
            <w:r>
              <w:rPr>
                <w:b/>
                <w:bCs/>
              </w:rPr>
              <w:t xml:space="preserve">Request written confirmation of the controlling cure period; calendar to the shorter (14-day) period defensively.</w:t>
            </w:r>
          </w:p>
        </w:tc>
      </w:tr>
      <w:tr>
        <w:tc>
          <w:tcPr/>
          <w:p>
            <w:pPr>
              <w:pStyle w:val="Compact"/>
              <w:jc w:val="left"/>
            </w:pPr>
            <w:r>
              <w:t xml:space="preserve">C-2</w:t>
            </w:r>
          </w:p>
        </w:tc>
        <w:tc>
          <w:tcPr/>
          <w:p>
            <w:pPr>
              <w:pStyle w:val="Compact"/>
              <w:jc w:val="left"/>
            </w:pPr>
            <w:r>
              <w:t xml:space="preserve">Application fee payment method</w:t>
            </w:r>
          </w:p>
        </w:tc>
        <w:tc>
          <w:tcPr/>
          <w:p>
            <w:pPr>
              <w:pStyle w:val="Compact"/>
              <w:jc w:val="left"/>
            </w:pPr>
            <w:r>
              <w:t xml:space="preserve">§9-5-6(C):</w:t>
            </w:r>
            <w:r>
              <w:t xml:space="preserve"> </w:t>
            </w:r>
            <w:r>
              <w:rPr>
                <w:b/>
                <w:bCs/>
              </w:rPr>
              <w:t xml:space="preserve">certified check or electronic funds transfer</w:t>
            </w:r>
          </w:p>
        </w:tc>
        <w:tc>
          <w:tcPr/>
          <w:p>
            <w:pPr>
              <w:pStyle w:val="Compact"/>
              <w:jc w:val="left"/>
            </w:pPr>
            <w:r>
              <w:t xml:space="preserve">§1/Item 2:</w:t>
            </w:r>
            <w:r>
              <w:t xml:space="preserve"> </w:t>
            </w:r>
            <w:r>
              <w:rPr>
                <w:b/>
                <w:bCs/>
              </w:rPr>
              <w:t xml:space="preserve">cashier’s check or money order</w:t>
            </w:r>
          </w:p>
        </w:tc>
        <w:tc>
          <w:tcPr/>
          <w:p>
            <w:pPr>
              <w:pStyle w:val="Compact"/>
              <w:jc w:val="left"/>
            </w:pPr>
            <w:r>
              <w:t xml:space="preserve">§13:</w:t>
            </w:r>
            <w:r>
              <w:t xml:space="preserve"> </w:t>
            </w:r>
            <w:r>
              <w:rPr>
                <w:b/>
                <w:bCs/>
              </w:rPr>
              <w:t xml:space="preserve">certified check, cashier’s check, or wire transfer</w:t>
            </w:r>
          </w:p>
        </w:tc>
        <w:tc>
          <w:tcPr/>
          <w:p>
            <w:pPr>
              <w:pStyle w:val="Compact"/>
              <w:jc w:val="left"/>
            </w:pPr>
            <w:r>
              <w:t xml:space="preserve">A</w:t>
            </w:r>
            <w:r>
              <w:t xml:space="preserve"> </w:t>
            </w:r>
            <w:r>
              <w:rPr>
                <w:b/>
                <w:bCs/>
              </w:rPr>
              <w:t xml:space="preserve">money order</w:t>
            </w:r>
            <w:r>
              <w:t xml:space="preserve"> </w:t>
            </w:r>
            <w:r>
              <w:t xml:space="preserve">(permitted by the Guide) is</w:t>
            </w:r>
            <w:r>
              <w:t xml:space="preserve"> </w:t>
            </w:r>
            <w:r>
              <w:rPr>
                <w:b/>
                <w:bCs/>
              </w:rPr>
              <w:t xml:space="preserve">not</w:t>
            </w:r>
            <w:r>
              <w:t xml:space="preserve"> </w:t>
            </w:r>
            <w:r>
              <w:t xml:space="preserve">authorized by the Code; a</w:t>
            </w:r>
            <w:r>
              <w:t xml:space="preserve"> </w:t>
            </w:r>
            <w:r>
              <w:rPr>
                <w:b/>
                <w:bCs/>
              </w:rPr>
              <w:t xml:space="preserve">certified check</w:t>
            </w:r>
            <w:r>
              <w:t xml:space="preserve"> </w:t>
            </w:r>
            <w:r>
              <w:t xml:space="preserve">(permitted by the Code) is</w:t>
            </w:r>
            <w:r>
              <w:t xml:space="preserve"> </w:t>
            </w:r>
            <w:r>
              <w:rPr>
                <w:b/>
                <w:bCs/>
              </w:rPr>
              <w:t xml:space="preserve">not</w:t>
            </w:r>
            <w:r>
              <w:t xml:space="preserve"> </w:t>
            </w:r>
            <w:r>
              <w:t xml:space="preserve">listed in the Guide.</w:t>
            </w:r>
            <w:r>
              <w:t xml:space="preserve"> </w:t>
            </w:r>
            <w:r>
              <w:rPr>
                <w:b/>
                <w:bCs/>
              </w:rPr>
              <w:t xml:space="preserve">Pay by wire transfer/EFT (authorized by both Code and Form) or certified check; avoid money order.</w:t>
            </w:r>
          </w:p>
        </w:tc>
      </w:tr>
      <w:tr>
        <w:tc>
          <w:tcPr/>
          <w:p>
            <w:pPr>
              <w:pStyle w:val="Compact"/>
              <w:jc w:val="left"/>
            </w:pPr>
            <w:r>
              <w:t xml:space="preserve">C-3</w:t>
            </w:r>
          </w:p>
        </w:tc>
        <w:tc>
          <w:tcPr/>
          <w:p>
            <w:pPr>
              <w:pStyle w:val="Compact"/>
              <w:jc w:val="left"/>
            </w:pPr>
            <w:r>
              <w:t xml:space="preserve">Buffer-distance measurement method</w:t>
            </w:r>
          </w:p>
        </w:tc>
        <w:tc>
          <w:tcPr/>
          <w:p>
            <w:pPr>
              <w:pStyle w:val="Compact"/>
              <w:jc w:val="left"/>
            </w:pPr>
            <w:r>
              <w:t xml:space="preserve">§9-5-9(C): nearest</w:t>
            </w:r>
            <w:r>
              <w:t xml:space="preserve"> </w:t>
            </w:r>
            <w:r>
              <w:rPr>
                <w:b/>
                <w:bCs/>
              </w:rPr>
              <w:t xml:space="preserve">property line to nearest property line</w:t>
            </w:r>
            <w:r>
              <w:t xml:space="preserve"> </w:t>
            </w:r>
            <w:r>
              <w:t xml:space="preserve">(straight-line)</w:t>
            </w:r>
          </w:p>
        </w:tc>
        <w:tc>
          <w:tcPr/>
          <w:p>
            <w:pPr>
              <w:pStyle w:val="Compact"/>
              <w:jc w:val="left"/>
            </w:pPr>
            <w:r>
              <w:t xml:space="preserve">Item 8:</w:t>
            </w:r>
            <w:r>
              <w:t xml:space="preserve"> </w:t>
            </w:r>
            <w:r>
              <w:t xml:space="preserve">“</w:t>
            </w:r>
            <w:r>
              <w:t xml:space="preserve">as set forth in the Application Form</w:t>
            </w:r>
            <w:r>
              <w:t xml:space="preserve">”</w:t>
            </w:r>
            <w:r>
              <w:t xml:space="preserve"> </w:t>
            </w:r>
            <w:r>
              <w:t xml:space="preserve">(pedestrian route)</w:t>
            </w:r>
          </w:p>
        </w:tc>
        <w:tc>
          <w:tcPr/>
          <w:p>
            <w:pPr>
              <w:pStyle w:val="Compact"/>
              <w:jc w:val="left"/>
            </w:pPr>
            <w:r>
              <w:t xml:space="preserve">§3 Q6/Q7:</w:t>
            </w:r>
            <w:r>
              <w:t xml:space="preserve"> </w:t>
            </w:r>
            <w:r>
              <w:rPr>
                <w:b/>
                <w:bCs/>
              </w:rPr>
              <w:t xml:space="preserve">nearest pedestrian route</w:t>
            </w:r>
            <w:r>
              <w:t xml:space="preserve">;</w:t>
            </w:r>
            <w:r>
              <w:t xml:space="preserve"> </w:t>
            </w:r>
            <w:r>
              <w:t xml:space="preserve">“</w:t>
            </w:r>
            <w:r>
              <w:t xml:space="preserve">straight-line… not acceptable</w:t>
            </w:r>
            <w:r>
              <w:t xml:space="preserve">”</w:t>
            </w:r>
          </w:p>
        </w:tc>
        <w:tc>
          <w:tcPr/>
          <w:p>
            <w:pPr>
              <w:pStyle w:val="Compact"/>
              <w:jc w:val="left"/>
            </w:pPr>
            <w:r>
              <w:t xml:space="preserve">The Form’s pedestrian-route method</w:t>
            </w:r>
            <w:r>
              <w:t xml:space="preserve"> </w:t>
            </w:r>
            <w:r>
              <w:rPr>
                <w:b/>
                <w:bCs/>
              </w:rPr>
              <w:t xml:space="preserve">contradicts</w:t>
            </w:r>
            <w:r>
              <w:t xml:space="preserve"> </w:t>
            </w:r>
            <w:r>
              <w:t xml:space="preserve">the Code’s property-line method. The Code controls. The applicant’s straight-line survey complies with the Code but will be rejected by the Form.</w:t>
            </w:r>
            <w:r>
              <w:t xml:space="preserve"> </w:t>
            </w:r>
            <w:r>
              <w:rPr>
                <w:b/>
                <w:bCs/>
              </w:rPr>
              <w:t xml:space="preserve">Submit pedestrian-route measurements (which will be ≥ straight-line and still compliant) to satisfy the Form, and note the Code methodology in a cover letter.</w:t>
            </w:r>
          </w:p>
        </w:tc>
      </w:tr>
      <w:tr>
        <w:tc>
          <w:tcPr/>
          <w:p>
            <w:pPr>
              <w:pStyle w:val="Compact"/>
              <w:jc w:val="left"/>
            </w:pPr>
            <w:r>
              <w:t xml:space="preserve">C-4</w:t>
            </w:r>
          </w:p>
        </w:tc>
        <w:tc>
          <w:tcPr/>
          <w:p>
            <w:pPr>
              <w:pStyle w:val="Compact"/>
              <w:jc w:val="left"/>
            </w:pPr>
            <w:r>
              <w:t xml:space="preserve">Permitted zoning districts</w:t>
            </w:r>
          </w:p>
        </w:tc>
        <w:tc>
          <w:tcPr/>
          <w:p>
            <w:pPr>
              <w:pStyle w:val="Compact"/>
              <w:jc w:val="left"/>
            </w:pPr>
            <w:r>
              <w:t xml:space="preserve">§9-5-9(A):</w:t>
            </w:r>
            <w:r>
              <w:t xml:space="preserve"> </w:t>
            </w:r>
            <w:r>
              <w:rPr>
                <w:b/>
                <w:bCs/>
              </w:rPr>
              <w:t xml:space="preserve">C1a, C2, oC1</w:t>
            </w:r>
            <w:r>
              <w:t xml:space="preserve"> </w:t>
            </w:r>
            <w:r>
              <w:t xml:space="preserve">(special use required)</w:t>
            </w:r>
          </w:p>
        </w:tc>
        <w:tc>
          <w:tcPr/>
          <w:p>
            <w:pPr>
              <w:pStyle w:val="Compact"/>
              <w:jc w:val="left"/>
            </w:pPr>
            <w:r>
              <w:t xml:space="preserve">Item 20: references C1a only</w:t>
            </w:r>
          </w:p>
        </w:tc>
        <w:tc>
          <w:tcPr/>
          <w:p>
            <w:pPr>
              <w:pStyle w:val="Compact"/>
              <w:jc w:val="left"/>
            </w:pPr>
            <w:r>
              <w:t xml:space="preserve">§3 Q3 note:</w:t>
            </w:r>
            <w:r>
              <w:t xml:space="preserve"> </w:t>
            </w:r>
            <w:r>
              <w:rPr>
                <w:b/>
                <w:bCs/>
              </w:rPr>
              <w:t xml:space="preserve">C1a,</w:t>
            </w:r>
            <w:r>
              <w:rPr>
                <w:b/>
                <w:bCs/>
              </w:rPr>
              <w:t xml:space="preserve"> </w:t>
            </w:r>
            <w:r>
              <w:rPr>
                <w:b/>
                <w:bCs/>
              </w:rPr>
              <w:t xml:space="preserve">“</w:t>
            </w:r>
            <w:r>
              <w:rPr>
                <w:b/>
                <w:bCs/>
              </w:rPr>
              <w:t xml:space="preserve">C1 Commercial,</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B2 Business</w:t>
            </w:r>
            <w:r>
              <w:rPr>
                <w:b/>
                <w:bCs/>
              </w:rPr>
              <w:t xml:space="preserve">”</w:t>
            </w:r>
          </w:p>
        </w:tc>
        <w:tc>
          <w:tcPr/>
          <w:p>
            <w:pPr>
              <w:pStyle w:val="Compact"/>
              <w:jc w:val="left"/>
            </w:pPr>
            <w:r>
              <w:t xml:space="preserve">The Form names</w:t>
            </w:r>
            <w:r>
              <w:t xml:space="preserve"> </w:t>
            </w:r>
            <w:r>
              <w:rPr>
                <w:b/>
                <w:bCs/>
              </w:rPr>
              <w:t xml:space="preserve">C1 and B2</w:t>
            </w:r>
            <w:r>
              <w:t xml:space="preserve">, which are</w:t>
            </w:r>
            <w:r>
              <w:t xml:space="preserve"> </w:t>
            </w:r>
            <w:r>
              <w:rPr>
                <w:b/>
                <w:bCs/>
              </w:rPr>
              <w:t xml:space="preserve">not</w:t>
            </w:r>
            <w:r>
              <w:t xml:space="preserve"> </w:t>
            </w:r>
            <w:r>
              <w:t xml:space="preserve">in the Code; the Code’s</w:t>
            </w:r>
            <w:r>
              <w:t xml:space="preserve"> </w:t>
            </w:r>
            <w:r>
              <w:rPr>
                <w:b/>
                <w:bCs/>
              </w:rPr>
              <w:t xml:space="preserve">C2 and oC1</w:t>
            </w:r>
            <w:r>
              <w:t xml:space="preserve"> </w:t>
            </w:r>
            <w:r>
              <w:t xml:space="preserve">are omitted from the Form. Greenleaf’s C1a location is valid under all three.</w:t>
            </w:r>
            <w:r>
              <w:t xml:space="preserve"> </w:t>
            </w:r>
            <w:r>
              <w:rPr>
                <w:b/>
                <w:bCs/>
              </w:rPr>
              <w:t xml:space="preserve">Error is in the Form; do not rely on the Form’s zoning note. Verify zoning with the Zoning Division.</w:t>
            </w:r>
          </w:p>
        </w:tc>
      </w:tr>
      <w:tr>
        <w:tc>
          <w:tcPr/>
          <w:p>
            <w:pPr>
              <w:pStyle w:val="Compact"/>
              <w:jc w:val="left"/>
            </w:pPr>
            <w:r>
              <w:t xml:space="preserve">C-5</w:t>
            </w:r>
          </w:p>
        </w:tc>
        <w:tc>
          <w:tcPr/>
          <w:p>
            <w:pPr>
              <w:pStyle w:val="Compact"/>
              <w:jc w:val="left"/>
            </w:pPr>
            <w:r>
              <w:t xml:space="preserve">Operating-hours citation</w:t>
            </w:r>
          </w:p>
        </w:tc>
        <w:tc>
          <w:tcPr/>
          <w:p>
            <w:pPr>
              <w:pStyle w:val="Compact"/>
              <w:jc w:val="left"/>
            </w:pPr>
            <w:r>
              <w:t xml:space="preserve">§9-5-13(F): 6:00 AM–10:00 PM</w:t>
            </w:r>
          </w:p>
        </w:tc>
        <w:tc>
          <w:tcPr/>
          <w:p>
            <w:pPr>
              <w:pStyle w:val="Compact"/>
              <w:jc w:val="left"/>
            </w:pPr>
            <w:r>
              <w:t xml:space="preserve">§7(7): 6:00 AM–10:00 PM</w:t>
            </w:r>
          </w:p>
        </w:tc>
        <w:tc>
          <w:tcPr/>
          <w:p>
            <w:pPr>
              <w:pStyle w:val="Compact"/>
              <w:jc w:val="left"/>
            </w:pPr>
            <w:r>
              <w:t xml:space="preserve">§5 Q11: cites</w:t>
            </w:r>
            <w:r>
              <w:t xml:space="preserve"> </w:t>
            </w:r>
            <w:r>
              <w:rPr>
                <w:b/>
                <w:bCs/>
              </w:rPr>
              <w:t xml:space="preserve">“</w:t>
            </w:r>
            <w:r>
              <w:rPr>
                <w:b/>
                <w:bCs/>
              </w:rPr>
              <w:t xml:space="preserve">Section 9-5-17</w:t>
            </w:r>
            <w:r>
              <w:rPr>
                <w:b/>
                <w:bCs/>
              </w:rPr>
              <w:t xml:space="preserve">”</w:t>
            </w:r>
          </w:p>
        </w:tc>
        <w:tc>
          <w:tcPr/>
          <w:p>
            <w:pPr>
              <w:pStyle w:val="Compact"/>
              <w:jc w:val="left"/>
            </w:pPr>
            <w:r>
              <w:t xml:space="preserve">The Form cites the</w:t>
            </w:r>
            <w:r>
              <w:t xml:space="preserve"> </w:t>
            </w:r>
            <w:r>
              <w:rPr>
                <w:b/>
                <w:bCs/>
              </w:rPr>
              <w:t xml:space="preserve">wrong section</w:t>
            </w:r>
            <w:r>
              <w:t xml:space="preserve"> </w:t>
            </w:r>
            <w:r>
              <w:t xml:space="preserve">(§9-5-17 is the Performance Bond section). Correct cite is §9-5-13(F).</w:t>
            </w:r>
            <w:r>
              <w:t xml:space="preserve"> </w:t>
            </w:r>
            <w:r>
              <w:rPr>
                <w:b/>
                <w:bCs/>
              </w:rPr>
              <w:t xml:space="preserve">Substantive rule is consistent; cite §9-5-13(F).</w:t>
            </w:r>
          </w:p>
        </w:tc>
      </w:tr>
      <w:tr>
        <w:tc>
          <w:tcPr/>
          <w:p>
            <w:pPr>
              <w:pStyle w:val="Compact"/>
              <w:jc w:val="left"/>
            </w:pPr>
            <w:r>
              <w:t xml:space="preserve">C-6</w:t>
            </w:r>
          </w:p>
        </w:tc>
        <w:tc>
          <w:tcPr/>
          <w:p>
            <w:pPr>
              <w:pStyle w:val="Compact"/>
              <w:jc w:val="left"/>
            </w:pPr>
            <w:r>
              <w:t xml:space="preserve">Community-engagement citation</w:t>
            </w:r>
          </w:p>
        </w:tc>
        <w:tc>
          <w:tcPr/>
          <w:p>
            <w:pPr>
              <w:pStyle w:val="Compact"/>
              <w:jc w:val="left"/>
            </w:pPr>
            <w:r>
              <w:t xml:space="preserve">§9-5-8</w:t>
            </w:r>
          </w:p>
        </w:tc>
        <w:tc>
          <w:tcPr/>
          <w:p>
            <w:pPr>
              <w:pStyle w:val="Compact"/>
              <w:jc w:val="left"/>
            </w:pPr>
            <w:r>
              <w:t xml:space="preserve">Item 12</w:t>
            </w:r>
          </w:p>
        </w:tc>
        <w:tc>
          <w:tcPr/>
          <w:p>
            <w:pPr>
              <w:pStyle w:val="Compact"/>
              <w:jc w:val="left"/>
            </w:pPr>
            <w:r>
              <w:t xml:space="preserve">§7 Q22: cites</w:t>
            </w:r>
            <w:r>
              <w:t xml:space="preserve"> </w:t>
            </w:r>
            <w:r>
              <w:rPr>
                <w:b/>
                <w:bCs/>
              </w:rPr>
              <w:t xml:space="preserve">“</w:t>
            </w:r>
            <w:r>
              <w:rPr>
                <w:b/>
                <w:bCs/>
              </w:rPr>
              <w:t xml:space="preserve">Section 9-5-15</w:t>
            </w:r>
            <w:r>
              <w:rPr>
                <w:b/>
                <w:bCs/>
              </w:rPr>
              <w:t xml:space="preserve">”</w:t>
            </w:r>
          </w:p>
        </w:tc>
        <w:tc>
          <w:tcPr/>
          <w:p>
            <w:pPr>
              <w:pStyle w:val="Compact"/>
              <w:jc w:val="left"/>
            </w:pPr>
            <w:r>
              <w:t xml:space="preserve">The Form cites the</w:t>
            </w:r>
            <w:r>
              <w:t xml:space="preserve"> </w:t>
            </w:r>
            <w:r>
              <w:rPr>
                <w:b/>
                <w:bCs/>
              </w:rPr>
              <w:t xml:space="preserve">wrong section</w:t>
            </w:r>
            <w:r>
              <w:t xml:space="preserve"> </w:t>
            </w:r>
            <w:r>
              <w:t xml:space="preserve">(§9-5-15 is Community Benefit Contribution). Correct cite is §9-5-8.</w:t>
            </w:r>
            <w:r>
              <w:t xml:space="preserve"> </w:t>
            </w:r>
            <w:r>
              <w:rPr>
                <w:b/>
                <w:bCs/>
              </w:rPr>
              <w:t xml:space="preserve">Substantive rule is consistent; cite §9-5-8.</w:t>
            </w:r>
          </w:p>
        </w:tc>
      </w:tr>
      <w:tr>
        <w:tc>
          <w:tcPr/>
          <w:p>
            <w:pPr>
              <w:pStyle w:val="Compact"/>
              <w:jc w:val="left"/>
            </w:pPr>
            <w:r>
              <w:t xml:space="preserve">C-7</w:t>
            </w:r>
          </w:p>
        </w:tc>
        <w:tc>
          <w:tcPr/>
          <w:p>
            <w:pPr>
              <w:pStyle w:val="Compact"/>
              <w:jc w:val="left"/>
            </w:pPr>
            <w:r>
              <w:t xml:space="preserve">Certificate of Good Standing age</w:t>
            </w:r>
          </w:p>
        </w:tc>
        <w:tc>
          <w:tcPr/>
          <w:p>
            <w:pPr>
              <w:pStyle w:val="Compact"/>
              <w:jc w:val="left"/>
            </w:pPr>
            <w:r>
              <w:t xml:space="preserve">§9-5-5(B)(3): within preceding</w:t>
            </w:r>
            <w:r>
              <w:t xml:space="preserve"> </w:t>
            </w:r>
            <w:r>
              <w:rPr>
                <w:b/>
                <w:bCs/>
              </w:rPr>
              <w:t xml:space="preserve">60 days</w:t>
            </w:r>
          </w:p>
        </w:tc>
        <w:tc>
          <w:tcPr/>
          <w:p>
            <w:pPr>
              <w:pStyle w:val="Compact"/>
              <w:jc w:val="left"/>
            </w:pPr>
            <w:r>
              <w:t xml:space="preserve">Item 4: within</w:t>
            </w:r>
            <w:r>
              <w:t xml:space="preserve"> </w:t>
            </w:r>
            <w:r>
              <w:rPr>
                <w:b/>
                <w:bCs/>
              </w:rPr>
              <w:t xml:space="preserve">60 days</w:t>
            </w:r>
          </w:p>
        </w:tc>
        <w:tc>
          <w:tcPr/>
          <w:p>
            <w:pPr>
              <w:pStyle w:val="Compact"/>
              <w:jc w:val="left"/>
            </w:pPr>
            <w:r>
              <w:t xml:space="preserve">§13 checklist: within</w:t>
            </w:r>
            <w:r>
              <w:t xml:space="preserve"> </w:t>
            </w:r>
            <w:r>
              <w:rPr>
                <w:b/>
                <w:bCs/>
              </w:rPr>
              <w:t xml:space="preserve">30 days</w:t>
            </w:r>
          </w:p>
        </w:tc>
        <w:tc>
          <w:tcPr/>
          <w:p>
            <w:pPr>
              <w:pStyle w:val="Compact"/>
              <w:jc w:val="left"/>
            </w:pPr>
            <w:r>
              <w:t xml:space="preserve">The Form is</w:t>
            </w:r>
            <w:r>
              <w:t xml:space="preserve"> </w:t>
            </w:r>
            <w:r>
              <w:rPr>
                <w:b/>
                <w:bCs/>
              </w:rPr>
              <w:t xml:space="preserve">more restrictive</w:t>
            </w:r>
            <w:r>
              <w:t xml:space="preserve"> </w:t>
            </w:r>
            <w:r>
              <w:t xml:space="preserve">than the Code/Guide.</w:t>
            </w:r>
            <w:r>
              <w:t xml:space="preserve"> </w:t>
            </w:r>
            <w:r>
              <w:rPr>
                <w:b/>
                <w:bCs/>
              </w:rPr>
              <w:t xml:space="preserve">Obtain a Certificate of Good Standing dated within 30 days of submission to satisfy the strictest standard.</w:t>
            </w:r>
          </w:p>
        </w:tc>
      </w:tr>
      <w:tr>
        <w:tc>
          <w:tcPr/>
          <w:p>
            <w:pPr>
              <w:pStyle w:val="Compact"/>
              <w:jc w:val="left"/>
            </w:pPr>
            <w:r>
              <w:t xml:space="preserve">C-8</w:t>
            </w:r>
          </w:p>
        </w:tc>
        <w:tc>
          <w:tcPr/>
          <w:p>
            <w:pPr>
              <w:pStyle w:val="Compact"/>
              <w:jc w:val="left"/>
            </w:pPr>
            <w:r>
              <w:t xml:space="preserve">Maximum occupancy formula</w:t>
            </w:r>
          </w:p>
        </w:tc>
        <w:tc>
          <w:tcPr/>
          <w:p>
            <w:pPr>
              <w:pStyle w:val="Compact"/>
              <w:jc w:val="left"/>
            </w:pPr>
            <w:r>
              <w:t xml:space="preserve">§9-5-13(J): 1 customer per 40 sq ft of</w:t>
            </w:r>
            <w:r>
              <w:t xml:space="preserve"> </w:t>
            </w:r>
            <w:r>
              <w:rPr>
                <w:b/>
                <w:bCs/>
              </w:rPr>
              <w:t xml:space="preserve">retail floor area</w:t>
            </w:r>
            <w:r>
              <w:t xml:space="preserve"> </w:t>
            </w:r>
            <w:r>
              <w:t xml:space="preserve">(example: 1,600 sf → 40)</w:t>
            </w:r>
          </w:p>
        </w:tc>
        <w:tc>
          <w:tcPr/>
          <w:p>
            <w:pPr>
              <w:pStyle w:val="Compact"/>
              <w:jc w:val="left"/>
            </w:pPr>
            <w:r>
              <w:t xml:space="preserve">§7(8):</w:t>
            </w:r>
            <w:r>
              <w:t xml:space="preserve"> </w:t>
            </w:r>
            <w:r>
              <w:t xml:space="preserve">“</w:t>
            </w:r>
            <w:r>
              <w:t xml:space="preserve">based on retail floor area per the ordinance</w:t>
            </w:r>
            <w:r>
              <w:t xml:space="preserve">”</w:t>
            </w:r>
          </w:p>
        </w:tc>
        <w:tc>
          <w:tcPr/>
          <w:p>
            <w:pPr>
              <w:pStyle w:val="Compact"/>
              <w:jc w:val="left"/>
            </w:pPr>
            <w:r>
              <w:t xml:space="preserve">§5 Q12:</w:t>
            </w:r>
            <w:r>
              <w:t xml:space="preserve"> </w:t>
            </w:r>
            <w:r>
              <w:rPr>
                <w:b/>
                <w:bCs/>
              </w:rPr>
              <w:t xml:space="preserve">Total Dispensary Square Footage ÷ 40</w:t>
            </w:r>
            <w:r>
              <w:t xml:space="preserve"> </w:t>
            </w:r>
            <w:r>
              <w:t xml:space="preserve">(would yield 3,200÷40 =</w:t>
            </w:r>
            <w:r>
              <w:t xml:space="preserve"> </w:t>
            </w:r>
            <w:r>
              <w:rPr>
                <w:b/>
                <w:bCs/>
              </w:rPr>
              <w:t xml:space="preserve">80</w:t>
            </w:r>
            <w:r>
              <w:t xml:space="preserve">)</w:t>
            </w:r>
          </w:p>
        </w:tc>
        <w:tc>
          <w:tcPr/>
          <w:p>
            <w:pPr>
              <w:pStyle w:val="Compact"/>
              <w:jc w:val="left"/>
            </w:pPr>
            <w:r>
              <w:t xml:space="preserve">The Form’s formula</w:t>
            </w:r>
            <w:r>
              <w:t xml:space="preserve"> </w:t>
            </w:r>
            <w:r>
              <w:rPr>
                <w:b/>
                <w:bCs/>
              </w:rPr>
              <w:t xml:space="preserve">contradicts</w:t>
            </w:r>
            <w:r>
              <w:t xml:space="preserve"> </w:t>
            </w:r>
            <w:r>
              <w:t xml:space="preserve">the Code, which uses</w:t>
            </w:r>
            <w:r>
              <w:t xml:space="preserve"> </w:t>
            </w:r>
            <w:r>
              <w:rPr>
                <w:b/>
                <w:bCs/>
              </w:rPr>
              <w:t xml:space="preserve">retail floor area</w:t>
            </w:r>
            <w:r>
              <w:t xml:space="preserve"> </w:t>
            </w:r>
            <w:r>
              <w:t xml:space="preserve">only. Using the Form’s formula would produce an</w:t>
            </w:r>
            <w:r>
              <w:t xml:space="preserve"> </w:t>
            </w:r>
            <w:r>
              <w:rPr>
                <w:b/>
                <w:bCs/>
              </w:rPr>
              <w:t xml:space="preserve">incorrect (non-compliant) occupancy of 80</w:t>
            </w:r>
            <w:r>
              <w:t xml:space="preserve">.</w:t>
            </w:r>
            <w:r>
              <w:t xml:space="preserve"> </w:t>
            </w:r>
            <w:r>
              <w:rPr>
                <w:b/>
                <w:bCs/>
              </w:rPr>
              <w:t xml:space="preserve">Use the Code’s method: 1,600 ÷ 40 = 40 customers. Note the Form error.</w:t>
            </w:r>
          </w:p>
        </w:tc>
      </w:tr>
      <w:tr>
        <w:tc>
          <w:tcPr/>
          <w:p>
            <w:pPr>
              <w:pStyle w:val="Compact"/>
              <w:jc w:val="left"/>
            </w:pPr>
            <w:r>
              <w:t xml:space="preserve">C-9</w:t>
            </w:r>
          </w:p>
        </w:tc>
        <w:tc>
          <w:tcPr/>
          <w:p>
            <w:pPr>
              <w:pStyle w:val="Compact"/>
              <w:jc w:val="left"/>
            </w:pPr>
            <w:r>
              <w:t xml:space="preserve">Social Equity qualifying bases</w:t>
            </w:r>
          </w:p>
        </w:tc>
        <w:tc>
          <w:tcPr/>
          <w:p>
            <w:pPr>
              <w:pStyle w:val="Compact"/>
              <w:jc w:val="left"/>
            </w:pPr>
            <w:r>
              <w:t xml:space="preserve">§9-5-19(B): (1) R3 residency ≥24 mo; (2) expunged/sealed/pardoned cannabis record; (3) family-member cannabis record prior to 6/25/2019</w:t>
            </w:r>
          </w:p>
        </w:tc>
        <w:tc>
          <w:tcPr/>
          <w:p>
            <w:pPr>
              <w:pStyle w:val="Compact"/>
              <w:jc w:val="left"/>
            </w:pPr>
            <w:r>
              <w:t xml:space="preserve">§2: R3 residency or prior cannabis arrest/conviction; 51% ownership</w:t>
            </w:r>
          </w:p>
        </w:tc>
        <w:tc>
          <w:tcPr/>
          <w:p>
            <w:pPr>
              <w:pStyle w:val="Compact"/>
              <w:jc w:val="left"/>
            </w:pPr>
            <w:r>
              <w:t xml:space="preserve">§6 Q19: R3 residency; prior cannabis arrest/conviction;</w:t>
            </w:r>
            <w:r>
              <w:t xml:space="preserve"> </w:t>
            </w:r>
            <w:r>
              <w:rPr>
                <w:b/>
                <w:bCs/>
              </w:rPr>
              <w:t xml:space="preserve">“</w:t>
            </w:r>
            <w:r>
              <w:rPr>
                <w:b/>
                <w:bCs/>
              </w:rPr>
              <w:t xml:space="preserve">Disproportionately Impacted Area (DIA)</w:t>
            </w:r>
            <w:r>
              <w:rPr>
                <w:b/>
                <w:bCs/>
              </w:rPr>
              <w:t xml:space="preserve">”</w:t>
            </w:r>
            <w:r>
              <w:t xml:space="preserve"> </w:t>
            </w:r>
            <w:r>
              <w:t xml:space="preserve">(a State basis); omits family-member basis</w:t>
            </w:r>
          </w:p>
        </w:tc>
        <w:tc>
          <w:tcPr/>
          <w:p>
            <w:pPr>
              <w:pStyle w:val="Compact"/>
              <w:jc w:val="left"/>
            </w:pPr>
            <w:r>
              <w:t xml:space="preserve">The Form adds a</w:t>
            </w:r>
            <w:r>
              <w:t xml:space="preserve"> </w:t>
            </w:r>
            <w:r>
              <w:rPr>
                <w:b/>
                <w:bCs/>
              </w:rPr>
              <w:t xml:space="preserve">State DIA basis not recognized by the City Code</w:t>
            </w:r>
            <w:r>
              <w:t xml:space="preserve">, and</w:t>
            </w:r>
            <w:r>
              <w:t xml:space="preserve"> </w:t>
            </w:r>
            <w:r>
              <w:rPr>
                <w:b/>
                <w:bCs/>
              </w:rPr>
              <w:t xml:space="preserve">omits the family-member basis</w:t>
            </w:r>
            <w:r>
              <w:t xml:space="preserve"> </w:t>
            </w:r>
            <w:r>
              <w:t xml:space="preserve">and the 6/25/2019 cutoff.</w:t>
            </w:r>
            <w:r>
              <w:t xml:space="preserve"> </w:t>
            </w:r>
            <w:r>
              <w:rPr>
                <w:b/>
                <w:bCs/>
              </w:rPr>
              <w:t xml:space="preserve">Claim Social Equity under the City Code bases (R3 residency and/or prior expunged conviction), not the State DIA basis.</w:t>
            </w:r>
          </w:p>
        </w:tc>
      </w:tr>
      <w:tr>
        <w:tc>
          <w:tcPr/>
          <w:p>
            <w:pPr>
              <w:pStyle w:val="Compact"/>
              <w:jc w:val="left"/>
            </w:pPr>
            <w:r>
              <w:t xml:space="preserve">C-10</w:t>
            </w:r>
          </w:p>
        </w:tc>
        <w:tc>
          <w:tcPr/>
          <w:p>
            <w:pPr>
              <w:pStyle w:val="Compact"/>
              <w:jc w:val="left"/>
            </w:pPr>
            <w:r>
              <w:t xml:space="preserve">Cannabis Licensing Coordinator contact</w:t>
            </w:r>
          </w:p>
        </w:tc>
        <w:tc>
          <w:tcPr/>
          <w:p>
            <w:pPr>
              <w:pStyle w:val="Compact"/>
              <w:jc w:val="left"/>
            </w:pPr>
            <w:r>
              <w:t xml:space="preserve">—</w:t>
            </w:r>
          </w:p>
        </w:tc>
        <w:tc>
          <w:tcPr/>
          <w:p>
            <w:pPr>
              <w:pStyle w:val="Compact"/>
              <w:jc w:val="left"/>
            </w:pPr>
            <w:r>
              <w:t xml:space="preserve">Phone (847) 448-</w:t>
            </w:r>
            <w:r>
              <w:rPr>
                <w:b/>
                <w:bCs/>
              </w:rPr>
              <w:t xml:space="preserve">4311</w:t>
            </w:r>
            <w:r>
              <w:t xml:space="preserve">; email rvasquezmorris@…</w:t>
            </w:r>
          </w:p>
        </w:tc>
        <w:tc>
          <w:tcPr/>
          <w:p>
            <w:pPr>
              <w:pStyle w:val="Compact"/>
              <w:jc w:val="left"/>
            </w:pPr>
            <w:r>
              <w:t xml:space="preserve">Phone (847) 448-</w:t>
            </w:r>
            <w:r>
              <w:rPr>
                <w:b/>
                <w:bCs/>
              </w:rPr>
              <w:t xml:space="preserve">8163</w:t>
            </w:r>
            <w:r>
              <w:t xml:space="preserve">; email rvasquez-morris@…</w:t>
            </w:r>
          </w:p>
        </w:tc>
        <w:tc>
          <w:tcPr/>
          <w:p>
            <w:pPr>
              <w:pStyle w:val="Compact"/>
              <w:jc w:val="left"/>
            </w:pPr>
            <w:r>
              <w:t xml:space="preserve">Phone number and email hyphenation</w:t>
            </w:r>
            <w:r>
              <w:t xml:space="preserve"> </w:t>
            </w:r>
            <w:r>
              <w:rPr>
                <w:b/>
                <w:bCs/>
              </w:rPr>
              <w:t xml:space="preserve">differ</w:t>
            </w:r>
            <w:r>
              <w:t xml:space="preserve"> </w:t>
            </w:r>
            <w:r>
              <w:t xml:space="preserve">between Guide and Form.</w:t>
            </w:r>
            <w:r>
              <w:t xml:space="preserve"> </w:t>
            </w:r>
            <w:r>
              <w:rPr>
                <w:b/>
                <w:bCs/>
              </w:rPr>
              <w:t xml:space="preserve">Verify the correct contact with the Department of Community Development before submission.</w:t>
            </w:r>
          </w:p>
        </w:tc>
      </w:tr>
      <w:tr>
        <w:tc>
          <w:tcPr/>
          <w:p>
            <w:pPr>
              <w:pStyle w:val="Compact"/>
              <w:jc w:val="left"/>
            </w:pPr>
            <w:r>
              <w:t xml:space="preserve">C-11</w:t>
            </w:r>
          </w:p>
        </w:tc>
        <w:tc>
          <w:tcPr/>
          <w:p>
            <w:pPr>
              <w:pStyle w:val="Compact"/>
              <w:jc w:val="left"/>
            </w:pPr>
            <w:r>
              <w:t xml:space="preserve">Scoring panel composition</w:t>
            </w:r>
          </w:p>
        </w:tc>
        <w:tc>
          <w:tcPr/>
          <w:p>
            <w:pPr>
              <w:pStyle w:val="Compact"/>
              <w:jc w:val="left"/>
            </w:pPr>
            <w:r>
              <w:t xml:space="preserve">§9-5-10(A): Cannabis Licensing Coordinator in consultation with the Liquor &amp; Cannabis Board</w:t>
            </w:r>
          </w:p>
        </w:tc>
        <w:tc>
          <w:tcPr/>
          <w:p>
            <w:pPr>
              <w:pStyle w:val="Compact"/>
              <w:jc w:val="left"/>
            </w:pPr>
            <w:r>
              <w:t xml:space="preserve">§4: review panel of Community Development, City Manager’s Office, EPD staff</w:t>
            </w:r>
          </w:p>
        </w:tc>
        <w:tc>
          <w:tcPr/>
          <w:p>
            <w:pPr>
              <w:pStyle w:val="Compact"/>
              <w:jc w:val="left"/>
            </w:pPr>
            <w:r>
              <w:t xml:space="preserve">§8: panel adds</w:t>
            </w:r>
            <w:r>
              <w:t xml:space="preserve"> </w:t>
            </w:r>
            <w:r>
              <w:rPr>
                <w:b/>
                <w:bCs/>
              </w:rPr>
              <w:t xml:space="preserve">two community members appointed by the Mayor</w:t>
            </w:r>
          </w:p>
        </w:tc>
        <w:tc>
          <w:tcPr/>
          <w:p>
            <w:pPr>
              <w:pStyle w:val="Compact"/>
              <w:jc w:val="left"/>
            </w:pPr>
            <w:r>
              <w:t xml:space="preserve">The Form adds community members not mentioned in the Code. Informational; does not affect applicant preparation.</w:t>
            </w:r>
          </w:p>
        </w:tc>
      </w:tr>
      <w:tr>
        <w:tc>
          <w:tcPr/>
          <w:p>
            <w:pPr>
              <w:pStyle w:val="Compact"/>
              <w:jc w:val="left"/>
            </w:pPr>
            <w:r>
              <w:t xml:space="preserve">C-12</w:t>
            </w:r>
          </w:p>
        </w:tc>
        <w:tc>
          <w:tcPr/>
          <w:p>
            <w:pPr>
              <w:pStyle w:val="Compact"/>
              <w:jc w:val="left"/>
            </w:pPr>
            <w:r>
              <w:t xml:space="preserve">Reporting radius for sensitive uses</w:t>
            </w:r>
          </w:p>
        </w:tc>
        <w:tc>
          <w:tcPr/>
          <w:p>
            <w:pPr>
              <w:pStyle w:val="Compact"/>
              <w:jc w:val="left"/>
            </w:pPr>
            <w:r>
              <w:t xml:space="preserve">§9-5-9(B): buffers of 1,000 / 500 / 1,500 ft</w:t>
            </w:r>
          </w:p>
        </w:tc>
        <w:tc>
          <w:tcPr/>
          <w:p>
            <w:pPr>
              <w:pStyle w:val="Compact"/>
              <w:jc w:val="left"/>
            </w:pPr>
            <w:r>
              <w:t xml:space="preserve">Item 8: identify sensitive uses per buffers</w:t>
            </w:r>
          </w:p>
        </w:tc>
        <w:tc>
          <w:tcPr/>
          <w:p>
            <w:pPr>
              <w:pStyle w:val="Compact"/>
              <w:jc w:val="left"/>
            </w:pPr>
            <w:r>
              <w:t xml:space="preserve">§3 Q6: report schools within</w:t>
            </w:r>
            <w:r>
              <w:t xml:space="preserve"> </w:t>
            </w:r>
            <w:r>
              <w:rPr>
                <w:b/>
                <w:bCs/>
              </w:rPr>
              <w:t xml:space="preserve">1,500 ft</w:t>
            </w:r>
            <w:r>
              <w:t xml:space="preserve">; Q7A daycares within</w:t>
            </w:r>
            <w:r>
              <w:t xml:space="preserve"> </w:t>
            </w:r>
            <w:r>
              <w:rPr>
                <w:b/>
                <w:bCs/>
              </w:rPr>
              <w:t xml:space="preserve">1,000 ft</w:t>
            </w:r>
            <w:r>
              <w:t xml:space="preserve">; Q7B dispensaries within</w:t>
            </w:r>
            <w:r>
              <w:t xml:space="preserve"> </w:t>
            </w:r>
            <w:r>
              <w:rPr>
                <w:b/>
                <w:bCs/>
              </w:rPr>
              <w:t xml:space="preserve">2,000 ft</w:t>
            </w:r>
          </w:p>
        </w:tc>
        <w:tc>
          <w:tcPr/>
          <w:p>
            <w:pPr>
              <w:pStyle w:val="Compact"/>
              <w:jc w:val="left"/>
            </w:pPr>
            <w:r>
              <w:t xml:space="preserve">The Form requires reporting sensitive uses within a</w:t>
            </w:r>
            <w:r>
              <w:t xml:space="preserve"> </w:t>
            </w:r>
            <w:r>
              <w:rPr>
                <w:b/>
                <w:bCs/>
              </w:rPr>
              <w:t xml:space="preserve">larger radius</w:t>
            </w:r>
            <w:r>
              <w:t xml:space="preserve"> </w:t>
            </w:r>
            <w:r>
              <w:t xml:space="preserve">than the buffer itself. Not a conflict in substance;</w:t>
            </w:r>
            <w:r>
              <w:t xml:space="preserve"> </w:t>
            </w:r>
            <w:r>
              <w:rPr>
                <w:b/>
                <w:bCs/>
              </w:rPr>
              <w:t xml:space="preserve">report all uses within the Form’s stated radii.</w:t>
            </w:r>
          </w:p>
        </w:tc>
      </w:tr>
    </w:tbl>
    <w:p>
      <w:r>
        <w:pict>
          <v:rect style="width:0;height:1.5pt" o:hralign="center" o:hrstd="t" o:hr="t"/>
        </w:pict>
      </w:r>
    </w:p>
    <w:bookmarkEnd w:id="23"/>
    <w:bookmarkStart w:id="44" w:name="compliance-requirements-matrix"/>
    <w:p>
      <w:pPr>
        <w:pStyle w:val="Heading2"/>
      </w:pPr>
      <w:r>
        <w:t xml:space="preserve">4. Compliance Requirements Matrix</w:t>
      </w:r>
    </w:p>
    <w:p>
      <w:pPr>
        <w:pStyle w:val="FirstParagraph"/>
      </w:pPr>
      <w:r>
        <w:t xml:space="preserve">The matrix below is organized by functional category.</w:t>
      </w:r>
      <w:r>
        <w:t xml:space="preserve"> </w:t>
      </w:r>
      <w:r>
        <w:t xml:space="preserve">“</w:t>
      </w:r>
      <w:r>
        <w:t xml:space="preserve">Authority</w:t>
      </w:r>
      <w:r>
        <w:t xml:space="preserve">”</w:t>
      </w:r>
      <w:r>
        <w:t xml:space="preserve"> </w:t>
      </w:r>
      <w:r>
        <w:t xml:space="preserve">cites the controlling Code section first, then the Guide item and Form question.</w:t>
      </w:r>
      <w:r>
        <w:t xml:space="preserve"> </w:t>
      </w:r>
      <w:r>
        <w:t xml:space="preserve">“</w:t>
      </w:r>
      <w:r>
        <w:t xml:space="preserve">Evidence in Package</w:t>
      </w:r>
      <w:r>
        <w:t xml:space="preserve">”</w:t>
      </w:r>
      <w:r>
        <w:t xml:space="preserve"> </w:t>
      </w:r>
      <w:r>
        <w:t xml:space="preserve">summarizes what the submitted documents show. Citations use</w:t>
      </w:r>
      <w:r>
        <w:t xml:space="preserve"> </w:t>
      </w:r>
      <w:r>
        <w:t xml:space="preserve">“</w:t>
      </w:r>
      <w:r>
        <w:t xml:space="preserve">§9-5-X</w:t>
      </w:r>
      <w:r>
        <w:t xml:space="preserve">”</w:t>
      </w:r>
      <w:r>
        <w:t xml:space="preserve"> </w:t>
      </w:r>
      <w:r>
        <w:t xml:space="preserve">for the Municipal Code,</w:t>
      </w:r>
      <w:r>
        <w:t xml:space="preserve"> </w:t>
      </w:r>
      <w:r>
        <w:t xml:space="preserve">“</w:t>
      </w:r>
      <w:r>
        <w:t xml:space="preserve">Guide Item N</w:t>
      </w:r>
      <w:r>
        <w:t xml:space="preserve">”</w:t>
      </w:r>
      <w:r>
        <w:t xml:space="preserve"> </w:t>
      </w:r>
      <w:r>
        <w:t xml:space="preserve">for the Submission Guide, and</w:t>
      </w:r>
      <w:r>
        <w:t xml:space="preserve"> </w:t>
      </w:r>
      <w:r>
        <w:t xml:space="preserve">“</w:t>
      </w:r>
      <w:r>
        <w:t xml:space="preserve">Form §X QY</w:t>
      </w:r>
      <w:r>
        <w:t xml:space="preserve">”</w:t>
      </w:r>
      <w:r>
        <w:t xml:space="preserve"> </w:t>
      </w:r>
      <w:r>
        <w:t xml:space="preserve">for the Application Form.</w:t>
      </w:r>
    </w:p>
    <w:bookmarkStart w:id="24" w:name="X232935a94a8f95ca58cd7b93fb00355578ec37b"/>
    <w:p>
      <w:pPr>
        <w:pStyle w:val="Heading3"/>
      </w:pPr>
      <w:r>
        <w:t xml:space="preserve">4.A Entity Status, Formation &amp; Organizational Documents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Evidence in Package</w:t>
            </w:r>
          </w:p>
        </w:tc>
        <w:tc>
          <w:tcPr/>
          <w:p>
            <w:pPr>
              <w:pStyle w:val="Compact"/>
              <w:jc w:val="left"/>
            </w:pPr>
            <w:r>
              <w:t xml:space="preserve">Status</w:t>
            </w:r>
          </w:p>
        </w:tc>
        <w:tc>
          <w:tcPr/>
          <w:p>
            <w:pPr>
              <w:pStyle w:val="Compact"/>
              <w:jc w:val="left"/>
            </w:pPr>
            <w:r>
              <w:t xml:space="preserve">Remediation / Notes</w:t>
            </w:r>
          </w:p>
        </w:tc>
      </w:tr>
      <w:tr>
        <w:tc>
          <w:tcPr/>
          <w:p>
            <w:pPr>
              <w:pStyle w:val="Compact"/>
              <w:jc w:val="left"/>
            </w:pPr>
            <w:r>
              <w:t xml:space="preserve">A-1</w:t>
            </w:r>
          </w:p>
        </w:tc>
        <w:tc>
          <w:tcPr/>
          <w:p>
            <w:pPr>
              <w:pStyle w:val="Compact"/>
              <w:jc w:val="left"/>
            </w:pPr>
            <w:r>
              <w:t xml:space="preserve">Applicant is a licensed IL business entity in good standing; sole proprietorships ineligible</w:t>
            </w:r>
          </w:p>
        </w:tc>
        <w:tc>
          <w:tcPr/>
          <w:p>
            <w:pPr>
              <w:pStyle w:val="Compact"/>
              <w:jc w:val="left"/>
            </w:pPr>
            <w:r>
              <w:t xml:space="preserve">§9-5-5(B)(3); Guide §2, Item 4</w:t>
            </w:r>
          </w:p>
        </w:tc>
        <w:tc>
          <w:tcPr/>
          <w:p>
            <w:pPr>
              <w:pStyle w:val="Compact"/>
              <w:jc w:val="left"/>
            </w:pPr>
            <w:r>
              <w:t xml:space="preserve">Greenleaf Therapeutics LLC, IL LLC formed 3/14/2023; EIN 88-3921047; ILSOS File LLC-07842319; business plan states good standing</w:t>
            </w:r>
          </w:p>
        </w:tc>
        <w:tc>
          <w:tcPr/>
          <w:p>
            <w:pPr>
              <w:pStyle w:val="Compact"/>
              <w:jc w:val="left"/>
            </w:pPr>
            <w:r>
              <w:t xml:space="preserve">Substantially Compliant</w:t>
            </w:r>
          </w:p>
        </w:tc>
        <w:tc>
          <w:tcPr/>
          <w:p>
            <w:pPr>
              <w:pStyle w:val="Compact"/>
              <w:jc w:val="left"/>
            </w:pPr>
            <w:r>
              <w:t xml:space="preserve">Include</w:t>
            </w:r>
            <w:r>
              <w:t xml:space="preserve"> </w:t>
            </w:r>
            <w:r>
              <w:rPr>
                <w:b/>
                <w:bCs/>
              </w:rPr>
              <w:t xml:space="preserve">Certificate of Good Standing</w:t>
            </w:r>
            <w:r>
              <w:t xml:space="preserve"> </w:t>
            </w:r>
            <w:r>
              <w:t xml:space="preserve">from IL Secretary of State dated within</w:t>
            </w:r>
            <w:r>
              <w:t xml:space="preserve"> </w:t>
            </w:r>
            <w:r>
              <w:rPr>
                <w:b/>
                <w:bCs/>
              </w:rPr>
              <w:t xml:space="preserve">30 days</w:t>
            </w:r>
            <w:r>
              <w:t xml:space="preserve"> </w:t>
            </w:r>
            <w:r>
              <w:t xml:space="preserve">of submission (strictest standard — see C-7). Not currently in package.</w:t>
            </w:r>
          </w:p>
        </w:tc>
      </w:tr>
      <w:tr>
        <w:tc>
          <w:tcPr/>
          <w:p>
            <w:pPr>
              <w:pStyle w:val="Compact"/>
              <w:jc w:val="left"/>
            </w:pPr>
            <w:r>
              <w:t xml:space="preserve">A-2</w:t>
            </w:r>
          </w:p>
        </w:tc>
        <w:tc>
          <w:tcPr/>
          <w:p>
            <w:pPr>
              <w:pStyle w:val="Compact"/>
              <w:jc w:val="left"/>
            </w:pPr>
            <w:r>
              <w:t xml:space="preserve">Articles of Organization/Incorporation; Operating Agreement/Bylaws</w:t>
            </w:r>
          </w:p>
        </w:tc>
        <w:tc>
          <w:tcPr/>
          <w:p>
            <w:pPr>
              <w:pStyle w:val="Compact"/>
              <w:jc w:val="left"/>
            </w:pPr>
            <w:r>
              <w:t xml:space="preserve">§9-5-5(B)(3); Guide Item 4; Form §13</w:t>
            </w:r>
          </w:p>
        </w:tc>
        <w:tc>
          <w:tcPr/>
          <w:p>
            <w:pPr>
              <w:pStyle w:val="Compact"/>
              <w:jc w:val="left"/>
            </w:pPr>
            <w:r>
              <w:t xml:space="preserve">Business plan states Articles and Operating Agreement</w:t>
            </w:r>
            <w:r>
              <w:t xml:space="preserve"> </w:t>
            </w:r>
            <w:r>
              <w:t xml:space="preserve">“</w:t>
            </w:r>
            <w:r>
              <w:t xml:space="preserve">on file and available for regulatory review</w:t>
            </w:r>
            <w:r>
              <w:t xml:space="preserve">”</w:t>
            </w:r>
            <w:r>
              <w:t xml:space="preserve">; lease summary confirms IL LLC under 805 ILCS 180/</w:t>
            </w:r>
          </w:p>
        </w:tc>
        <w:tc>
          <w:tcPr/>
          <w:p>
            <w:pPr>
              <w:pStyle w:val="Compact"/>
              <w:jc w:val="left"/>
            </w:pPr>
            <w:r>
              <w:t xml:space="preserve">Partial / In Progress</w:t>
            </w:r>
          </w:p>
        </w:tc>
        <w:tc>
          <w:tcPr/>
          <w:p>
            <w:pPr>
              <w:pStyle w:val="Compact"/>
              <w:jc w:val="left"/>
            </w:pPr>
            <w:r>
              <w:t xml:space="preserve">Package references but does</w:t>
            </w:r>
            <w:r>
              <w:t xml:space="preserve"> </w:t>
            </w:r>
            <w:r>
              <w:rPr>
                <w:b/>
                <w:bCs/>
              </w:rPr>
              <w:t xml:space="preserve">not reproduce</w:t>
            </w:r>
            <w:r>
              <w:t xml:space="preserve"> </w:t>
            </w:r>
            <w:r>
              <w:t xml:space="preserve">the Articles or Operating Agreement. Include certified copies as exhibits.</w:t>
            </w:r>
          </w:p>
        </w:tc>
      </w:tr>
      <w:tr>
        <w:tc>
          <w:tcPr/>
          <w:p>
            <w:pPr>
              <w:pStyle w:val="Compact"/>
              <w:jc w:val="left"/>
            </w:pPr>
            <w:r>
              <w:t xml:space="preserve">A-3</w:t>
            </w:r>
          </w:p>
        </w:tc>
        <w:tc>
          <w:tcPr/>
          <w:p>
            <w:pPr>
              <w:pStyle w:val="Compact"/>
              <w:jc w:val="left"/>
            </w:pPr>
            <w:r>
              <w:t xml:space="preserve">EIN verification letter from IRS</w:t>
            </w:r>
          </w:p>
        </w:tc>
        <w:tc>
          <w:tcPr/>
          <w:p>
            <w:pPr>
              <w:pStyle w:val="Compact"/>
              <w:jc w:val="left"/>
            </w:pPr>
            <w:r>
              <w:t xml:space="preserve">Guide Item 4; Form §13</w:t>
            </w:r>
          </w:p>
        </w:tc>
        <w:tc>
          <w:tcPr/>
          <w:p>
            <w:pPr>
              <w:pStyle w:val="Compact"/>
              <w:jc w:val="left"/>
            </w:pPr>
            <w:r>
              <w:t xml:space="preserve">EIN stated (88-3921047)</w:t>
            </w:r>
          </w:p>
        </w:tc>
        <w:tc>
          <w:tcPr/>
          <w:p>
            <w:pPr>
              <w:pStyle w:val="Compact"/>
              <w:jc w:val="left"/>
            </w:pPr>
            <w:r>
              <w:t xml:space="preserve">Gap — Cure Required</w:t>
            </w:r>
          </w:p>
        </w:tc>
        <w:tc>
          <w:tcPr/>
          <w:p>
            <w:pPr>
              <w:pStyle w:val="Compact"/>
              <w:jc w:val="left"/>
            </w:pPr>
            <w:r>
              <w:rPr>
                <w:b/>
                <w:bCs/>
              </w:rPr>
              <w:t xml:space="preserve">IRS EIN verification letter (CP 575 or 147C) not included.</w:t>
            </w:r>
            <w:r>
              <w:t xml:space="preserve"> </w:t>
            </w:r>
            <w:r>
              <w:t xml:space="preserve">Obtain and include.</w:t>
            </w:r>
          </w:p>
        </w:tc>
      </w:tr>
      <w:tr>
        <w:tc>
          <w:tcPr/>
          <w:p>
            <w:pPr>
              <w:pStyle w:val="Compact"/>
              <w:jc w:val="left"/>
            </w:pPr>
            <w:r>
              <w:t xml:space="preserve">A-4</w:t>
            </w:r>
          </w:p>
        </w:tc>
        <w:tc>
          <w:tcPr/>
          <w:p>
            <w:pPr>
              <w:pStyle w:val="Compact"/>
              <w:jc w:val="left"/>
            </w:pPr>
            <w:r>
              <w:t xml:space="preserve">Ownership chart identifying all members/managers/officers/directors with ownership %</w:t>
            </w:r>
          </w:p>
        </w:tc>
        <w:tc>
          <w:tcPr/>
          <w:p>
            <w:pPr>
              <w:pStyle w:val="Compact"/>
              <w:jc w:val="left"/>
            </w:pPr>
            <w:r>
              <w:t xml:space="preserve">§9-5-5(B)(4); Guide Item 4</w:t>
            </w:r>
          </w:p>
        </w:tc>
        <w:tc>
          <w:tcPr/>
          <w:p>
            <w:pPr>
              <w:pStyle w:val="Compact"/>
              <w:jc w:val="left"/>
            </w:pPr>
            <w:r>
              <w:t xml:space="preserve">Business plan §2.2 lists Okonkwo 60% / Ramachandran 40% and an org chart (Appendix A)</w:t>
            </w:r>
          </w:p>
        </w:tc>
        <w:tc>
          <w:tcPr/>
          <w:p>
            <w:pPr>
              <w:pStyle w:val="Compact"/>
              <w:jc w:val="left"/>
            </w:pPr>
            <w:r>
              <w:t xml:space="preserve">Substantially Compliant</w:t>
            </w:r>
          </w:p>
        </w:tc>
        <w:tc>
          <w:tcPr/>
          <w:p>
            <w:pPr>
              <w:pStyle w:val="Compact"/>
              <w:jc w:val="left"/>
            </w:pPr>
            <w:r>
              <w:t xml:space="preserve">Include the formal ownership chart (Appendix A) and confirm no other 5%+ holders exist.</w:t>
            </w:r>
          </w:p>
        </w:tc>
      </w:tr>
      <w:tr>
        <w:tc>
          <w:tcPr/>
          <w:p>
            <w:pPr>
              <w:pStyle w:val="Compact"/>
              <w:jc w:val="left"/>
            </w:pPr>
            <w:r>
              <w:t xml:space="preserve">A-5</w:t>
            </w:r>
          </w:p>
        </w:tc>
        <w:tc>
          <w:tcPr/>
          <w:p>
            <w:pPr>
              <w:pStyle w:val="Compact"/>
              <w:jc w:val="left"/>
            </w:pPr>
            <w:r>
              <w:t xml:space="preserve">Registered agent consistency</w:t>
            </w:r>
          </w:p>
        </w:tc>
        <w:tc>
          <w:tcPr/>
          <w:p>
            <w:pPr>
              <w:pStyle w:val="Compact"/>
              <w:jc w:val="left"/>
            </w:pPr>
            <w:r>
              <w:t xml:space="preserve">Form §1 Q5</w:t>
            </w:r>
          </w:p>
        </w:tc>
        <w:tc>
          <w:tcPr/>
          <w:p>
            <w:pPr>
              <w:pStyle w:val="Compact"/>
              <w:jc w:val="left"/>
            </w:pPr>
            <w:r>
              <w:t xml:space="preserve">Business plan &amp; lease:</w:t>
            </w:r>
            <w:r>
              <w:t xml:space="preserve"> </w:t>
            </w:r>
            <w:r>
              <w:t xml:space="preserve">“</w:t>
            </w:r>
            <w:r>
              <w:t xml:space="preserve">Northwest Statutory Services</w:t>
            </w:r>
            <w:r>
              <w:t xml:space="preserve">”</w:t>
            </w:r>
            <w:r>
              <w:t xml:space="preserve">; State license:</w:t>
            </w:r>
            <w:r>
              <w:t xml:space="preserve"> </w:t>
            </w:r>
            <w:r>
              <w:t xml:space="preserve">“</w:t>
            </w:r>
            <w:r>
              <w:t xml:space="preserve">Keystone Statutory Services</w:t>
            </w:r>
            <w:r>
              <w:t xml:space="preserve">”</w:t>
            </w:r>
            <w:r>
              <w:t xml:space="preserve"> </w:t>
            </w:r>
            <w:r>
              <w:t xml:space="preserve">(same address)</w:t>
            </w:r>
          </w:p>
        </w:tc>
        <w:tc>
          <w:tcPr/>
          <w:p>
            <w:pPr>
              <w:pStyle w:val="Compact"/>
              <w:jc w:val="left"/>
            </w:pPr>
            <w:r>
              <w:t xml:space="preserve">Conflict (internal)</w:t>
            </w:r>
          </w:p>
        </w:tc>
        <w:tc>
          <w:tcPr/>
          <w:p>
            <w:pPr>
              <w:pStyle w:val="Compact"/>
              <w:jc w:val="left"/>
            </w:pPr>
            <w:r>
              <w:rPr>
                <w:b/>
                <w:bCs/>
              </w:rPr>
              <w:t xml:space="preserve">Registered-agent name differs across documents.</w:t>
            </w:r>
            <w:r>
              <w:t xml:space="preserve"> </w:t>
            </w:r>
            <w:r>
              <w:t xml:space="preserve">Reconcile with ILSOS records and correct all submissions; material inaccuracy is a revocation risk under §9-5-25(D)(6).</w:t>
            </w:r>
          </w:p>
        </w:tc>
      </w:tr>
      <w:tr>
        <w:tc>
          <w:tcPr/>
          <w:p>
            <w:pPr>
              <w:pStyle w:val="Compact"/>
              <w:jc w:val="left"/>
            </w:pPr>
            <w:r>
              <w:t xml:space="preserve">A-6</w:t>
            </w:r>
          </w:p>
        </w:tc>
        <w:tc>
          <w:tcPr/>
          <w:p>
            <w:pPr>
              <w:pStyle w:val="Compact"/>
              <w:jc w:val="left"/>
            </w:pPr>
            <w:r>
              <w:t xml:space="preserve">Contact-information consistency</w:t>
            </w:r>
          </w:p>
        </w:tc>
        <w:tc>
          <w:tcPr/>
          <w:p>
            <w:pPr>
              <w:pStyle w:val="Compact"/>
              <w:jc w:val="left"/>
            </w:pPr>
            <w:r>
              <w:t xml:space="preserve">Form §1 Q8</w:t>
            </w:r>
          </w:p>
        </w:tc>
        <w:tc>
          <w:tcPr/>
          <w:p>
            <w:pPr>
              <w:pStyle w:val="Compact"/>
              <w:jc w:val="left"/>
            </w:pPr>
            <w:r>
              <w:t xml:space="preserve">Okonkwo phone (872) 555-0193 (biz plan) vs (847) 555-0193 (ins. memo); emails differ (dokonkwo@…llc.com / info@…llc.com / dokonkwo@…therapeutics.com)</w:t>
            </w:r>
          </w:p>
        </w:tc>
        <w:tc>
          <w:tcPr/>
          <w:p>
            <w:pPr>
              <w:pStyle w:val="Compact"/>
              <w:jc w:val="left"/>
            </w:pPr>
            <w:r>
              <w:t xml:space="preserve">Conflict (internal)</w:t>
            </w:r>
          </w:p>
        </w:tc>
        <w:tc>
          <w:tcPr/>
          <w:p>
            <w:pPr>
              <w:pStyle w:val="Compact"/>
              <w:jc w:val="left"/>
            </w:pPr>
            <w:r>
              <w:rPr>
                <w:b/>
                <w:bCs/>
              </w:rPr>
              <w:t xml:space="preserve">Reconcile phone and email across all documents.</w:t>
            </w:r>
            <w:r>
              <w:t xml:space="preserve"> </w:t>
            </w:r>
            <w:r>
              <w:t xml:space="preserve">Use one consistent primary contact.</w:t>
            </w:r>
          </w:p>
        </w:tc>
      </w:tr>
    </w:tbl>
    <w:bookmarkEnd w:id="24"/>
    <w:bookmarkStart w:id="25" w:name="b-state-license"/>
    <w:p>
      <w:pPr>
        <w:pStyle w:val="Heading3"/>
      </w:pPr>
      <w:r>
        <w:t xml:space="preserve">4.B State License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Evidence in Package</w:t>
            </w:r>
          </w:p>
        </w:tc>
        <w:tc>
          <w:tcPr/>
          <w:p>
            <w:pPr>
              <w:pStyle w:val="Compact"/>
              <w:jc w:val="left"/>
            </w:pPr>
            <w:r>
              <w:t xml:space="preserve">Status</w:t>
            </w:r>
          </w:p>
        </w:tc>
        <w:tc>
          <w:tcPr/>
          <w:p>
            <w:pPr>
              <w:pStyle w:val="Compact"/>
              <w:jc w:val="left"/>
            </w:pPr>
            <w:r>
              <w:t xml:space="preserve">Remediation / Notes</w:t>
            </w:r>
          </w:p>
        </w:tc>
      </w:tr>
      <w:tr>
        <w:tc>
          <w:tcPr/>
          <w:p>
            <w:pPr>
              <w:pStyle w:val="Compact"/>
              <w:jc w:val="left"/>
            </w:pPr>
            <w:r>
              <w:t xml:space="preserve">B-1</w:t>
            </w:r>
          </w:p>
        </w:tc>
        <w:tc>
          <w:tcPr/>
          <w:p>
            <w:pPr>
              <w:pStyle w:val="Compact"/>
              <w:jc w:val="left"/>
            </w:pPr>
            <w:r>
              <w:t xml:space="preserve">Valid IL conditional or permanent adult-use dispensing license; copy with number, issue/exp. dates</w:t>
            </w:r>
          </w:p>
        </w:tc>
        <w:tc>
          <w:tcPr/>
          <w:p>
            <w:pPr>
              <w:pStyle w:val="Compact"/>
              <w:jc w:val="left"/>
            </w:pPr>
            <w:r>
              <w:t xml:space="preserve">§9-5-5(B)(2); §9-5-3; Guide Item 3; Form §4 Q9</w:t>
            </w:r>
          </w:p>
        </w:tc>
        <w:tc>
          <w:tcPr/>
          <w:p>
            <w:pPr>
              <w:pStyle w:val="Compact"/>
              <w:jc w:val="left"/>
            </w:pPr>
            <w:r>
              <w:t xml:space="preserve">Conditional License ADC-285-0147, issued 9/22/2023, expires 9/21/2024; license document included</w:t>
            </w:r>
          </w:p>
        </w:tc>
        <w:tc>
          <w:tcPr/>
          <w:p>
            <w:pPr>
              <w:pStyle w:val="Compact"/>
              <w:jc w:val="left"/>
            </w:pPr>
            <w:r>
              <w:t xml:space="preserve">Compliant</w:t>
            </w:r>
          </w:p>
        </w:tc>
        <w:tc>
          <w:tcPr/>
          <w:p>
            <w:pPr>
              <w:pStyle w:val="Compact"/>
              <w:jc w:val="left"/>
            </w:pPr>
            <w:r>
              <w:t xml:space="preserve">Include certified copy. Confirm no conditions/restrictions beyond those stated.</w:t>
            </w:r>
          </w:p>
        </w:tc>
      </w:tr>
      <w:tr>
        <w:tc>
          <w:tcPr/>
          <w:p>
            <w:pPr>
              <w:pStyle w:val="Compact"/>
              <w:jc w:val="left"/>
            </w:pPr>
            <w:r>
              <w:t xml:space="preserve">B-2</w:t>
            </w:r>
          </w:p>
        </w:tc>
        <w:tc>
          <w:tcPr/>
          <w:p>
            <w:pPr>
              <w:pStyle w:val="Compact"/>
              <w:jc w:val="left"/>
            </w:pPr>
            <w:r>
              <w:t xml:space="preserve">Conditional-license conversion timeline documentation</w:t>
            </w:r>
          </w:p>
        </w:tc>
        <w:tc>
          <w:tcPr/>
          <w:p>
            <w:pPr>
              <w:pStyle w:val="Compact"/>
              <w:jc w:val="left"/>
            </w:pPr>
            <w:r>
              <w:t xml:space="preserve">Guide Item 3; Form §4 Q9 note</w:t>
            </w:r>
          </w:p>
        </w:tc>
        <w:tc>
          <w:tcPr/>
          <w:p>
            <w:pPr>
              <w:pStyle w:val="Compact"/>
              <w:jc w:val="left"/>
            </w:pPr>
            <w:r>
              <w:t xml:space="preserve">Business plan §9.1 documents 180-day conversion requirement and $100,000 conversion fee</w:t>
            </w:r>
          </w:p>
        </w:tc>
        <w:tc>
          <w:tcPr/>
          <w:p>
            <w:pPr>
              <w:pStyle w:val="Compact"/>
              <w:jc w:val="left"/>
            </w:pPr>
            <w:r>
              <w:t xml:space="preserve">Compliant</w:t>
            </w:r>
          </w:p>
        </w:tc>
        <w:tc>
          <w:tcPr/>
          <w:p>
            <w:pPr>
              <w:pStyle w:val="Compact"/>
              <w:jc w:val="left"/>
            </w:pPr>
            <w:r>
              <w:t xml:space="preserve">Conversion must occur within</w:t>
            </w:r>
            <w:r>
              <w:t xml:space="preserve"> </w:t>
            </w:r>
            <w:r>
              <w:rPr>
                <w:b/>
                <w:bCs/>
              </w:rPr>
              <w:t xml:space="preserve">180 days of local permit issuance</w:t>
            </w:r>
            <w:r>
              <w:t xml:space="preserve"> </w:t>
            </w:r>
            <w:r>
              <w:t xml:space="preserve">(State Condition 2). See timeline risk B-3.</w:t>
            </w:r>
          </w:p>
        </w:tc>
      </w:tr>
      <w:tr>
        <w:tc>
          <w:tcPr/>
          <w:p>
            <w:pPr>
              <w:pStyle w:val="Compact"/>
              <w:jc w:val="left"/>
            </w:pPr>
            <w:r>
              <w:t xml:space="preserve">B-3</w:t>
            </w:r>
          </w:p>
        </w:tc>
        <w:tc>
          <w:tcPr/>
          <w:p>
            <w:pPr>
              <w:pStyle w:val="Compact"/>
              <w:jc w:val="left"/>
            </w:pPr>
            <w:r>
              <w:t xml:space="preserve">State license remains valid throughout local process</w:t>
            </w:r>
          </w:p>
        </w:tc>
        <w:tc>
          <w:tcPr/>
          <w:p>
            <w:pPr>
              <w:pStyle w:val="Compact"/>
              <w:jc w:val="left"/>
            </w:pPr>
            <w:r>
              <w:t xml:space="preserve">§9-5-27(D); Guide Item 3</w:t>
            </w:r>
          </w:p>
        </w:tc>
        <w:tc>
          <w:tcPr/>
          <w:p>
            <w:pPr>
              <w:pStyle w:val="Compact"/>
              <w:jc w:val="left"/>
            </w:pPr>
            <w:r>
              <w:t xml:space="preserve">Conditional license expires</w:t>
            </w:r>
            <w:r>
              <w:t xml:space="preserve"> </w:t>
            </w:r>
            <w:r>
              <w:rPr>
                <w:b/>
                <w:bCs/>
              </w:rPr>
              <w:t xml:space="preserve">9/21/2024</w:t>
            </w:r>
            <w:r>
              <w:t xml:space="preserve">; applicant targets 5/15/2024 submission with 120–150 day process → permit possibly after 9/21/2024</w:t>
            </w:r>
          </w:p>
        </w:tc>
        <w:tc>
          <w:tcPr/>
          <w:p>
            <w:pPr>
              <w:pStyle w:val="Compact"/>
              <w:jc w:val="left"/>
            </w:pPr>
            <w:r>
              <w:t xml:space="preserve">Gap — Cure Required (timeline risk)</w:t>
            </w:r>
          </w:p>
        </w:tc>
        <w:tc>
          <w:tcPr/>
          <w:p>
            <w:pPr>
              <w:pStyle w:val="Compact"/>
              <w:jc w:val="left"/>
            </w:pPr>
            <w:r>
              <w:rPr>
                <w:b/>
                <w:bCs/>
              </w:rPr>
              <w:t xml:space="preserve">If the City process may run past 9/21/2024, file a State extension petition (Form CR-EXT-01) no later than ~60 days before expiration (~7/23/2024).</w:t>
            </w:r>
            <w:r>
              <w:t xml:space="preserve"> </w:t>
            </w:r>
            <w:r>
              <w:t xml:space="preserve">Lapse of the State license automatically suspends the local permit (§9-5-27(D)).</w:t>
            </w:r>
          </w:p>
        </w:tc>
      </w:tr>
      <w:tr>
        <w:tc>
          <w:tcPr/>
          <w:p>
            <w:pPr>
              <w:pStyle w:val="Compact"/>
              <w:jc w:val="left"/>
            </w:pPr>
            <w:r>
              <w:t xml:space="preserve">B-4</w:t>
            </w:r>
          </w:p>
        </w:tc>
        <w:tc>
          <w:tcPr/>
          <w:p>
            <w:pPr>
              <w:pStyle w:val="Compact"/>
              <w:jc w:val="left"/>
            </w:pPr>
            <w:r>
              <w:t xml:space="preserve">Disclosure of prior cannabis licenses (any jurisdiction)</w:t>
            </w:r>
          </w:p>
        </w:tc>
        <w:tc>
          <w:tcPr/>
          <w:p>
            <w:pPr>
              <w:pStyle w:val="Compact"/>
              <w:jc w:val="left"/>
            </w:pPr>
            <w:r>
              <w:t xml:space="preserve">Form §4 Q10</w:t>
            </w:r>
          </w:p>
        </w:tc>
        <w:tc>
          <w:tcPr/>
          <w:p>
            <w:pPr>
              <w:pStyle w:val="Compact"/>
              <w:jc w:val="left"/>
            </w:pPr>
            <w:r>
              <w:t xml:space="preserve">Not addressed in package</w:t>
            </w:r>
          </w:p>
        </w:tc>
        <w:tc>
          <w:tcPr/>
          <w:p>
            <w:pPr>
              <w:pStyle w:val="Compact"/>
              <w:jc w:val="left"/>
            </w:pPr>
            <w:r>
              <w:t xml:space="preserve">Partial / In Progress</w:t>
            </w:r>
          </w:p>
        </w:tc>
        <w:tc>
          <w:tcPr/>
          <w:p>
            <w:pPr>
              <w:pStyle w:val="Compact"/>
              <w:jc w:val="left"/>
            </w:pPr>
            <w:r>
              <w:t xml:space="preserve">Complete Form §4 Q10 for the entity and both principal officers; the State license indicates no prior denials, but the City form requires explicit disclosure.</w:t>
            </w:r>
          </w:p>
        </w:tc>
      </w:tr>
    </w:tbl>
    <w:bookmarkEnd w:id="25"/>
    <w:bookmarkStart w:id="26" w:name="c-location-zoning-buffer-distances"/>
    <w:p>
      <w:pPr>
        <w:pStyle w:val="Heading3"/>
      </w:pPr>
      <w:r>
        <w:t xml:space="preserve">4.C Location, Zoning &amp; Buffer Distances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Evidence in Package</w:t>
            </w:r>
          </w:p>
        </w:tc>
        <w:tc>
          <w:tcPr/>
          <w:p>
            <w:pPr>
              <w:pStyle w:val="Compact"/>
              <w:jc w:val="left"/>
            </w:pPr>
            <w:r>
              <w:t xml:space="preserve">Status</w:t>
            </w:r>
          </w:p>
        </w:tc>
        <w:tc>
          <w:tcPr/>
          <w:p>
            <w:pPr>
              <w:pStyle w:val="Compact"/>
              <w:jc w:val="left"/>
            </w:pPr>
            <w:r>
              <w:t xml:space="preserve">Remediation / Notes</w:t>
            </w:r>
          </w:p>
        </w:tc>
      </w:tr>
      <w:tr>
        <w:tc>
          <w:tcPr/>
          <w:p>
            <w:pPr>
              <w:pStyle w:val="Compact"/>
              <w:jc w:val="left"/>
            </w:pPr>
            <w:r>
              <w:t xml:space="preserve">C-1a</w:t>
            </w:r>
          </w:p>
        </w:tc>
        <w:tc>
          <w:tcPr/>
          <w:p>
            <w:pPr>
              <w:pStyle w:val="Compact"/>
              <w:jc w:val="left"/>
            </w:pPr>
            <w:r>
              <w:t xml:space="preserve">Location in a permitted zoning district (C1a/C2/oC1) with special use approval</w:t>
            </w:r>
          </w:p>
        </w:tc>
        <w:tc>
          <w:tcPr/>
          <w:p>
            <w:pPr>
              <w:pStyle w:val="Compact"/>
              <w:jc w:val="left"/>
            </w:pPr>
            <w:r>
              <w:t xml:space="preserve">§9-5-9(A); Guide Item 20; Form §3 Q3</w:t>
            </w:r>
          </w:p>
        </w:tc>
        <w:tc>
          <w:tcPr/>
          <w:p>
            <w:pPr>
              <w:pStyle w:val="Compact"/>
              <w:jc w:val="left"/>
            </w:pPr>
            <w:r>
              <w:t xml:space="preserve">1420 Sherman Ave Unit B is in</w:t>
            </w:r>
            <w:r>
              <w:t xml:space="preserve"> </w:t>
            </w:r>
            <w:r>
              <w:rPr>
                <w:b/>
                <w:bCs/>
              </w:rPr>
              <w:t xml:space="preserve">C1a</w:t>
            </w:r>
            <w:r>
              <w:t xml:space="preserve"> </w:t>
            </w:r>
            <w:r>
              <w:t xml:space="preserve">(valid); special use required</w:t>
            </w:r>
          </w:p>
        </w:tc>
        <w:tc>
          <w:tcPr/>
          <w:p>
            <w:pPr>
              <w:pStyle w:val="Compact"/>
              <w:jc w:val="left"/>
            </w:pPr>
            <w:r>
              <w:t xml:space="preserve">Compliant (zoning)</w:t>
            </w:r>
          </w:p>
        </w:tc>
        <w:tc>
          <w:tcPr/>
          <w:p>
            <w:pPr>
              <w:pStyle w:val="Compact"/>
              <w:jc w:val="left"/>
            </w:pPr>
            <w:r>
              <w:t xml:space="preserve">See C-2a (special use application) and C-4 (Form’s erroneous zoning-district list).</w:t>
            </w:r>
          </w:p>
        </w:tc>
      </w:tr>
      <w:tr>
        <w:tc>
          <w:tcPr/>
          <w:p>
            <w:pPr>
              <w:pStyle w:val="Compact"/>
              <w:jc w:val="left"/>
            </w:pPr>
            <w:r>
              <w:t xml:space="preserve">C-2a</w:t>
            </w:r>
          </w:p>
        </w:tc>
        <w:tc>
          <w:tcPr/>
          <w:p>
            <w:pPr>
              <w:pStyle w:val="Compact"/>
              <w:jc w:val="left"/>
            </w:pPr>
            <w:r>
              <w:t xml:space="preserve">Special use permit application filed/obtained from ZBA</w:t>
            </w:r>
          </w:p>
        </w:tc>
        <w:tc>
          <w:tcPr/>
          <w:p>
            <w:pPr>
              <w:pStyle w:val="Compact"/>
              <w:jc w:val="left"/>
            </w:pPr>
            <w:r>
              <w:t xml:space="preserve">§9-5-9(A),(D); Guide Item 20; Form §3 Q3</w:t>
            </w:r>
          </w:p>
        </w:tc>
        <w:tc>
          <w:tcPr/>
          <w:p>
            <w:pPr>
              <w:pStyle w:val="Compact"/>
              <w:jc w:val="left"/>
            </w:pPr>
            <w:r>
              <w:t xml:space="preserve">Business plan timeline references a ZBA hearing but does</w:t>
            </w:r>
            <w:r>
              <w:t xml:space="preserve"> </w:t>
            </w:r>
            <w:r>
              <w:rPr>
                <w:b/>
                <w:bCs/>
              </w:rPr>
              <w:t xml:space="preserve">not confirm a special use application has been filed</w:t>
            </w:r>
          </w:p>
        </w:tc>
        <w:tc>
          <w:tcPr/>
          <w:p>
            <w:pPr>
              <w:pStyle w:val="Compact"/>
              <w:jc w:val="left"/>
            </w:pPr>
            <w:r>
              <w:t xml:space="preserve">Gap — Cure Required</w:t>
            </w:r>
          </w:p>
        </w:tc>
        <w:tc>
          <w:tcPr/>
          <w:p>
            <w:pPr>
              <w:pStyle w:val="Compact"/>
              <w:jc w:val="left"/>
            </w:pPr>
            <w:r>
              <w:rPr>
                <w:b/>
                <w:bCs/>
              </w:rPr>
              <w:t xml:space="preserve">File the special use application with the Zoning Division (concurrent filing permitted).</w:t>
            </w:r>
            <w:r>
              <w:t xml:space="preserve"> </w:t>
            </w:r>
            <w:r>
              <w:t xml:space="preserve">Permit will not issue without final special use approval (§9-5-11(J)).</w:t>
            </w:r>
          </w:p>
        </w:tc>
      </w:tr>
      <w:tr>
        <w:tc>
          <w:tcPr/>
          <w:p>
            <w:pPr>
              <w:pStyle w:val="Compact"/>
              <w:jc w:val="left"/>
            </w:pPr>
            <w:r>
              <w:t xml:space="preserve">C-3a</w:t>
            </w:r>
          </w:p>
        </w:tc>
        <w:tc>
          <w:tcPr/>
          <w:p>
            <w:pPr>
              <w:pStyle w:val="Compact"/>
              <w:jc w:val="left"/>
            </w:pPr>
            <w:r>
              <w:t xml:space="preserve">≥1,000 ft from any K-12 school</w:t>
            </w:r>
          </w:p>
        </w:tc>
        <w:tc>
          <w:tcPr/>
          <w:p>
            <w:pPr>
              <w:pStyle w:val="Compact"/>
              <w:jc w:val="left"/>
            </w:pPr>
            <w:r>
              <w:t xml:space="preserve">§9-5-9(B)(1)</w:t>
            </w:r>
          </w:p>
        </w:tc>
        <w:tc>
          <w:tcPr/>
          <w:p>
            <w:pPr>
              <w:pStyle w:val="Compact"/>
              <w:jc w:val="left"/>
            </w:pPr>
            <w:r>
              <w:t xml:space="preserve">Chute Middle School ~1,180 ft (straight-line)</w:t>
            </w:r>
          </w:p>
        </w:tc>
        <w:tc>
          <w:tcPr/>
          <w:p>
            <w:pPr>
              <w:pStyle w:val="Compact"/>
              <w:jc w:val="left"/>
            </w:pPr>
            <w:r>
              <w:t xml:space="preserve">Compliant (Code)</w:t>
            </w:r>
          </w:p>
        </w:tc>
        <w:tc>
          <w:tcPr/>
          <w:p>
            <w:pPr>
              <w:pStyle w:val="Compact"/>
              <w:jc w:val="left"/>
            </w:pPr>
            <w:r>
              <w:t xml:space="preserve">Measurement methodology conflict — see C-3. Provide pedestrian-route measurement for the Form; confirm ≥1,000 ft.</w:t>
            </w:r>
          </w:p>
        </w:tc>
      </w:tr>
      <w:tr>
        <w:tc>
          <w:tcPr/>
          <w:p>
            <w:pPr>
              <w:pStyle w:val="Compact"/>
              <w:jc w:val="left"/>
            </w:pPr>
            <w:r>
              <w:t xml:space="preserve">C-3b</w:t>
            </w:r>
          </w:p>
        </w:tc>
        <w:tc>
          <w:tcPr/>
          <w:p>
            <w:pPr>
              <w:pStyle w:val="Compact"/>
              <w:jc w:val="left"/>
            </w:pPr>
            <w:r>
              <w:t xml:space="preserve">≥500 ft from any daycare center</w:t>
            </w:r>
          </w:p>
        </w:tc>
        <w:tc>
          <w:tcPr/>
          <w:p>
            <w:pPr>
              <w:pStyle w:val="Compact"/>
              <w:jc w:val="left"/>
            </w:pPr>
            <w:r>
              <w:t xml:space="preserve">§9-5-9(B)(2)</w:t>
            </w:r>
          </w:p>
        </w:tc>
        <w:tc>
          <w:tcPr/>
          <w:p>
            <w:pPr>
              <w:pStyle w:val="Compact"/>
              <w:jc w:val="left"/>
            </w:pPr>
            <w:r>
              <w:t xml:space="preserve">Tiny Acorns Learning Center ~890 ft (straight-line)</w:t>
            </w:r>
          </w:p>
        </w:tc>
        <w:tc>
          <w:tcPr/>
          <w:p>
            <w:pPr>
              <w:pStyle w:val="Compact"/>
              <w:jc w:val="left"/>
            </w:pPr>
            <w:r>
              <w:t xml:space="preserve">Compliant (Code)</w:t>
            </w:r>
          </w:p>
        </w:tc>
        <w:tc>
          <w:tcPr/>
          <w:p>
            <w:pPr>
              <w:pStyle w:val="Compact"/>
              <w:jc w:val="left"/>
            </w:pPr>
            <w:r>
              <w:t xml:space="preserve">Same as C-3a; provide pedestrian-route measurement.</w:t>
            </w:r>
          </w:p>
        </w:tc>
      </w:tr>
      <w:tr>
        <w:tc>
          <w:tcPr/>
          <w:p>
            <w:pPr>
              <w:pStyle w:val="Compact"/>
              <w:jc w:val="left"/>
            </w:pPr>
            <w:r>
              <w:t xml:space="preserve">C-3c</w:t>
            </w:r>
          </w:p>
        </w:tc>
        <w:tc>
          <w:tcPr/>
          <w:p>
            <w:pPr>
              <w:pStyle w:val="Compact"/>
              <w:jc w:val="left"/>
            </w:pPr>
            <w:r>
              <w:t xml:space="preserve">≥1,500 ft from any other licensed dispensary</w:t>
            </w:r>
          </w:p>
        </w:tc>
        <w:tc>
          <w:tcPr/>
          <w:p>
            <w:pPr>
              <w:pStyle w:val="Compact"/>
              <w:jc w:val="left"/>
            </w:pPr>
            <w:r>
              <w:t xml:space="preserve">§9-5-9(B)(3)</w:t>
            </w:r>
          </w:p>
        </w:tc>
        <w:tc>
          <w:tcPr/>
          <w:p>
            <w:pPr>
              <w:pStyle w:val="Compact"/>
              <w:jc w:val="left"/>
            </w:pPr>
            <w:r>
              <w:t xml:space="preserve">Prairie Wellness Dispensary ~2,100 ft (straight-line)</w:t>
            </w:r>
          </w:p>
        </w:tc>
        <w:tc>
          <w:tcPr/>
          <w:p>
            <w:pPr>
              <w:pStyle w:val="Compact"/>
              <w:jc w:val="left"/>
            </w:pPr>
            <w:r>
              <w:t xml:space="preserve">Compliant (Code)</w:t>
            </w:r>
          </w:p>
        </w:tc>
        <w:tc>
          <w:tcPr/>
          <w:p>
            <w:pPr>
              <w:pStyle w:val="Compact"/>
              <w:jc w:val="left"/>
            </w:pPr>
            <w:r>
              <w:t xml:space="preserve">Same as C-3a; provide pedestrian-route measurement.</w:t>
            </w:r>
          </w:p>
        </w:tc>
      </w:tr>
      <w:tr>
        <w:tc>
          <w:tcPr/>
          <w:p>
            <w:pPr>
              <w:pStyle w:val="Compact"/>
              <w:jc w:val="left"/>
            </w:pPr>
            <w:r>
              <w:t xml:space="preserve">C-3d</w:t>
            </w:r>
          </w:p>
        </w:tc>
        <w:tc>
          <w:tcPr/>
          <w:p>
            <w:pPr>
              <w:pStyle w:val="Compact"/>
              <w:jc w:val="left"/>
            </w:pPr>
            <w:r>
              <w:t xml:space="preserve">Buffer survey by IL-licensed land surveyor or PE; dated within 60 days of submission</w:t>
            </w:r>
          </w:p>
        </w:tc>
        <w:tc>
          <w:tcPr/>
          <w:p>
            <w:pPr>
              <w:pStyle w:val="Compact"/>
              <w:jc w:val="left"/>
            </w:pPr>
            <w:r>
              <w:t xml:space="preserve">§9-5-5(B)(7); Form §3 Q6 note</w:t>
            </w:r>
          </w:p>
        </w:tc>
        <w:tc>
          <w:tcPr/>
          <w:p>
            <w:pPr>
              <w:pStyle w:val="Compact"/>
              <w:jc w:val="left"/>
            </w:pPr>
            <w:r>
              <w:t xml:space="preserve">Survey by Meridian Land Surveyors LLC (IPLS #035-004728) — licensed surveyor ✓; but</w:t>
            </w:r>
            <w:r>
              <w:t xml:space="preserve"> </w:t>
            </w:r>
            <w:r>
              <w:rPr>
                <w:b/>
                <w:bCs/>
              </w:rPr>
              <w:t xml:space="preserve">dated 12/15/2023</w:t>
            </w:r>
            <w:r>
              <w:t xml:space="preserve"> </w:t>
            </w:r>
            <w:r>
              <w:t xml:space="preserve">(~5 months pre-submission) and</w:t>
            </w:r>
            <w:r>
              <w:t xml:space="preserve"> </w:t>
            </w:r>
            <w:r>
              <w:rPr>
                <w:b/>
                <w:bCs/>
              </w:rPr>
              <w:t xml:space="preserve">straight-line</w:t>
            </w:r>
          </w:p>
        </w:tc>
        <w:tc>
          <w:tcPr/>
          <w:p>
            <w:pPr>
              <w:pStyle w:val="Compact"/>
              <w:jc w:val="left"/>
            </w:pPr>
            <w:r>
              <w:t xml:space="preserve">Gap — Cure Required</w:t>
            </w:r>
          </w:p>
        </w:tc>
        <w:tc>
          <w:tcPr/>
          <w:p>
            <w:pPr>
              <w:pStyle w:val="Compact"/>
              <w:jc w:val="left"/>
            </w:pPr>
            <w:r>
              <w:rPr>
                <w:b/>
                <w:bCs/>
              </w:rPr>
              <w:t xml:space="preserve">Obtain a current survey/map dated within 60 days of submission.</w:t>
            </w:r>
            <w:r>
              <w:t xml:space="preserve"> </w:t>
            </w:r>
            <w:r>
              <w:t xml:space="preserve">Prepare pedestrian-route measurements for the Form (see C-3). Identify each sensitive use by name and address.</w:t>
            </w:r>
          </w:p>
        </w:tc>
      </w:tr>
      <w:tr>
        <w:tc>
          <w:tcPr/>
          <w:p>
            <w:pPr>
              <w:pStyle w:val="Compact"/>
              <w:jc w:val="left"/>
            </w:pPr>
            <w:r>
              <w:t xml:space="preserve">C-3e</w:t>
            </w:r>
          </w:p>
        </w:tc>
        <w:tc>
          <w:tcPr/>
          <w:p>
            <w:pPr>
              <w:pStyle w:val="Compact"/>
              <w:jc w:val="left"/>
            </w:pPr>
            <w:r>
              <w:t xml:space="preserve">One dispensary per City block</w:t>
            </w:r>
          </w:p>
        </w:tc>
        <w:tc>
          <w:tcPr/>
          <w:p>
            <w:pPr>
              <w:pStyle w:val="Compact"/>
              <w:jc w:val="left"/>
            </w:pPr>
            <w:r>
              <w:t xml:space="preserve">§9-5-9(F)</w:t>
            </w:r>
          </w:p>
        </w:tc>
        <w:tc>
          <w:tcPr/>
          <w:p>
            <w:pPr>
              <w:pStyle w:val="Compact"/>
              <w:jc w:val="left"/>
            </w:pPr>
            <w:r>
              <w:t xml:space="preserve">Not analyzed in package</w:t>
            </w:r>
          </w:p>
        </w:tc>
        <w:tc>
          <w:tcPr/>
          <w:p>
            <w:pPr>
              <w:pStyle w:val="Compact"/>
              <w:jc w:val="left"/>
            </w:pPr>
            <w:r>
              <w:t xml:space="preserve">Substantially Compliant</w:t>
            </w:r>
          </w:p>
        </w:tc>
        <w:tc>
          <w:tcPr/>
          <w:p>
            <w:pPr>
              <w:pStyle w:val="Compact"/>
              <w:jc w:val="left"/>
            </w:pPr>
            <w:r>
              <w:t xml:space="preserve">Prairie Wellness is 2,100 ft away (different block). Add a brief block-analysis statement confirming no other dispensary on the same block.</w:t>
            </w:r>
          </w:p>
        </w:tc>
      </w:tr>
      <w:tr>
        <w:tc>
          <w:tcPr/>
          <w:p>
            <w:pPr>
              <w:pStyle w:val="Compact"/>
              <w:jc w:val="left"/>
            </w:pPr>
            <w:r>
              <w:t xml:space="preserve">C-3f</w:t>
            </w:r>
          </w:p>
        </w:tc>
        <w:tc>
          <w:tcPr/>
          <w:p>
            <w:pPr>
              <w:pStyle w:val="Compact"/>
              <w:jc w:val="left"/>
            </w:pPr>
            <w:r>
              <w:t xml:space="preserve">Religious institutions, parks, libraries, hospitals, residences excluded from buffers</w:t>
            </w:r>
          </w:p>
        </w:tc>
        <w:tc>
          <w:tcPr/>
          <w:p>
            <w:pPr>
              <w:pStyle w:val="Compact"/>
              <w:jc w:val="left"/>
            </w:pPr>
            <w:r>
              <w:t xml:space="preserve">§9-5-9(E)</w:t>
            </w:r>
          </w:p>
        </w:tc>
        <w:tc>
          <w:tcPr/>
          <w:p>
            <w:pPr>
              <w:pStyle w:val="Compact"/>
              <w:jc w:val="left"/>
            </w:pPr>
            <w:r>
              <w:t xml:space="preserve">Package correctly notes no buffer for First United Methodist Church (~1,450 ft)</w:t>
            </w:r>
          </w:p>
        </w:tc>
        <w:tc>
          <w:tcPr/>
          <w:p>
            <w:pPr>
              <w:pStyle w:val="Compact"/>
              <w:jc w:val="left"/>
            </w:pPr>
            <w:r>
              <w:t xml:space="preserve">Compliant</w:t>
            </w:r>
          </w:p>
        </w:tc>
        <w:tc>
          <w:tcPr/>
          <w:p>
            <w:pPr>
              <w:pStyle w:val="Compact"/>
              <w:jc w:val="left"/>
            </w:pPr>
            <w:r>
              <w:t xml:space="preserve">Form §3 Q8 asks about parks/libraries/residential treatment within 500 ft</w:t>
            </w:r>
            <w:r>
              <w:t xml:space="preserve"> </w:t>
            </w:r>
            <w:r>
              <w:t xml:space="preserve">“</w:t>
            </w:r>
            <w:r>
              <w:t xml:space="preserve">for information</w:t>
            </w:r>
            <w:r>
              <w:t xml:space="preserve">”</w:t>
            </w:r>
            <w:r>
              <w:t xml:space="preserve">; complete that table.</w:t>
            </w:r>
          </w:p>
        </w:tc>
      </w:tr>
    </w:tbl>
    <w:bookmarkEnd w:id="26"/>
    <w:bookmarkStart w:id="27" w:name="d-right-to-occupy-lease-deed"/>
    <w:p>
      <w:pPr>
        <w:pStyle w:val="Heading3"/>
      </w:pPr>
      <w:r>
        <w:t xml:space="preserve">4.D Right to Occupy (Lease / Deed)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Evidence in Package</w:t>
            </w:r>
          </w:p>
        </w:tc>
        <w:tc>
          <w:tcPr/>
          <w:p>
            <w:pPr>
              <w:pStyle w:val="Compact"/>
              <w:jc w:val="left"/>
            </w:pPr>
            <w:r>
              <w:t xml:space="preserve">Status</w:t>
            </w:r>
          </w:p>
        </w:tc>
        <w:tc>
          <w:tcPr/>
          <w:p>
            <w:pPr>
              <w:pStyle w:val="Compact"/>
              <w:jc w:val="left"/>
            </w:pPr>
            <w:r>
              <w:t xml:space="preserve">Remediation / Notes</w:t>
            </w:r>
          </w:p>
        </w:tc>
      </w:tr>
      <w:tr>
        <w:tc>
          <w:tcPr/>
          <w:p>
            <w:pPr>
              <w:pStyle w:val="Compact"/>
              <w:jc w:val="left"/>
            </w:pPr>
            <w:r>
              <w:t xml:space="preserve">D-1</w:t>
            </w:r>
          </w:p>
        </w:tc>
        <w:tc>
          <w:tcPr/>
          <w:p>
            <w:pPr>
              <w:pStyle w:val="Compact"/>
              <w:jc w:val="left"/>
            </w:pPr>
            <w:r>
              <w:t xml:space="preserve">Executed lease with ≥3-year remaining term (incl. renewals) or recorded deed</w:t>
            </w:r>
          </w:p>
        </w:tc>
        <w:tc>
          <w:tcPr/>
          <w:p>
            <w:pPr>
              <w:pStyle w:val="Compact"/>
              <w:jc w:val="left"/>
            </w:pPr>
            <w:r>
              <w:t xml:space="preserve">§9-5-5(B)(5); Guide Item 6; Form §3 Q4</w:t>
            </w:r>
          </w:p>
        </w:tc>
        <w:tc>
          <w:tcPr/>
          <w:p>
            <w:pPr>
              <w:pStyle w:val="Compact"/>
              <w:jc w:val="left"/>
            </w:pPr>
            <w:r>
              <w:t xml:space="preserve">Lease executed 1/8/2024; 7-yr initial term + two 3-yr renewals (13 yrs total)</w:t>
            </w:r>
          </w:p>
        </w:tc>
        <w:tc>
          <w:tcPr/>
          <w:p>
            <w:pPr>
              <w:pStyle w:val="Compact"/>
              <w:jc w:val="left"/>
            </w:pPr>
            <w:r>
              <w:t xml:space="preserve">Compliant</w:t>
            </w:r>
          </w:p>
        </w:tc>
        <w:tc>
          <w:tcPr/>
          <w:p>
            <w:pPr>
              <w:pStyle w:val="Compact"/>
              <w:jc w:val="left"/>
            </w:pPr>
            <w:r>
              <w:t xml:space="preserve">Far exceeds the 3-year minimum. Include the fully executed lease.</w:t>
            </w:r>
          </w:p>
        </w:tc>
      </w:tr>
      <w:tr>
        <w:tc>
          <w:tcPr/>
          <w:p>
            <w:pPr>
              <w:pStyle w:val="Compact"/>
              <w:jc w:val="left"/>
            </w:pPr>
            <w:r>
              <w:t xml:space="preserve">D-2</w:t>
            </w:r>
          </w:p>
        </w:tc>
        <w:tc>
          <w:tcPr/>
          <w:p>
            <w:pPr>
              <w:pStyle w:val="Compact"/>
              <w:jc w:val="left"/>
            </w:pPr>
            <w:r>
              <w:t xml:space="preserve">Lease expressly permits cannabis dispensary operations</w:t>
            </w:r>
          </w:p>
        </w:tc>
        <w:tc>
          <w:tcPr/>
          <w:p>
            <w:pPr>
              <w:pStyle w:val="Compact"/>
              <w:jc w:val="left"/>
            </w:pPr>
            <w:r>
              <w:t xml:space="preserve">§9-5-5(B)(5); Guide Item 6; Form §3 Q4</w:t>
            </w:r>
          </w:p>
        </w:tc>
        <w:tc>
          <w:tcPr/>
          <w:p>
            <w:pPr>
              <w:pStyle w:val="Compact"/>
              <w:jc w:val="left"/>
            </w:pPr>
            <w:r>
              <w:t xml:space="preserve">Lease §5: permitted use is licensed cannabis dispensary; landlord expressly acknowledges/consents</w:t>
            </w:r>
          </w:p>
        </w:tc>
        <w:tc>
          <w:tcPr/>
          <w:p>
            <w:pPr>
              <w:pStyle w:val="Compact"/>
              <w:jc w:val="left"/>
            </w:pPr>
            <w:r>
              <w:t xml:space="preserve">Compliant</w:t>
            </w:r>
          </w:p>
        </w:tc>
        <w:tc>
          <w:tcPr/>
          <w:p>
            <w:pPr>
              <w:pStyle w:val="Compact"/>
              <w:jc w:val="left"/>
            </w:pPr>
            <w:r>
              <w:t xml:space="preserve">Include the cannabis-use provision and Landlord Cannabis Use Acknowledgment &amp; Consent (Lease Exhibit D).</w:t>
            </w:r>
          </w:p>
        </w:tc>
      </w:tr>
      <w:tr>
        <w:tc>
          <w:tcPr/>
          <w:p>
            <w:pPr>
              <w:pStyle w:val="Compact"/>
              <w:jc w:val="left"/>
            </w:pPr>
            <w:r>
              <w:t xml:space="preserve">D-3</w:t>
            </w:r>
          </w:p>
        </w:tc>
        <w:tc>
          <w:tcPr/>
          <w:p>
            <w:pPr>
              <w:pStyle w:val="Compact"/>
              <w:jc w:val="left"/>
            </w:pPr>
            <w:r>
              <w:t xml:space="preserve">Signed Landlord Acknowledgment and Consent Form</w:t>
            </w:r>
          </w:p>
        </w:tc>
        <w:tc>
          <w:tcPr/>
          <w:p>
            <w:pPr>
              <w:pStyle w:val="Compact"/>
              <w:jc w:val="left"/>
            </w:pPr>
            <w:r>
              <w:t xml:space="preserve">Guide Item 6; Form §13</w:t>
            </w:r>
          </w:p>
        </w:tc>
        <w:tc>
          <w:tcPr/>
          <w:p>
            <w:pPr>
              <w:pStyle w:val="Compact"/>
              <w:jc w:val="left"/>
            </w:pPr>
            <w:r>
              <w:t xml:space="preserve">Lease Exhibit D (Landlord’s Cannabis Use Acknowledgment and Consent) referenced</w:t>
            </w:r>
          </w:p>
        </w:tc>
        <w:tc>
          <w:tcPr/>
          <w:p>
            <w:pPr>
              <w:pStyle w:val="Compact"/>
              <w:jc w:val="left"/>
            </w:pPr>
            <w:r>
              <w:t xml:space="preserve">Substantially Compliant</w:t>
            </w:r>
          </w:p>
        </w:tc>
        <w:tc>
          <w:tcPr/>
          <w:p>
            <w:pPr>
              <w:pStyle w:val="Compact"/>
              <w:jc w:val="left"/>
            </w:pPr>
            <w:r>
              <w:t xml:space="preserve">Confirm Exhibit D is included in the full package; if the City requires its specific Appendix B form in addition, complete it.</w:t>
            </w:r>
          </w:p>
        </w:tc>
      </w:tr>
      <w:tr>
        <w:tc>
          <w:tcPr/>
          <w:p>
            <w:pPr>
              <w:pStyle w:val="Compact"/>
              <w:jc w:val="left"/>
            </w:pPr>
            <w:r>
              <w:t xml:space="preserve">D-4</w:t>
            </w:r>
          </w:p>
        </w:tc>
        <w:tc>
          <w:tcPr/>
          <w:p>
            <w:pPr>
              <w:pStyle w:val="Compact"/>
              <w:jc w:val="left"/>
            </w:pPr>
            <w:r>
              <w:t xml:space="preserve">Parking consistency</w:t>
            </w:r>
          </w:p>
        </w:tc>
        <w:tc>
          <w:tcPr/>
          <w:p>
            <w:pPr>
              <w:pStyle w:val="Compact"/>
              <w:jc w:val="left"/>
            </w:pPr>
            <w:r>
              <w:t xml:space="preserve">Form §3 Q5(h)</w:t>
            </w:r>
          </w:p>
        </w:tc>
        <w:tc>
          <w:tcPr/>
          <w:p>
            <w:pPr>
              <w:pStyle w:val="Compact"/>
              <w:jc w:val="left"/>
            </w:pPr>
            <w:r>
              <w:t xml:space="preserve">Community-engagement report states</w:t>
            </w:r>
            <w:r>
              <w:t xml:space="preserve"> </w:t>
            </w:r>
            <w:r>
              <w:rPr>
                <w:b/>
                <w:bCs/>
              </w:rPr>
              <w:t xml:space="preserve">12</w:t>
            </w:r>
            <w:r>
              <w:t xml:space="preserve"> </w:t>
            </w:r>
            <w:r>
              <w:t xml:space="preserve">dedicated spaces; lease summary states</w:t>
            </w:r>
            <w:r>
              <w:t xml:space="preserve"> </w:t>
            </w:r>
            <w:r>
              <w:rPr>
                <w:b/>
                <w:bCs/>
              </w:rPr>
              <w:t xml:space="preserve">8</w:t>
            </w:r>
          </w:p>
        </w:tc>
        <w:tc>
          <w:tcPr/>
          <w:p>
            <w:pPr>
              <w:pStyle w:val="Compact"/>
              <w:jc w:val="left"/>
            </w:pPr>
            <w:r>
              <w:t xml:space="preserve">Conflict (internal)</w:t>
            </w:r>
          </w:p>
        </w:tc>
        <w:tc>
          <w:tcPr/>
          <w:p>
            <w:pPr>
              <w:pStyle w:val="Compact"/>
              <w:jc w:val="left"/>
            </w:pPr>
            <w:r>
              <w:rPr>
                <w:b/>
                <w:bCs/>
              </w:rPr>
              <w:t xml:space="preserve">Reconcile parking count</w:t>
            </w:r>
            <w:r>
              <w:t xml:space="preserve"> </w:t>
            </w:r>
            <w:r>
              <w:t xml:space="preserve">(lease controls: 8 designated spaces). Correct the community-engagement report and site plan.</w:t>
            </w:r>
          </w:p>
        </w:tc>
      </w:tr>
    </w:tbl>
    <w:bookmarkEnd w:id="27"/>
    <w:bookmarkStart w:id="28" w:name="e-site-plan-floor-plan"/>
    <w:p>
      <w:pPr>
        <w:pStyle w:val="Heading3"/>
      </w:pPr>
      <w:r>
        <w:t xml:space="preserve">4.E Site Plan &amp; Floor Plan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Evidence in Package</w:t>
            </w:r>
          </w:p>
        </w:tc>
        <w:tc>
          <w:tcPr/>
          <w:p>
            <w:pPr>
              <w:pStyle w:val="Compact"/>
              <w:jc w:val="left"/>
            </w:pPr>
            <w:r>
              <w:t xml:space="preserve">Status</w:t>
            </w:r>
          </w:p>
        </w:tc>
        <w:tc>
          <w:tcPr/>
          <w:p>
            <w:pPr>
              <w:pStyle w:val="Compact"/>
              <w:jc w:val="left"/>
            </w:pPr>
            <w:r>
              <w:t xml:space="preserve">Remediation / Notes</w:t>
            </w:r>
          </w:p>
        </w:tc>
      </w:tr>
      <w:tr>
        <w:tc>
          <w:tcPr/>
          <w:p>
            <w:pPr>
              <w:pStyle w:val="Compact"/>
              <w:jc w:val="left"/>
            </w:pPr>
            <w:r>
              <w:t xml:space="preserve">E-1</w:t>
            </w:r>
          </w:p>
        </w:tc>
        <w:tc>
          <w:tcPr/>
          <w:p>
            <w:pPr>
              <w:pStyle w:val="Compact"/>
              <w:jc w:val="left"/>
            </w:pPr>
            <w:r>
              <w:t xml:space="preserve">Site plan &amp; floor plan prepared/certified by licensed architect or engineer; total sf and area breakdown; customer-accessible vs. restricted areas delineated</w:t>
            </w:r>
          </w:p>
        </w:tc>
        <w:tc>
          <w:tcPr/>
          <w:p>
            <w:pPr>
              <w:pStyle w:val="Compact"/>
              <w:jc w:val="left"/>
            </w:pPr>
            <w:r>
              <w:t xml:space="preserve">§9-5-5(B)(6); Guide Item 7; Form §3 Q5</w:t>
            </w:r>
          </w:p>
        </w:tc>
        <w:tc>
          <w:tcPr/>
          <w:p>
            <w:pPr>
              <w:pStyle w:val="Compact"/>
              <w:jc w:val="left"/>
            </w:pPr>
            <w:r>
              <w:t xml:space="preserve">Floor plan referenced (Lease Exhibit A; biz plan Appendix D) with breakdown (1,600/800/600/200 = 3,200 sf)</w:t>
            </w:r>
          </w:p>
        </w:tc>
        <w:tc>
          <w:tcPr/>
          <w:p>
            <w:pPr>
              <w:pStyle w:val="Compact"/>
              <w:jc w:val="left"/>
            </w:pPr>
            <w:r>
              <w:t xml:space="preserve">Partial / In Progress</w:t>
            </w:r>
          </w:p>
        </w:tc>
        <w:tc>
          <w:tcPr/>
          <w:p>
            <w:pPr>
              <w:pStyle w:val="Compact"/>
              <w:jc w:val="left"/>
            </w:pPr>
            <w:r>
              <w:rPr>
                <w:b/>
                <w:bCs/>
              </w:rPr>
              <w:t xml:space="preserve">Confirm the plan is prepared/certified by a licensed IL architect or engineer</w:t>
            </w:r>
            <w:r>
              <w:t xml:space="preserve"> </w:t>
            </w:r>
            <w:r>
              <w:t xml:space="preserve">(preparer not identified in package). Include all Form §3 Q5 elements: camera locations w/ fields of view, POS area, secure vault, ADA features, parking plan, signage plan.</w:t>
            </w:r>
          </w:p>
        </w:tc>
      </w:tr>
      <w:tr>
        <w:tc>
          <w:tcPr/>
          <w:p>
            <w:pPr>
              <w:pStyle w:val="Compact"/>
              <w:jc w:val="left"/>
            </w:pPr>
            <w:r>
              <w:t xml:space="preserve">E-2</w:t>
            </w:r>
          </w:p>
        </w:tc>
        <w:tc>
          <w:tcPr/>
          <w:p>
            <w:pPr>
              <w:pStyle w:val="Compact"/>
              <w:jc w:val="left"/>
            </w:pPr>
            <w:r>
              <w:t xml:space="preserve">Secure vestibule and ID-verification station shown</w:t>
            </w:r>
          </w:p>
        </w:tc>
        <w:tc>
          <w:tcPr/>
          <w:p>
            <w:pPr>
              <w:pStyle w:val="Compact"/>
              <w:jc w:val="left"/>
            </w:pPr>
            <w:r>
              <w:t xml:space="preserve">§9-5-13(C); Form §3 Q5(c)</w:t>
            </w:r>
          </w:p>
        </w:tc>
        <w:tc>
          <w:tcPr/>
          <w:p>
            <w:pPr>
              <w:pStyle w:val="Compact"/>
              <w:jc w:val="left"/>
            </w:pPr>
            <w:r>
              <w:t xml:space="preserve">Business plan describes 200 sf vestibule with ID verification</w:t>
            </w:r>
          </w:p>
        </w:tc>
        <w:tc>
          <w:tcPr/>
          <w:p>
            <w:pPr>
              <w:pStyle w:val="Compact"/>
              <w:jc w:val="left"/>
            </w:pPr>
            <w:r>
              <w:t xml:space="preserve">Substantially Compliant</w:t>
            </w:r>
          </w:p>
        </w:tc>
        <w:tc>
          <w:tcPr/>
          <w:p>
            <w:pPr>
              <w:pStyle w:val="Compact"/>
              <w:jc w:val="left"/>
            </w:pPr>
            <w:r>
              <w:t xml:space="preserve">Depict on the floor plan.</w:t>
            </w:r>
          </w:p>
        </w:tc>
      </w:tr>
    </w:tbl>
    <w:bookmarkEnd w:id="28"/>
    <w:bookmarkStart w:id="29" w:name="f-security-plan"/>
    <w:p>
      <w:pPr>
        <w:pStyle w:val="Heading3"/>
      </w:pPr>
      <w:r>
        <w:t xml:space="preserve">4.F Security Plan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Evidence in Package</w:t>
            </w:r>
          </w:p>
        </w:tc>
        <w:tc>
          <w:tcPr/>
          <w:p>
            <w:pPr>
              <w:pStyle w:val="Compact"/>
              <w:jc w:val="left"/>
            </w:pPr>
            <w:r>
              <w:t xml:space="preserve">Status</w:t>
            </w:r>
          </w:p>
        </w:tc>
        <w:tc>
          <w:tcPr/>
          <w:p>
            <w:pPr>
              <w:pStyle w:val="Compact"/>
              <w:jc w:val="left"/>
            </w:pPr>
            <w:r>
              <w:t xml:space="preserve">Remediation / Notes</w:t>
            </w:r>
          </w:p>
        </w:tc>
      </w:tr>
      <w:tr>
        <w:tc>
          <w:tcPr/>
          <w:p>
            <w:pPr>
              <w:pStyle w:val="Compact"/>
              <w:jc w:val="left"/>
            </w:pPr>
            <w:r>
              <w:t xml:space="preserve">F-1</w:t>
            </w:r>
          </w:p>
        </w:tc>
        <w:tc>
          <w:tcPr/>
          <w:p>
            <w:pPr>
              <w:pStyle w:val="Compact"/>
              <w:jc w:val="left"/>
            </w:pPr>
            <w:r>
              <w:t xml:space="preserve">Comprehensive security plan: 24/7 video ≥1080p, ≥30-day retention; camera placement map; panic alarm to EPD; secure vestibule w/ ID verification; cash handling; after-hours; employee training</w:t>
            </w:r>
          </w:p>
        </w:tc>
        <w:tc>
          <w:tcPr/>
          <w:p>
            <w:pPr>
              <w:pStyle w:val="Compact"/>
              <w:jc w:val="left"/>
            </w:pPr>
            <w:r>
              <w:t xml:space="preserve">§9-5-5(B)(9); §9-5-13(A)–(C); Guide Item 9; Form §5 Q15</w:t>
            </w:r>
          </w:p>
        </w:tc>
        <w:tc>
          <w:tcPr/>
          <w:p>
            <w:pPr>
              <w:pStyle w:val="Compact"/>
              <w:jc w:val="left"/>
            </w:pPr>
            <w:r>
              <w:t xml:space="preserve">Business plan §5.3 summarizes plan by Pinnacle Compliance Advisors (Marcus Wren);</w:t>
            </w:r>
            <w:r>
              <w:t xml:space="preserve"> </w:t>
            </w:r>
            <w:r>
              <w:rPr>
                <w:b/>
                <w:bCs/>
              </w:rPr>
              <w:t xml:space="preserve">Insurance Memo states the final security plan is</w:t>
            </w:r>
            <w:r>
              <w:rPr>
                <w:b/>
                <w:bCs/>
              </w:rPr>
              <w:t xml:space="preserve"> </w:t>
            </w:r>
            <w:r>
              <w:rPr>
                <w:b/>
                <w:bCs/>
              </w:rPr>
              <w:t xml:space="preserve">“</w:t>
            </w:r>
            <w:r>
              <w:rPr>
                <w:b/>
                <w:bCs/>
              </w:rPr>
              <w:t xml:space="preserve">still being finalized… not yet delivered</w:t>
            </w:r>
            <w:r>
              <w:rPr>
                <w:b/>
                <w:bCs/>
              </w:rPr>
              <w:t xml:space="preserve">”</w:t>
            </w:r>
          </w:p>
        </w:tc>
        <w:tc>
          <w:tcPr/>
          <w:p>
            <w:pPr>
              <w:pStyle w:val="Compact"/>
              <w:jc w:val="left"/>
            </w:pPr>
            <w:r>
              <w:t xml:space="preserve">Gap — Cure Required</w:t>
            </w:r>
          </w:p>
        </w:tc>
        <w:tc>
          <w:tcPr/>
          <w:p>
            <w:pPr>
              <w:pStyle w:val="Compact"/>
              <w:jc w:val="left"/>
            </w:pPr>
            <w:r>
              <w:rPr>
                <w:b/>
                <w:bCs/>
              </w:rPr>
              <w:t xml:space="preserve">Finalize and include the complete Security Plan at submission.</w:t>
            </w:r>
            <w:r>
              <w:t xml:space="preserve"> </w:t>
            </w:r>
            <w:r>
              <w:t xml:space="preserve">It is a required submission item (Guide Item 9; Form §5 Q15). Its delay also blocks Canopy Risk underwriting of crime/theft insurance (see I-4). Include consultant name/qualifications.</w:t>
            </w:r>
          </w:p>
        </w:tc>
      </w:tr>
      <w:tr>
        <w:tc>
          <w:tcPr/>
          <w:p>
            <w:pPr>
              <w:pStyle w:val="Compact"/>
              <w:jc w:val="left"/>
            </w:pPr>
            <w:r>
              <w:t xml:space="preserve">F-2</w:t>
            </w:r>
          </w:p>
        </w:tc>
        <w:tc>
          <w:tcPr/>
          <w:p>
            <w:pPr>
              <w:pStyle w:val="Compact"/>
              <w:jc w:val="left"/>
            </w:pPr>
            <w:r>
              <w:t xml:space="preserve">Panic alarm tested ≥ quarterly with documented results</w:t>
            </w:r>
          </w:p>
        </w:tc>
        <w:tc>
          <w:tcPr/>
          <w:p>
            <w:pPr>
              <w:pStyle w:val="Compact"/>
              <w:jc w:val="left"/>
            </w:pPr>
            <w:r>
              <w:t xml:space="preserve">§9-5-13(B)</w:t>
            </w:r>
          </w:p>
        </w:tc>
        <w:tc>
          <w:tcPr/>
          <w:p>
            <w:pPr>
              <w:pStyle w:val="Compact"/>
              <w:jc w:val="left"/>
            </w:pPr>
            <w:r>
              <w:t xml:space="preserve">Not addressed (post-opening operational item)</w:t>
            </w:r>
          </w:p>
        </w:tc>
        <w:tc>
          <w:tcPr/>
          <w:p>
            <w:pPr>
              <w:pStyle w:val="Compact"/>
              <w:jc w:val="left"/>
            </w:pPr>
            <w:r>
              <w:t xml:space="preserve">Pre-Issuance / Operational</w:t>
            </w:r>
          </w:p>
        </w:tc>
        <w:tc>
          <w:tcPr/>
          <w:p>
            <w:pPr>
              <w:pStyle w:val="Compact"/>
              <w:jc w:val="left"/>
            </w:pPr>
            <w:r>
              <w:t xml:space="preserve">Operational obligation after opening; include testing protocol in the plan.</w:t>
            </w:r>
          </w:p>
        </w:tc>
      </w:tr>
      <w:tr>
        <w:tc>
          <w:tcPr/>
          <w:p>
            <w:pPr>
              <w:pStyle w:val="Compact"/>
              <w:jc w:val="left"/>
            </w:pPr>
            <w:r>
              <w:t xml:space="preserve">F-3</w:t>
            </w:r>
          </w:p>
        </w:tc>
        <w:tc>
          <w:tcPr/>
          <w:p>
            <w:pPr>
              <w:pStyle w:val="Compact"/>
              <w:jc w:val="left"/>
            </w:pPr>
            <w:r>
              <w:t xml:space="preserve">Seed-to-sale tracking integrated with COMPASS; vendor confirmation letter</w:t>
            </w:r>
          </w:p>
        </w:tc>
        <w:tc>
          <w:tcPr/>
          <w:p>
            <w:pPr>
              <w:pStyle w:val="Compact"/>
              <w:jc w:val="left"/>
            </w:pPr>
            <w:r>
              <w:t xml:space="preserve">§9-5-13(D); Form §5 Q14</w:t>
            </w:r>
          </w:p>
        </w:tc>
        <w:tc>
          <w:tcPr/>
          <w:p>
            <w:pPr>
              <w:pStyle w:val="Compact"/>
              <w:jc w:val="left"/>
            </w:pPr>
            <w:r>
              <w:t xml:space="preserve">Business plan states Pinnacle is configuring COMPASS integration</w:t>
            </w:r>
          </w:p>
        </w:tc>
        <w:tc>
          <w:tcPr/>
          <w:p>
            <w:pPr>
              <w:pStyle w:val="Compact"/>
              <w:jc w:val="left"/>
            </w:pPr>
            <w:r>
              <w:t xml:space="preserve">Partial / In Progress</w:t>
            </w:r>
          </w:p>
        </w:tc>
        <w:tc>
          <w:tcPr/>
          <w:p>
            <w:pPr>
              <w:pStyle w:val="Compact"/>
              <w:jc w:val="left"/>
            </w:pPr>
            <w:r>
              <w:rPr>
                <w:b/>
                <w:bCs/>
              </w:rPr>
              <w:t xml:space="preserve">Include the vendor confirmation letter of COMPASS integration capability</w:t>
            </w:r>
            <w:r>
              <w:t xml:space="preserve"> </w:t>
            </w:r>
            <w:r>
              <w:t xml:space="preserve">(Form §5 Q14 requires it). Not in package.</w:t>
            </w:r>
          </w:p>
        </w:tc>
      </w:tr>
    </w:tbl>
    <w:bookmarkEnd w:id="29"/>
    <w:bookmarkStart w:id="30" w:name="g-odor-mitigation-plan"/>
    <w:p>
      <w:pPr>
        <w:pStyle w:val="Heading3"/>
      </w:pPr>
      <w:r>
        <w:t xml:space="preserve">4.G Odor Mitigation Plan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Evidence in Package</w:t>
            </w:r>
          </w:p>
        </w:tc>
        <w:tc>
          <w:tcPr/>
          <w:p>
            <w:pPr>
              <w:pStyle w:val="Compact"/>
              <w:jc w:val="left"/>
            </w:pPr>
            <w:r>
              <w:t xml:space="preserve">Status</w:t>
            </w:r>
          </w:p>
        </w:tc>
        <w:tc>
          <w:tcPr/>
          <w:p>
            <w:pPr>
              <w:pStyle w:val="Compact"/>
              <w:jc w:val="left"/>
            </w:pPr>
            <w:r>
              <w:t xml:space="preserve">Remediation / Notes</w:t>
            </w:r>
          </w:p>
        </w:tc>
      </w:tr>
      <w:tr>
        <w:tc>
          <w:tcPr/>
          <w:p>
            <w:pPr>
              <w:pStyle w:val="Compact"/>
              <w:jc w:val="left"/>
            </w:pPr>
            <w:r>
              <w:t xml:space="preserve">G-1</w:t>
            </w:r>
          </w:p>
        </w:tc>
        <w:tc>
          <w:tcPr/>
          <w:p>
            <w:pPr>
              <w:pStyle w:val="Compact"/>
              <w:jc w:val="left"/>
            </w:pPr>
            <w:r>
              <w:t xml:space="preserve">Odor mitigation plan: HVAC specs, carbon filtration details, air exchange rates, negative pressure, sealed entries</w:t>
            </w:r>
          </w:p>
        </w:tc>
        <w:tc>
          <w:tcPr/>
          <w:p>
            <w:pPr>
              <w:pStyle w:val="Compact"/>
              <w:jc w:val="left"/>
            </w:pPr>
            <w:r>
              <w:t xml:space="preserve">§9-5-5(B)(10); §9-5-13(G); Guide Item 10; Form §5 Q16</w:t>
            </w:r>
          </w:p>
        </w:tc>
        <w:tc>
          <w:tcPr/>
          <w:p>
            <w:pPr>
              <w:pStyle w:val="Compact"/>
              <w:jc w:val="left"/>
            </w:pPr>
            <w:r>
              <w:t xml:space="preserve">Business plan §5.4 describes intended system</w:t>
            </w:r>
            <w:r>
              <w:t xml:space="preserve"> </w:t>
            </w:r>
            <w:r>
              <w:rPr>
                <w:b/>
                <w:bCs/>
              </w:rPr>
              <w:t xml:space="preserve">qualitatively</w:t>
            </w:r>
            <w:r>
              <w:t xml:space="preserve">; states specs</w:t>
            </w:r>
            <w:r>
              <w:t xml:space="preserve"> </w:t>
            </w:r>
            <w:r>
              <w:t xml:space="preserve">“</w:t>
            </w:r>
            <w:r>
              <w:t xml:space="preserve">will be finalized during the build-out engineering phase</w:t>
            </w:r>
            <w:r>
              <w:t xml:space="preserve">”</w:t>
            </w:r>
          </w:p>
        </w:tc>
        <w:tc>
          <w:tcPr/>
          <w:p>
            <w:pPr>
              <w:pStyle w:val="Compact"/>
              <w:jc w:val="left"/>
            </w:pPr>
            <w:r>
              <w:t xml:space="preserve">Partial / In Progress</w:t>
            </w:r>
          </w:p>
        </w:tc>
        <w:tc>
          <w:tcPr/>
          <w:p>
            <w:pPr>
              <w:pStyle w:val="Compact"/>
              <w:jc w:val="left"/>
            </w:pPr>
            <w:r>
              <w:t xml:space="preserve">Provide concrete HVAC/carbon-filtration specifications (make, model, capacity, air-exchange rates, maintenance schedule) at submission.</w:t>
            </w:r>
          </w:p>
        </w:tc>
      </w:tr>
      <w:tr>
        <w:tc>
          <w:tcPr/>
          <w:p>
            <w:pPr>
              <w:pStyle w:val="Compact"/>
              <w:jc w:val="left"/>
            </w:pPr>
            <w:r>
              <w:t xml:space="preserve">G-2</w:t>
            </w:r>
          </w:p>
        </w:tc>
        <w:tc>
          <w:tcPr/>
          <w:p>
            <w:pPr>
              <w:pStyle w:val="Compact"/>
              <w:jc w:val="left"/>
            </w:pPr>
            <w:r>
              <w:rPr>
                <w:b/>
                <w:bCs/>
              </w:rPr>
              <w:t xml:space="preserve">P.E. certification</w:t>
            </w:r>
            <w:r>
              <w:t xml:space="preserve"> </w:t>
            </w:r>
            <w:r>
              <w:t xml:space="preserve">(IL-licensed) that the system prevents odor migration beyond the property line —</w:t>
            </w:r>
            <w:r>
              <w:t xml:space="preserve"> </w:t>
            </w:r>
            <w:r>
              <w:rPr>
                <w:b/>
                <w:bCs/>
              </w:rPr>
              <w:t xml:space="preserve">required at submission</w:t>
            </w:r>
          </w:p>
        </w:tc>
        <w:tc>
          <w:tcPr/>
          <w:p>
            <w:pPr>
              <w:pStyle w:val="Compact"/>
              <w:jc w:val="left"/>
            </w:pPr>
            <w:r>
              <w:t xml:space="preserve">§9-5-5(B)(10); §9-5-13(G); Guide Item 10; Form §5 Q16</w:t>
            </w:r>
          </w:p>
        </w:tc>
        <w:tc>
          <w:tcPr/>
          <w:p>
            <w:pPr>
              <w:pStyle w:val="Compact"/>
              <w:jc w:val="left"/>
            </w:pPr>
            <w:r>
              <w:rPr>
                <w:b/>
                <w:bCs/>
              </w:rPr>
              <w:t xml:space="preserve">Not obtained.</w:t>
            </w:r>
            <w:r>
              <w:t xml:space="preserve"> </w:t>
            </w:r>
            <w:r>
              <w:t xml:space="preserve">Community-engagement report states the plan</w:t>
            </w:r>
            <w:r>
              <w:t xml:space="preserve"> </w:t>
            </w:r>
            <w:r>
              <w:t xml:space="preserve">“</w:t>
            </w:r>
            <w:r>
              <w:t xml:space="preserve">will be prepared by a licensed mechanical engineer and included… in the application submission</w:t>
            </w:r>
            <w:r>
              <w:t xml:space="preserve">”</w:t>
            </w:r>
          </w:p>
        </w:tc>
        <w:tc>
          <w:tcPr/>
          <w:p>
            <w:pPr>
              <w:pStyle w:val="Compact"/>
              <w:jc w:val="left"/>
            </w:pPr>
            <w:r>
              <w:t xml:space="preserve">Gap — Cure Required</w:t>
            </w:r>
          </w:p>
        </w:tc>
        <w:tc>
          <w:tcPr/>
          <w:p>
            <w:pPr>
              <w:pStyle w:val="Compact"/>
              <w:jc w:val="left"/>
            </w:pPr>
            <w:r>
              <w:rPr>
                <w:b/>
                <w:bCs/>
              </w:rPr>
              <w:t xml:space="preserve">Obtain the signed/sealed P.E. certification before submission.</w:t>
            </w:r>
            <w:r>
              <w:t xml:space="preserve"> </w:t>
            </w:r>
            <w:r>
              <w:t xml:space="preserve">Form §5 Q16 states applications without it</w:t>
            </w:r>
            <w:r>
              <w:t xml:space="preserve"> </w:t>
            </w:r>
            <w:r>
              <w:t xml:space="preserve">“</w:t>
            </w:r>
            <w:r>
              <w:t xml:space="preserve">will be deemed incomplete and will not proceed to scoring.</w:t>
            </w:r>
            <w:r>
              <w:t xml:space="preserve">”</w:t>
            </w:r>
            <w:r>
              <w:t xml:space="preserve"> </w:t>
            </w:r>
            <w:r>
              <w:t xml:space="preserve">This is a hard gate.</w:t>
            </w:r>
          </w:p>
        </w:tc>
      </w:tr>
      <w:tr>
        <w:tc>
          <w:tcPr/>
          <w:p>
            <w:pPr>
              <w:pStyle w:val="Compact"/>
              <w:jc w:val="left"/>
            </w:pPr>
            <w:r>
              <w:t xml:space="preserve">G-3</w:t>
            </w:r>
          </w:p>
        </w:tc>
        <w:tc>
          <w:tcPr/>
          <w:p>
            <w:pPr>
              <w:pStyle w:val="Compact"/>
              <w:jc w:val="left"/>
            </w:pPr>
            <w:r>
              <w:t xml:space="preserve">Annual recertification of odor system</w:t>
            </w:r>
          </w:p>
        </w:tc>
        <w:tc>
          <w:tcPr/>
          <w:p>
            <w:pPr>
              <w:pStyle w:val="Compact"/>
              <w:jc w:val="left"/>
            </w:pPr>
            <w:r>
              <w:t xml:space="preserve">§9-5-13(G)</w:t>
            </w:r>
          </w:p>
        </w:tc>
        <w:tc>
          <w:tcPr/>
          <w:p>
            <w:pPr>
              <w:pStyle w:val="Compact"/>
              <w:jc w:val="left"/>
            </w:pPr>
            <w:r>
              <w:t xml:space="preserve">Not addressed</w:t>
            </w:r>
          </w:p>
        </w:tc>
        <w:tc>
          <w:tcPr/>
          <w:p>
            <w:pPr>
              <w:pStyle w:val="Compact"/>
              <w:jc w:val="left"/>
            </w:pPr>
            <w:r>
              <w:t xml:space="preserve">Pre-Issuance / Operational</w:t>
            </w:r>
          </w:p>
        </w:tc>
        <w:tc>
          <w:tcPr/>
          <w:p>
            <w:pPr>
              <w:pStyle w:val="Compact"/>
              <w:jc w:val="left"/>
            </w:pPr>
            <w:r>
              <w:t xml:space="preserve">Post-issuance obligation; note in plan.</w:t>
            </w:r>
          </w:p>
        </w:tc>
      </w:tr>
    </w:tbl>
    <w:bookmarkEnd w:id="30"/>
    <w:bookmarkStart w:id="31" w:name="h-business-plan-financial-viability"/>
    <w:p>
      <w:pPr>
        <w:pStyle w:val="Heading3"/>
      </w:pPr>
      <w:r>
        <w:t xml:space="preserve">4.H Business Plan &amp; Financial Viability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Evidence in Package</w:t>
            </w:r>
          </w:p>
        </w:tc>
        <w:tc>
          <w:tcPr/>
          <w:p>
            <w:pPr>
              <w:pStyle w:val="Compact"/>
              <w:jc w:val="left"/>
            </w:pPr>
            <w:r>
              <w:t xml:space="preserve">Status</w:t>
            </w:r>
          </w:p>
        </w:tc>
        <w:tc>
          <w:tcPr/>
          <w:p>
            <w:pPr>
              <w:pStyle w:val="Compact"/>
              <w:jc w:val="left"/>
            </w:pPr>
            <w:r>
              <w:t xml:space="preserve">Remediation / Notes</w:t>
            </w:r>
          </w:p>
        </w:tc>
      </w:tr>
      <w:tr>
        <w:tc>
          <w:tcPr/>
          <w:p>
            <w:pPr>
              <w:pStyle w:val="Compact"/>
              <w:jc w:val="left"/>
            </w:pPr>
            <w:r>
              <w:t xml:space="preserve">H-1</w:t>
            </w:r>
          </w:p>
        </w:tc>
        <w:tc>
          <w:tcPr/>
          <w:p>
            <w:pPr>
              <w:pStyle w:val="Compact"/>
              <w:jc w:val="left"/>
            </w:pPr>
            <w:r>
              <w:t xml:space="preserve">Business plan: market analysis, ≥3-yr financial projections, staffing model (FT/PT), mgmt structure/org chart, operational plan</w:t>
            </w:r>
          </w:p>
        </w:tc>
        <w:tc>
          <w:tcPr/>
          <w:p>
            <w:pPr>
              <w:pStyle w:val="Compact"/>
              <w:jc w:val="left"/>
            </w:pPr>
            <w:r>
              <w:t xml:space="preserve">§9-5-5(B)(8); Guide Item 11; Form §5 Q13, §8 Q25</w:t>
            </w:r>
          </w:p>
        </w:tc>
        <w:tc>
          <w:tcPr/>
          <w:p>
            <w:pPr>
              <w:pStyle w:val="Compact"/>
              <w:jc w:val="left"/>
            </w:pPr>
            <w:r>
              <w:t xml:space="preserve">Business plan provides market analysis, 3-yr (and 5-yr) projections, 12-FTE staffing model, org chart</w:t>
            </w:r>
          </w:p>
        </w:tc>
        <w:tc>
          <w:tcPr/>
          <w:p>
            <w:pPr>
              <w:pStyle w:val="Compact"/>
              <w:jc w:val="left"/>
            </w:pPr>
            <w:r>
              <w:t xml:space="preserve">Compliant</w:t>
            </w:r>
          </w:p>
        </w:tc>
        <w:tc>
          <w:tcPr/>
          <w:p>
            <w:pPr>
              <w:pStyle w:val="Compact"/>
              <w:jc w:val="left"/>
            </w:pPr>
            <w:r>
              <w:t xml:space="preserve">Clarify</w:t>
            </w:r>
            <w:r>
              <w:t xml:space="preserve"> </w:t>
            </w:r>
            <w:r>
              <w:rPr>
                <w:b/>
                <w:bCs/>
              </w:rPr>
              <w:t xml:space="preserve">full-time vs. part-time</w:t>
            </w:r>
            <w:r>
              <w:t xml:space="preserve"> </w:t>
            </w:r>
            <w:r>
              <w:t xml:space="preserve">split (Form §5 Q13 asks for both; package lists 12 FTEs only).</w:t>
            </w:r>
          </w:p>
        </w:tc>
      </w:tr>
      <w:tr>
        <w:tc>
          <w:tcPr/>
          <w:p>
            <w:pPr>
              <w:pStyle w:val="Compact"/>
              <w:jc w:val="left"/>
            </w:pPr>
            <w:r>
              <w:t xml:space="preserve">H-2</w:t>
            </w:r>
          </w:p>
        </w:tc>
        <w:tc>
          <w:tcPr/>
          <w:p>
            <w:pPr>
              <w:pStyle w:val="Compact"/>
              <w:jc w:val="left"/>
            </w:pPr>
            <w:r>
              <w:t xml:space="preserve">Capitalization &amp; funding sources documented; sources-and-uses; evidence of funds</w:t>
            </w:r>
          </w:p>
        </w:tc>
        <w:tc>
          <w:tcPr/>
          <w:p>
            <w:pPr>
              <w:pStyle w:val="Compact"/>
              <w:jc w:val="left"/>
            </w:pPr>
            <w:r>
              <w:t xml:space="preserve">§9-5-5(B)(8); Guide Item 17; Form §8 Q24</w:t>
            </w:r>
          </w:p>
        </w:tc>
        <w:tc>
          <w:tcPr/>
          <w:p>
            <w:pPr>
              <w:pStyle w:val="Compact"/>
              <w:jc w:val="left"/>
            </w:pPr>
            <w:r>
              <w:t xml:space="preserve">$1,850,000 all-equity (Okonkwo $1.11M / Ramachandran $740K); no debt; use-of-funds detailed</w:t>
            </w:r>
          </w:p>
        </w:tc>
        <w:tc>
          <w:tcPr/>
          <w:p>
            <w:pPr>
              <w:pStyle w:val="Compact"/>
              <w:jc w:val="left"/>
            </w:pPr>
            <w:r>
              <w:t xml:space="preserve">Substantially Compliant</w:t>
            </w:r>
          </w:p>
        </w:tc>
        <w:tc>
          <w:tcPr/>
          <w:p>
            <w:pPr>
              <w:pStyle w:val="Compact"/>
              <w:jc w:val="left"/>
            </w:pPr>
            <w:r>
              <w:t xml:space="preserve">Include</w:t>
            </w:r>
            <w:r>
              <w:t xml:space="preserve"> </w:t>
            </w:r>
            <w:r>
              <w:rPr>
                <w:b/>
                <w:bCs/>
              </w:rPr>
              <w:t xml:space="preserve">bank/investment statements dated within 30 days</w:t>
            </w:r>
            <w:r>
              <w:t xml:space="preserve"> </w:t>
            </w:r>
            <w:r>
              <w:t xml:space="preserve">and member contribution documentation as evidence of funds (Form §8 Q24).</w:t>
            </w:r>
          </w:p>
        </w:tc>
      </w:tr>
      <w:tr>
        <w:tc>
          <w:tcPr/>
          <w:p>
            <w:pPr>
              <w:pStyle w:val="Compact"/>
              <w:jc w:val="left"/>
            </w:pPr>
            <w:r>
              <w:t xml:space="preserve">H-3</w:t>
            </w:r>
          </w:p>
        </w:tc>
        <w:tc>
          <w:tcPr/>
          <w:p>
            <w:pPr>
              <w:pStyle w:val="Compact"/>
              <w:jc w:val="left"/>
            </w:pPr>
            <w:r>
              <w:t xml:space="preserve">Financial projections realism; cash reserve</w:t>
            </w:r>
          </w:p>
        </w:tc>
        <w:tc>
          <w:tcPr/>
          <w:p>
            <w:pPr>
              <w:pStyle w:val="Compact"/>
              <w:jc w:val="left"/>
            </w:pPr>
            <w:r>
              <w:t xml:space="preserve">§9-5-10(C)(4)</w:t>
            </w:r>
          </w:p>
        </w:tc>
        <w:tc>
          <w:tcPr/>
          <w:p>
            <w:pPr>
              <w:pStyle w:val="Compact"/>
              <w:jc w:val="left"/>
            </w:pPr>
            <w:r>
              <w:t xml:space="preserve">~$758K working-capital reserve; break-even 8–10 months</w:t>
            </w:r>
          </w:p>
        </w:tc>
        <w:tc>
          <w:tcPr/>
          <w:p>
            <w:pPr>
              <w:pStyle w:val="Compact"/>
              <w:jc w:val="left"/>
            </w:pPr>
            <w:r>
              <w:t xml:space="preserve">Compliant</w:t>
            </w:r>
          </w:p>
        </w:tc>
        <w:tc>
          <w:tcPr/>
          <w:p>
            <w:pPr>
              <w:pStyle w:val="Compact"/>
              <w:jc w:val="left"/>
            </w:pPr>
            <w:r>
              <w:t xml:space="preserve">Supports Financial Viability scoring.</w:t>
            </w:r>
          </w:p>
        </w:tc>
      </w:tr>
      <w:tr>
        <w:tc>
          <w:tcPr/>
          <w:p>
            <w:pPr>
              <w:pStyle w:val="Compact"/>
              <w:jc w:val="left"/>
            </w:pPr>
            <w:r>
              <w:t xml:space="preserve">H-4</w:t>
            </w:r>
          </w:p>
        </w:tc>
        <w:tc>
          <w:tcPr/>
          <w:p>
            <w:pPr>
              <w:pStyle w:val="Compact"/>
              <w:jc w:val="left"/>
            </w:pPr>
            <w:r>
              <w:t xml:space="preserve">Evidence of secured bonding capacity (commitment letter) —</w:t>
            </w:r>
            <w:r>
              <w:t xml:space="preserve"> </w:t>
            </w:r>
            <w:r>
              <w:rPr>
                <w:b/>
                <w:bCs/>
              </w:rPr>
              <w:t xml:space="preserve">10 of 30 FV points</w:t>
            </w:r>
          </w:p>
        </w:tc>
        <w:tc>
          <w:tcPr/>
          <w:p>
            <w:pPr>
              <w:pStyle w:val="Compact"/>
              <w:jc w:val="left"/>
            </w:pPr>
            <w:r>
              <w:t xml:space="preserve">§9-5-5(B)(16); §9-5-10(C)(4); Guide Item 17; Form §8 Q26</w:t>
            </w:r>
          </w:p>
        </w:tc>
        <w:tc>
          <w:tcPr/>
          <w:p>
            <w:pPr>
              <w:pStyle w:val="Compact"/>
              <w:jc w:val="left"/>
            </w:pPr>
            <w:r>
              <w:rPr>
                <w:b/>
                <w:bCs/>
              </w:rPr>
              <w:t xml:space="preserve">Only a verbal preliminary inquiry</w:t>
            </w:r>
            <w:r>
              <w:t xml:space="preserve"> </w:t>
            </w:r>
            <w:r>
              <w:t xml:space="preserve">with Thornfield Surety Group;</w:t>
            </w:r>
            <w:r>
              <w:t xml:space="preserve"> </w:t>
            </w:r>
            <w:r>
              <w:rPr>
                <w:b/>
                <w:bCs/>
              </w:rPr>
              <w:t xml:space="preserve">no commitment letter</w:t>
            </w:r>
          </w:p>
        </w:tc>
        <w:tc>
          <w:tcPr/>
          <w:p>
            <w:pPr>
              <w:pStyle w:val="Compact"/>
              <w:jc w:val="left"/>
            </w:pPr>
            <w:r>
              <w:t xml:space="preserve">Gap — Cure Required</w:t>
            </w:r>
          </w:p>
        </w:tc>
        <w:tc>
          <w:tcPr/>
          <w:p>
            <w:pPr>
              <w:pStyle w:val="Compact"/>
              <w:jc w:val="left"/>
            </w:pPr>
            <w:r>
              <w:rPr>
                <w:b/>
                <w:bCs/>
              </w:rPr>
              <w:t xml:space="preserve">Obtain a formal commitment letter</w:t>
            </w:r>
            <w:r>
              <w:t xml:space="preserve"> </w:t>
            </w:r>
            <w:r>
              <w:t xml:space="preserve">(surety letterhead, signed by authorized officer, dated within 60 days of submission) before submission. Without it, the applicant</w:t>
            </w:r>
            <w:r>
              <w:t xml:space="preserve"> </w:t>
            </w:r>
            <w:r>
              <w:rPr>
                <w:b/>
                <w:bCs/>
              </w:rPr>
              <w:t xml:space="preserve">forfeits 10 Financial Viability points</w:t>
            </w:r>
            <w:r>
              <w:t xml:space="preserve"> </w:t>
            </w:r>
            <w:r>
              <w:t xml:space="preserve">and lacks the Code-required evidence of bonding capacity. See J-1.</w:t>
            </w:r>
          </w:p>
        </w:tc>
      </w:tr>
    </w:tbl>
    <w:bookmarkEnd w:id="31"/>
    <w:bookmarkStart w:id="32" w:name="i-insurance"/>
    <w:p>
      <w:pPr>
        <w:pStyle w:val="Heading3"/>
      </w:pPr>
      <w:r>
        <w:t xml:space="preserve">4.I Insurance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Evidence in Package</w:t>
            </w:r>
          </w:p>
        </w:tc>
        <w:tc>
          <w:tcPr/>
          <w:p>
            <w:pPr>
              <w:pStyle w:val="Compact"/>
              <w:jc w:val="left"/>
            </w:pPr>
            <w:r>
              <w:t xml:space="preserve">Status</w:t>
            </w:r>
          </w:p>
        </w:tc>
        <w:tc>
          <w:tcPr/>
          <w:p>
            <w:pPr>
              <w:pStyle w:val="Compact"/>
              <w:jc w:val="left"/>
            </w:pPr>
            <w:r>
              <w:t xml:space="preserve">Remediation / Notes</w:t>
            </w:r>
          </w:p>
        </w:tc>
      </w:tr>
      <w:tr>
        <w:tc>
          <w:tcPr/>
          <w:p>
            <w:pPr>
              <w:pStyle w:val="Compact"/>
              <w:jc w:val="left"/>
            </w:pPr>
            <w:r>
              <w:t xml:space="preserve">I-1</w:t>
            </w:r>
          </w:p>
        </w:tc>
        <w:tc>
          <w:tcPr/>
          <w:p>
            <w:pPr>
              <w:pStyle w:val="Compact"/>
              <w:jc w:val="left"/>
            </w:pPr>
            <w:r>
              <w:t xml:space="preserve">Commercial General Liability: $2M occ. / $4M agg.</w:t>
            </w:r>
          </w:p>
        </w:tc>
        <w:tc>
          <w:tcPr/>
          <w:p>
            <w:pPr>
              <w:pStyle w:val="Compact"/>
              <w:jc w:val="left"/>
            </w:pPr>
            <w:r>
              <w:t xml:space="preserve">§9-5-16(A)(1); Guide Item 16; Form §8 Q27</w:t>
            </w:r>
          </w:p>
        </w:tc>
        <w:tc>
          <w:tcPr/>
          <w:p>
            <w:pPr>
              <w:pStyle w:val="Compact"/>
              <w:jc w:val="left"/>
            </w:pPr>
            <w:r>
              <w:t xml:space="preserve">Obtained, in force since 1/15/2024, with cannabis-operations endorsement</w:t>
            </w:r>
          </w:p>
        </w:tc>
        <w:tc>
          <w:tcPr/>
          <w:p>
            <w:pPr>
              <w:pStyle w:val="Compact"/>
              <w:jc w:val="left"/>
            </w:pPr>
            <w:r>
              <w:t xml:space="preserve">Compliant</w:t>
            </w:r>
          </w:p>
        </w:tc>
        <w:tc>
          <w:tcPr/>
          <w:p>
            <w:pPr>
              <w:pStyle w:val="Compact"/>
              <w:jc w:val="left"/>
            </w:pPr>
            <w:r>
              <w:t xml:space="preserve">Provide certificate; endorse City as additional insured before permit issuance.</w:t>
            </w:r>
          </w:p>
        </w:tc>
      </w:tr>
      <w:tr>
        <w:tc>
          <w:tcPr/>
          <w:p>
            <w:pPr>
              <w:pStyle w:val="Compact"/>
              <w:jc w:val="left"/>
            </w:pPr>
            <w:r>
              <w:t xml:space="preserve">I-2</w:t>
            </w:r>
          </w:p>
        </w:tc>
        <w:tc>
          <w:tcPr/>
          <w:p>
            <w:pPr>
              <w:pStyle w:val="Compact"/>
              <w:jc w:val="left"/>
            </w:pPr>
            <w:r>
              <w:t xml:space="preserve">Product Liability: $2M occ. / $4M agg.</w:t>
            </w:r>
          </w:p>
        </w:tc>
        <w:tc>
          <w:tcPr/>
          <w:p>
            <w:pPr>
              <w:pStyle w:val="Compact"/>
              <w:jc w:val="left"/>
            </w:pPr>
            <w:r>
              <w:t xml:space="preserve">§9-5-16(A)(2)</w:t>
            </w:r>
          </w:p>
        </w:tc>
        <w:tc>
          <w:tcPr/>
          <w:p>
            <w:pPr>
              <w:pStyle w:val="Compact"/>
              <w:jc w:val="left"/>
            </w:pPr>
            <w:r>
              <w:t xml:space="preserve">Obtained, bundled with GL</w:t>
            </w:r>
          </w:p>
        </w:tc>
        <w:tc>
          <w:tcPr/>
          <w:p>
            <w:pPr>
              <w:pStyle w:val="Compact"/>
              <w:jc w:val="left"/>
            </w:pPr>
            <w:r>
              <w:t xml:space="preserve">Compliant</w:t>
            </w:r>
          </w:p>
        </w:tc>
        <w:tc>
          <w:tcPr/>
          <w:p>
            <w:pPr>
              <w:pStyle w:val="Compact"/>
              <w:jc w:val="left"/>
            </w:pPr>
            <w:r>
              <w:t xml:space="preserve">Provide certificate; endorse City as additional insured.</w:t>
            </w:r>
          </w:p>
        </w:tc>
      </w:tr>
      <w:tr>
        <w:tc>
          <w:tcPr/>
          <w:p>
            <w:pPr>
              <w:pStyle w:val="Compact"/>
              <w:jc w:val="left"/>
            </w:pPr>
            <w:r>
              <w:t xml:space="preserve">I-3</w:t>
            </w:r>
          </w:p>
        </w:tc>
        <w:tc>
          <w:tcPr/>
          <w:p>
            <w:pPr>
              <w:pStyle w:val="Compact"/>
              <w:jc w:val="left"/>
            </w:pPr>
            <w:r>
              <w:t xml:space="preserve">Workers’ Compensation at IL statutory limits</w:t>
            </w:r>
            <w:r>
              <w:t xml:space="preserve"> </w:t>
            </w:r>
            <w:r>
              <w:rPr>
                <w:b/>
                <w:bCs/>
              </w:rPr>
              <w:t xml:space="preserve">and Employer’s Liability ≥ $1M per accident</w:t>
            </w:r>
          </w:p>
        </w:tc>
        <w:tc>
          <w:tcPr/>
          <w:p>
            <w:pPr>
              <w:pStyle w:val="Compact"/>
              <w:jc w:val="left"/>
            </w:pPr>
            <w:r>
              <w:t xml:space="preserve">§9-5-16(A)(3)</w:t>
            </w:r>
          </w:p>
        </w:tc>
        <w:tc>
          <w:tcPr/>
          <w:p>
            <w:pPr>
              <w:pStyle w:val="Compact"/>
              <w:jc w:val="left"/>
            </w:pPr>
            <w:r>
              <w:t xml:space="preserve">WC quoted, to bind on first hire;</w:t>
            </w:r>
            <w:r>
              <w:t xml:space="preserve"> </w:t>
            </w:r>
            <w:r>
              <w:rPr>
                <w:b/>
                <w:bCs/>
              </w:rPr>
              <w:t xml:space="preserve">Employer’s Liability not addressed</w:t>
            </w:r>
          </w:p>
        </w:tc>
        <w:tc>
          <w:tcPr/>
          <w:p>
            <w:pPr>
              <w:pStyle w:val="Compact"/>
              <w:jc w:val="left"/>
            </w:pPr>
            <w:r>
              <w:t xml:space="preserve">Gap — Cure Required</w:t>
            </w:r>
          </w:p>
        </w:tc>
        <w:tc>
          <w:tcPr/>
          <w:p>
            <w:pPr>
              <w:pStyle w:val="Compact"/>
              <w:jc w:val="left"/>
            </w:pPr>
            <w:r>
              <w:rPr>
                <w:b/>
                <w:bCs/>
              </w:rPr>
              <w:t xml:space="preserve">Code requires Employer’s Liability ≥ $1,000,000 per accident.</w:t>
            </w:r>
            <w:r>
              <w:t xml:space="preserve"> </w:t>
            </w:r>
            <w:r>
              <w:t xml:space="preserve">The Guide/Form omit this sub-limit and the Lease only requires $500,000.</w:t>
            </w:r>
            <w:r>
              <w:t xml:space="preserve"> </w:t>
            </w:r>
            <w:r>
              <w:rPr>
                <w:b/>
                <w:bCs/>
              </w:rPr>
              <w:t xml:space="preserve">Bind WC with EL ≥ $1M.</w:t>
            </w:r>
            <w:r>
              <w:t xml:space="preserve"> </w:t>
            </w:r>
            <w:r>
              <w:t xml:space="preserve">Provide certificate/binder before permit issuance.</w:t>
            </w:r>
          </w:p>
        </w:tc>
      </w:tr>
      <w:tr>
        <w:tc>
          <w:tcPr/>
          <w:p>
            <w:pPr>
              <w:pStyle w:val="Compact"/>
              <w:jc w:val="left"/>
            </w:pPr>
            <w:r>
              <w:t xml:space="preserve">I-4</w:t>
            </w:r>
          </w:p>
        </w:tc>
        <w:tc>
          <w:tcPr/>
          <w:p>
            <w:pPr>
              <w:pStyle w:val="Compact"/>
              <w:jc w:val="left"/>
            </w:pPr>
            <w:r>
              <w:t xml:space="preserve">Cannabis-Specific Crime &amp; Theft: $500,000</w:t>
            </w:r>
          </w:p>
        </w:tc>
        <w:tc>
          <w:tcPr/>
          <w:p>
            <w:pPr>
              <w:pStyle w:val="Compact"/>
              <w:jc w:val="left"/>
            </w:pPr>
            <w:r>
              <w:t xml:space="preserve">§9-5-16(A)(4); Guide Item 16; Form §8 Q27</w:t>
            </w:r>
          </w:p>
        </w:tc>
        <w:tc>
          <w:tcPr/>
          <w:p>
            <w:pPr>
              <w:pStyle w:val="Compact"/>
              <w:jc w:val="left"/>
            </w:pPr>
            <w:r>
              <w:rPr>
                <w:b/>
                <w:bCs/>
              </w:rPr>
              <w:t xml:space="preserve">Under negotiation</w:t>
            </w:r>
            <w:r>
              <w:t xml:space="preserve"> </w:t>
            </w:r>
            <w:r>
              <w:t xml:space="preserve">with Canopy Risk Underwriters; not bound; no commitment letter; underwriting blocked pending final security plan</w:t>
            </w:r>
          </w:p>
        </w:tc>
        <w:tc>
          <w:tcPr/>
          <w:p>
            <w:pPr>
              <w:pStyle w:val="Compact"/>
              <w:jc w:val="left"/>
            </w:pPr>
            <w:r>
              <w:t xml:space="preserve">Gap — Cure Required</w:t>
            </w:r>
          </w:p>
        </w:tc>
        <w:tc>
          <w:tcPr/>
          <w:p>
            <w:pPr>
              <w:pStyle w:val="Compact"/>
              <w:jc w:val="left"/>
            </w:pPr>
            <w:r>
              <w:rPr>
                <w:b/>
                <w:bCs/>
              </w:rPr>
              <w:t xml:space="preserve">At submission, provide a binding commitment letter</w:t>
            </w:r>
            <w:r>
              <w:t xml:space="preserve"> </w:t>
            </w:r>
            <w:r>
              <w:t xml:space="preserve">from Canopy Risk (or alternative carrier) confirming $500K crime/theft coverage will be bound before permit issuance.</w:t>
            </w:r>
            <w:r>
              <w:t xml:space="preserve"> </w:t>
            </w:r>
            <w:r>
              <w:rPr>
                <w:b/>
                <w:bCs/>
              </w:rPr>
              <w:t xml:space="preserve">Finalize the security plan to unblock underwriting.</w:t>
            </w:r>
            <w:r>
              <w:t xml:space="preserve"> </w:t>
            </w:r>
            <w:r>
              <w:t xml:space="preserve">Identify a contingency carrier.</w:t>
            </w:r>
          </w:p>
        </w:tc>
      </w:tr>
      <w:tr>
        <w:tc>
          <w:tcPr/>
          <w:p>
            <w:pPr>
              <w:pStyle w:val="Compact"/>
              <w:jc w:val="left"/>
            </w:pPr>
            <w:r>
              <w:t xml:space="preserve">I-5</w:t>
            </w:r>
          </w:p>
        </w:tc>
        <w:tc>
          <w:tcPr/>
          <w:p>
            <w:pPr>
              <w:pStyle w:val="Compact"/>
              <w:jc w:val="left"/>
            </w:pPr>
            <w:r>
              <w:t xml:space="preserve">City named additional insured on GL and Product Liability</w:t>
            </w:r>
          </w:p>
        </w:tc>
        <w:tc>
          <w:tcPr/>
          <w:p>
            <w:pPr>
              <w:pStyle w:val="Compact"/>
              <w:jc w:val="left"/>
            </w:pPr>
            <w:r>
              <w:t xml:space="preserve">§9-5-16(B); Guide Item 16; Form §8 Q27</w:t>
            </w:r>
          </w:p>
        </w:tc>
        <w:tc>
          <w:tcPr/>
          <w:p>
            <w:pPr>
              <w:pStyle w:val="Compact"/>
              <w:jc w:val="left"/>
            </w:pPr>
            <w:r>
              <w:t xml:space="preserve">Memo states policies</w:t>
            </w:r>
            <w:r>
              <w:t xml:space="preserve"> </w:t>
            </w:r>
            <w:r>
              <w:t xml:space="preserve">“</w:t>
            </w:r>
            <w:r>
              <w:t xml:space="preserve">can be endorsed… upon request</w:t>
            </w:r>
            <w:r>
              <w:t xml:space="preserve">”</w:t>
            </w:r>
          </w:p>
        </w:tc>
        <w:tc>
          <w:tcPr/>
          <w:p>
            <w:pPr>
              <w:pStyle w:val="Compact"/>
              <w:jc w:val="left"/>
            </w:pPr>
            <w:r>
              <w:t xml:space="preserve">Substantially Compliant</w:t>
            </w:r>
          </w:p>
        </w:tc>
        <w:tc>
          <w:tcPr/>
          <w:p>
            <w:pPr>
              <w:pStyle w:val="Compact"/>
              <w:jc w:val="left"/>
            </w:pPr>
            <w:r>
              <w:t xml:space="preserve">Obtain additional-insured endorsements before permit issuance; provide certificates reflecting them.</w:t>
            </w:r>
          </w:p>
        </w:tc>
      </w:tr>
      <w:tr>
        <w:tc>
          <w:tcPr/>
          <w:p>
            <w:pPr>
              <w:pStyle w:val="Compact"/>
              <w:jc w:val="left"/>
            </w:pPr>
            <w:r>
              <w:t xml:space="preserve">I-6</w:t>
            </w:r>
          </w:p>
        </w:tc>
        <w:tc>
          <w:tcPr/>
          <w:p>
            <w:pPr>
              <w:pStyle w:val="Compact"/>
              <w:jc w:val="left"/>
            </w:pPr>
            <w:r>
              <w:t xml:space="preserve">All insurers rated ≥ A- by AM Best (or equivalent)</w:t>
            </w:r>
          </w:p>
        </w:tc>
        <w:tc>
          <w:tcPr/>
          <w:p>
            <w:pPr>
              <w:pStyle w:val="Compact"/>
              <w:jc w:val="left"/>
            </w:pPr>
            <w:r>
              <w:t xml:space="preserve">§9-5-16(C)</w:t>
            </w:r>
          </w:p>
        </w:tc>
        <w:tc>
          <w:tcPr/>
          <w:p>
            <w:pPr>
              <w:pStyle w:val="Compact"/>
              <w:jc w:val="left"/>
            </w:pPr>
            <w:r>
              <w:t xml:space="preserve">Carrier ratings not confirmed in package</w:t>
            </w:r>
          </w:p>
        </w:tc>
        <w:tc>
          <w:tcPr/>
          <w:p>
            <w:pPr>
              <w:pStyle w:val="Compact"/>
              <w:jc w:val="left"/>
            </w:pPr>
            <w:r>
              <w:t xml:space="preserve">Gap — Cure Required</w:t>
            </w:r>
          </w:p>
        </w:tc>
        <w:tc>
          <w:tcPr/>
          <w:p>
            <w:pPr>
              <w:pStyle w:val="Compact"/>
              <w:jc w:val="left"/>
            </w:pPr>
            <w:r>
              <w:rPr>
                <w:b/>
                <w:bCs/>
              </w:rPr>
              <w:t xml:space="preserve">Verify and document AM Best rating ≥ A- for every carrier</w:t>
            </w:r>
            <w:r>
              <w:t xml:space="preserve"> </w:t>
            </w:r>
            <w:r>
              <w:t xml:space="preserve">(GL/PL carrier, Canopy Risk, WC carrier). Not mentioned in Guide/Form but required by Code.</w:t>
            </w:r>
          </w:p>
        </w:tc>
      </w:tr>
      <w:tr>
        <w:tc>
          <w:tcPr/>
          <w:p>
            <w:pPr>
              <w:pStyle w:val="Compact"/>
              <w:jc w:val="left"/>
            </w:pPr>
            <w:r>
              <w:t xml:space="preserve">I-7</w:t>
            </w:r>
          </w:p>
        </w:tc>
        <w:tc>
          <w:tcPr/>
          <w:p>
            <w:pPr>
              <w:pStyle w:val="Compact"/>
              <w:jc w:val="left"/>
            </w:pPr>
            <w:r>
              <w:t xml:space="preserve">30-day written notice of cancellation/non-renewal/material change</w:t>
            </w:r>
          </w:p>
        </w:tc>
        <w:tc>
          <w:tcPr/>
          <w:p>
            <w:pPr>
              <w:pStyle w:val="Compact"/>
              <w:jc w:val="left"/>
            </w:pPr>
            <w:r>
              <w:t xml:space="preserve">§9-5-16(D); Form §8 Q27</w:t>
            </w:r>
          </w:p>
        </w:tc>
        <w:tc>
          <w:tcPr/>
          <w:p>
            <w:pPr>
              <w:pStyle w:val="Compact"/>
              <w:jc w:val="left"/>
            </w:pPr>
            <w:r>
              <w:t xml:space="preserve">Not addressed</w:t>
            </w:r>
          </w:p>
        </w:tc>
        <w:tc>
          <w:tcPr/>
          <w:p>
            <w:pPr>
              <w:pStyle w:val="Compact"/>
              <w:jc w:val="left"/>
            </w:pPr>
            <w:r>
              <w:t xml:space="preserve">Substantially Compliant</w:t>
            </w:r>
          </w:p>
        </w:tc>
        <w:tc>
          <w:tcPr/>
          <w:p>
            <w:pPr>
              <w:pStyle w:val="Compact"/>
              <w:jc w:val="left"/>
            </w:pPr>
            <w:r>
              <w:t xml:space="preserve">Confirm policies include 30-day cancellation notice to the City; state in cover letter.</w:t>
            </w:r>
          </w:p>
        </w:tc>
      </w:tr>
      <w:tr>
        <w:tc>
          <w:tcPr/>
          <w:p>
            <w:pPr>
              <w:pStyle w:val="Compact"/>
              <w:jc w:val="left"/>
            </w:pPr>
            <w:r>
              <w:t xml:space="preserve">I-8</w:t>
            </w:r>
          </w:p>
        </w:tc>
        <w:tc>
          <w:tcPr/>
          <w:p>
            <w:pPr>
              <w:pStyle w:val="Compact"/>
              <w:jc w:val="left"/>
            </w:pPr>
            <w:r>
              <w:t xml:space="preserve">Lapse &gt; 14 days = grounds for immediate suspension; lapse &gt; 48 hrs = immediate suspension</w:t>
            </w:r>
          </w:p>
        </w:tc>
        <w:tc>
          <w:tcPr/>
          <w:p>
            <w:pPr>
              <w:pStyle w:val="Compact"/>
              <w:jc w:val="left"/>
            </w:pPr>
            <w:r>
              <w:t xml:space="preserve">§9-5-16(E); §9-5-25(C)(3)</w:t>
            </w:r>
          </w:p>
        </w:tc>
        <w:tc>
          <w:tcPr/>
          <w:p>
            <w:pPr>
              <w:pStyle w:val="Compact"/>
              <w:jc w:val="left"/>
            </w:pPr>
            <w:r>
              <w:t xml:space="preserve">Understood</w:t>
            </w:r>
          </w:p>
        </w:tc>
        <w:tc>
          <w:tcPr/>
          <w:p>
            <w:pPr>
              <w:pStyle w:val="Compact"/>
              <w:jc w:val="left"/>
            </w:pPr>
            <w:r>
              <w:t xml:space="preserve">Compliant</w:t>
            </w:r>
          </w:p>
        </w:tc>
        <w:tc>
          <w:tcPr/>
          <w:p>
            <w:pPr>
              <w:pStyle w:val="Compact"/>
              <w:jc w:val="left"/>
            </w:pPr>
            <w:r>
              <w:t xml:space="preserve">Informational; ongoing obligation.</w:t>
            </w:r>
          </w:p>
        </w:tc>
      </w:tr>
    </w:tbl>
    <w:bookmarkEnd w:id="32"/>
    <w:bookmarkStart w:id="33" w:name="j-performance-bond-letter-of-credit"/>
    <w:p>
      <w:pPr>
        <w:pStyle w:val="Heading3"/>
      </w:pPr>
      <w:r>
        <w:t xml:space="preserve">4.J Performance Bond / Letter of Credit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Evidence in Package</w:t>
            </w:r>
          </w:p>
        </w:tc>
        <w:tc>
          <w:tcPr/>
          <w:p>
            <w:pPr>
              <w:pStyle w:val="Compact"/>
              <w:jc w:val="left"/>
            </w:pPr>
            <w:r>
              <w:t xml:space="preserve">Status</w:t>
            </w:r>
          </w:p>
        </w:tc>
        <w:tc>
          <w:tcPr/>
          <w:p>
            <w:pPr>
              <w:pStyle w:val="Compact"/>
              <w:jc w:val="left"/>
            </w:pPr>
            <w:r>
              <w:t xml:space="preserve">Remediation / Notes</w:t>
            </w:r>
          </w:p>
        </w:tc>
      </w:tr>
      <w:tr>
        <w:tc>
          <w:tcPr/>
          <w:p>
            <w:pPr>
              <w:pStyle w:val="Compact"/>
              <w:jc w:val="left"/>
            </w:pPr>
            <w:r>
              <w:t xml:space="preserve">J-1</w:t>
            </w:r>
          </w:p>
        </w:tc>
        <w:tc>
          <w:tcPr/>
          <w:p>
            <w:pPr>
              <w:pStyle w:val="Compact"/>
              <w:jc w:val="left"/>
            </w:pPr>
            <w:r>
              <w:t xml:space="preserve">Evidence of bonding capacity</w:t>
            </w:r>
            <w:r>
              <w:t xml:space="preserve"> </w:t>
            </w:r>
            <w:r>
              <w:rPr>
                <w:b/>
                <w:bCs/>
              </w:rPr>
              <w:t xml:space="preserve">at application</w:t>
            </w:r>
            <w:r>
              <w:t xml:space="preserve"> </w:t>
            </w:r>
            <w:r>
              <w:t xml:space="preserve">(commitment letter); $50,000 bond/LOC</w:t>
            </w:r>
            <w:r>
              <w:t xml:space="preserve"> </w:t>
            </w:r>
            <w:r>
              <w:rPr>
                <w:b/>
                <w:bCs/>
              </w:rPr>
              <w:t xml:space="preserve">before permit issuance</w:t>
            </w:r>
          </w:p>
        </w:tc>
        <w:tc>
          <w:tcPr/>
          <w:p>
            <w:pPr>
              <w:pStyle w:val="Compact"/>
              <w:jc w:val="left"/>
            </w:pPr>
            <w:r>
              <w:t xml:space="preserve">§9-5-5(B)(16); §9-5-17; Guide Item 17; Form §8 Q26</w:t>
            </w:r>
          </w:p>
        </w:tc>
        <w:tc>
          <w:tcPr/>
          <w:p>
            <w:pPr>
              <w:pStyle w:val="Compact"/>
              <w:jc w:val="left"/>
            </w:pPr>
            <w:r>
              <w:rPr>
                <w:b/>
                <w:bCs/>
              </w:rPr>
              <w:t xml:space="preserve">Preliminary verbal inquiry only</w:t>
            </w:r>
            <w:r>
              <w:t xml:space="preserve"> </w:t>
            </w:r>
            <w:r>
              <w:t xml:space="preserve">with Thornfield Surety Group; no commitment letter; Ridgeline Bank LOC discussed but not formalized</w:t>
            </w:r>
          </w:p>
        </w:tc>
        <w:tc>
          <w:tcPr/>
          <w:p>
            <w:pPr>
              <w:pStyle w:val="Compact"/>
              <w:jc w:val="left"/>
            </w:pPr>
            <w:r>
              <w:t xml:space="preserve">Gap — Cure Required</w:t>
            </w:r>
          </w:p>
        </w:tc>
        <w:tc>
          <w:tcPr/>
          <w:p>
            <w:pPr>
              <w:pStyle w:val="Compact"/>
              <w:jc w:val="left"/>
            </w:pPr>
            <w:r>
              <w:rPr>
                <w:b/>
                <w:bCs/>
              </w:rPr>
              <w:t xml:space="preserve">Obtain a formal commitment letter</w:t>
            </w:r>
            <w:r>
              <w:t xml:space="preserve"> </w:t>
            </w:r>
            <w:r>
              <w:t xml:space="preserve">(Thornfield or Ridgeline) before submission (see H-4). The bond/LOC itself is a pre-issuance item (§9-5-11(D)).</w:t>
            </w:r>
          </w:p>
        </w:tc>
      </w:tr>
      <w:tr>
        <w:tc>
          <w:tcPr/>
          <w:p>
            <w:pPr>
              <w:pStyle w:val="Compact"/>
              <w:jc w:val="left"/>
            </w:pPr>
            <w:r>
              <w:t xml:space="preserve">J-2</w:t>
            </w:r>
          </w:p>
        </w:tc>
        <w:tc>
          <w:tcPr/>
          <w:p>
            <w:pPr>
              <w:pStyle w:val="Compact"/>
              <w:jc w:val="left"/>
            </w:pPr>
            <w:r>
              <w:t xml:space="preserve">Surety rated ≥ A- by AM Best; or LOC from federally insured IL-authorized institution</w:t>
            </w:r>
          </w:p>
        </w:tc>
        <w:tc>
          <w:tcPr/>
          <w:p>
            <w:pPr>
              <w:pStyle w:val="Compact"/>
              <w:jc w:val="left"/>
            </w:pPr>
            <w:r>
              <w:t xml:space="preserve">§9-5-17(B)</w:t>
            </w:r>
          </w:p>
        </w:tc>
        <w:tc>
          <w:tcPr/>
          <w:p>
            <w:pPr>
              <w:pStyle w:val="Compact"/>
              <w:jc w:val="left"/>
            </w:pPr>
            <w:r>
              <w:t xml:space="preserve">Thornfield rating not confirmed</w:t>
            </w:r>
          </w:p>
        </w:tc>
        <w:tc>
          <w:tcPr/>
          <w:p>
            <w:pPr>
              <w:pStyle w:val="Compact"/>
              <w:jc w:val="left"/>
            </w:pPr>
            <w:r>
              <w:t xml:space="preserve">Gap — Cure Required</w:t>
            </w:r>
          </w:p>
        </w:tc>
        <w:tc>
          <w:tcPr/>
          <w:p>
            <w:pPr>
              <w:pStyle w:val="Compact"/>
              <w:jc w:val="left"/>
            </w:pPr>
            <w:r>
              <w:rPr>
                <w:b/>
                <w:bCs/>
              </w:rPr>
              <w:t xml:space="preserve">Verify Thornfield’s AM Best rating ≥ A-</w:t>
            </w:r>
            <w:r>
              <w:t xml:space="preserve">, or use Ridgeline (federally insured IL bank) for an LOC. Document in the commitment letter.</w:t>
            </w:r>
          </w:p>
        </w:tc>
      </w:tr>
      <w:tr>
        <w:tc>
          <w:tcPr/>
          <w:p>
            <w:pPr>
              <w:pStyle w:val="Compact"/>
              <w:jc w:val="left"/>
            </w:pPr>
            <w:r>
              <w:t xml:space="preserve">J-3</w:t>
            </w:r>
          </w:p>
        </w:tc>
        <w:tc>
          <w:tcPr/>
          <w:p>
            <w:pPr>
              <w:pStyle w:val="Compact"/>
              <w:jc w:val="left"/>
            </w:pPr>
            <w:r>
              <w:t xml:space="preserve">Bond/LOC names City as obligee/beneficiary; form acceptable to City Attorney; remains 1 yr post-permit</w:t>
            </w:r>
          </w:p>
        </w:tc>
        <w:tc>
          <w:tcPr/>
          <w:p>
            <w:pPr>
              <w:pStyle w:val="Compact"/>
              <w:jc w:val="left"/>
            </w:pPr>
            <w:r>
              <w:t xml:space="preserve">§9-5-17(A),(C),(D)</w:t>
            </w:r>
          </w:p>
        </w:tc>
        <w:tc>
          <w:tcPr/>
          <w:p>
            <w:pPr>
              <w:pStyle w:val="Compact"/>
              <w:jc w:val="left"/>
            </w:pPr>
            <w:r>
              <w:t xml:space="preserve">Understood</w:t>
            </w:r>
          </w:p>
        </w:tc>
        <w:tc>
          <w:tcPr/>
          <w:p>
            <w:pPr>
              <w:pStyle w:val="Compact"/>
              <w:jc w:val="left"/>
            </w:pPr>
            <w:r>
              <w:t xml:space="preserve">Pre-Issuance</w:t>
            </w:r>
          </w:p>
        </w:tc>
        <w:tc>
          <w:tcPr/>
          <w:p>
            <w:pPr>
              <w:pStyle w:val="Compact"/>
              <w:jc w:val="left"/>
            </w:pPr>
            <w:r>
              <w:t xml:space="preserve">Satisfy before permit issuance; maintain through permit term + 1 year.</w:t>
            </w:r>
          </w:p>
        </w:tc>
      </w:tr>
    </w:tbl>
    <w:bookmarkEnd w:id="33"/>
    <w:bookmarkStart w:id="34" w:name="k-community-engagement"/>
    <w:p>
      <w:pPr>
        <w:pStyle w:val="Heading3"/>
      </w:pPr>
      <w:r>
        <w:t xml:space="preserve">4.K Community Engagement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Evidence in Package</w:t>
            </w:r>
          </w:p>
        </w:tc>
        <w:tc>
          <w:tcPr/>
          <w:p>
            <w:pPr>
              <w:pStyle w:val="Compact"/>
              <w:jc w:val="left"/>
            </w:pPr>
            <w:r>
              <w:t xml:space="preserve">Status</w:t>
            </w:r>
          </w:p>
        </w:tc>
        <w:tc>
          <w:tcPr/>
          <w:p>
            <w:pPr>
              <w:pStyle w:val="Compact"/>
              <w:jc w:val="left"/>
            </w:pPr>
            <w:r>
              <w:t xml:space="preserve">Remediation / Notes</w:t>
            </w:r>
          </w:p>
        </w:tc>
      </w:tr>
      <w:tr>
        <w:tc>
          <w:tcPr/>
          <w:p>
            <w:pPr>
              <w:pStyle w:val="Compact"/>
              <w:jc w:val="left"/>
            </w:pPr>
            <w:r>
              <w:t xml:space="preserve">K-1</w:t>
            </w:r>
          </w:p>
        </w:tc>
        <w:tc>
          <w:tcPr/>
          <w:p>
            <w:pPr>
              <w:pStyle w:val="Compact"/>
              <w:jc w:val="left"/>
            </w:pPr>
            <w:r>
              <w:t xml:space="preserve">Minimum of 2 sessions held within Evanston city limits before application</w:t>
            </w:r>
          </w:p>
        </w:tc>
        <w:tc>
          <w:tcPr/>
          <w:p>
            <w:pPr>
              <w:pStyle w:val="Compact"/>
              <w:jc w:val="left"/>
            </w:pPr>
            <w:r>
              <w:t xml:space="preserve">§9-5-8(A); Guide Item 12; Form §7 Q22</w:t>
            </w:r>
          </w:p>
        </w:tc>
        <w:tc>
          <w:tcPr/>
          <w:p>
            <w:pPr>
              <w:pStyle w:val="Compact"/>
              <w:jc w:val="left"/>
            </w:pPr>
            <w:r>
              <w:t xml:space="preserve">Two sessions held (3/12/2024 and 4/9/2024) at Evanston Public Library</w:t>
            </w:r>
          </w:p>
        </w:tc>
        <w:tc>
          <w:tcPr/>
          <w:p>
            <w:pPr>
              <w:pStyle w:val="Compact"/>
              <w:jc w:val="left"/>
            </w:pPr>
            <w:r>
              <w:t xml:space="preserve">Compliant (count)</w:t>
            </w:r>
          </w:p>
        </w:tc>
        <w:tc>
          <w:tcPr/>
          <w:p>
            <w:pPr>
              <w:pStyle w:val="Compact"/>
              <w:jc w:val="left"/>
            </w:pPr>
            <w:r>
              <w:t xml:space="preserve">Count satisfied; but see K-2 (notice defect).</w:t>
            </w:r>
          </w:p>
        </w:tc>
      </w:tr>
      <w:tr>
        <w:tc>
          <w:tcPr/>
          <w:p>
            <w:pPr>
              <w:pStyle w:val="Compact"/>
              <w:jc w:val="left"/>
            </w:pPr>
            <w:r>
              <w:t xml:space="preserve">K-2</w:t>
            </w:r>
          </w:p>
        </w:tc>
        <w:tc>
          <w:tcPr/>
          <w:p>
            <w:pPr>
              <w:pStyle w:val="Compact"/>
              <w:jc w:val="left"/>
            </w:pPr>
            <w:r>
              <w:t xml:space="preserve">Each session publicly noticed ≥</w:t>
            </w:r>
            <w:r>
              <w:t xml:space="preserve"> </w:t>
            </w:r>
            <w:r>
              <w:rPr>
                <w:b/>
                <w:bCs/>
              </w:rPr>
              <w:t xml:space="preserve">14 calendar days</w:t>
            </w:r>
            <w:r>
              <w:t xml:space="preserve"> </w:t>
            </w:r>
            <w:r>
              <w:t xml:space="preserve">in advance (newspaper + City website)</w:t>
            </w:r>
          </w:p>
        </w:tc>
        <w:tc>
          <w:tcPr/>
          <w:p>
            <w:pPr>
              <w:pStyle w:val="Compact"/>
              <w:jc w:val="left"/>
            </w:pPr>
            <w:r>
              <w:t xml:space="preserve">§9-5-8(B); Guide Item 12; Form §7 Q22</w:t>
            </w:r>
          </w:p>
        </w:tc>
        <w:tc>
          <w:tcPr/>
          <w:p>
            <w:pPr>
              <w:pStyle w:val="Compact"/>
              <w:jc w:val="left"/>
            </w:pPr>
            <w:r>
              <w:t xml:space="preserve">Session 1: notice 2/25/2024 → 3/12/2024 (~15–16 days) ✓.</w:t>
            </w:r>
            <w:r>
              <w:t xml:space="preserve"> </w:t>
            </w:r>
            <w:r>
              <w:rPr>
                <w:b/>
                <w:bCs/>
              </w:rPr>
              <w:t xml:space="preserve">Session 2: notice 3/28/2024 → 4/9/2024 = 12 days ✗</w:t>
            </w:r>
          </w:p>
        </w:tc>
        <w:tc>
          <w:tcPr/>
          <w:p>
            <w:pPr>
              <w:pStyle w:val="Compact"/>
              <w:jc w:val="left"/>
            </w:pPr>
            <w:r>
              <w:rPr>
                <w:b/>
                <w:bCs/>
              </w:rPr>
              <w:t xml:space="preserve">Non-Compliant</w:t>
            </w:r>
          </w:p>
        </w:tc>
        <w:tc>
          <w:tcPr/>
          <w:p>
            <w:pPr>
              <w:pStyle w:val="Compact"/>
              <w:jc w:val="left"/>
            </w:pPr>
            <w:r>
              <w:rPr>
                <w:b/>
                <w:bCs/>
              </w:rPr>
              <w:t xml:space="preserve">Session 2 fails the 14-day notice rule.</w:t>
            </w:r>
            <w:r>
              <w:t xml:space="preserve"> </w:t>
            </w:r>
            <w:r>
              <w:t xml:space="preserve">Under §9-5-8(F) this renders the application incomplete and requires an</w:t>
            </w:r>
            <w:r>
              <w:t xml:space="preserve"> </w:t>
            </w:r>
            <w:r>
              <w:rPr>
                <w:b/>
                <w:bCs/>
              </w:rPr>
              <w:t xml:space="preserve">additional compliant session</w:t>
            </w:r>
            <w:r>
              <w:t xml:space="preserve">; no waiver of the two-session minimum is available.</w:t>
            </w:r>
            <w:r>
              <w:t xml:space="preserve"> </w:t>
            </w:r>
            <w:r>
              <w:rPr>
                <w:b/>
                <w:bCs/>
              </w:rPr>
              <w:t xml:space="preserve">Hold a third session with ≥14-day notice before submission.</w:t>
            </w:r>
            <w:r>
              <w:t xml:space="preserve"> </w:t>
            </w:r>
            <w:r>
              <w:t xml:space="preserve">This is the single most critical cure item.</w:t>
            </w:r>
          </w:p>
        </w:tc>
      </w:tr>
      <w:tr>
        <w:tc>
          <w:tcPr/>
          <w:p>
            <w:pPr>
              <w:pStyle w:val="Compact"/>
              <w:jc w:val="left"/>
            </w:pPr>
            <w:r>
              <w:t xml:space="preserve">K-3</w:t>
            </w:r>
          </w:p>
        </w:tc>
        <w:tc>
          <w:tcPr/>
          <w:p>
            <w:pPr>
              <w:pStyle w:val="Compact"/>
              <w:jc w:val="left"/>
            </w:pPr>
            <w:r>
              <w:t xml:space="preserve">Notice content: applicant name &amp; establishment; street address; date/time/location w/ venue; description incl. adult-use/medical/both; contact</w:t>
            </w:r>
            <w:r>
              <w:t xml:space="preserve"> </w:t>
            </w:r>
            <w:r>
              <w:rPr>
                <w:b/>
                <w:bCs/>
              </w:rPr>
              <w:t xml:space="preserve">phone and email</w:t>
            </w:r>
          </w:p>
        </w:tc>
        <w:tc>
          <w:tcPr/>
          <w:p>
            <w:pPr>
              <w:pStyle w:val="Compact"/>
              <w:jc w:val="left"/>
            </w:pPr>
            <w:r>
              <w:t xml:space="preserve">§9-5-8(C)</w:t>
            </w:r>
          </w:p>
        </w:tc>
        <w:tc>
          <w:tcPr/>
          <w:p>
            <w:pPr>
              <w:pStyle w:val="Compact"/>
              <w:jc w:val="left"/>
            </w:pPr>
            <w:r>
              <w:t xml:space="preserve">Published notices (Exhibit C) include name, address, date/time/location, purpose, and</w:t>
            </w:r>
            <w:r>
              <w:t xml:space="preserve"> </w:t>
            </w:r>
            <w:r>
              <w:rPr>
                <w:b/>
                <w:bCs/>
              </w:rPr>
              <w:t xml:space="preserve">email only</w:t>
            </w:r>
          </w:p>
        </w:tc>
        <w:tc>
          <w:tcPr/>
          <w:p>
            <w:pPr>
              <w:pStyle w:val="Compact"/>
              <w:jc w:val="left"/>
            </w:pPr>
            <w:r>
              <w:t xml:space="preserve">Gap — Cure Required</w:t>
            </w:r>
          </w:p>
        </w:tc>
        <w:tc>
          <w:tcPr/>
          <w:p>
            <w:pPr>
              <w:pStyle w:val="Compact"/>
              <w:jc w:val="left"/>
            </w:pPr>
            <w:r>
              <w:rPr>
                <w:b/>
                <w:bCs/>
              </w:rPr>
              <w:t xml:space="preserve">Notices omit a telephone number</w:t>
            </w:r>
            <w:r>
              <w:t xml:space="preserve"> </w:t>
            </w:r>
            <w:r>
              <w:t xml:space="preserve">(Code requires both phone and email). Notices say</w:t>
            </w:r>
            <w:r>
              <w:t xml:space="preserve"> </w:t>
            </w:r>
            <w:r>
              <w:t xml:space="preserve">“</w:t>
            </w:r>
            <w:r>
              <w:t xml:space="preserve">adult-use cannabis dispensary</w:t>
            </w:r>
            <w:r>
              <w:t xml:space="preserve">”</w:t>
            </w:r>
            <w:r>
              <w:t xml:space="preserve"> </w:t>
            </w:r>
            <w:r>
              <w:t xml:space="preserve">but the dispensary will serve</w:t>
            </w:r>
            <w:r>
              <w:t xml:space="preserve"> </w:t>
            </w:r>
            <w:r>
              <w:rPr>
                <w:b/>
                <w:bCs/>
              </w:rPr>
              <w:t xml:space="preserve">both adult-use and medical</w:t>
            </w:r>
            <w:r>
              <w:t xml:space="preserve"> </w:t>
            </w:r>
            <w:r>
              <w:t xml:space="preserve">— state both. Correct in the new notice for the third session.</w:t>
            </w:r>
          </w:p>
        </w:tc>
      </w:tr>
      <w:tr>
        <w:tc>
          <w:tcPr/>
          <w:p>
            <w:pPr>
              <w:pStyle w:val="Compact"/>
              <w:jc w:val="left"/>
            </w:pPr>
            <w:r>
              <w:t xml:space="preserve">K-4</w:t>
            </w:r>
          </w:p>
        </w:tc>
        <w:tc>
          <w:tcPr/>
          <w:p>
            <w:pPr>
              <w:pStyle w:val="Compact"/>
              <w:jc w:val="left"/>
            </w:pPr>
            <w:r>
              <w:t xml:space="preserve">At least one session held after 5:00 PM (evening)</w:t>
            </w:r>
          </w:p>
        </w:tc>
        <w:tc>
          <w:tcPr/>
          <w:p>
            <w:pPr>
              <w:pStyle w:val="Compact"/>
              <w:jc w:val="left"/>
            </w:pPr>
            <w:r>
              <w:t xml:space="preserve">§9-5-8(D)</w:t>
            </w:r>
          </w:p>
        </w:tc>
        <w:tc>
          <w:tcPr/>
          <w:p>
            <w:pPr>
              <w:pStyle w:val="Compact"/>
              <w:jc w:val="left"/>
            </w:pPr>
            <w:r>
              <w:t xml:space="preserve">Both sessions at 6:30 PM</w:t>
            </w:r>
          </w:p>
        </w:tc>
        <w:tc>
          <w:tcPr/>
          <w:p>
            <w:pPr>
              <w:pStyle w:val="Compact"/>
              <w:jc w:val="left"/>
            </w:pPr>
            <w:r>
              <w:t xml:space="preserve">Compliant</w:t>
            </w:r>
          </w:p>
        </w:tc>
        <w:tc>
          <w:tcPr/>
          <w:p>
            <w:pPr>
              <w:pStyle w:val="Compact"/>
              <w:jc w:val="left"/>
            </w:pPr>
            <w:r>
              <w:t xml:space="preserve">—</w:t>
            </w:r>
          </w:p>
        </w:tc>
      </w:tr>
      <w:tr>
        <w:tc>
          <w:tcPr/>
          <w:p>
            <w:pPr>
              <w:pStyle w:val="Compact"/>
              <w:jc w:val="left"/>
            </w:pPr>
            <w:r>
              <w:t xml:space="preserve">K-5</w:t>
            </w:r>
          </w:p>
        </w:tc>
        <w:tc>
          <w:tcPr/>
          <w:p>
            <w:pPr>
              <w:pStyle w:val="Compact"/>
              <w:jc w:val="left"/>
            </w:pPr>
            <w:r>
              <w:t xml:space="preserve">Documentation: published notices w/ proof of publication (publisher’s affidavit); website-posting evidence w/ date; sign-in sheets w/ names &amp; (voluntary) addresses; written summary (date/time/location/duration, topics, Q&amp;A, responses); written comments received</w:t>
            </w:r>
          </w:p>
        </w:tc>
        <w:tc>
          <w:tcPr/>
          <w:p>
            <w:pPr>
              <w:pStyle w:val="Compact"/>
              <w:jc w:val="left"/>
            </w:pPr>
            <w:r>
              <w:t xml:space="preserve">§9-5-8(E); Guide Item 12</w:t>
            </w:r>
          </w:p>
        </w:tc>
        <w:tc>
          <w:tcPr/>
          <w:p>
            <w:pPr>
              <w:pStyle w:val="Compact"/>
              <w:jc w:val="left"/>
            </w:pPr>
            <w:r>
              <w:t xml:space="preserve">Attendance sheets (Exhibits A/B w/ names &amp; addresses); published-notice copies (Exhibit C); session summaries; website-posting email confirmations from Coordinator</w:t>
            </w:r>
          </w:p>
        </w:tc>
        <w:tc>
          <w:tcPr/>
          <w:p>
            <w:pPr>
              <w:pStyle w:val="Compact"/>
              <w:jc w:val="left"/>
            </w:pPr>
            <w:r>
              <w:t xml:space="preserve">Substantially Compliant</w:t>
            </w:r>
          </w:p>
        </w:tc>
        <w:tc>
          <w:tcPr/>
          <w:p>
            <w:pPr>
              <w:pStyle w:val="Compact"/>
              <w:jc w:val="left"/>
            </w:pPr>
            <w:r>
              <w:rPr>
                <w:b/>
                <w:bCs/>
              </w:rPr>
              <w:t xml:space="preserve">Obtain a publisher’s affidavit</w:t>
            </w:r>
            <w:r>
              <w:t xml:space="preserve"> </w:t>
            </w:r>
            <w:r>
              <w:t xml:space="preserve">of publication (or confirm the published-notice copy suffices). Include any</w:t>
            </w:r>
            <w:r>
              <w:t xml:space="preserve"> </w:t>
            </w:r>
            <w:r>
              <w:rPr>
                <w:b/>
                <w:bCs/>
              </w:rPr>
              <w:t xml:space="preserve">written public comments</w:t>
            </w:r>
            <w:r>
              <w:t xml:space="preserve"> </w:t>
            </w:r>
            <w:r>
              <w:t xml:space="preserve">received (currently only verbal Q&amp;A is summarized). Ensure each session summary states</w:t>
            </w:r>
            <w:r>
              <w:t xml:space="preserve"> </w:t>
            </w:r>
            <w:r>
              <w:rPr>
                <w:b/>
                <w:bCs/>
              </w:rPr>
              <w:t xml:space="preserve">duration</w:t>
            </w:r>
            <w:r>
              <w:t xml:space="preserve">.</w:t>
            </w:r>
          </w:p>
        </w:tc>
      </w:tr>
      <w:tr>
        <w:tc>
          <w:tcPr/>
          <w:p>
            <w:pPr>
              <w:pStyle w:val="Compact"/>
              <w:jc w:val="left"/>
            </w:pPr>
            <w:r>
              <w:t xml:space="preserve">K-6</w:t>
            </w:r>
          </w:p>
        </w:tc>
        <w:tc>
          <w:tcPr/>
          <w:p>
            <w:pPr>
              <w:pStyle w:val="Compact"/>
              <w:jc w:val="left"/>
            </w:pPr>
            <w:r>
              <w:t xml:space="preserve">3-business-day lead time to submit notice content to Coordinator for website posting</w:t>
            </w:r>
          </w:p>
        </w:tc>
        <w:tc>
          <w:tcPr/>
          <w:p>
            <w:pPr>
              <w:pStyle w:val="Compact"/>
              <w:jc w:val="left"/>
            </w:pPr>
            <w:r>
              <w:t xml:space="preserve">§9-5-8(B)(2)</w:t>
            </w:r>
          </w:p>
        </w:tc>
        <w:tc>
          <w:tcPr/>
          <w:p>
            <w:pPr>
              <w:pStyle w:val="Compact"/>
              <w:jc w:val="left"/>
            </w:pPr>
            <w:r>
              <w:t xml:space="preserve">Not explicitly documented</w:t>
            </w:r>
          </w:p>
        </w:tc>
        <w:tc>
          <w:tcPr/>
          <w:p>
            <w:pPr>
              <w:pStyle w:val="Compact"/>
              <w:jc w:val="left"/>
            </w:pPr>
            <w:r>
              <w:t xml:space="preserve">Substantially Compliant</w:t>
            </w:r>
          </w:p>
        </w:tc>
        <w:tc>
          <w:tcPr/>
          <w:p>
            <w:pPr>
              <w:pStyle w:val="Compact"/>
              <w:jc w:val="left"/>
            </w:pPr>
            <w:r>
              <w:t xml:space="preserve">Document the lead time for the third session.</w:t>
            </w:r>
          </w:p>
        </w:tc>
      </w:tr>
      <w:tr>
        <w:tc>
          <w:tcPr/>
          <w:p>
            <w:pPr>
              <w:pStyle w:val="Compact"/>
              <w:jc w:val="left"/>
            </w:pPr>
            <w:r>
              <w:t xml:space="preserve">K-7</w:t>
            </w:r>
          </w:p>
        </w:tc>
        <w:tc>
          <w:tcPr/>
          <w:p>
            <w:pPr>
              <w:pStyle w:val="Compact"/>
              <w:jc w:val="left"/>
            </w:pPr>
            <w:r>
              <w:t xml:space="preserve">Correct Code citation</w:t>
            </w:r>
          </w:p>
        </w:tc>
        <w:tc>
          <w:tcPr/>
          <w:p>
            <w:pPr>
              <w:pStyle w:val="Compact"/>
              <w:jc w:val="left"/>
            </w:pPr>
            <w:r>
              <w:t xml:space="preserve">§9-5-8</w:t>
            </w:r>
          </w:p>
        </w:tc>
        <w:tc>
          <w:tcPr/>
          <w:p>
            <w:pPr>
              <w:pStyle w:val="Compact"/>
              <w:jc w:val="left"/>
            </w:pPr>
            <w:r>
              <w:t xml:space="preserve">Form §7 Q22 cites</w:t>
            </w:r>
            <w:r>
              <w:t xml:space="preserve"> </w:t>
            </w:r>
            <w:r>
              <w:t xml:space="preserve">“</w:t>
            </w:r>
            <w:r>
              <w:t xml:space="preserve">Section 9-5-15</w:t>
            </w:r>
            <w:r>
              <w:t xml:space="preserve">”</w:t>
            </w:r>
            <w:r>
              <w:t xml:space="preserve"> </w:t>
            </w:r>
            <w:r>
              <w:t xml:space="preserve">(wrong)</w:t>
            </w:r>
          </w:p>
        </w:tc>
        <w:tc>
          <w:tcPr/>
          <w:p>
            <w:pPr>
              <w:pStyle w:val="Compact"/>
              <w:jc w:val="left"/>
            </w:pPr>
            <w:r>
              <w:t xml:space="preserve">Conflict</w:t>
            </w:r>
          </w:p>
        </w:tc>
        <w:tc>
          <w:tcPr/>
          <w:p>
            <w:pPr>
              <w:pStyle w:val="Compact"/>
              <w:jc w:val="left"/>
            </w:pPr>
            <w:r>
              <w:t xml:space="preserve">See C-6; cite §9-5-8.</w:t>
            </w:r>
          </w:p>
        </w:tc>
      </w:tr>
    </w:tbl>
    <w:bookmarkEnd w:id="34"/>
    <w:bookmarkStart w:id="35" w:name="l-community-benefits-plan"/>
    <w:p>
      <w:pPr>
        <w:pStyle w:val="Heading3"/>
      </w:pPr>
      <w:r>
        <w:t xml:space="preserve">4.L Community Benefits Plan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Evidence in Package</w:t>
            </w:r>
          </w:p>
        </w:tc>
        <w:tc>
          <w:tcPr/>
          <w:p>
            <w:pPr>
              <w:pStyle w:val="Compact"/>
              <w:jc w:val="left"/>
            </w:pPr>
            <w:r>
              <w:t xml:space="preserve">Status</w:t>
            </w:r>
          </w:p>
        </w:tc>
        <w:tc>
          <w:tcPr/>
          <w:p>
            <w:pPr>
              <w:pStyle w:val="Compact"/>
              <w:jc w:val="left"/>
            </w:pPr>
            <w:r>
              <w:t xml:space="preserve">Remediation / Notes</w:t>
            </w:r>
          </w:p>
        </w:tc>
      </w:tr>
      <w:tr>
        <w:tc>
          <w:tcPr/>
          <w:p>
            <w:pPr>
              <w:pStyle w:val="Compact"/>
              <w:jc w:val="left"/>
            </w:pPr>
            <w:r>
              <w:t xml:space="preserve">L-1</w:t>
            </w:r>
          </w:p>
        </w:tc>
        <w:tc>
          <w:tcPr/>
          <w:p>
            <w:pPr>
              <w:pStyle w:val="Compact"/>
              <w:jc w:val="left"/>
            </w:pPr>
            <w:r>
              <w:t xml:space="preserve">Community benefits plan meeting §9-5-15</w:t>
            </w:r>
          </w:p>
        </w:tc>
        <w:tc>
          <w:tcPr/>
          <w:p>
            <w:pPr>
              <w:pStyle w:val="Compact"/>
              <w:jc w:val="left"/>
            </w:pPr>
            <w:r>
              <w:t xml:space="preserve">§9-5-5(B)(12); Guide Item 13; Form §8 Q28</w:t>
            </w:r>
          </w:p>
        </w:tc>
        <w:tc>
          <w:tcPr/>
          <w:p>
            <w:pPr>
              <w:pStyle w:val="Compact"/>
              <w:jc w:val="left"/>
            </w:pPr>
            <w:r>
              <w:t xml:space="preserve">Business plan §7.4: contribution = greater of $25,000 or 1% gross revenue; Year 1 = $32,000; allocation categories stated</w:t>
            </w:r>
          </w:p>
        </w:tc>
        <w:tc>
          <w:tcPr/>
          <w:p>
            <w:pPr>
              <w:pStyle w:val="Compact"/>
              <w:jc w:val="left"/>
            </w:pPr>
            <w:r>
              <w:t xml:space="preserve">Compliant</w:t>
            </w:r>
          </w:p>
        </w:tc>
        <w:tc>
          <w:tcPr/>
          <w:p>
            <w:pPr>
              <w:pStyle w:val="Compact"/>
              <w:jc w:val="left"/>
            </w:pPr>
            <w:r>
              <w:t xml:space="preserve">Contribution amount compliant. Align beneficiary categories with the eligible uses in §9-5-15(E) (R3 workforce development, community health, youth prevention, restorative justice, R3 infrastructure, R3 small-business grants).</w:t>
            </w:r>
          </w:p>
        </w:tc>
      </w:tr>
      <w:tr>
        <w:tc>
          <w:tcPr/>
          <w:p>
            <w:pPr>
              <w:pStyle w:val="Compact"/>
              <w:jc w:val="left"/>
            </w:pPr>
            <w:r>
              <w:t xml:space="preserve">L-2</w:t>
            </w:r>
          </w:p>
        </w:tc>
        <w:tc>
          <w:tcPr/>
          <w:p>
            <w:pPr>
              <w:pStyle w:val="Compact"/>
              <w:jc w:val="left"/>
            </w:pPr>
            <w:r>
              <w:t xml:space="preserve">Signed community benefit agreement (pre-issuance)</w:t>
            </w:r>
          </w:p>
        </w:tc>
        <w:tc>
          <w:tcPr/>
          <w:p>
            <w:pPr>
              <w:pStyle w:val="Compact"/>
              <w:jc w:val="left"/>
            </w:pPr>
            <w:r>
              <w:t xml:space="preserve">§9-5-11(H)</w:t>
            </w:r>
          </w:p>
        </w:tc>
        <w:tc>
          <w:tcPr/>
          <w:p>
            <w:pPr>
              <w:pStyle w:val="Compact"/>
              <w:jc w:val="left"/>
            </w:pPr>
            <w:r>
              <w:t xml:space="preserve">Not yet executed</w:t>
            </w:r>
          </w:p>
        </w:tc>
        <w:tc>
          <w:tcPr/>
          <w:p>
            <w:pPr>
              <w:pStyle w:val="Compact"/>
              <w:jc w:val="left"/>
            </w:pPr>
            <w:r>
              <w:t xml:space="preserve">Pre-Issuance</w:t>
            </w:r>
          </w:p>
        </w:tc>
        <w:tc>
          <w:tcPr/>
          <w:p>
            <w:pPr>
              <w:pStyle w:val="Compact"/>
              <w:jc w:val="left"/>
            </w:pPr>
            <w:r>
              <w:t xml:space="preserve">Execute and submit before permit issuance.</w:t>
            </w:r>
          </w:p>
        </w:tc>
      </w:tr>
      <w:tr>
        <w:tc>
          <w:tcPr/>
          <w:p>
            <w:pPr>
              <w:pStyle w:val="Compact"/>
              <w:jc w:val="left"/>
            </w:pPr>
            <w:r>
              <w:t xml:space="preserve">L-3</w:t>
            </w:r>
          </w:p>
        </w:tc>
        <w:tc>
          <w:tcPr/>
          <w:p>
            <w:pPr>
              <w:pStyle w:val="Compact"/>
              <w:jc w:val="left"/>
            </w:pPr>
            <w:r>
              <w:t xml:space="preserve">Audited gross-revenue statement by IL-licensed CPA annually</w:t>
            </w:r>
          </w:p>
        </w:tc>
        <w:tc>
          <w:tcPr/>
          <w:p>
            <w:pPr>
              <w:pStyle w:val="Compact"/>
              <w:jc w:val="left"/>
            </w:pPr>
            <w:r>
              <w:t xml:space="preserve">§9-5-15(D); §9-5-18(D)(2)</w:t>
            </w:r>
          </w:p>
        </w:tc>
        <w:tc>
          <w:tcPr/>
          <w:p>
            <w:pPr>
              <w:pStyle w:val="Compact"/>
              <w:jc w:val="left"/>
            </w:pPr>
            <w:r>
              <w:t xml:space="preserve">Understood</w:t>
            </w:r>
          </w:p>
        </w:tc>
        <w:tc>
          <w:tcPr/>
          <w:p>
            <w:pPr>
              <w:pStyle w:val="Compact"/>
              <w:jc w:val="left"/>
            </w:pPr>
            <w:r>
              <w:t xml:space="preserve">Pre-Issuance / Operational</w:t>
            </w:r>
          </w:p>
        </w:tc>
        <w:tc>
          <w:tcPr/>
          <w:p>
            <w:pPr>
              <w:pStyle w:val="Compact"/>
              <w:jc w:val="left"/>
            </w:pPr>
            <w:r>
              <w:t xml:space="preserve">Post-issuance annual obligation.</w:t>
            </w:r>
          </w:p>
        </w:tc>
      </w:tr>
    </w:tbl>
    <w:bookmarkEnd w:id="35"/>
    <w:bookmarkStart w:id="36" w:name="m-diversity-inclusion-plan"/>
    <w:p>
      <w:pPr>
        <w:pStyle w:val="Heading3"/>
      </w:pPr>
      <w:r>
        <w:t xml:space="preserve">4.M Diversity &amp; Inclusion Plan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Evidence in Package</w:t>
            </w:r>
          </w:p>
        </w:tc>
        <w:tc>
          <w:tcPr/>
          <w:p>
            <w:pPr>
              <w:pStyle w:val="Compact"/>
              <w:jc w:val="left"/>
            </w:pPr>
            <w:r>
              <w:t xml:space="preserve">Status</w:t>
            </w:r>
          </w:p>
        </w:tc>
        <w:tc>
          <w:tcPr/>
          <w:p>
            <w:pPr>
              <w:pStyle w:val="Compact"/>
              <w:jc w:val="left"/>
            </w:pPr>
            <w:r>
              <w:t xml:space="preserve">Remediation / Notes</w:t>
            </w:r>
          </w:p>
        </w:tc>
      </w:tr>
      <w:tr>
        <w:tc>
          <w:tcPr/>
          <w:p>
            <w:pPr>
              <w:pStyle w:val="Compact"/>
              <w:jc w:val="left"/>
            </w:pPr>
            <w:r>
              <w:t xml:space="preserve">M-1</w:t>
            </w:r>
          </w:p>
        </w:tc>
        <w:tc>
          <w:tcPr/>
          <w:p>
            <w:pPr>
              <w:pStyle w:val="Compact"/>
              <w:jc w:val="left"/>
            </w:pPr>
            <w:r>
              <w:t xml:space="preserve">Diversity &amp; inclusion plan: hiring practices/outreach;</w:t>
            </w:r>
            <w:r>
              <w:t xml:space="preserve"> </w:t>
            </w:r>
            <w:r>
              <w:rPr>
                <w:b/>
                <w:bCs/>
              </w:rPr>
              <w:t xml:space="preserve">specific measurable goals</w:t>
            </w:r>
            <w:r>
              <w:t xml:space="preserve"> </w:t>
            </w:r>
            <w:r>
              <w:t xml:space="preserve">(R3 residents, expunged/sealed individuals, underrepresented communities); vendor/contractor diversity; DEI training; measurement &amp; reporting</w:t>
            </w:r>
          </w:p>
        </w:tc>
        <w:tc>
          <w:tcPr/>
          <w:p>
            <w:pPr>
              <w:pStyle w:val="Compact"/>
              <w:jc w:val="left"/>
            </w:pPr>
            <w:r>
              <w:t xml:space="preserve">§9-5-20(B); Guide Item 14; Form §11 Q31/Q32</w:t>
            </w:r>
          </w:p>
        </w:tc>
        <w:tc>
          <w:tcPr/>
          <w:p>
            <w:pPr>
              <w:pStyle w:val="Compact"/>
              <w:jc w:val="left"/>
            </w:pPr>
            <w:r>
              <w:t xml:space="preserve">Business plan §7.5 addresses diversity procurement; 50% R3 hiring commitment stated</w:t>
            </w:r>
          </w:p>
        </w:tc>
        <w:tc>
          <w:tcPr/>
          <w:p>
            <w:pPr>
              <w:pStyle w:val="Compact"/>
              <w:jc w:val="left"/>
            </w:pPr>
            <w:r>
              <w:t xml:space="preserve">Partial / In Progress</w:t>
            </w:r>
          </w:p>
        </w:tc>
        <w:tc>
          <w:tcPr/>
          <w:p>
            <w:pPr>
              <w:pStyle w:val="Compact"/>
              <w:jc w:val="left"/>
            </w:pPr>
            <w:r>
              <w:rPr>
                <w:b/>
                <w:bCs/>
              </w:rPr>
              <w:t xml:space="preserve">Provide a standalone 3–5 page Diversity &amp; Inclusion Plan</w:t>
            </w:r>
            <w:r>
              <w:t xml:space="preserve"> </w:t>
            </w:r>
            <w:r>
              <w:t xml:space="preserve">(Form §11 Q32) — referenced as an exhibit but not in package. Add</w:t>
            </w:r>
            <w:r>
              <w:t xml:space="preserve"> </w:t>
            </w:r>
            <w:r>
              <w:rPr>
                <w:b/>
                <w:bCs/>
              </w:rPr>
              <w:t xml:space="preserve">specific, measurable, time-bound goals</w:t>
            </w:r>
            <w:r>
              <w:t xml:space="preserve"> </w:t>
            </w:r>
            <w:r>
              <w:t xml:space="preserve">beyond the 50% R3 figure, named workforce-development partners, vendor-diversity targets, and DEI training/measurement.</w:t>
            </w:r>
          </w:p>
        </w:tc>
      </w:tr>
      <w:tr>
        <w:tc>
          <w:tcPr/>
          <w:p>
            <w:pPr>
              <w:pStyle w:val="Compact"/>
              <w:jc w:val="left"/>
            </w:pPr>
            <w:r>
              <w:t xml:space="preserve">M-2</w:t>
            </w:r>
          </w:p>
        </w:tc>
        <w:tc>
          <w:tcPr/>
          <w:p>
            <w:pPr>
              <w:pStyle w:val="Compact"/>
              <w:jc w:val="left"/>
            </w:pPr>
            <w:r>
              <w:t xml:space="preserve">Social-equity applicants: detailed hiring pipeline for the 50% R3 requirement</w:t>
            </w:r>
          </w:p>
        </w:tc>
        <w:tc>
          <w:tcPr/>
          <w:p>
            <w:pPr>
              <w:pStyle w:val="Compact"/>
              <w:jc w:val="left"/>
            </w:pPr>
            <w:r>
              <w:t xml:space="preserve">§9-5-20(C); Form §11 Q31 note</w:t>
            </w:r>
          </w:p>
        </w:tc>
        <w:tc>
          <w:tcPr/>
          <w:p>
            <w:pPr>
              <w:pStyle w:val="Compact"/>
              <w:jc w:val="left"/>
            </w:pPr>
            <w:r>
              <w:t xml:space="preserve">Business plan §7.2 describes strategies but states</w:t>
            </w:r>
            <w:r>
              <w:t xml:space="preserve"> </w:t>
            </w:r>
            <w:r>
              <w:rPr>
                <w:b/>
                <w:bCs/>
              </w:rPr>
              <w:t xml:space="preserve">“</w:t>
            </w:r>
            <w:r>
              <w:rPr>
                <w:b/>
                <w:bCs/>
              </w:rPr>
              <w:t xml:space="preserve">specific partnerships… have not yet been formalized</w:t>
            </w:r>
            <w:r>
              <w:rPr>
                <w:b/>
                <w:bCs/>
              </w:rPr>
              <w:t xml:space="preserve">”</w:t>
            </w:r>
          </w:p>
        </w:tc>
        <w:tc>
          <w:tcPr/>
          <w:p>
            <w:pPr>
              <w:pStyle w:val="Compact"/>
              <w:jc w:val="left"/>
            </w:pPr>
            <w:r>
              <w:t xml:space="preserve">Partial / In Progress</w:t>
            </w:r>
          </w:p>
        </w:tc>
        <w:tc>
          <w:tcPr/>
          <w:p>
            <w:pPr>
              <w:pStyle w:val="Compact"/>
              <w:jc w:val="left"/>
            </w:pPr>
            <w:r>
              <w:rPr>
                <w:b/>
                <w:bCs/>
              </w:rPr>
              <w:t xml:space="preserve">Identify specific workforce-development partners</w:t>
            </w:r>
            <w:r>
              <w:t xml:space="preserve"> </w:t>
            </w:r>
            <w:r>
              <w:t xml:space="preserve">(by name) and a recruitment timeline/contingency plan to reach and maintain 50% R3 hiring. Formalize partnerships pre-opening.</w:t>
            </w:r>
          </w:p>
        </w:tc>
      </w:tr>
    </w:tbl>
    <w:bookmarkEnd w:id="36"/>
    <w:bookmarkStart w:id="37" w:name="n-environmental-sustainability-plan"/>
    <w:p>
      <w:pPr>
        <w:pStyle w:val="Heading3"/>
      </w:pPr>
      <w:r>
        <w:t xml:space="preserve">4.N Environmental Sustainability Plan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Evidence in Package</w:t>
            </w:r>
          </w:p>
        </w:tc>
        <w:tc>
          <w:tcPr/>
          <w:p>
            <w:pPr>
              <w:pStyle w:val="Compact"/>
              <w:jc w:val="left"/>
            </w:pPr>
            <w:r>
              <w:t xml:space="preserve">Status</w:t>
            </w:r>
          </w:p>
        </w:tc>
        <w:tc>
          <w:tcPr/>
          <w:p>
            <w:pPr>
              <w:pStyle w:val="Compact"/>
              <w:jc w:val="left"/>
            </w:pPr>
            <w:r>
              <w:t xml:space="preserve">Remediation / Notes</w:t>
            </w:r>
          </w:p>
        </w:tc>
      </w:tr>
      <w:tr>
        <w:tc>
          <w:tcPr/>
          <w:p>
            <w:pPr>
              <w:pStyle w:val="Compact"/>
              <w:jc w:val="left"/>
            </w:pPr>
            <w:r>
              <w:t xml:space="preserve">N-1</w:t>
            </w:r>
          </w:p>
        </w:tc>
        <w:tc>
          <w:tcPr/>
          <w:p>
            <w:pPr>
              <w:pStyle w:val="Compact"/>
              <w:jc w:val="left"/>
            </w:pPr>
            <w:r>
              <w:t xml:space="preserve">Environmental sustainability plan: energy efficiency, waste reduction, water conservation, cannabis waste disposal (IEPA-consistent)</w:t>
            </w:r>
          </w:p>
        </w:tc>
        <w:tc>
          <w:tcPr/>
          <w:p>
            <w:pPr>
              <w:pStyle w:val="Compact"/>
              <w:jc w:val="left"/>
            </w:pPr>
            <w:r>
              <w:t xml:space="preserve">§9-5-5(B)(11); Guide Item 15; Form §12 Q33</w:t>
            </w:r>
          </w:p>
        </w:tc>
        <w:tc>
          <w:tcPr/>
          <w:p>
            <w:pPr>
              <w:pStyle w:val="Compact"/>
              <w:jc w:val="left"/>
            </w:pPr>
            <w:r>
              <w:t xml:space="preserve">Business plan §5.4 touches on waste/odor;</w:t>
            </w:r>
            <w:r>
              <w:t xml:space="preserve"> </w:t>
            </w:r>
            <w:r>
              <w:rPr>
                <w:b/>
                <w:bCs/>
              </w:rPr>
              <w:t xml:space="preserve">standalone Environmental &amp; Sustainability Plan referenced as an exhibit but not in package</w:t>
            </w:r>
          </w:p>
        </w:tc>
        <w:tc>
          <w:tcPr/>
          <w:p>
            <w:pPr>
              <w:pStyle w:val="Compact"/>
              <w:jc w:val="left"/>
            </w:pPr>
            <w:r>
              <w:t xml:space="preserve">Partial / In Progress</w:t>
            </w:r>
          </w:p>
        </w:tc>
        <w:tc>
          <w:tcPr/>
          <w:p>
            <w:pPr>
              <w:pStyle w:val="Compact"/>
              <w:jc w:val="left"/>
            </w:pPr>
            <w:r>
              <w:rPr>
                <w:b/>
                <w:bCs/>
              </w:rPr>
              <w:t xml:space="preserve">Provide the standalone Environmental Sustainability Plan</w:t>
            </w:r>
            <w:r>
              <w:t xml:space="preserve"> </w:t>
            </w:r>
            <w:r>
              <w:t xml:space="preserve">addressing all four required elements (energy, waste reduction, water, cannabis-waste disposal per IEPA).</w:t>
            </w:r>
          </w:p>
        </w:tc>
      </w:tr>
    </w:tbl>
    <w:bookmarkEnd w:id="37"/>
    <w:bookmarkStart w:id="38" w:name="o-social-equity"/>
    <w:p>
      <w:pPr>
        <w:pStyle w:val="Heading3"/>
      </w:pPr>
      <w:r>
        <w:t xml:space="preserve">4.O Social Equity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Evidence in Package</w:t>
            </w:r>
          </w:p>
        </w:tc>
        <w:tc>
          <w:tcPr/>
          <w:p>
            <w:pPr>
              <w:pStyle w:val="Compact"/>
              <w:jc w:val="left"/>
            </w:pPr>
            <w:r>
              <w:t xml:space="preserve">Status</w:t>
            </w:r>
          </w:p>
        </w:tc>
        <w:tc>
          <w:tcPr/>
          <w:p>
            <w:pPr>
              <w:pStyle w:val="Compact"/>
              <w:jc w:val="left"/>
            </w:pPr>
            <w:r>
              <w:t xml:space="preserve">Remediation / Notes</w:t>
            </w:r>
          </w:p>
        </w:tc>
      </w:tr>
      <w:tr>
        <w:tc>
          <w:tcPr/>
          <w:p>
            <w:pPr>
              <w:pStyle w:val="Compact"/>
              <w:jc w:val="left"/>
            </w:pPr>
            <w:r>
              <w:t xml:space="preserve">O-1</w:t>
            </w:r>
          </w:p>
        </w:tc>
        <w:tc>
          <w:tcPr/>
          <w:p>
            <w:pPr>
              <w:pStyle w:val="Compact"/>
              <w:jc w:val="left"/>
            </w:pPr>
            <w:r>
              <w:t xml:space="preserve">Qualifying individual holds majority ownership and meets a Code basis</w:t>
            </w:r>
          </w:p>
        </w:tc>
        <w:tc>
          <w:tcPr/>
          <w:p>
            <w:pPr>
              <w:pStyle w:val="Compact"/>
              <w:jc w:val="left"/>
            </w:pPr>
            <w:r>
              <w:t xml:space="preserve">§9-5-19(B); Guide §2</w:t>
            </w:r>
          </w:p>
        </w:tc>
        <w:tc>
          <w:tcPr/>
          <w:p>
            <w:pPr>
              <w:pStyle w:val="Compact"/>
              <w:jc w:val="left"/>
            </w:pPr>
            <w:r>
              <w:t xml:space="preserve">Okonkwo 60% (majority); R3 tract 8092.02 residency; 2016 expunged cannabis conviction</w:t>
            </w:r>
          </w:p>
        </w:tc>
        <w:tc>
          <w:tcPr/>
          <w:p>
            <w:pPr>
              <w:pStyle w:val="Compact"/>
              <w:jc w:val="left"/>
            </w:pPr>
            <w:r>
              <w:t xml:space="preserve">Substantially Compliant</w:t>
            </w:r>
          </w:p>
        </w:tc>
        <w:tc>
          <w:tcPr/>
          <w:p>
            <w:pPr>
              <w:pStyle w:val="Compact"/>
              <w:jc w:val="left"/>
            </w:pPr>
            <w:r>
              <w:t xml:space="preserve">60% exceeds the 51% threshold. Tract 8092.02 is a designated R3 Area (§9-5-19(G)). Claim under</w:t>
            </w:r>
            <w:r>
              <w:t xml:space="preserve"> </w:t>
            </w:r>
            <w:r>
              <w:rPr>
                <w:b/>
                <w:bCs/>
              </w:rPr>
              <w:t xml:space="preserve">City Code bases</w:t>
            </w:r>
            <w:r>
              <w:t xml:space="preserve"> </w:t>
            </w:r>
            <w:r>
              <w:t xml:space="preserve">(R3 residency and/or expunged conviction), not the State DIA basis listed in the Form (see C-9).</w:t>
            </w:r>
          </w:p>
        </w:tc>
      </w:tr>
      <w:tr>
        <w:tc>
          <w:tcPr/>
          <w:p>
            <w:pPr>
              <w:pStyle w:val="Compact"/>
              <w:jc w:val="left"/>
            </w:pPr>
            <w:r>
              <w:t xml:space="preserve">O-2</w:t>
            </w:r>
          </w:p>
        </w:tc>
        <w:tc>
          <w:tcPr/>
          <w:p>
            <w:pPr>
              <w:pStyle w:val="Compact"/>
              <w:jc w:val="left"/>
            </w:pPr>
            <w:r>
              <w:t xml:space="preserve">R3 residency: ≥</w:t>
            </w:r>
            <w:r>
              <w:t xml:space="preserve"> </w:t>
            </w:r>
            <w:r>
              <w:rPr>
                <w:b/>
                <w:bCs/>
              </w:rPr>
              <w:t xml:space="preserve">24 months continuous</w:t>
            </w:r>
            <w:r>
              <w:t xml:space="preserve"> </w:t>
            </w:r>
            <w:r>
              <w:t xml:space="preserve">primary residence in the R3 tract immediately preceding application</w:t>
            </w:r>
          </w:p>
        </w:tc>
        <w:tc>
          <w:tcPr/>
          <w:p>
            <w:pPr>
              <w:pStyle w:val="Compact"/>
              <w:jc w:val="left"/>
            </w:pPr>
            <w:r>
              <w:t xml:space="preserve">§9-5-19(B)(1)</w:t>
            </w:r>
          </w:p>
        </w:tc>
        <w:tc>
          <w:tcPr/>
          <w:p>
            <w:pPr>
              <w:pStyle w:val="Compact"/>
              <w:jc w:val="left"/>
            </w:pPr>
            <w:r>
              <w:t xml:space="preserve">Business plan states Okonkwo</w:t>
            </w:r>
            <w:r>
              <w:t xml:space="preserve"> </w:t>
            </w:r>
            <w:r>
              <w:t xml:space="preserve">“</w:t>
            </w:r>
            <w:r>
              <w:t xml:space="preserve">is a resident</w:t>
            </w:r>
            <w:r>
              <w:t xml:space="preserve">”</w:t>
            </w:r>
            <w:r>
              <w:t xml:space="preserve"> </w:t>
            </w:r>
            <w:r>
              <w:t xml:space="preserve">of tract 8092.02;</w:t>
            </w:r>
            <w:r>
              <w:t xml:space="preserve"> </w:t>
            </w:r>
            <w:r>
              <w:rPr>
                <w:b/>
                <w:bCs/>
              </w:rPr>
              <w:t xml:space="preserve">duration of residency not stated</w:t>
            </w:r>
          </w:p>
        </w:tc>
        <w:tc>
          <w:tcPr/>
          <w:p>
            <w:pPr>
              <w:pStyle w:val="Compact"/>
              <w:jc w:val="left"/>
            </w:pPr>
            <w:r>
              <w:t xml:space="preserve">Gap — Cure Required</w:t>
            </w:r>
          </w:p>
        </w:tc>
        <w:tc>
          <w:tcPr/>
          <w:p>
            <w:pPr>
              <w:pStyle w:val="Compact"/>
              <w:jc w:val="left"/>
            </w:pPr>
            <w:r>
              <w:rPr>
                <w:b/>
                <w:bCs/>
              </w:rPr>
              <w:t xml:space="preserve">Document ≥24 months continuous residency</w:t>
            </w:r>
            <w:r>
              <w:t xml:space="preserve"> </w:t>
            </w:r>
            <w:r>
              <w:t xml:space="preserve">in tract 8092.02 (Form §6 Q20 asks for duration + 2 proofs dated within 90 days). The State license’s DIA</w:t>
            </w:r>
            <w:r>
              <w:t xml:space="preserve"> </w:t>
            </w:r>
            <w:r>
              <w:t xml:space="preserve">“</w:t>
            </w:r>
            <w:r>
              <w:t xml:space="preserve">5-of-10-years</w:t>
            </w:r>
            <w:r>
              <w:t xml:space="preserve">”</w:t>
            </w:r>
            <w:r>
              <w:t xml:space="preserve"> </w:t>
            </w:r>
            <w:r>
              <w:t xml:space="preserve">test is a</w:t>
            </w:r>
            <w:r>
              <w:t xml:space="preserve"> </w:t>
            </w:r>
            <w:r>
              <w:rPr>
                <w:b/>
                <w:bCs/>
              </w:rPr>
              <w:t xml:space="preserve">different</w:t>
            </w:r>
            <w:r>
              <w:t xml:space="preserve"> </w:t>
            </w:r>
            <w:r>
              <w:t xml:space="preserve">standard and does not satisfy the City’s 24-month R3 requirement.</w:t>
            </w:r>
          </w:p>
        </w:tc>
      </w:tr>
      <w:tr>
        <w:tc>
          <w:tcPr/>
          <w:p>
            <w:pPr>
              <w:pStyle w:val="Compact"/>
              <w:jc w:val="left"/>
            </w:pPr>
            <w:r>
              <w:t xml:space="preserve">O-3</w:t>
            </w:r>
          </w:p>
        </w:tc>
        <w:tc>
          <w:tcPr/>
          <w:p>
            <w:pPr>
              <w:pStyle w:val="Compact"/>
              <w:jc w:val="left"/>
            </w:pPr>
            <w:r>
              <w:t xml:space="preserve">Prior cannabis conviction basis: record expunged/sealed/pardoned</w:t>
            </w:r>
          </w:p>
        </w:tc>
        <w:tc>
          <w:tcPr/>
          <w:p>
            <w:pPr>
              <w:pStyle w:val="Compact"/>
              <w:jc w:val="left"/>
            </w:pPr>
            <w:r>
              <w:t xml:space="preserve">§9-5-19(B)(2); §9-5-22(D)(3)</w:t>
            </w:r>
          </w:p>
        </w:tc>
        <w:tc>
          <w:tcPr/>
          <w:p>
            <w:pPr>
              <w:pStyle w:val="Compact"/>
              <w:jc w:val="left"/>
            </w:pPr>
            <w:r>
              <w:t xml:space="preserve">2016 misdemeanor possession &lt;30g, expunged 2020 (Cook County)</w:t>
            </w:r>
          </w:p>
        </w:tc>
        <w:tc>
          <w:tcPr/>
          <w:p>
            <w:pPr>
              <w:pStyle w:val="Compact"/>
              <w:jc w:val="left"/>
            </w:pPr>
            <w:r>
              <w:t xml:space="preserve">Substantially Compliant</w:t>
            </w:r>
          </w:p>
        </w:tc>
        <w:tc>
          <w:tcPr/>
          <w:p>
            <w:pPr>
              <w:pStyle w:val="Compact"/>
              <w:jc w:val="left"/>
            </w:pPr>
            <w:r>
              <w:t xml:space="preserve">Include expungement order/documentation. Note: §9-5-19(B)(2) references</w:t>
            </w:r>
            <w:r>
              <w:t xml:space="preserve"> </w:t>
            </w:r>
            <w:r>
              <w:t xml:space="preserve">“</w:t>
            </w:r>
            <w:r>
              <w:t xml:space="preserve">expunged, sealed, or pardoned by the Governor of Illinois</w:t>
            </w:r>
            <w:r>
              <w:t xml:space="preserve">”</w:t>
            </w:r>
            <w:r>
              <w:t xml:space="preserve"> </w:t>
            </w:r>
            <w:r>
              <w:t xml:space="preserve">— a court expungement qualifies under the natural reading (the Governor modifier attaches to</w:t>
            </w:r>
            <w:r>
              <w:t xml:space="preserve"> </w:t>
            </w:r>
            <w:r>
              <w:t xml:space="preserve">“</w:t>
            </w:r>
            <w:r>
              <w:t xml:space="preserve">pardoned</w:t>
            </w:r>
            <w:r>
              <w:t xml:space="preserve">”</w:t>
            </w:r>
            <w:r>
              <w:t xml:space="preserve">); the R3-residency basis (O-1/O-2) independently supports designation.</w:t>
            </w:r>
          </w:p>
        </w:tc>
      </w:tr>
      <w:tr>
        <w:tc>
          <w:tcPr/>
          <w:p>
            <w:pPr>
              <w:pStyle w:val="Compact"/>
              <w:jc w:val="left"/>
            </w:pPr>
            <w:r>
              <w:t xml:space="preserve">O-4</w:t>
            </w:r>
          </w:p>
        </w:tc>
        <w:tc>
          <w:tcPr/>
          <w:p>
            <w:pPr>
              <w:pStyle w:val="Compact"/>
              <w:jc w:val="left"/>
            </w:pPr>
            <w:r>
              <w:t xml:space="preserve">20-point scoring bonus</w:t>
            </w:r>
          </w:p>
        </w:tc>
        <w:tc>
          <w:tcPr/>
          <w:p>
            <w:pPr>
              <w:pStyle w:val="Compact"/>
              <w:jc w:val="left"/>
            </w:pPr>
            <w:r>
              <w:t xml:space="preserve">§9-5-19(C); §9-5-10(B)</w:t>
            </w:r>
          </w:p>
        </w:tc>
        <w:tc>
          <w:tcPr/>
          <w:p>
            <w:pPr>
              <w:pStyle w:val="Compact"/>
              <w:jc w:val="left"/>
            </w:pPr>
            <w:r>
              <w:t xml:space="preserve">Claimed</w:t>
            </w:r>
          </w:p>
        </w:tc>
        <w:tc>
          <w:tcPr/>
          <w:p>
            <w:pPr>
              <w:pStyle w:val="Compact"/>
              <w:jc w:val="left"/>
            </w:pPr>
            <w:r>
              <w:t xml:space="preserve">Compliant (contingent)</w:t>
            </w:r>
          </w:p>
        </w:tc>
        <w:tc>
          <w:tcPr/>
          <w:p>
            <w:pPr>
              <w:pStyle w:val="Compact"/>
              <w:jc w:val="left"/>
            </w:pPr>
            <w:r>
              <w:t xml:space="preserve">Bonus awarded upon Coordinator verification (O-1/O-2).</w:t>
            </w:r>
          </w:p>
        </w:tc>
      </w:tr>
      <w:tr>
        <w:tc>
          <w:tcPr/>
          <w:p>
            <w:pPr>
              <w:pStyle w:val="Compact"/>
              <w:jc w:val="left"/>
            </w:pPr>
            <w:r>
              <w:t xml:space="preserve">O-5</w:t>
            </w:r>
          </w:p>
        </w:tc>
        <w:tc>
          <w:tcPr/>
          <w:p>
            <w:pPr>
              <w:pStyle w:val="Compact"/>
              <w:jc w:val="left"/>
            </w:pPr>
            <w:r>
              <w:t xml:space="preserve">50% R3 workforce hiring commitment (binding, continuing)</w:t>
            </w:r>
          </w:p>
        </w:tc>
        <w:tc>
          <w:tcPr/>
          <w:p>
            <w:pPr>
              <w:pStyle w:val="Compact"/>
              <w:jc w:val="left"/>
            </w:pPr>
            <w:r>
              <w:t xml:space="preserve">§9-5-19(D); Form §6 Q21(a)</w:t>
            </w:r>
          </w:p>
        </w:tc>
        <w:tc>
          <w:tcPr/>
          <w:p>
            <w:pPr>
              <w:pStyle w:val="Compact"/>
              <w:jc w:val="left"/>
            </w:pPr>
            <w:r>
              <w:t xml:space="preserve">Committed (≥6 of 12 FTEs)</w:t>
            </w:r>
          </w:p>
        </w:tc>
        <w:tc>
          <w:tcPr/>
          <w:p>
            <w:pPr>
              <w:pStyle w:val="Compact"/>
              <w:jc w:val="left"/>
            </w:pPr>
            <w:r>
              <w:t xml:space="preserve">Compliant (commitment)</w:t>
            </w:r>
          </w:p>
        </w:tc>
        <w:tc>
          <w:tcPr/>
          <w:p>
            <w:pPr>
              <w:pStyle w:val="Compact"/>
              <w:jc w:val="left"/>
            </w:pPr>
            <w:r>
              <w:t xml:space="preserve">Ongoing obligation; monitored at annual renewal via workforce demographics report (§9-5-18(D)(3)). See M-2 (pipeline).</w:t>
            </w:r>
          </w:p>
        </w:tc>
      </w:tr>
      <w:tr>
        <w:tc>
          <w:tcPr/>
          <w:p>
            <w:pPr>
              <w:pStyle w:val="Compact"/>
              <w:jc w:val="left"/>
            </w:pPr>
            <w:r>
              <w:t xml:space="preserve">O-6</w:t>
            </w:r>
          </w:p>
        </w:tc>
        <w:tc>
          <w:tcPr/>
          <w:p>
            <w:pPr>
              <w:pStyle w:val="Compact"/>
              <w:jc w:val="left"/>
            </w:pPr>
            <w:r>
              <w:t xml:space="preserve">Cannabis Business Mentorship Program participation ≥ 2 years</w:t>
            </w:r>
          </w:p>
        </w:tc>
        <w:tc>
          <w:tcPr/>
          <w:p>
            <w:pPr>
              <w:pStyle w:val="Compact"/>
              <w:jc w:val="left"/>
            </w:pPr>
            <w:r>
              <w:t xml:space="preserve">§9-5-19(E); Form §6 Q21(b)</w:t>
            </w:r>
          </w:p>
        </w:tc>
        <w:tc>
          <w:tcPr/>
          <w:p>
            <w:pPr>
              <w:pStyle w:val="Compact"/>
              <w:jc w:val="left"/>
            </w:pPr>
            <w:r>
              <w:t xml:space="preserve">Okonkwo committed</w:t>
            </w:r>
          </w:p>
        </w:tc>
        <w:tc>
          <w:tcPr/>
          <w:p>
            <w:pPr>
              <w:pStyle w:val="Compact"/>
              <w:jc w:val="left"/>
            </w:pPr>
            <w:r>
              <w:t xml:space="preserve">Compliant (commitment)</w:t>
            </w:r>
          </w:p>
        </w:tc>
        <w:tc>
          <w:tcPr/>
          <w:p>
            <w:pPr>
              <w:pStyle w:val="Compact"/>
              <w:jc w:val="left"/>
            </w:pPr>
            <w:r>
              <w:t xml:space="preserve">Post-issuance obligation; re-verified at renewal.</w:t>
            </w:r>
          </w:p>
        </w:tc>
      </w:tr>
      <w:tr>
        <w:tc>
          <w:tcPr/>
          <w:p>
            <w:pPr>
              <w:pStyle w:val="Compact"/>
              <w:jc w:val="left"/>
            </w:pPr>
            <w:r>
              <w:t xml:space="preserve">O-7</w:t>
            </w:r>
          </w:p>
        </w:tc>
        <w:tc>
          <w:tcPr/>
          <w:p>
            <w:pPr>
              <w:pStyle w:val="Compact"/>
              <w:jc w:val="left"/>
            </w:pPr>
            <w:r>
              <w:t xml:space="preserve">Social Equity Documentation (residency proof; conviction/expungement records; signed mentorship &amp; 50%-hiring commitments)</w:t>
            </w:r>
          </w:p>
        </w:tc>
        <w:tc>
          <w:tcPr/>
          <w:p>
            <w:pPr>
              <w:pStyle w:val="Compact"/>
              <w:jc w:val="left"/>
            </w:pPr>
            <w:r>
              <w:t xml:space="preserve">Guide Item 18; Form §6 Q20/Q21</w:t>
            </w:r>
          </w:p>
        </w:tc>
        <w:tc>
          <w:tcPr/>
          <w:p>
            <w:pPr>
              <w:pStyle w:val="Compact"/>
              <w:jc w:val="left"/>
            </w:pPr>
            <w:r>
              <w:t xml:space="preserve">Partially present (conviction described; commitments stated)</w:t>
            </w:r>
          </w:p>
        </w:tc>
        <w:tc>
          <w:tcPr/>
          <w:p>
            <w:pPr>
              <w:pStyle w:val="Compact"/>
              <w:jc w:val="left"/>
            </w:pPr>
            <w:r>
              <w:t xml:space="preserve">Partial / In Progress</w:t>
            </w:r>
          </w:p>
        </w:tc>
        <w:tc>
          <w:tcPr/>
          <w:p>
            <w:pPr>
              <w:pStyle w:val="Compact"/>
              <w:jc w:val="left"/>
            </w:pPr>
            <w:r>
              <w:t xml:space="preserve">Assemble the Item 18 documentation set: R3 residency proofs (2 forms, ≤90 days), expungement order, signed mentorship commitment, signed 50%-hiring commitment.</w:t>
            </w:r>
          </w:p>
        </w:tc>
      </w:tr>
    </w:tbl>
    <w:bookmarkEnd w:id="38"/>
    <w:bookmarkStart w:id="39" w:name="X8105831e3e1e308dcbcfd26c8e4ed345c076c35"/>
    <w:p>
      <w:pPr>
        <w:pStyle w:val="Heading3"/>
      </w:pPr>
      <w:r>
        <w:t xml:space="preserve">4.P Background Checks &amp; Principal-Officer Disclosures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Evidence in Package</w:t>
            </w:r>
          </w:p>
        </w:tc>
        <w:tc>
          <w:tcPr/>
          <w:p>
            <w:pPr>
              <w:pStyle w:val="Compact"/>
              <w:jc w:val="left"/>
            </w:pPr>
            <w:r>
              <w:t xml:space="preserve">Status</w:t>
            </w:r>
          </w:p>
        </w:tc>
        <w:tc>
          <w:tcPr/>
          <w:p>
            <w:pPr>
              <w:pStyle w:val="Compact"/>
              <w:jc w:val="left"/>
            </w:pPr>
            <w:r>
              <w:t xml:space="preserve">Remediation / Notes</w:t>
            </w:r>
          </w:p>
        </w:tc>
      </w:tr>
      <w:tr>
        <w:tc>
          <w:tcPr/>
          <w:p>
            <w:pPr>
              <w:pStyle w:val="Compact"/>
              <w:jc w:val="left"/>
            </w:pPr>
            <w:r>
              <w:t xml:space="preserve">P-1</w:t>
            </w:r>
          </w:p>
        </w:tc>
        <w:tc>
          <w:tcPr/>
          <w:p>
            <w:pPr>
              <w:pStyle w:val="Compact"/>
              <w:jc w:val="left"/>
            </w:pPr>
            <w:r>
              <w:t xml:space="preserve">Signed background-check authorization for each principal officer (≥5% ownership)</w:t>
            </w:r>
          </w:p>
        </w:tc>
        <w:tc>
          <w:tcPr/>
          <w:p>
            <w:pPr>
              <w:pStyle w:val="Compact"/>
              <w:jc w:val="left"/>
            </w:pPr>
            <w:r>
              <w:t xml:space="preserve">§9-5-5(B)(17); §9-5-22(A); Guide Item 5; Form §10 Q14A</w:t>
            </w:r>
          </w:p>
        </w:tc>
        <w:tc>
          <w:tcPr/>
          <w:p>
            <w:pPr>
              <w:pStyle w:val="Compact"/>
              <w:jc w:val="left"/>
            </w:pPr>
            <w:r>
              <w:t xml:space="preserve">State license confirms both underwent State fingerprint background checks;</w:t>
            </w:r>
            <w:r>
              <w:t xml:space="preserve"> </w:t>
            </w:r>
            <w:r>
              <w:rPr>
                <w:b/>
                <w:bCs/>
              </w:rPr>
              <w:t xml:space="preserve">City authorization forms not in package</w:t>
            </w:r>
          </w:p>
        </w:tc>
        <w:tc>
          <w:tcPr/>
          <w:p>
            <w:pPr>
              <w:pStyle w:val="Compact"/>
              <w:jc w:val="left"/>
            </w:pPr>
            <w:r>
              <w:t xml:space="preserve">Gap — Cure Required</w:t>
            </w:r>
          </w:p>
        </w:tc>
        <w:tc>
          <w:tcPr/>
          <w:p>
            <w:pPr>
              <w:pStyle w:val="Compact"/>
              <w:jc w:val="left"/>
            </w:pPr>
            <w:r>
              <w:rPr>
                <w:b/>
                <w:bCs/>
              </w:rPr>
              <w:t xml:space="preserve">Complete and sign City background-check authorization forms</w:t>
            </w:r>
            <w:r>
              <w:t xml:space="preserve"> </w:t>
            </w:r>
            <w:r>
              <w:t xml:space="preserve">for Okonkwo and Ramachandran; schedule Live Scan fingerprinting via the Coordinator; include</w:t>
            </w:r>
            <w:r>
              <w:t xml:space="preserve"> </w:t>
            </w:r>
            <w:r>
              <w:rPr>
                <w:b/>
                <w:bCs/>
              </w:rPr>
              <w:t xml:space="preserve">fingerprint receipts</w:t>
            </w:r>
            <w:r>
              <w:t xml:space="preserve"> </w:t>
            </w:r>
            <w:r>
              <w:t xml:space="preserve">(Form §13).</w:t>
            </w:r>
          </w:p>
        </w:tc>
      </w:tr>
      <w:tr>
        <w:tc>
          <w:tcPr/>
          <w:p>
            <w:pPr>
              <w:pStyle w:val="Compact"/>
              <w:jc w:val="left"/>
            </w:pPr>
            <w:r>
              <w:t xml:space="preserve">P-2</w:t>
            </w:r>
          </w:p>
        </w:tc>
        <w:tc>
          <w:tcPr/>
          <w:p>
            <w:pPr>
              <w:pStyle w:val="Compact"/>
              <w:jc w:val="left"/>
            </w:pPr>
            <w:r>
              <w:t xml:space="preserve">Principal-officer disclosures: name, DOB, address, ownership %, role, SSN</w:t>
            </w:r>
          </w:p>
        </w:tc>
        <w:tc>
          <w:tcPr/>
          <w:p>
            <w:pPr>
              <w:pStyle w:val="Compact"/>
              <w:jc w:val="left"/>
            </w:pPr>
            <w:r>
              <w:t xml:space="preserve">§9-5-5(B)(4); Form §2 Q11, §10 Q14A</w:t>
            </w:r>
          </w:p>
        </w:tc>
        <w:tc>
          <w:tcPr/>
          <w:p>
            <w:pPr>
              <w:pStyle w:val="Compact"/>
              <w:jc w:val="left"/>
            </w:pPr>
            <w:r>
              <w:t xml:space="preserve">Business plan provides name/DOB/address/ownership/role; SSN not provided</w:t>
            </w:r>
          </w:p>
        </w:tc>
        <w:tc>
          <w:tcPr/>
          <w:p>
            <w:pPr>
              <w:pStyle w:val="Compact"/>
              <w:jc w:val="left"/>
            </w:pPr>
            <w:r>
              <w:t xml:space="preserve">Partial / In Progress</w:t>
            </w:r>
          </w:p>
        </w:tc>
        <w:tc>
          <w:tcPr/>
          <w:p>
            <w:pPr>
              <w:pStyle w:val="Compact"/>
              <w:jc w:val="left"/>
            </w:pPr>
            <w:r>
              <w:t xml:space="preserve">Code requires</w:t>
            </w:r>
            <w:r>
              <w:t xml:space="preserve"> </w:t>
            </w:r>
            <w:r>
              <w:rPr>
                <w:b/>
                <w:bCs/>
              </w:rPr>
              <w:t xml:space="preserve">SSN</w:t>
            </w:r>
            <w:r>
              <w:t xml:space="preserve">; Form asks for</w:t>
            </w:r>
            <w:r>
              <w:t xml:space="preserve"> </w:t>
            </w:r>
            <w:r>
              <w:rPr>
                <w:b/>
                <w:bCs/>
              </w:rPr>
              <w:t xml:space="preserve">last 4 digits only</w:t>
            </w:r>
            <w:r>
              <w:t xml:space="preserve"> </w:t>
            </w:r>
            <w:r>
              <w:t xml:space="preserve">(conflict — see notes). Complete Individual Disclosure Forms (Form Appendix A) for both owners.</w:t>
            </w:r>
          </w:p>
        </w:tc>
      </w:tr>
      <w:tr>
        <w:tc>
          <w:tcPr/>
          <w:p>
            <w:pPr>
              <w:pStyle w:val="Compact"/>
              <w:jc w:val="left"/>
            </w:pPr>
            <w:r>
              <w:t xml:space="preserve">P-3</w:t>
            </w:r>
          </w:p>
        </w:tc>
        <w:tc>
          <w:tcPr/>
          <w:p>
            <w:pPr>
              <w:pStyle w:val="Compact"/>
              <w:jc w:val="left"/>
            </w:pPr>
            <w:r>
              <w:t xml:space="preserve">Criminal-history disclosure (incl. expunged/sealed)</w:t>
            </w:r>
          </w:p>
        </w:tc>
        <w:tc>
          <w:tcPr/>
          <w:p>
            <w:pPr>
              <w:pStyle w:val="Compact"/>
              <w:jc w:val="left"/>
            </w:pPr>
            <w:r>
              <w:t xml:space="preserve">§9-5-22; Form §10 Q14B</w:t>
            </w:r>
          </w:p>
        </w:tc>
        <w:tc>
          <w:tcPr/>
          <w:p>
            <w:pPr>
              <w:pStyle w:val="Compact"/>
              <w:jc w:val="left"/>
            </w:pPr>
            <w:r>
              <w:t xml:space="preserve">Okonkwo’s expunged 2016 conviction disclosed in business plan</w:t>
            </w:r>
          </w:p>
        </w:tc>
        <w:tc>
          <w:tcPr/>
          <w:p>
            <w:pPr>
              <w:pStyle w:val="Compact"/>
              <w:jc w:val="left"/>
            </w:pPr>
            <w:r>
              <w:t xml:space="preserve">Partial / In Progress</w:t>
            </w:r>
          </w:p>
        </w:tc>
        <w:tc>
          <w:tcPr/>
          <w:p>
            <w:pPr>
              <w:pStyle w:val="Compact"/>
              <w:jc w:val="left"/>
            </w:pPr>
            <w:r>
              <w:t xml:space="preserve">Complete Form §10 Q14B for both owners. Okonkwo’s expunged misdemeanor is</w:t>
            </w:r>
            <w:r>
              <w:t xml:space="preserve"> </w:t>
            </w:r>
            <w:r>
              <w:rPr>
                <w:b/>
                <w:bCs/>
              </w:rPr>
              <w:t xml:space="preserve">not disqualifying</w:t>
            </w:r>
            <w:r>
              <w:t xml:space="preserve"> </w:t>
            </w:r>
            <w:r>
              <w:t xml:space="preserve">(§9-5-22(D)(3)); Ramachandran reports no history.</w:t>
            </w:r>
          </w:p>
        </w:tc>
      </w:tr>
      <w:tr>
        <w:tc>
          <w:tcPr/>
          <w:p>
            <w:pPr>
              <w:pStyle w:val="Compact"/>
              <w:jc w:val="left"/>
            </w:pPr>
            <w:r>
              <w:t xml:space="preserve">P-4</w:t>
            </w:r>
          </w:p>
        </w:tc>
        <w:tc>
          <w:tcPr/>
          <w:p>
            <w:pPr>
              <w:pStyle w:val="Compact"/>
              <w:jc w:val="left"/>
            </w:pPr>
            <w:r>
              <w:t xml:space="preserve">Disqualifying-offense screening (felony ≤10 yrs; controlled-substance felony; sex offense; violent felony)</w:t>
            </w:r>
          </w:p>
        </w:tc>
        <w:tc>
          <w:tcPr/>
          <w:p>
            <w:pPr>
              <w:pStyle w:val="Compact"/>
              <w:jc w:val="left"/>
            </w:pPr>
            <w:r>
              <w:t xml:space="preserve">§9-5-22(C)</w:t>
            </w:r>
          </w:p>
        </w:tc>
        <w:tc>
          <w:tcPr/>
          <w:p>
            <w:pPr>
              <w:pStyle w:val="Compact"/>
              <w:jc w:val="left"/>
            </w:pPr>
            <w:r>
              <w:t xml:space="preserve">Neither owner appears disqualified</w:t>
            </w:r>
          </w:p>
        </w:tc>
        <w:tc>
          <w:tcPr/>
          <w:p>
            <w:pPr>
              <w:pStyle w:val="Compact"/>
              <w:jc w:val="left"/>
            </w:pPr>
            <w:r>
              <w:t xml:space="preserve">Compliant (contingent)</w:t>
            </w:r>
          </w:p>
        </w:tc>
        <w:tc>
          <w:tcPr/>
          <w:p>
            <w:pPr>
              <w:pStyle w:val="Compact"/>
              <w:jc w:val="left"/>
            </w:pPr>
            <w:r>
              <w:t xml:space="preserve">Note: City uses a</w:t>
            </w:r>
            <w:r>
              <w:t xml:space="preserve"> </w:t>
            </w:r>
            <w:r>
              <w:rPr>
                <w:b/>
                <w:bCs/>
              </w:rPr>
              <w:t xml:space="preserve">10-year</w:t>
            </w:r>
            <w:r>
              <w:t xml:space="preserve"> </w:t>
            </w:r>
            <w:r>
              <w:t xml:space="preserve">felony lookback; the State license uses</w:t>
            </w:r>
            <w:r>
              <w:t xml:space="preserve"> </w:t>
            </w:r>
            <w:r>
              <w:rPr>
                <w:b/>
                <w:bCs/>
              </w:rPr>
              <w:t xml:space="preserve">5 years</w:t>
            </w:r>
            <w:r>
              <w:t xml:space="preserve"> </w:t>
            </w:r>
            <w:r>
              <w:t xml:space="preserve">— the City standard controls and is stricter. Confirm via completed forms.</w:t>
            </w:r>
          </w:p>
        </w:tc>
      </w:tr>
      <w:tr>
        <w:tc>
          <w:tcPr/>
          <w:p>
            <w:pPr>
              <w:pStyle w:val="Compact"/>
              <w:jc w:val="left"/>
            </w:pPr>
            <w:r>
              <w:t xml:space="preserve">P-5</w:t>
            </w:r>
          </w:p>
        </w:tc>
        <w:tc>
          <w:tcPr/>
          <w:p>
            <w:pPr>
              <w:pStyle w:val="Compact"/>
              <w:jc w:val="left"/>
            </w:pPr>
            <w:r>
              <w:t xml:space="preserve">Government-issued photo ID + proof of residency (≤90 days) for each principal officer</w:t>
            </w:r>
          </w:p>
        </w:tc>
        <w:tc>
          <w:tcPr/>
          <w:p>
            <w:pPr>
              <w:pStyle w:val="Compact"/>
              <w:jc w:val="left"/>
            </w:pPr>
            <w:r>
              <w:t xml:space="preserve">Guide Item 5</w:t>
            </w:r>
          </w:p>
        </w:tc>
        <w:tc>
          <w:tcPr/>
          <w:p>
            <w:pPr>
              <w:pStyle w:val="Compact"/>
              <w:jc w:val="left"/>
            </w:pPr>
            <w:r>
              <w:t xml:space="preserve">Not in package</w:t>
            </w:r>
          </w:p>
        </w:tc>
        <w:tc>
          <w:tcPr/>
          <w:p>
            <w:pPr>
              <w:pStyle w:val="Compact"/>
              <w:jc w:val="left"/>
            </w:pPr>
            <w:r>
              <w:t xml:space="preserve">Gap — Cure Required</w:t>
            </w:r>
          </w:p>
        </w:tc>
        <w:tc>
          <w:tcPr/>
          <w:p>
            <w:pPr>
              <w:pStyle w:val="Compact"/>
              <w:jc w:val="left"/>
            </w:pPr>
            <w:r>
              <w:t xml:space="preserve">Include photo ID and ≤90-day residency proof for Okonkwo and Ramachandran.</w:t>
            </w:r>
          </w:p>
        </w:tc>
      </w:tr>
    </w:tbl>
    <w:bookmarkEnd w:id="39"/>
    <w:bookmarkStart w:id="40" w:name="q-agent-in-charge-staffing"/>
    <w:p>
      <w:pPr>
        <w:pStyle w:val="Heading3"/>
      </w:pPr>
      <w:r>
        <w:t xml:space="preserve">4.Q Agent-in-Charge &amp; Staffing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Evidence in Package</w:t>
            </w:r>
          </w:p>
        </w:tc>
        <w:tc>
          <w:tcPr/>
          <w:p>
            <w:pPr>
              <w:pStyle w:val="Compact"/>
              <w:jc w:val="left"/>
            </w:pPr>
            <w:r>
              <w:t xml:space="preserve">Status</w:t>
            </w:r>
          </w:p>
        </w:tc>
        <w:tc>
          <w:tcPr/>
          <w:p>
            <w:pPr>
              <w:pStyle w:val="Compact"/>
              <w:jc w:val="left"/>
            </w:pPr>
            <w:r>
              <w:t xml:space="preserve">Remediation / Notes</w:t>
            </w:r>
          </w:p>
        </w:tc>
      </w:tr>
      <w:tr>
        <w:tc>
          <w:tcPr/>
          <w:p>
            <w:pPr>
              <w:pStyle w:val="Compact"/>
              <w:jc w:val="left"/>
            </w:pPr>
            <w:r>
              <w:t xml:space="preserve">Q-1</w:t>
            </w:r>
          </w:p>
        </w:tc>
        <w:tc>
          <w:tcPr/>
          <w:p>
            <w:pPr>
              <w:pStyle w:val="Compact"/>
              <w:jc w:val="left"/>
            </w:pPr>
            <w:r>
              <w:t xml:space="preserve">Agent-in-Charge designated; holds/applied for IL Agent ID Card; accepts compliance responsibility</w:t>
            </w:r>
          </w:p>
        </w:tc>
        <w:tc>
          <w:tcPr/>
          <w:p>
            <w:pPr>
              <w:pStyle w:val="Compact"/>
              <w:jc w:val="left"/>
            </w:pPr>
            <w:r>
              <w:t xml:space="preserve">§9-5-13(I); Guide Item 19; Form §2 Q13</w:t>
            </w:r>
          </w:p>
        </w:tc>
        <w:tc>
          <w:tcPr/>
          <w:p>
            <w:pPr>
              <w:pStyle w:val="Compact"/>
              <w:jc w:val="left"/>
            </w:pPr>
            <w:r>
              <w:t xml:space="preserve">Okonkwo designated (also State-designated Agent-in-Charge);</w:t>
            </w:r>
            <w:r>
              <w:t xml:space="preserve"> </w:t>
            </w:r>
            <w:r>
              <w:rPr>
                <w:b/>
                <w:bCs/>
              </w:rPr>
              <w:t xml:space="preserve">Agent ID Card number not provided</w:t>
            </w:r>
          </w:p>
        </w:tc>
        <w:tc>
          <w:tcPr/>
          <w:p>
            <w:pPr>
              <w:pStyle w:val="Compact"/>
              <w:jc w:val="left"/>
            </w:pPr>
            <w:r>
              <w:t xml:space="preserve">Partial / In Progress</w:t>
            </w:r>
          </w:p>
        </w:tc>
        <w:tc>
          <w:tcPr/>
          <w:p>
            <w:pPr>
              <w:pStyle w:val="Compact"/>
              <w:jc w:val="left"/>
            </w:pPr>
            <w:r>
              <w:t xml:space="preserve">Provide Agent ID Card number or document</w:t>
            </w:r>
            <w:r>
              <w:t xml:space="preserve"> </w:t>
            </w:r>
            <w:r>
              <w:t xml:space="preserve">“</w:t>
            </w:r>
            <w:r>
              <w:t xml:space="preserve">Application Pending.</w:t>
            </w:r>
            <w:r>
              <w:t xml:space="preserve">”</w:t>
            </w:r>
            <w:r>
              <w:t xml:space="preserve"> </w:t>
            </w:r>
            <w:r>
              <w:t xml:space="preserve">Include signed acceptance statement.</w:t>
            </w:r>
          </w:p>
        </w:tc>
      </w:tr>
      <w:tr>
        <w:tc>
          <w:tcPr/>
          <w:p>
            <w:pPr>
              <w:pStyle w:val="Compact"/>
              <w:jc w:val="left"/>
            </w:pPr>
            <w:r>
              <w:t xml:space="preserve">Q-2</w:t>
            </w:r>
          </w:p>
        </w:tc>
        <w:tc>
          <w:tcPr/>
          <w:p>
            <w:pPr>
              <w:pStyle w:val="Compact"/>
              <w:jc w:val="left"/>
            </w:pPr>
            <w:r>
              <w:t xml:space="preserve">Agent-in-Charge present during all operating hours or available to return within 30 minutes</w:t>
            </w:r>
          </w:p>
        </w:tc>
        <w:tc>
          <w:tcPr/>
          <w:p>
            <w:pPr>
              <w:pStyle w:val="Compact"/>
              <w:jc w:val="left"/>
            </w:pPr>
            <w:r>
              <w:t xml:space="preserve">§9-5-13(I)</w:t>
            </w:r>
          </w:p>
        </w:tc>
        <w:tc>
          <w:tcPr/>
          <w:p>
            <w:pPr>
              <w:pStyle w:val="Compact"/>
              <w:jc w:val="left"/>
            </w:pPr>
            <w:r>
              <w:t xml:space="preserve">Form §2 Q13 instead requires 30-mile residency + telephone availability</w:t>
            </w:r>
          </w:p>
        </w:tc>
        <w:tc>
          <w:tcPr/>
          <w:p>
            <w:pPr>
              <w:pStyle w:val="Compact"/>
              <w:jc w:val="left"/>
            </w:pPr>
            <w:r>
              <w:t xml:space="preserve">Conflict</w:t>
            </w:r>
          </w:p>
        </w:tc>
        <w:tc>
          <w:tcPr/>
          <w:p>
            <w:pPr>
              <w:pStyle w:val="Compact"/>
              <w:jc w:val="left"/>
            </w:pPr>
            <w:r>
              <w:t xml:space="preserve">Code standard (30-min return) vs Form standard (30-mile + phone). Okonkwo resides in Evanston (within 30 miles) and will be on-site as Managing Member; satisfy both.</w:t>
            </w:r>
          </w:p>
        </w:tc>
      </w:tr>
      <w:tr>
        <w:tc>
          <w:tcPr/>
          <w:p>
            <w:pPr>
              <w:pStyle w:val="Compact"/>
              <w:jc w:val="left"/>
            </w:pPr>
            <w:r>
              <w:t xml:space="preserve">Q-3</w:t>
            </w:r>
          </w:p>
        </w:tc>
        <w:tc>
          <w:tcPr/>
          <w:p>
            <w:pPr>
              <w:pStyle w:val="Compact"/>
              <w:jc w:val="left"/>
            </w:pPr>
            <w:r>
              <w:t xml:space="preserve">All employees hold valid Agent ID Cards before handling cannabis</w:t>
            </w:r>
          </w:p>
        </w:tc>
        <w:tc>
          <w:tcPr/>
          <w:p>
            <w:pPr>
              <w:pStyle w:val="Compact"/>
              <w:jc w:val="left"/>
            </w:pPr>
            <w:r>
              <w:t xml:space="preserve">§9-5-13(E); §9-5-11(G)</w:t>
            </w:r>
          </w:p>
        </w:tc>
        <w:tc>
          <w:tcPr/>
          <w:p>
            <w:pPr>
              <w:pStyle w:val="Compact"/>
              <w:jc w:val="left"/>
            </w:pPr>
            <w:r>
              <w:t xml:space="preserve">No employees yet</w:t>
            </w:r>
          </w:p>
        </w:tc>
        <w:tc>
          <w:tcPr/>
          <w:p>
            <w:pPr>
              <w:pStyle w:val="Compact"/>
              <w:jc w:val="left"/>
            </w:pPr>
            <w:r>
              <w:t xml:space="preserve">Pre-Issuance</w:t>
            </w:r>
          </w:p>
        </w:tc>
        <w:tc>
          <w:tcPr/>
          <w:p>
            <w:pPr>
              <w:pStyle w:val="Compact"/>
              <w:jc w:val="left"/>
            </w:pPr>
            <w:r>
              <w:t xml:space="preserve">Verify all agents hold cards before opening; cards worn/displayed during operations.</w:t>
            </w:r>
          </w:p>
        </w:tc>
      </w:tr>
      <w:tr>
        <w:tc>
          <w:tcPr/>
          <w:p>
            <w:pPr>
              <w:pStyle w:val="Compact"/>
              <w:jc w:val="left"/>
            </w:pPr>
            <w:r>
              <w:t xml:space="preserve">Q-4</w:t>
            </w:r>
          </w:p>
        </w:tc>
        <w:tc>
          <w:tcPr/>
          <w:p>
            <w:pPr>
              <w:pStyle w:val="Compact"/>
              <w:jc w:val="left"/>
            </w:pPr>
            <w:r>
              <w:t xml:space="preserve">Staffing plan: FT/PT counts, org chart, training program</w:t>
            </w:r>
          </w:p>
        </w:tc>
        <w:tc>
          <w:tcPr/>
          <w:p>
            <w:pPr>
              <w:pStyle w:val="Compact"/>
              <w:jc w:val="left"/>
            </w:pPr>
            <w:r>
              <w:t xml:space="preserve">§9-5-5(B)(8); Form §5 Q13</w:t>
            </w:r>
          </w:p>
        </w:tc>
        <w:tc>
          <w:tcPr/>
          <w:p>
            <w:pPr>
              <w:pStyle w:val="Compact"/>
              <w:jc w:val="left"/>
            </w:pPr>
            <w:r>
              <w:t xml:space="preserve">12 FTEs; org chart; 40-hr pre-opening training + quarterly refreshers</w:t>
            </w:r>
          </w:p>
        </w:tc>
        <w:tc>
          <w:tcPr/>
          <w:p>
            <w:pPr>
              <w:pStyle w:val="Compact"/>
              <w:jc w:val="left"/>
            </w:pPr>
            <w:r>
              <w:t xml:space="preserve">Substantially Compliant</w:t>
            </w:r>
          </w:p>
        </w:tc>
        <w:tc>
          <w:tcPr/>
          <w:p>
            <w:pPr>
              <w:pStyle w:val="Compact"/>
              <w:jc w:val="left"/>
            </w:pPr>
            <w:r>
              <w:t xml:space="preserve">State FT/PT split explicitly.</w:t>
            </w:r>
          </w:p>
        </w:tc>
      </w:tr>
    </w:tbl>
    <w:bookmarkEnd w:id="40"/>
    <w:bookmarkStart w:id="41" w:name="r-operational-requirements"/>
    <w:p>
      <w:pPr>
        <w:pStyle w:val="Heading3"/>
      </w:pPr>
      <w:r>
        <w:t xml:space="preserve">4.R Operational Requirements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Evidence in Package</w:t>
            </w:r>
          </w:p>
        </w:tc>
        <w:tc>
          <w:tcPr/>
          <w:p>
            <w:pPr>
              <w:pStyle w:val="Compact"/>
              <w:jc w:val="left"/>
            </w:pPr>
            <w:r>
              <w:t xml:space="preserve">Status</w:t>
            </w:r>
          </w:p>
        </w:tc>
        <w:tc>
          <w:tcPr/>
          <w:p>
            <w:pPr>
              <w:pStyle w:val="Compact"/>
              <w:jc w:val="left"/>
            </w:pPr>
            <w:r>
              <w:t xml:space="preserve">Remediation / Notes</w:t>
            </w:r>
          </w:p>
        </w:tc>
      </w:tr>
      <w:tr>
        <w:tc>
          <w:tcPr/>
          <w:p>
            <w:pPr>
              <w:pStyle w:val="Compact"/>
              <w:jc w:val="left"/>
            </w:pPr>
            <w:r>
              <w:t xml:space="preserve">R-1</w:t>
            </w:r>
          </w:p>
        </w:tc>
        <w:tc>
          <w:tcPr/>
          <w:p>
            <w:pPr>
              <w:pStyle w:val="Compact"/>
              <w:jc w:val="left"/>
            </w:pPr>
            <w:r>
              <w:t xml:space="preserve">Operating hours 6:00 AM–10:00 PM daily</w:t>
            </w:r>
          </w:p>
        </w:tc>
        <w:tc>
          <w:tcPr/>
          <w:p>
            <w:pPr>
              <w:pStyle w:val="Compact"/>
              <w:jc w:val="left"/>
            </w:pPr>
            <w:r>
              <w:t xml:space="preserve">§9-5-13(F)</w:t>
            </w:r>
          </w:p>
        </w:tc>
        <w:tc>
          <w:tcPr/>
          <w:p>
            <w:pPr>
              <w:pStyle w:val="Compact"/>
              <w:jc w:val="left"/>
            </w:pPr>
            <w:r>
              <w:t xml:space="preserve">Proposed 6:00 AM–10:00 PM daily</w:t>
            </w:r>
          </w:p>
        </w:tc>
        <w:tc>
          <w:tcPr/>
          <w:p>
            <w:pPr>
              <w:pStyle w:val="Compact"/>
              <w:jc w:val="left"/>
            </w:pPr>
            <w:r>
              <w:t xml:space="preserve">Compliant</w:t>
            </w:r>
          </w:p>
        </w:tc>
        <w:tc>
          <w:tcPr/>
          <w:p>
            <w:pPr>
              <w:pStyle w:val="Compact"/>
              <w:jc w:val="left"/>
            </w:pPr>
            <w:r>
              <w:t xml:space="preserve">Form cites wrong section (C-5); cite §9-5-13(F).</w:t>
            </w:r>
          </w:p>
        </w:tc>
      </w:tr>
      <w:tr>
        <w:tc>
          <w:tcPr/>
          <w:p>
            <w:pPr>
              <w:pStyle w:val="Compact"/>
              <w:jc w:val="left"/>
            </w:pPr>
            <w:r>
              <w:t xml:space="preserve">R-2</w:t>
            </w:r>
          </w:p>
        </w:tc>
        <w:tc>
          <w:tcPr/>
          <w:p>
            <w:pPr>
              <w:pStyle w:val="Compact"/>
              <w:jc w:val="left"/>
            </w:pPr>
            <w:r>
              <w:t xml:space="preserve">Maximum customer occupancy = 1 per 40 sf of</w:t>
            </w:r>
            <w:r>
              <w:t xml:space="preserve"> </w:t>
            </w:r>
            <w:r>
              <w:rPr>
                <w:b/>
                <w:bCs/>
              </w:rPr>
              <w:t xml:space="preserve">retail floor area</w:t>
            </w:r>
            <w:r>
              <w:t xml:space="preserve"> </w:t>
            </w:r>
            <w:r>
              <w:t xml:space="preserve">(1,600 →</w:t>
            </w:r>
            <w:r>
              <w:t xml:space="preserve"> </w:t>
            </w:r>
            <w:r>
              <w:rPr>
                <w:b/>
                <w:bCs/>
              </w:rPr>
              <w:t xml:space="preserve">40</w:t>
            </w:r>
            <w:r>
              <w:t xml:space="preserve">); posted conspicuously</w:t>
            </w:r>
          </w:p>
        </w:tc>
        <w:tc>
          <w:tcPr/>
          <w:p>
            <w:pPr>
              <w:pStyle w:val="Compact"/>
              <w:jc w:val="left"/>
            </w:pPr>
            <w:r>
              <w:t xml:space="preserve">§9-5-13(J)</w:t>
            </w:r>
          </w:p>
        </w:tc>
        <w:tc>
          <w:tcPr/>
          <w:p>
            <w:pPr>
              <w:pStyle w:val="Compact"/>
              <w:jc w:val="left"/>
            </w:pPr>
            <w:r>
              <w:t xml:space="preserve">Business plan correctly computes</w:t>
            </w:r>
            <w:r>
              <w:t xml:space="preserve"> </w:t>
            </w:r>
            <w:r>
              <w:rPr>
                <w:b/>
                <w:bCs/>
              </w:rPr>
              <w:t xml:space="preserve">40</w:t>
            </w:r>
            <w:r>
              <w:t xml:space="preserve"> </w:t>
            </w:r>
            <w:r>
              <w:t xml:space="preserve">(1,600 ÷ 40)</w:t>
            </w:r>
          </w:p>
        </w:tc>
        <w:tc>
          <w:tcPr/>
          <w:p>
            <w:pPr>
              <w:pStyle w:val="Compact"/>
              <w:jc w:val="left"/>
            </w:pPr>
            <w:r>
              <w:t xml:space="preserve">Compliant (Code)</w:t>
            </w:r>
          </w:p>
        </w:tc>
        <w:tc>
          <w:tcPr/>
          <w:p>
            <w:pPr>
              <w:pStyle w:val="Compact"/>
              <w:jc w:val="left"/>
            </w:pPr>
            <w:r>
              <w:rPr>
                <w:b/>
                <w:bCs/>
              </w:rPr>
              <w:t xml:space="preserve">Form’s formula (total sf ÷ 40 = 80) is wrong</w:t>
            </w:r>
            <w:r>
              <w:t xml:space="preserve"> </w:t>
            </w:r>
            <w:r>
              <w:t xml:space="preserve">(C-8). Use 40 per the Code; note the Form error in the submission.</w:t>
            </w:r>
          </w:p>
        </w:tc>
      </w:tr>
      <w:tr>
        <w:tc>
          <w:tcPr/>
          <w:p>
            <w:pPr>
              <w:pStyle w:val="Compact"/>
              <w:jc w:val="left"/>
            </w:pPr>
            <w:r>
              <w:t xml:space="preserve">R-3</w:t>
            </w:r>
          </w:p>
        </w:tc>
        <w:tc>
          <w:tcPr/>
          <w:p>
            <w:pPr>
              <w:pStyle w:val="Compact"/>
              <w:jc w:val="left"/>
            </w:pPr>
            <w:r>
              <w:t xml:space="preserve">Seed-to-sale tracking via COMPASS; real-time; daily reconciliation</w:t>
            </w:r>
          </w:p>
        </w:tc>
        <w:tc>
          <w:tcPr/>
          <w:p>
            <w:pPr>
              <w:pStyle w:val="Compact"/>
              <w:jc w:val="left"/>
            </w:pPr>
            <w:r>
              <w:t xml:space="preserve">§9-5-13(D)</w:t>
            </w:r>
          </w:p>
        </w:tc>
        <w:tc>
          <w:tcPr/>
          <w:p>
            <w:pPr>
              <w:pStyle w:val="Compact"/>
              <w:jc w:val="left"/>
            </w:pPr>
            <w:r>
              <w:t xml:space="preserve">Business plan §5.2 describes COMPASS integration and daily/weekly/monthly reconciliation</w:t>
            </w:r>
          </w:p>
        </w:tc>
        <w:tc>
          <w:tcPr/>
          <w:p>
            <w:pPr>
              <w:pStyle w:val="Compact"/>
              <w:jc w:val="left"/>
            </w:pPr>
            <w:r>
              <w:t xml:space="preserve">Substantially Compliant</w:t>
            </w:r>
          </w:p>
        </w:tc>
        <w:tc>
          <w:tcPr/>
          <w:p>
            <w:pPr>
              <w:pStyle w:val="Compact"/>
              <w:jc w:val="left"/>
            </w:pPr>
            <w:r>
              <w:t xml:space="preserve">Include vendor confirmation letter (F-3).</w:t>
            </w:r>
          </w:p>
        </w:tc>
      </w:tr>
      <w:tr>
        <w:tc>
          <w:tcPr/>
          <w:p>
            <w:pPr>
              <w:pStyle w:val="Compact"/>
              <w:jc w:val="left"/>
            </w:pPr>
            <w:r>
              <w:t xml:space="preserve">R-4</w:t>
            </w:r>
          </w:p>
        </w:tc>
        <w:tc>
          <w:tcPr/>
          <w:p>
            <w:pPr>
              <w:pStyle w:val="Compact"/>
              <w:jc w:val="left"/>
            </w:pPr>
            <w:r>
              <w:t xml:space="preserve">Waste disposal per IEPA; written plan; 5-yr records</w:t>
            </w:r>
          </w:p>
        </w:tc>
        <w:tc>
          <w:tcPr/>
          <w:p>
            <w:pPr>
              <w:pStyle w:val="Compact"/>
              <w:jc w:val="left"/>
            </w:pPr>
            <w:r>
              <w:t xml:space="preserve">§9-5-13(H); §9-5-18(B)</w:t>
            </w:r>
          </w:p>
        </w:tc>
        <w:tc>
          <w:tcPr/>
          <w:p>
            <w:pPr>
              <w:pStyle w:val="Compact"/>
              <w:jc w:val="left"/>
            </w:pPr>
            <w:r>
              <w:t xml:space="preserve">Business plan §5.4 describes rendering unusable/unrecognizable and logging</w:t>
            </w:r>
          </w:p>
        </w:tc>
        <w:tc>
          <w:tcPr/>
          <w:p>
            <w:pPr>
              <w:pStyle w:val="Compact"/>
              <w:jc w:val="left"/>
            </w:pPr>
            <w:r>
              <w:t xml:space="preserve">Substantially Compliant</w:t>
            </w:r>
          </w:p>
        </w:tc>
        <w:tc>
          <w:tcPr/>
          <w:p>
            <w:pPr>
              <w:pStyle w:val="Compact"/>
              <w:jc w:val="left"/>
            </w:pPr>
            <w:r>
              <w:t xml:space="preserve">Provide standalone waste-disposal plan exhibit (Form §5 Q17).</w:t>
            </w:r>
          </w:p>
        </w:tc>
      </w:tr>
      <w:tr>
        <w:tc>
          <w:tcPr/>
          <w:p>
            <w:pPr>
              <w:pStyle w:val="Compact"/>
              <w:jc w:val="left"/>
            </w:pPr>
            <w:r>
              <w:t xml:space="preserve">R-5</w:t>
            </w:r>
          </w:p>
        </w:tc>
        <w:tc>
          <w:tcPr/>
          <w:p>
            <w:pPr>
              <w:pStyle w:val="Compact"/>
              <w:jc w:val="left"/>
            </w:pPr>
            <w:r>
              <w:t xml:space="preserve">Video surveillance 24/7, ≥1080p, ≥30-day retention, required coverage areas</w:t>
            </w:r>
          </w:p>
        </w:tc>
        <w:tc>
          <w:tcPr/>
          <w:p>
            <w:pPr>
              <w:pStyle w:val="Compact"/>
              <w:jc w:val="left"/>
            </w:pPr>
            <w:r>
              <w:t xml:space="preserve">§9-5-13(A)</w:t>
            </w:r>
          </w:p>
        </w:tc>
        <w:tc>
          <w:tcPr/>
          <w:p>
            <w:pPr>
              <w:pStyle w:val="Compact"/>
              <w:jc w:val="left"/>
            </w:pPr>
            <w:r>
              <w:t xml:space="preserve">Business plan §5.3 describes 1080p, 30-day, on-site server + cloud backup</w:t>
            </w:r>
          </w:p>
        </w:tc>
        <w:tc>
          <w:tcPr/>
          <w:p>
            <w:pPr>
              <w:pStyle w:val="Compact"/>
              <w:jc w:val="left"/>
            </w:pPr>
            <w:r>
              <w:t xml:space="preserve">Substantially Compliant</w:t>
            </w:r>
          </w:p>
        </w:tc>
        <w:tc>
          <w:tcPr/>
          <w:p>
            <w:pPr>
              <w:pStyle w:val="Compact"/>
              <w:jc w:val="left"/>
            </w:pPr>
            <w:r>
              <w:t xml:space="preserve">Confirm coverage of all Code-required areas (entrances/exits, retail floor, POS, secure storage, product-handling areas, exterior/parking/loading, adjacent alleyways).</w:t>
            </w:r>
          </w:p>
        </w:tc>
      </w:tr>
      <w:tr>
        <w:tc>
          <w:tcPr/>
          <w:p>
            <w:pPr>
              <w:pStyle w:val="Compact"/>
              <w:jc w:val="left"/>
            </w:pPr>
            <w:r>
              <w:t xml:space="preserve">R-6</w:t>
            </w:r>
          </w:p>
        </w:tc>
        <w:tc>
          <w:tcPr/>
          <w:p>
            <w:pPr>
              <w:pStyle w:val="Compact"/>
              <w:jc w:val="left"/>
            </w:pPr>
            <w:r>
              <w:t xml:space="preserve">Records retention ≥5 years; access on 48-hr (24-hr for active investigations) notice</w:t>
            </w:r>
          </w:p>
        </w:tc>
        <w:tc>
          <w:tcPr/>
          <w:p>
            <w:pPr>
              <w:pStyle w:val="Compact"/>
              <w:jc w:val="left"/>
            </w:pPr>
            <w:r>
              <w:t xml:space="preserve">§9-5-18(B),(C)</w:t>
            </w:r>
          </w:p>
        </w:tc>
        <w:tc>
          <w:tcPr/>
          <w:p>
            <w:pPr>
              <w:pStyle w:val="Compact"/>
              <w:jc w:val="left"/>
            </w:pPr>
            <w:r>
              <w:t xml:space="preserve">Understood</w:t>
            </w:r>
          </w:p>
        </w:tc>
        <w:tc>
          <w:tcPr/>
          <w:p>
            <w:pPr>
              <w:pStyle w:val="Compact"/>
              <w:jc w:val="left"/>
            </w:pPr>
            <w:r>
              <w:t xml:space="preserve">Compliant</w:t>
            </w:r>
          </w:p>
        </w:tc>
        <w:tc>
          <w:tcPr/>
          <w:p>
            <w:pPr>
              <w:pStyle w:val="Compact"/>
              <w:jc w:val="left"/>
            </w:pPr>
            <w:r>
              <w:t xml:space="preserve">Informational; ongoing obligation.</w:t>
            </w:r>
          </w:p>
        </w:tc>
      </w:tr>
      <w:tr>
        <w:tc>
          <w:tcPr/>
          <w:p>
            <w:pPr>
              <w:pStyle w:val="Compact"/>
              <w:jc w:val="left"/>
            </w:pPr>
            <w:r>
              <w:t xml:space="preserve">R-7</w:t>
            </w:r>
          </w:p>
        </w:tc>
        <w:tc>
          <w:tcPr/>
          <w:p>
            <w:pPr>
              <w:pStyle w:val="Compact"/>
              <w:jc w:val="left"/>
            </w:pPr>
            <w:r>
              <w:t xml:space="preserve">Quarterly compliance self-audits; reports due 15 days after quarter end</w:t>
            </w:r>
          </w:p>
        </w:tc>
        <w:tc>
          <w:tcPr/>
          <w:p>
            <w:pPr>
              <w:pStyle w:val="Compact"/>
              <w:jc w:val="left"/>
            </w:pPr>
            <w:r>
              <w:t xml:space="preserve">§9-5-13(K); §9-5-18(D)(1)</w:t>
            </w:r>
          </w:p>
        </w:tc>
        <w:tc>
          <w:tcPr/>
          <w:p>
            <w:pPr>
              <w:pStyle w:val="Compact"/>
              <w:jc w:val="left"/>
            </w:pPr>
            <w:r>
              <w:t xml:space="preserve">Business plan §9.2 acknowledges</w:t>
            </w:r>
          </w:p>
        </w:tc>
        <w:tc>
          <w:tcPr/>
          <w:p>
            <w:pPr>
              <w:pStyle w:val="Compact"/>
              <w:jc w:val="left"/>
            </w:pPr>
            <w:r>
              <w:t xml:space="preserve">Compliant (commitment)</w:t>
            </w:r>
          </w:p>
        </w:tc>
        <w:tc>
          <w:tcPr/>
          <w:p>
            <w:pPr>
              <w:pStyle w:val="Compact"/>
              <w:jc w:val="left"/>
            </w:pPr>
            <w:r>
              <w:t xml:space="preserve">Post-issuance obligation.</w:t>
            </w:r>
          </w:p>
        </w:tc>
      </w:tr>
      <w:tr>
        <w:tc>
          <w:tcPr/>
          <w:p>
            <w:pPr>
              <w:pStyle w:val="Compact"/>
              <w:jc w:val="left"/>
            </w:pPr>
            <w:r>
              <w:t xml:space="preserve">R-8</w:t>
            </w:r>
          </w:p>
        </w:tc>
        <w:tc>
          <w:tcPr/>
          <w:p>
            <w:pPr>
              <w:pStyle w:val="Compact"/>
              <w:jc w:val="left"/>
            </w:pPr>
            <w:r>
              <w:t xml:space="preserve">Annual audited financials; annual workforce demographics report; immediate incident reports (24 hr)</w:t>
            </w:r>
          </w:p>
        </w:tc>
        <w:tc>
          <w:tcPr/>
          <w:p>
            <w:pPr>
              <w:pStyle w:val="Compact"/>
              <w:jc w:val="left"/>
            </w:pPr>
            <w:r>
              <w:t xml:space="preserve">§9-5-18(D)</w:t>
            </w:r>
          </w:p>
        </w:tc>
        <w:tc>
          <w:tcPr/>
          <w:p>
            <w:pPr>
              <w:pStyle w:val="Compact"/>
              <w:jc w:val="left"/>
            </w:pPr>
            <w:r>
              <w:t xml:space="preserve">Understood</w:t>
            </w:r>
          </w:p>
        </w:tc>
        <w:tc>
          <w:tcPr/>
          <w:p>
            <w:pPr>
              <w:pStyle w:val="Compact"/>
              <w:jc w:val="left"/>
            </w:pPr>
            <w:r>
              <w:t xml:space="preserve">Pre-Issuance / Operational</w:t>
            </w:r>
          </w:p>
        </w:tc>
        <w:tc>
          <w:tcPr/>
          <w:p>
            <w:pPr>
              <w:pStyle w:val="Compact"/>
              <w:jc w:val="left"/>
            </w:pPr>
            <w:r>
              <w:t xml:space="preserve">Post-issuance obligations.</w:t>
            </w:r>
          </w:p>
        </w:tc>
      </w:tr>
    </w:tbl>
    <w:bookmarkEnd w:id="41"/>
    <w:bookmarkStart w:id="42" w:name="Xefb861baa6bf1d450566c1b166d8f805be2917c"/>
    <w:p>
      <w:pPr>
        <w:pStyle w:val="Heading3"/>
      </w:pPr>
      <w:r>
        <w:t xml:space="preserve">4.S Application Form, Fee &amp; Submission Logistics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Evidence in Package</w:t>
            </w:r>
          </w:p>
        </w:tc>
        <w:tc>
          <w:tcPr/>
          <w:p>
            <w:pPr>
              <w:pStyle w:val="Compact"/>
              <w:jc w:val="left"/>
            </w:pPr>
            <w:r>
              <w:t xml:space="preserve">Status</w:t>
            </w:r>
          </w:p>
        </w:tc>
        <w:tc>
          <w:tcPr/>
          <w:p>
            <w:pPr>
              <w:pStyle w:val="Compact"/>
              <w:jc w:val="left"/>
            </w:pPr>
            <w:r>
              <w:t xml:space="preserve">Remediation / Notes</w:t>
            </w:r>
          </w:p>
        </w:tc>
      </w:tr>
      <w:tr>
        <w:tc>
          <w:tcPr/>
          <w:p>
            <w:pPr>
              <w:pStyle w:val="Compact"/>
              <w:jc w:val="left"/>
            </w:pPr>
            <w:r>
              <w:t xml:space="preserve">S-1</w:t>
            </w:r>
          </w:p>
        </w:tc>
        <w:tc>
          <w:tcPr/>
          <w:p>
            <w:pPr>
              <w:pStyle w:val="Compact"/>
              <w:jc w:val="left"/>
            </w:pPr>
            <w:r>
              <w:t xml:space="preserve">Completed, signed, notarized application form (all fields or</w:t>
            </w:r>
            <w:r>
              <w:t xml:space="preserve"> </w:t>
            </w:r>
            <w:r>
              <w:t xml:space="preserve">“</w:t>
            </w:r>
            <w:r>
              <w:t xml:space="preserve">N/A</w:t>
            </w:r>
            <w:r>
              <w:t xml:space="preserve">”</w:t>
            </w:r>
            <w:r>
              <w:t xml:space="preserve">)</w:t>
            </w:r>
          </w:p>
        </w:tc>
        <w:tc>
          <w:tcPr/>
          <w:p>
            <w:pPr>
              <w:pStyle w:val="Compact"/>
              <w:jc w:val="left"/>
            </w:pPr>
            <w:r>
              <w:t xml:space="preserve">§9-5-5(B)(1); Guide Item 1; Form §14</w:t>
            </w:r>
          </w:p>
        </w:tc>
        <w:tc>
          <w:tcPr/>
          <w:p>
            <w:pPr>
              <w:pStyle w:val="Compact"/>
              <w:jc w:val="left"/>
            </w:pPr>
            <w:r>
              <w:rPr>
                <w:b/>
                <w:bCs/>
              </w:rPr>
              <w:t xml:space="preserve">Blank template</w:t>
            </w:r>
            <w:r>
              <w:t xml:space="preserve"> </w:t>
            </w:r>
            <w:r>
              <w:t xml:space="preserve">(Form v3.2) provided; not yet completed</w:t>
            </w:r>
          </w:p>
        </w:tc>
        <w:tc>
          <w:tcPr/>
          <w:p>
            <w:pPr>
              <w:pStyle w:val="Compact"/>
              <w:jc w:val="left"/>
            </w:pPr>
            <w:r>
              <w:t xml:space="preserve">Gap — Cure Required</w:t>
            </w:r>
          </w:p>
        </w:tc>
        <w:tc>
          <w:tcPr/>
          <w:p>
            <w:pPr>
              <w:pStyle w:val="Compact"/>
              <w:jc w:val="left"/>
            </w:pPr>
            <w:r>
              <w:rPr>
                <w:b/>
                <w:bCs/>
              </w:rPr>
              <w:t xml:space="preserve">Complete every field</w:t>
            </w:r>
            <w:r>
              <w:t xml:space="preserve"> </w:t>
            </w:r>
            <w:r>
              <w:t xml:space="preserve">(or</w:t>
            </w:r>
            <w:r>
              <w:t xml:space="preserve"> </w:t>
            </w:r>
            <w:r>
              <w:t xml:space="preserve">“</w:t>
            </w:r>
            <w:r>
              <w:t xml:space="preserve">N/A</w:t>
            </w:r>
            <w:r>
              <w:t xml:space="preserve">”</w:t>
            </w:r>
            <w:r>
              <w:t xml:space="preserve">), obtain authorized-signatory signature and notarization (Form §14). Populate from the business plan/lease/license data.</w:t>
            </w:r>
          </w:p>
        </w:tc>
      </w:tr>
      <w:tr>
        <w:tc>
          <w:tcPr/>
          <w:p>
            <w:pPr>
              <w:pStyle w:val="Compact"/>
              <w:jc w:val="left"/>
            </w:pPr>
            <w:r>
              <w:t xml:space="preserve">S-2</w:t>
            </w:r>
          </w:p>
        </w:tc>
        <w:tc>
          <w:tcPr/>
          <w:p>
            <w:pPr>
              <w:pStyle w:val="Compact"/>
              <w:jc w:val="left"/>
            </w:pPr>
            <w:r>
              <w:t xml:space="preserve">Non-refundable $5,000 application fee</w:t>
            </w:r>
          </w:p>
        </w:tc>
        <w:tc>
          <w:tcPr/>
          <w:p>
            <w:pPr>
              <w:pStyle w:val="Compact"/>
              <w:jc w:val="left"/>
            </w:pPr>
            <w:r>
              <w:t xml:space="preserve">§9-5-6; Guide Item 2; Form §13</w:t>
            </w:r>
          </w:p>
        </w:tc>
        <w:tc>
          <w:tcPr/>
          <w:p>
            <w:pPr>
              <w:pStyle w:val="Compact"/>
              <w:jc w:val="left"/>
            </w:pPr>
            <w:r>
              <w:t xml:space="preserve">Understood</w:t>
            </w:r>
          </w:p>
        </w:tc>
        <w:tc>
          <w:tcPr/>
          <w:p>
            <w:pPr>
              <w:pStyle w:val="Compact"/>
              <w:jc w:val="left"/>
            </w:pPr>
            <w:r>
              <w:t xml:space="preserve">Compliant (pending)</w:t>
            </w:r>
          </w:p>
        </w:tc>
        <w:tc>
          <w:tcPr/>
          <w:p>
            <w:pPr>
              <w:pStyle w:val="Compact"/>
              <w:jc w:val="left"/>
            </w:pPr>
            <w:r>
              <w:t xml:space="preserve">Pay by</w:t>
            </w:r>
            <w:r>
              <w:t xml:space="preserve"> </w:t>
            </w:r>
            <w:r>
              <w:rPr>
                <w:b/>
                <w:bCs/>
              </w:rPr>
              <w:t xml:space="preserve">wire transfer/EFT or certified check</w:t>
            </w:r>
            <w:r>
              <w:t xml:space="preserve"> </w:t>
            </w:r>
            <w:r>
              <w:t xml:space="preserve">(authorized by Code and Form);</w:t>
            </w:r>
            <w:r>
              <w:t xml:space="preserve"> </w:t>
            </w:r>
            <w:r>
              <w:rPr>
                <w:b/>
                <w:bCs/>
              </w:rPr>
              <w:t xml:space="preserve">avoid money order</w:t>
            </w:r>
            <w:r>
              <w:t xml:space="preserve"> </w:t>
            </w:r>
            <w:r>
              <w:t xml:space="preserve">(Guide-only, not in Code) — see C-2.</w:t>
            </w:r>
          </w:p>
        </w:tc>
      </w:tr>
      <w:tr>
        <w:tc>
          <w:tcPr/>
          <w:p>
            <w:pPr>
              <w:pStyle w:val="Compact"/>
              <w:jc w:val="left"/>
            </w:pPr>
            <w:r>
              <w:t xml:space="preserve">S-3</w:t>
            </w:r>
          </w:p>
        </w:tc>
        <w:tc>
          <w:tcPr/>
          <w:p>
            <w:pPr>
              <w:pStyle w:val="Compact"/>
              <w:jc w:val="left"/>
            </w:pPr>
            <w:r>
              <w:t xml:space="preserve">Submission: 3 hard-copy sets + 1 electronic (USB, PDF)</w:t>
            </w:r>
          </w:p>
        </w:tc>
        <w:tc>
          <w:tcPr/>
          <w:p>
            <w:pPr>
              <w:pStyle w:val="Compact"/>
              <w:jc w:val="left"/>
            </w:pPr>
            <w:r>
              <w:t xml:space="preserve">§9-5-5(C); Guide §1; Form §1</w:t>
            </w:r>
          </w:p>
        </w:tc>
        <w:tc>
          <w:tcPr/>
          <w:p>
            <w:pPr>
              <w:pStyle w:val="Compact"/>
              <w:jc w:val="left"/>
            </w:pPr>
            <w:r>
              <w:t xml:space="preserve">Understood</w:t>
            </w:r>
          </w:p>
        </w:tc>
        <w:tc>
          <w:tcPr/>
          <w:p>
            <w:pPr>
              <w:pStyle w:val="Compact"/>
              <w:jc w:val="left"/>
            </w:pPr>
            <w:r>
              <w:t xml:space="preserve">Compliant (pending)</w:t>
            </w:r>
          </w:p>
        </w:tc>
        <w:tc>
          <w:tcPr/>
          <w:p>
            <w:pPr>
              <w:pStyle w:val="Compact"/>
              <w:jc w:val="left"/>
            </w:pPr>
            <w:r>
              <w:t xml:space="preserve">Prepare 3 bound/collated sets + USB PDF; deliver in person during business hours.</w:t>
            </w:r>
          </w:p>
        </w:tc>
      </w:tr>
      <w:tr>
        <w:tc>
          <w:tcPr/>
          <w:p>
            <w:pPr>
              <w:pStyle w:val="Compact"/>
              <w:jc w:val="left"/>
            </w:pPr>
            <w:r>
              <w:t xml:space="preserve">S-4</w:t>
            </w:r>
          </w:p>
        </w:tc>
        <w:tc>
          <w:tcPr/>
          <w:p>
            <w:pPr>
              <w:pStyle w:val="Compact"/>
              <w:jc w:val="left"/>
            </w:pPr>
            <w:r>
              <w:t xml:space="preserve">Submission within application window (2/1/2024–5/31/2024)</w:t>
            </w:r>
          </w:p>
        </w:tc>
        <w:tc>
          <w:tcPr/>
          <w:p>
            <w:pPr>
              <w:pStyle w:val="Compact"/>
              <w:jc w:val="left"/>
            </w:pPr>
            <w:r>
              <w:t xml:space="preserve">§9-5-7(A)</w:t>
            </w:r>
          </w:p>
        </w:tc>
        <w:tc>
          <w:tcPr/>
          <w:p>
            <w:pPr>
              <w:pStyle w:val="Compact"/>
              <w:jc w:val="left"/>
            </w:pPr>
            <w:r>
              <w:t xml:space="preserve">Target 5/15/2024</w:t>
            </w:r>
          </w:p>
        </w:tc>
        <w:tc>
          <w:tcPr/>
          <w:p>
            <w:pPr>
              <w:pStyle w:val="Compact"/>
              <w:jc w:val="left"/>
            </w:pPr>
            <w:r>
              <w:t xml:space="preserve">Compliant (pending)</w:t>
            </w:r>
          </w:p>
        </w:tc>
        <w:tc>
          <w:tcPr/>
          <w:p>
            <w:pPr>
              <w:pStyle w:val="Compact"/>
              <w:jc w:val="left"/>
            </w:pPr>
            <w:r>
              <w:t xml:space="preserve">Tight timeline; the required third community session (K-2) needs ≥14 days notice — schedule to preserve the 5/15 target or submit by 5/31.</w:t>
            </w:r>
          </w:p>
        </w:tc>
      </w:tr>
      <w:tr>
        <w:tc>
          <w:tcPr/>
          <w:p>
            <w:pPr>
              <w:pStyle w:val="Compact"/>
              <w:jc w:val="left"/>
            </w:pPr>
            <w:r>
              <w:t xml:space="preserve">S-5</w:t>
            </w:r>
          </w:p>
        </w:tc>
        <w:tc>
          <w:tcPr/>
          <w:p>
            <w:pPr>
              <w:pStyle w:val="Compact"/>
              <w:jc w:val="left"/>
            </w:pPr>
            <w:r>
              <w:t xml:space="preserve">Cover sheet indexing all materials by checklist item number</w:t>
            </w:r>
          </w:p>
        </w:tc>
        <w:tc>
          <w:tcPr/>
          <w:p>
            <w:pPr>
              <w:pStyle w:val="Compact"/>
              <w:jc w:val="left"/>
            </w:pPr>
            <w:r>
              <w:t xml:space="preserve">Guide §3</w:t>
            </w:r>
          </w:p>
        </w:tc>
        <w:tc>
          <w:tcPr/>
          <w:p>
            <w:pPr>
              <w:pStyle w:val="Compact"/>
              <w:jc w:val="left"/>
            </w:pPr>
            <w:r>
              <w:t xml:space="preserve">Not in package</w:t>
            </w:r>
          </w:p>
        </w:tc>
        <w:tc>
          <w:tcPr/>
          <w:p>
            <w:pPr>
              <w:pStyle w:val="Compact"/>
              <w:jc w:val="left"/>
            </w:pPr>
            <w:r>
              <w:t xml:space="preserve">Partial / In Progress</w:t>
            </w:r>
          </w:p>
        </w:tc>
        <w:tc>
          <w:tcPr/>
          <w:p>
            <w:pPr>
              <w:pStyle w:val="Compact"/>
              <w:jc w:val="left"/>
            </w:pPr>
            <w:r>
              <w:t xml:space="preserve">Prepare an indexed cover sheet.</w:t>
            </w:r>
          </w:p>
        </w:tc>
      </w:tr>
    </w:tbl>
    <w:bookmarkEnd w:id="42"/>
    <w:bookmarkStart w:id="43" w:name="X15dde39c30a395b2563bc10ca99420291a53477"/>
    <w:p>
      <w:pPr>
        <w:pStyle w:val="Heading3"/>
      </w:pPr>
      <w:r>
        <w:t xml:space="preserve">4.T Pre-Issuance Conditions (After City Council Approval, Before Permit Issuance)</w:t>
      </w:r>
    </w:p>
    <w:p>
      <w:pPr>
        <w:pStyle w:val="FirstParagraph"/>
      </w:pPr>
      <w:r>
        <w:t xml:space="preserve">These items are</w:t>
      </w:r>
      <w:r>
        <w:t xml:space="preserve"> </w:t>
      </w:r>
      <w:r>
        <w:rPr>
          <w:b/>
          <w:bCs/>
        </w:rPr>
        <w:t xml:space="preserve">not required at application</w:t>
      </w:r>
      <w:r>
        <w:t xml:space="preserve"> </w:t>
      </w:r>
      <w:r>
        <w:t xml:space="preserve">but must be satisfied within 30 days of City Council approval (Guide §6) before the permit is physically issued (§9-5-11).</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Authority</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T-1</w:t>
            </w:r>
          </w:p>
        </w:tc>
        <w:tc>
          <w:tcPr/>
          <w:p>
            <w:pPr>
              <w:pStyle w:val="Compact"/>
              <w:jc w:val="left"/>
            </w:pPr>
            <w:r>
              <w:t xml:space="preserve">City Council approval vote</w:t>
            </w:r>
          </w:p>
        </w:tc>
        <w:tc>
          <w:tcPr/>
          <w:p>
            <w:pPr>
              <w:pStyle w:val="Compact"/>
              <w:jc w:val="left"/>
            </w:pPr>
            <w:r>
              <w:t xml:space="preserve">§9-5-11(A); §9-5-7(F)</w:t>
            </w:r>
          </w:p>
        </w:tc>
        <w:tc>
          <w:tcPr/>
          <w:p>
            <w:pPr>
              <w:pStyle w:val="Compact"/>
              <w:jc w:val="left"/>
            </w:pPr>
            <w:r>
              <w:t xml:space="preserve">Pending</w:t>
            </w:r>
          </w:p>
        </w:tc>
        <w:tc>
          <w:tcPr/>
          <w:p>
            <w:pPr>
              <w:pStyle w:val="Compact"/>
              <w:jc w:val="left"/>
            </w:pPr>
            <w:r>
              <w:t xml:space="preserve">Process step.</w:t>
            </w:r>
          </w:p>
        </w:tc>
      </w:tr>
      <w:tr>
        <w:tc>
          <w:tcPr/>
          <w:p>
            <w:pPr>
              <w:pStyle w:val="Compact"/>
              <w:jc w:val="left"/>
            </w:pPr>
            <w:r>
              <w:t xml:space="preserve">T-2</w:t>
            </w:r>
          </w:p>
        </w:tc>
        <w:tc>
          <w:tcPr/>
          <w:p>
            <w:pPr>
              <w:pStyle w:val="Compact"/>
              <w:jc w:val="left"/>
            </w:pPr>
            <w:r>
              <w:t xml:space="preserve">Annual permit fee $15,000 (certified check/EFT)</w:t>
            </w:r>
          </w:p>
        </w:tc>
        <w:tc>
          <w:tcPr/>
          <w:p>
            <w:pPr>
              <w:pStyle w:val="Compact"/>
              <w:jc w:val="left"/>
            </w:pPr>
            <w:r>
              <w:t xml:space="preserve">§9-5-11(B); §9-5-14</w:t>
            </w:r>
          </w:p>
        </w:tc>
        <w:tc>
          <w:tcPr/>
          <w:p>
            <w:pPr>
              <w:pStyle w:val="Compact"/>
              <w:jc w:val="left"/>
            </w:pPr>
            <w:r>
              <w:t xml:space="preserve">Pre-Issuance</w:t>
            </w:r>
          </w:p>
        </w:tc>
        <w:tc>
          <w:tcPr/>
          <w:p>
            <w:pPr>
              <w:pStyle w:val="Compact"/>
              <w:jc w:val="left"/>
            </w:pPr>
            <w:r>
              <w:t xml:space="preserve">Pay by certified check or EFT (§9-5-14(B)); not personal check/cash/card.</w:t>
            </w:r>
          </w:p>
        </w:tc>
      </w:tr>
      <w:tr>
        <w:tc>
          <w:tcPr/>
          <w:p>
            <w:pPr>
              <w:pStyle w:val="Compact"/>
              <w:jc w:val="left"/>
            </w:pPr>
            <w:r>
              <w:t xml:space="preserve">T-3</w:t>
            </w:r>
          </w:p>
        </w:tc>
        <w:tc>
          <w:tcPr/>
          <w:p>
            <w:pPr>
              <w:pStyle w:val="Compact"/>
              <w:jc w:val="left"/>
            </w:pPr>
            <w:r>
              <w:t xml:space="preserve">Final certificates of insurance (all coverages; City as additional insured on GL/PL)</w:t>
            </w:r>
          </w:p>
        </w:tc>
        <w:tc>
          <w:tcPr/>
          <w:p>
            <w:pPr>
              <w:pStyle w:val="Compact"/>
              <w:jc w:val="left"/>
            </w:pPr>
            <w:r>
              <w:t xml:space="preserve">§9-5-11(C); §9-5-16</w:t>
            </w:r>
          </w:p>
        </w:tc>
        <w:tc>
          <w:tcPr/>
          <w:p>
            <w:pPr>
              <w:pStyle w:val="Compact"/>
              <w:jc w:val="left"/>
            </w:pPr>
            <w:r>
              <w:t xml:space="preserve">Pre-Issuance</w:t>
            </w:r>
          </w:p>
        </w:tc>
        <w:tc>
          <w:tcPr/>
          <w:p>
            <w:pPr>
              <w:pStyle w:val="Compact"/>
              <w:jc w:val="left"/>
            </w:pPr>
            <w:r>
              <w:t xml:space="preserve">Bind WC (with EL ≥ $1M) and crime/theft ($500K); obtain additional-insured endorsements.</w:t>
            </w:r>
          </w:p>
        </w:tc>
      </w:tr>
      <w:tr>
        <w:tc>
          <w:tcPr/>
          <w:p>
            <w:pPr>
              <w:pStyle w:val="Compact"/>
              <w:jc w:val="left"/>
            </w:pPr>
            <w:r>
              <w:t xml:space="preserve">T-4</w:t>
            </w:r>
          </w:p>
        </w:tc>
        <w:tc>
          <w:tcPr/>
          <w:p>
            <w:pPr>
              <w:pStyle w:val="Compact"/>
              <w:jc w:val="left"/>
            </w:pPr>
            <w:r>
              <w:t xml:space="preserve">$50,000 performance bond/LOC (City Attorney-approved form)</w:t>
            </w:r>
          </w:p>
        </w:tc>
        <w:tc>
          <w:tcPr/>
          <w:p>
            <w:pPr>
              <w:pStyle w:val="Compact"/>
              <w:jc w:val="left"/>
            </w:pPr>
            <w:r>
              <w:t xml:space="preserve">§9-5-11(D); §9-5-17</w:t>
            </w:r>
          </w:p>
        </w:tc>
        <w:tc>
          <w:tcPr/>
          <w:p>
            <w:pPr>
              <w:pStyle w:val="Compact"/>
              <w:jc w:val="left"/>
            </w:pPr>
            <w:r>
              <w:t xml:space="preserve">Pre-Issuance</w:t>
            </w:r>
          </w:p>
        </w:tc>
        <w:tc>
          <w:tcPr/>
          <w:p>
            <w:pPr>
              <w:pStyle w:val="Compact"/>
              <w:jc w:val="left"/>
            </w:pPr>
            <w:r>
              <w:t xml:space="preserve">Surety ≥ A- or federally insured IL bank; remains 1 yr post-permit.</w:t>
            </w:r>
          </w:p>
        </w:tc>
      </w:tr>
      <w:tr>
        <w:tc>
          <w:tcPr/>
          <w:p>
            <w:pPr>
              <w:pStyle w:val="Compact"/>
              <w:jc w:val="left"/>
            </w:pPr>
            <w:r>
              <w:t xml:space="preserve">T-5</w:t>
            </w:r>
          </w:p>
        </w:tc>
        <w:tc>
          <w:tcPr/>
          <w:p>
            <w:pPr>
              <w:pStyle w:val="Compact"/>
              <w:jc w:val="left"/>
            </w:pPr>
            <w:r>
              <w:t xml:space="preserve">Certificate of Occupancy (building/fire/life-safety inspections)</w:t>
            </w:r>
          </w:p>
        </w:tc>
        <w:tc>
          <w:tcPr/>
          <w:p>
            <w:pPr>
              <w:pStyle w:val="Compact"/>
              <w:jc w:val="left"/>
            </w:pPr>
            <w:r>
              <w:t xml:space="preserve">§9-5-11(E)</w:t>
            </w:r>
          </w:p>
        </w:tc>
        <w:tc>
          <w:tcPr/>
          <w:p>
            <w:pPr>
              <w:pStyle w:val="Compact"/>
              <w:jc w:val="left"/>
            </w:pPr>
            <w:r>
              <w:t xml:space="preserve">Pre-Issuance</w:t>
            </w:r>
          </w:p>
        </w:tc>
        <w:tc>
          <w:tcPr/>
          <w:p>
            <w:pPr>
              <w:pStyle w:val="Compact"/>
              <w:jc w:val="left"/>
            </w:pPr>
            <w:r>
              <w:t xml:space="preserve">After build-out.</w:t>
            </w:r>
          </w:p>
        </w:tc>
      </w:tr>
      <w:tr>
        <w:tc>
          <w:tcPr/>
          <w:p>
            <w:pPr>
              <w:pStyle w:val="Compact"/>
              <w:jc w:val="left"/>
            </w:pPr>
            <w:r>
              <w:t xml:space="preserve">T-6</w:t>
            </w:r>
          </w:p>
        </w:tc>
        <w:tc>
          <w:tcPr/>
          <w:p>
            <w:pPr>
              <w:pStyle w:val="Compact"/>
              <w:jc w:val="left"/>
            </w:pPr>
            <w:r>
              <w:t xml:space="preserve">Security systems installed, tested, verified by Coordinator/EPD</w:t>
            </w:r>
          </w:p>
        </w:tc>
        <w:tc>
          <w:tcPr/>
          <w:p>
            <w:pPr>
              <w:pStyle w:val="Compact"/>
              <w:jc w:val="left"/>
            </w:pPr>
            <w:r>
              <w:t xml:space="preserve">§9-5-11(F)</w:t>
            </w:r>
          </w:p>
        </w:tc>
        <w:tc>
          <w:tcPr/>
          <w:p>
            <w:pPr>
              <w:pStyle w:val="Compact"/>
              <w:jc w:val="left"/>
            </w:pPr>
            <w:r>
              <w:t xml:space="preserve">Pre-Issuance</w:t>
            </w:r>
          </w:p>
        </w:tc>
        <w:tc>
          <w:tcPr/>
          <w:p>
            <w:pPr>
              <w:pStyle w:val="Compact"/>
              <w:jc w:val="left"/>
            </w:pPr>
            <w:r>
              <w:t xml:space="preserve">After build-out.</w:t>
            </w:r>
          </w:p>
        </w:tc>
      </w:tr>
      <w:tr>
        <w:tc>
          <w:tcPr/>
          <w:p>
            <w:pPr>
              <w:pStyle w:val="Compact"/>
              <w:jc w:val="left"/>
            </w:pPr>
            <w:r>
              <w:t xml:space="preserve">T-7</w:t>
            </w:r>
          </w:p>
        </w:tc>
        <w:tc>
          <w:tcPr/>
          <w:p>
            <w:pPr>
              <w:pStyle w:val="Compact"/>
              <w:jc w:val="left"/>
            </w:pPr>
            <w:r>
              <w:t xml:space="preserve">All employees hold valid Agent ID Cards</w:t>
            </w:r>
          </w:p>
        </w:tc>
        <w:tc>
          <w:tcPr/>
          <w:p>
            <w:pPr>
              <w:pStyle w:val="Compact"/>
              <w:jc w:val="left"/>
            </w:pPr>
            <w:r>
              <w:t xml:space="preserve">§9-5-11(G)</w:t>
            </w:r>
          </w:p>
        </w:tc>
        <w:tc>
          <w:tcPr/>
          <w:p>
            <w:pPr>
              <w:pStyle w:val="Compact"/>
              <w:jc w:val="left"/>
            </w:pPr>
            <w:r>
              <w:t xml:space="preserve">Pre-Issuance</w:t>
            </w:r>
          </w:p>
        </w:tc>
        <w:tc>
          <w:tcPr/>
          <w:p>
            <w:pPr>
              <w:pStyle w:val="Compact"/>
              <w:jc w:val="left"/>
            </w:pPr>
            <w:r>
              <w:t xml:space="preserve">Before opening.</w:t>
            </w:r>
          </w:p>
        </w:tc>
      </w:tr>
      <w:tr>
        <w:tc>
          <w:tcPr/>
          <w:p>
            <w:pPr>
              <w:pStyle w:val="Compact"/>
              <w:jc w:val="left"/>
            </w:pPr>
            <w:r>
              <w:t xml:space="preserve">T-8</w:t>
            </w:r>
          </w:p>
        </w:tc>
        <w:tc>
          <w:tcPr/>
          <w:p>
            <w:pPr>
              <w:pStyle w:val="Compact"/>
              <w:jc w:val="left"/>
            </w:pPr>
            <w:r>
              <w:t xml:space="preserve">Signed community benefit agreement</w:t>
            </w:r>
          </w:p>
        </w:tc>
        <w:tc>
          <w:tcPr/>
          <w:p>
            <w:pPr>
              <w:pStyle w:val="Compact"/>
              <w:jc w:val="left"/>
            </w:pPr>
            <w:r>
              <w:t xml:space="preserve">§9-5-11(H)</w:t>
            </w:r>
          </w:p>
        </w:tc>
        <w:tc>
          <w:tcPr/>
          <w:p>
            <w:pPr>
              <w:pStyle w:val="Compact"/>
              <w:jc w:val="left"/>
            </w:pPr>
            <w:r>
              <w:t xml:space="preserve">Pre-Issuance</w:t>
            </w:r>
          </w:p>
        </w:tc>
        <w:tc>
          <w:tcPr/>
          <w:p>
            <w:pPr>
              <w:pStyle w:val="Compact"/>
              <w:jc w:val="left"/>
            </w:pPr>
            <w:r>
              <w:t xml:space="preserve">Execute per approved plan.</w:t>
            </w:r>
          </w:p>
        </w:tc>
      </w:tr>
      <w:tr>
        <w:tc>
          <w:tcPr/>
          <w:p>
            <w:pPr>
              <w:pStyle w:val="Compact"/>
              <w:jc w:val="left"/>
            </w:pPr>
            <w:r>
              <w:t xml:space="preserve">T-9</w:t>
            </w:r>
          </w:p>
        </w:tc>
        <w:tc>
          <w:tcPr/>
          <w:p>
            <w:pPr>
              <w:pStyle w:val="Compact"/>
              <w:jc w:val="left"/>
            </w:pPr>
            <w:r>
              <w:t xml:space="preserve">Verification of valid State license (conditional or permanent) at the location</w:t>
            </w:r>
          </w:p>
        </w:tc>
        <w:tc>
          <w:tcPr/>
          <w:p>
            <w:pPr>
              <w:pStyle w:val="Compact"/>
              <w:jc w:val="left"/>
            </w:pPr>
            <w:r>
              <w:t xml:space="preserve">§9-5-11(I)</w:t>
            </w:r>
          </w:p>
        </w:tc>
        <w:tc>
          <w:tcPr/>
          <w:p>
            <w:pPr>
              <w:pStyle w:val="Compact"/>
              <w:jc w:val="left"/>
            </w:pPr>
            <w:r>
              <w:t xml:space="preserve">Pre-Issuance</w:t>
            </w:r>
          </w:p>
        </w:tc>
        <w:tc>
          <w:tcPr/>
          <w:p>
            <w:pPr>
              <w:pStyle w:val="Compact"/>
              <w:jc w:val="left"/>
            </w:pPr>
            <w:r>
              <w:t xml:space="preserve">Maintain State license; convert conditional→permanent within 180 days (B-2/B-3).</w:t>
            </w:r>
          </w:p>
        </w:tc>
      </w:tr>
      <w:tr>
        <w:tc>
          <w:tcPr/>
          <w:p>
            <w:pPr>
              <w:pStyle w:val="Compact"/>
              <w:jc w:val="left"/>
            </w:pPr>
            <w:r>
              <w:t xml:space="preserve">T-10</w:t>
            </w:r>
          </w:p>
        </w:tc>
        <w:tc>
          <w:tcPr/>
          <w:p>
            <w:pPr>
              <w:pStyle w:val="Compact"/>
              <w:jc w:val="left"/>
            </w:pPr>
            <w:r>
              <w:t xml:space="preserve">Final special use approval by City Council</w:t>
            </w:r>
          </w:p>
        </w:tc>
        <w:tc>
          <w:tcPr/>
          <w:p>
            <w:pPr>
              <w:pStyle w:val="Compact"/>
              <w:jc w:val="left"/>
            </w:pPr>
            <w:r>
              <w:t xml:space="preserve">§9-5-11(J); §9-5-9(D)</w:t>
            </w:r>
          </w:p>
        </w:tc>
        <w:tc>
          <w:tcPr/>
          <w:p>
            <w:pPr>
              <w:pStyle w:val="Compact"/>
              <w:jc w:val="left"/>
            </w:pPr>
            <w:r>
              <w:t xml:space="preserve">Pre-Issuance</w:t>
            </w:r>
          </w:p>
        </w:tc>
        <w:tc>
          <w:tcPr/>
          <w:p>
            <w:pPr>
              <w:pStyle w:val="Compact"/>
              <w:jc w:val="left"/>
            </w:pPr>
            <w:r>
              <w:t xml:space="preserve">File special use application now (C-2a).</w:t>
            </w:r>
          </w:p>
        </w:tc>
      </w:tr>
      <w:tr>
        <w:tc>
          <w:tcPr/>
          <w:p>
            <w:pPr>
              <w:pStyle w:val="Compact"/>
              <w:jc w:val="left"/>
            </w:pPr>
            <w:r>
              <w:t xml:space="preserve">T-11</w:t>
            </w:r>
          </w:p>
        </w:tc>
        <w:tc>
          <w:tcPr/>
          <w:p>
            <w:pPr>
              <w:pStyle w:val="Compact"/>
              <w:jc w:val="left"/>
            </w:pPr>
            <w:r>
              <w:t xml:space="preserve">Build-out completion / inspections</w:t>
            </w:r>
          </w:p>
        </w:tc>
        <w:tc>
          <w:tcPr/>
          <w:p>
            <w:pPr>
              <w:pStyle w:val="Compact"/>
              <w:jc w:val="left"/>
            </w:pPr>
            <w:r>
              <w:t xml:space="preserve">Guide §6(6)</w:t>
            </w:r>
          </w:p>
        </w:tc>
        <w:tc>
          <w:tcPr/>
          <w:p>
            <w:pPr>
              <w:pStyle w:val="Compact"/>
              <w:jc w:val="left"/>
            </w:pPr>
            <w:r>
              <w:t xml:space="preserve">Pre-Issuance</w:t>
            </w:r>
          </w:p>
        </w:tc>
        <w:tc>
          <w:tcPr/>
          <w:p>
            <w:pPr>
              <w:pStyle w:val="Compact"/>
              <w:jc w:val="left"/>
            </w:pPr>
            <w:r>
              <w:t xml:space="preserve">~90-day build-out + 30-day testing per business plan.</w:t>
            </w:r>
          </w:p>
        </w:tc>
      </w:tr>
    </w:tbl>
    <w:p>
      <w:r>
        <w:pict>
          <v:rect style="width:0;height:1.5pt" o:hralign="center" o:hrstd="t" o:hr="t"/>
        </w:pict>
      </w:r>
    </w:p>
    <w:bookmarkEnd w:id="43"/>
    <w:bookmarkEnd w:id="44"/>
    <w:bookmarkStart w:id="48" w:name="prioritized-remediation-action-list"/>
    <w:p>
      <w:pPr>
        <w:pStyle w:val="Heading2"/>
      </w:pPr>
      <w:r>
        <w:t xml:space="preserve">5. Prioritized Remediation Action List</w:t>
      </w:r>
    </w:p>
    <w:p>
      <w:pPr>
        <w:pStyle w:val="FirstParagraph"/>
      </w:pPr>
      <w:r>
        <w:t xml:space="preserve">The following actions are ordered by severity and by whether they gate submission (completeness) or scoring.</w:t>
      </w:r>
    </w:p>
    <w:bookmarkStart w:id="45" w:name="X0b977d20053a6e69b8b2e6746f35dce0b661746"/>
    <w:p>
      <w:pPr>
        <w:pStyle w:val="Heading3"/>
      </w:pPr>
      <w:r>
        <w:t xml:space="preserve">Tier 1 — Gates completeness / submission (must cure before May 15, 2024)</w:t>
      </w:r>
    </w:p>
    <w:p>
      <w:pPr>
        <w:pStyle w:val="Compact"/>
        <w:numPr>
          <w:ilvl w:val="0"/>
          <w:numId w:val="1003"/>
        </w:numPr>
      </w:pPr>
      <w:r>
        <w:rPr>
          <w:b/>
          <w:bCs/>
        </w:rPr>
        <w:t xml:space="preserve">Hold a third community engagement session with ≥14-day advance notice</w:t>
      </w:r>
      <w:r>
        <w:t xml:space="preserve"> </w:t>
      </w:r>
      <w:r>
        <w:t xml:space="preserve">(K-2). Session 2’s 12-day notice fails §9-5-8(B); under §9-5-8(F) the application is incomplete without a compliant session. Publish notice ≥14 days out in the</w:t>
      </w:r>
      <w:r>
        <w:t xml:space="preserve"> </w:t>
      </w:r>
      <w:r>
        <w:rPr>
          <w:i/>
          <w:iCs/>
        </w:rPr>
        <w:t xml:space="preserve">Evanston Roundtable</w:t>
      </w:r>
      <w:r>
        <w:t xml:space="preserve"> </w:t>
      </w:r>
      <w:r>
        <w:t xml:space="preserve">and on the City website, include a</w:t>
      </w:r>
      <w:r>
        <w:t xml:space="preserve"> </w:t>
      </w:r>
      <w:r>
        <w:rPr>
          <w:b/>
          <w:bCs/>
        </w:rPr>
        <w:t xml:space="preserve">telephone number</w:t>
      </w:r>
      <w:r>
        <w:t xml:space="preserve"> </w:t>
      </w:r>
      <w:r>
        <w:t xml:space="preserve">and state</w:t>
      </w:r>
      <w:r>
        <w:t xml:space="preserve"> </w:t>
      </w:r>
      <w:r>
        <w:rPr>
          <w:b/>
          <w:bCs/>
        </w:rPr>
        <w:t xml:space="preserve">both adult-use and medical</w:t>
      </w:r>
      <w:r>
        <w:t xml:space="preserve"> </w:t>
      </w:r>
      <w:r>
        <w:t xml:space="preserve">service (K-3). Calendar the third session to preserve the 5/15/2024 (or no later than 5/31/2024) submission target.</w:t>
      </w:r>
    </w:p>
    <w:p>
      <w:pPr>
        <w:pStyle w:val="Compact"/>
        <w:numPr>
          <w:ilvl w:val="0"/>
          <w:numId w:val="1003"/>
        </w:numPr>
      </w:pPr>
      <w:r>
        <w:rPr>
          <w:b/>
          <w:bCs/>
        </w:rPr>
        <w:t xml:space="preserve">Obtain the Odor Mitigation Plan P.E. certification</w:t>
      </w:r>
      <w:r>
        <w:t xml:space="preserve"> </w:t>
      </w:r>
      <w:r>
        <w:t xml:space="preserve">(G-2). Required at submission; applications without it will not proceed to scoring (Form §5 Q16). Finalize HVAC/carbon-filtration specifications and have an IL-licensed P.E. sign/seal the certification.</w:t>
      </w:r>
    </w:p>
    <w:p>
      <w:pPr>
        <w:pStyle w:val="Compact"/>
        <w:numPr>
          <w:ilvl w:val="0"/>
          <w:numId w:val="1003"/>
        </w:numPr>
      </w:pPr>
      <w:r>
        <w:rPr>
          <w:b/>
          <w:bCs/>
        </w:rPr>
        <w:t xml:space="preserve">Finalize and include the complete Security Plan</w:t>
      </w:r>
      <w:r>
        <w:t xml:space="preserve"> </w:t>
      </w:r>
      <w:r>
        <w:t xml:space="preserve">(F-1). Required at submission; also unblocks Canopy Risk crime/theft underwriting (I-4).</w:t>
      </w:r>
    </w:p>
    <w:p>
      <w:pPr>
        <w:pStyle w:val="Compact"/>
        <w:numPr>
          <w:ilvl w:val="0"/>
          <w:numId w:val="1003"/>
        </w:numPr>
      </w:pPr>
      <w:r>
        <w:rPr>
          <w:b/>
          <w:bCs/>
        </w:rPr>
        <w:t xml:space="preserve">Obtain a formal performance-bond commitment letter</w:t>
      </w:r>
      <w:r>
        <w:t xml:space="preserve"> </w:t>
      </w:r>
      <w:r>
        <w:t xml:space="preserve">(J-1/H-4). Required evidence of bonding capacity at application; without it the applicant forfeits 10 Financial Viability points. Letter on surety/bank letterhead, signed, dated within 60 days of submission; verify surety AM Best ≥ A- (J-2).</w:t>
      </w:r>
    </w:p>
    <w:p>
      <w:pPr>
        <w:pStyle w:val="Compact"/>
        <w:numPr>
          <w:ilvl w:val="0"/>
          <w:numId w:val="1003"/>
        </w:numPr>
      </w:pPr>
      <w:r>
        <w:rPr>
          <w:b/>
          <w:bCs/>
        </w:rPr>
        <w:t xml:space="preserve">Obtain a cannabis crime/theft insurance commitment letter</w:t>
      </w:r>
      <w:r>
        <w:t xml:space="preserve"> </w:t>
      </w:r>
      <w:r>
        <w:t xml:space="preserve">(I-4) from Canopy Risk (or a contingency carrier) confirming $500K coverage will bind before permit issuance.</w:t>
      </w:r>
    </w:p>
    <w:p>
      <w:pPr>
        <w:pStyle w:val="Compact"/>
        <w:numPr>
          <w:ilvl w:val="0"/>
          <w:numId w:val="1003"/>
        </w:numPr>
      </w:pPr>
      <w:r>
        <w:rPr>
          <w:b/>
          <w:bCs/>
        </w:rPr>
        <w:t xml:space="preserve">Obtain a current buffer-distance survey/map dated within 60 days of submission</w:t>
      </w:r>
      <w:r>
        <w:t xml:space="preserve"> </w:t>
      </w:r>
      <w:r>
        <w:t xml:space="preserve">(C-3d), with pedestrian-route measurements for the Form (C-3) and each sensitive use identified by name/address.</w:t>
      </w:r>
    </w:p>
    <w:p>
      <w:pPr>
        <w:pStyle w:val="Compact"/>
        <w:numPr>
          <w:ilvl w:val="0"/>
          <w:numId w:val="1003"/>
        </w:numPr>
      </w:pPr>
      <w:r>
        <w:rPr>
          <w:b/>
          <w:bCs/>
        </w:rPr>
        <w:t xml:space="preserve">Document ≥24 months continuous R3 residency</w:t>
      </w:r>
      <w:r>
        <w:t xml:space="preserve"> </w:t>
      </w:r>
      <w:r>
        <w:t xml:space="preserve">for Okonkwo in tract 8092.02 (O-2) — two proofs dated within 90 days plus a statement of duration.</w:t>
      </w:r>
    </w:p>
    <w:p>
      <w:pPr>
        <w:pStyle w:val="Compact"/>
        <w:numPr>
          <w:ilvl w:val="0"/>
          <w:numId w:val="1003"/>
        </w:numPr>
      </w:pPr>
      <w:r>
        <w:rPr>
          <w:b/>
          <w:bCs/>
        </w:rPr>
        <w:t xml:space="preserve">Complete and sign City background-check authorization forms and obtain fingerprint receipts</w:t>
      </w:r>
      <w:r>
        <w:t xml:space="preserve"> </w:t>
      </w:r>
      <w:r>
        <w:t xml:space="preserve">for Okonkwo and Ramachandran (P-1); include photo ID and ≤90-day residency proof (P-5).</w:t>
      </w:r>
    </w:p>
    <w:p>
      <w:pPr>
        <w:pStyle w:val="Compact"/>
        <w:numPr>
          <w:ilvl w:val="0"/>
          <w:numId w:val="1003"/>
        </w:numPr>
      </w:pPr>
      <w:r>
        <w:rPr>
          <w:b/>
          <w:bCs/>
        </w:rPr>
        <w:t xml:space="preserve">Complete the Application Form in full</w:t>
      </w:r>
      <w:r>
        <w:t xml:space="preserve"> </w:t>
      </w:r>
      <w:r>
        <w:t xml:space="preserve">(all fields or</w:t>
      </w:r>
      <w:r>
        <w:t xml:space="preserve"> </w:t>
      </w:r>
      <w:r>
        <w:t xml:space="preserve">“</w:t>
      </w:r>
      <w:r>
        <w:t xml:space="preserve">N/A</w:t>
      </w:r>
      <w:r>
        <w:t xml:space="preserve">”</w:t>
      </w:r>
      <w:r>
        <w:t xml:space="preserve">), with authorized-signatory signature and notarization (S-1).</w:t>
      </w:r>
    </w:p>
    <w:p>
      <w:pPr>
        <w:pStyle w:val="Compact"/>
        <w:numPr>
          <w:ilvl w:val="0"/>
          <w:numId w:val="1003"/>
        </w:numPr>
      </w:pPr>
      <w:r>
        <w:rPr>
          <w:b/>
          <w:bCs/>
        </w:rPr>
        <w:t xml:space="preserve">File the special use permit application</w:t>
      </w:r>
      <w:r>
        <w:t xml:space="preserve"> </w:t>
      </w:r>
      <w:r>
        <w:t xml:space="preserve">with the Zoning Division (C-2a); concurrent filing is permitted.</w:t>
      </w:r>
    </w:p>
    <w:p>
      <w:pPr>
        <w:pStyle w:val="Compact"/>
        <w:numPr>
          <w:ilvl w:val="0"/>
          <w:numId w:val="1003"/>
        </w:numPr>
      </w:pPr>
      <w:r>
        <w:rPr>
          <w:b/>
          <w:bCs/>
        </w:rPr>
        <w:t xml:space="preserve">Include the IRS EIN verification letter</w:t>
      </w:r>
      <w:r>
        <w:t xml:space="preserve"> </w:t>
      </w:r>
      <w:r>
        <w:t xml:space="preserve">(A-3) and a</w:t>
      </w:r>
      <w:r>
        <w:t xml:space="preserve"> </w:t>
      </w:r>
      <w:r>
        <w:rPr>
          <w:b/>
          <w:bCs/>
        </w:rPr>
        <w:t xml:space="preserve">Certificate of Good Standing dated within 30 days</w:t>
      </w:r>
      <w:r>
        <w:t xml:space="preserve"> </w:t>
      </w:r>
      <w:r>
        <w:t xml:space="preserve">(A-1/C-7).</w:t>
      </w:r>
    </w:p>
    <w:p>
      <w:pPr>
        <w:pStyle w:val="Compact"/>
        <w:numPr>
          <w:ilvl w:val="0"/>
          <w:numId w:val="1003"/>
        </w:numPr>
      </w:pPr>
      <w:r>
        <w:rPr>
          <w:b/>
          <w:bCs/>
        </w:rPr>
        <w:t xml:space="preserve">Bind Workers’ Compensation with Employer’s Liability ≥ $1,000,000 per accident</w:t>
      </w:r>
      <w:r>
        <w:t xml:space="preserve"> </w:t>
      </w:r>
      <w:r>
        <w:t xml:space="preserve">(I-3) and</w:t>
      </w:r>
      <w:r>
        <w:t xml:space="preserve"> </w:t>
      </w:r>
      <w:r>
        <w:rPr>
          <w:b/>
          <w:bCs/>
        </w:rPr>
        <w:t xml:space="preserve">verify all carriers are AM Best ≥ A-</w:t>
      </w:r>
      <w:r>
        <w:t xml:space="preserve"> </w:t>
      </w:r>
      <w:r>
        <w:t xml:space="preserve">(I-6).</w:t>
      </w:r>
    </w:p>
    <w:bookmarkEnd w:id="45"/>
    <w:bookmarkStart w:id="46" w:name="tier-2-strengthens-submission-scoring"/>
    <w:p>
      <w:pPr>
        <w:pStyle w:val="Heading3"/>
      </w:pPr>
      <w:r>
        <w:t xml:space="preserve">Tier 2 — Strengthens submission / scoring</w:t>
      </w:r>
    </w:p>
    <w:p>
      <w:pPr>
        <w:pStyle w:val="Compact"/>
        <w:numPr>
          <w:ilvl w:val="0"/>
          <w:numId w:val="1004"/>
        </w:numPr>
      </w:pPr>
      <w:r>
        <w:t xml:space="preserve">Provide the</w:t>
      </w:r>
      <w:r>
        <w:t xml:space="preserve"> </w:t>
      </w:r>
      <w:r>
        <w:rPr>
          <w:b/>
          <w:bCs/>
        </w:rPr>
        <w:t xml:space="preserve">standalone Diversity &amp; Inclusion Plan</w:t>
      </w:r>
      <w:r>
        <w:t xml:space="preserve"> </w:t>
      </w:r>
      <w:r>
        <w:t xml:space="preserve">(3–5 pages) with specific measurable goals and named workforce-development partners (M-1/M-2).</w:t>
      </w:r>
    </w:p>
    <w:p>
      <w:pPr>
        <w:pStyle w:val="Compact"/>
        <w:numPr>
          <w:ilvl w:val="0"/>
          <w:numId w:val="1004"/>
        </w:numPr>
      </w:pPr>
      <w:r>
        <w:t xml:space="preserve">Provide the</w:t>
      </w:r>
      <w:r>
        <w:t xml:space="preserve"> </w:t>
      </w:r>
      <w:r>
        <w:rPr>
          <w:b/>
          <w:bCs/>
        </w:rPr>
        <w:t xml:space="preserve">standalone Environmental Sustainability Plan</w:t>
      </w:r>
      <w:r>
        <w:t xml:space="preserve"> </w:t>
      </w:r>
      <w:r>
        <w:t xml:space="preserve">(N-1) and</w:t>
      </w:r>
      <w:r>
        <w:t xml:space="preserve"> </w:t>
      </w:r>
      <w:r>
        <w:rPr>
          <w:b/>
          <w:bCs/>
        </w:rPr>
        <w:t xml:space="preserve">standalone Waste Disposal Plan</w:t>
      </w:r>
      <w:r>
        <w:t xml:space="preserve"> </w:t>
      </w:r>
      <w:r>
        <w:t xml:space="preserve">(R-4) exhibits.</w:t>
      </w:r>
    </w:p>
    <w:p>
      <w:pPr>
        <w:pStyle w:val="Compact"/>
        <w:numPr>
          <w:ilvl w:val="0"/>
          <w:numId w:val="1004"/>
        </w:numPr>
      </w:pPr>
      <w:r>
        <w:t xml:space="preserve">Include the</w:t>
      </w:r>
      <w:r>
        <w:t xml:space="preserve"> </w:t>
      </w:r>
      <w:r>
        <w:rPr>
          <w:b/>
          <w:bCs/>
        </w:rPr>
        <w:t xml:space="preserve">seed-to-sale vendor COMPASS-integration confirmation letter</w:t>
      </w:r>
      <w:r>
        <w:t xml:space="preserve"> </w:t>
      </w:r>
      <w:r>
        <w:t xml:space="preserve">(F-3).</w:t>
      </w:r>
    </w:p>
    <w:p>
      <w:pPr>
        <w:pStyle w:val="Compact"/>
        <w:numPr>
          <w:ilvl w:val="0"/>
          <w:numId w:val="1004"/>
        </w:numPr>
      </w:pPr>
      <w:r>
        <w:t xml:space="preserve">Provide the</w:t>
      </w:r>
      <w:r>
        <w:t xml:space="preserve"> </w:t>
      </w:r>
      <w:r>
        <w:rPr>
          <w:b/>
          <w:bCs/>
        </w:rPr>
        <w:t xml:space="preserve">Agent-in-Charge Agent ID Card number</w:t>
      </w:r>
      <w:r>
        <w:t xml:space="preserve"> </w:t>
      </w:r>
      <w:r>
        <w:t xml:space="preserve">or</w:t>
      </w:r>
      <w:r>
        <w:t xml:space="preserve"> </w:t>
      </w:r>
      <w:r>
        <w:t xml:space="preserve">“</w:t>
      </w:r>
      <w:r>
        <w:t xml:space="preserve">Application Pending</w:t>
      </w:r>
      <w:r>
        <w:t xml:space="preserve">”</w:t>
      </w:r>
      <w:r>
        <w:t xml:space="preserve"> </w:t>
      </w:r>
      <w:r>
        <w:t xml:space="preserve">documentation (Q-1).</w:t>
      </w:r>
    </w:p>
    <w:p>
      <w:pPr>
        <w:pStyle w:val="Compact"/>
        <w:numPr>
          <w:ilvl w:val="0"/>
          <w:numId w:val="1004"/>
        </w:numPr>
      </w:pPr>
      <w:r>
        <w:t xml:space="preserve">Confirm the</w:t>
      </w:r>
      <w:r>
        <w:t xml:space="preserve"> </w:t>
      </w:r>
      <w:r>
        <w:rPr>
          <w:b/>
          <w:bCs/>
        </w:rPr>
        <w:t xml:space="preserve">site/floor plan is prepared/certified by a licensed IL architect or engineer</w:t>
      </w:r>
      <w:r>
        <w:t xml:space="preserve"> </w:t>
      </w:r>
      <w:r>
        <w:t xml:space="preserve">and includes all Form §3 Q5 elements (E-1).</w:t>
      </w:r>
    </w:p>
    <w:p>
      <w:pPr>
        <w:pStyle w:val="Compact"/>
        <w:numPr>
          <w:ilvl w:val="0"/>
          <w:numId w:val="1004"/>
        </w:numPr>
      </w:pPr>
      <w:r>
        <w:t xml:space="preserve">Obtain a</w:t>
      </w:r>
      <w:r>
        <w:t xml:space="preserve"> </w:t>
      </w:r>
      <w:r>
        <w:rPr>
          <w:b/>
          <w:bCs/>
        </w:rPr>
        <w:t xml:space="preserve">publisher’s affidavit</w:t>
      </w:r>
      <w:r>
        <w:t xml:space="preserve"> </w:t>
      </w:r>
      <w:r>
        <w:t xml:space="preserve">of publication for community-engagement notices (K-5).</w:t>
      </w:r>
    </w:p>
    <w:bookmarkEnd w:id="46"/>
    <w:bookmarkStart w:id="47" w:name="X633d77741bcc956cf4dd3de66b6d8bae2fa1de4"/>
    <w:p>
      <w:pPr>
        <w:pStyle w:val="Heading3"/>
      </w:pPr>
      <w:r>
        <w:t xml:space="preserve">Tier 3 — Reconcile inconsistencies / manage timeline risk</w:t>
      </w:r>
    </w:p>
    <w:p>
      <w:pPr>
        <w:pStyle w:val="Compact"/>
        <w:numPr>
          <w:ilvl w:val="0"/>
          <w:numId w:val="1005"/>
        </w:numPr>
      </w:pPr>
      <w:r>
        <w:rPr>
          <w:b/>
          <w:bCs/>
        </w:rPr>
        <w:t xml:space="preserve">Reconcile internal inconsistencies</w:t>
      </w:r>
      <w:r>
        <w:t xml:space="preserve">: registered-agent name (Northwest vs. Keystone) (A-5); Okonkwo phone/email (A-6); parking count (12 vs. 8) (D-4).</w:t>
      </w:r>
    </w:p>
    <w:p>
      <w:pPr>
        <w:pStyle w:val="Compact"/>
        <w:numPr>
          <w:ilvl w:val="0"/>
          <w:numId w:val="1005"/>
        </w:numPr>
      </w:pPr>
      <w:r>
        <w:rPr>
          <w:b/>
          <w:bCs/>
        </w:rPr>
        <w:t xml:space="preserve">File a State conditional-license extension petition</w:t>
      </w:r>
      <w:r>
        <w:t xml:space="preserve"> </w:t>
      </w:r>
      <w:r>
        <w:t xml:space="preserve">(Form CR-EXT-01) by ~July 23, 2024 if the City process may extend past the 9/21/2024 State expiration (B-3).</w:t>
      </w:r>
    </w:p>
    <w:p>
      <w:pPr>
        <w:pStyle w:val="Compact"/>
        <w:numPr>
          <w:ilvl w:val="0"/>
          <w:numId w:val="1005"/>
        </w:numPr>
      </w:pPr>
      <w:r>
        <w:rPr>
          <w:b/>
          <w:bCs/>
        </w:rPr>
        <w:t xml:space="preserve">Raise governing-document conflicts with the Coordinator</w:t>
      </w:r>
      <w:r>
        <w:t xml:space="preserve"> </w:t>
      </w:r>
      <w:r>
        <w:t xml:space="preserve">in a cover letter: deficiency cure period (C-1), fee method (C-2), buffer methodology (C-3), occupancy formula (C-8), and the Form’s erroneous Code citations (C-5, C-6) and zoning-district list (C-4). Confirm the correct Coordinator contact details (C-10).</w:t>
      </w:r>
    </w:p>
    <w:p>
      <w:pPr>
        <w:pStyle w:val="Compact"/>
        <w:numPr>
          <w:ilvl w:val="0"/>
          <w:numId w:val="1005"/>
        </w:numPr>
      </w:pPr>
      <w:r>
        <w:t xml:space="preserve">Use the</w:t>
      </w:r>
      <w:r>
        <w:t xml:space="preserve"> </w:t>
      </w:r>
      <w:r>
        <w:rPr>
          <w:b/>
          <w:bCs/>
        </w:rPr>
        <w:t xml:space="preserve">Code’s occupancy method (40 customers)</w:t>
      </w:r>
      <w:r>
        <w:t xml:space="preserve"> </w:t>
      </w:r>
      <w:r>
        <w:t xml:space="preserve">and note the Form’s erroneous formula (R-2/C-8).</w:t>
      </w:r>
    </w:p>
    <w:p>
      <w:r>
        <w:pict>
          <v:rect style="width:0;height:1.5pt" o:hralign="center" o:hrstd="t" o:hr="t"/>
        </w:pict>
      </w:r>
    </w:p>
    <w:bookmarkEnd w:id="47"/>
    <w:bookmarkEnd w:id="48"/>
    <w:bookmarkStart w:id="49" w:name="summary-status-count"/>
    <w:p>
      <w:pPr>
        <w:pStyle w:val="Heading2"/>
      </w:pPr>
      <w:r>
        <w:t xml:space="preserve">6. Summary Status Count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Status</w:t>
            </w:r>
          </w:p>
        </w:tc>
        <w:tc>
          <w:tcPr/>
          <w:p>
            <w:pPr>
              <w:pStyle w:val="Compact"/>
              <w:jc w:val="left"/>
            </w:pPr>
            <w:r>
              <w:t xml:space="preserve">Count</w:t>
            </w:r>
          </w:p>
        </w:tc>
      </w:tr>
      <w:tr>
        <w:tc>
          <w:tcPr/>
          <w:p>
            <w:pPr>
              <w:pStyle w:val="Compact"/>
              <w:jc w:val="left"/>
            </w:pPr>
            <w:r>
              <w:t xml:space="preserve">Compliant</w:t>
            </w:r>
          </w:p>
        </w:tc>
        <w:tc>
          <w:tcPr/>
          <w:p>
            <w:pPr>
              <w:pStyle w:val="Compact"/>
              <w:jc w:val="left"/>
            </w:pPr>
            <w:r>
              <w:t xml:space="preserve">14</w:t>
            </w:r>
          </w:p>
        </w:tc>
      </w:tr>
      <w:tr>
        <w:tc>
          <w:tcPr/>
          <w:p>
            <w:pPr>
              <w:pStyle w:val="Compact"/>
              <w:jc w:val="left"/>
            </w:pPr>
            <w:r>
              <w:t xml:space="preserve">Substantially Compliant</w:t>
            </w:r>
          </w:p>
        </w:tc>
        <w:tc>
          <w:tcPr/>
          <w:p>
            <w:pPr>
              <w:pStyle w:val="Compact"/>
              <w:jc w:val="left"/>
            </w:pPr>
            <w:r>
              <w:t xml:space="preserve">13</w:t>
            </w:r>
          </w:p>
        </w:tc>
      </w:tr>
      <w:tr>
        <w:tc>
          <w:tcPr/>
          <w:p>
            <w:pPr>
              <w:pStyle w:val="Compact"/>
              <w:jc w:val="left"/>
            </w:pPr>
            <w:r>
              <w:t xml:space="preserve">Partial / In Progress</w:t>
            </w:r>
          </w:p>
        </w:tc>
        <w:tc>
          <w:tcPr/>
          <w:p>
            <w:pPr>
              <w:pStyle w:val="Compact"/>
              <w:jc w:val="left"/>
            </w:pPr>
            <w:r>
              <w:t xml:space="preserve">12</w:t>
            </w:r>
          </w:p>
        </w:tc>
      </w:tr>
      <w:tr>
        <w:tc>
          <w:tcPr/>
          <w:p>
            <w:pPr>
              <w:pStyle w:val="Compact"/>
              <w:jc w:val="left"/>
            </w:pPr>
            <w:r>
              <w:t xml:space="preserve">Gap — Cure Required</w:t>
            </w:r>
          </w:p>
        </w:tc>
        <w:tc>
          <w:tcPr/>
          <w:p>
            <w:pPr>
              <w:pStyle w:val="Compact"/>
              <w:jc w:val="left"/>
            </w:pPr>
            <w:r>
              <w:t xml:space="preserve">17</w:t>
            </w:r>
          </w:p>
        </w:tc>
      </w:tr>
      <w:tr>
        <w:tc>
          <w:tcPr/>
          <w:p>
            <w:pPr>
              <w:pStyle w:val="Compact"/>
              <w:jc w:val="left"/>
            </w:pPr>
            <w:r>
              <w:t xml:space="preserve">Non-Compliant</w:t>
            </w:r>
          </w:p>
        </w:tc>
        <w:tc>
          <w:tcPr/>
          <w:p>
            <w:pPr>
              <w:pStyle w:val="Compact"/>
              <w:jc w:val="left"/>
            </w:pPr>
            <w:r>
              <w:t xml:space="preserve">1</w:t>
            </w:r>
          </w:p>
        </w:tc>
      </w:tr>
      <w:tr>
        <w:tc>
          <w:tcPr/>
          <w:p>
            <w:pPr>
              <w:pStyle w:val="Compact"/>
              <w:jc w:val="left"/>
            </w:pPr>
            <w:r>
              <w:t xml:space="preserve">Conflict (governing documents)</w:t>
            </w:r>
          </w:p>
        </w:tc>
        <w:tc>
          <w:tcPr/>
          <w:p>
            <w:pPr>
              <w:pStyle w:val="Compact"/>
              <w:jc w:val="left"/>
            </w:pPr>
            <w:r>
              <w:t xml:space="preserve">12</w:t>
            </w:r>
          </w:p>
        </w:tc>
      </w:tr>
      <w:tr>
        <w:tc>
          <w:tcPr/>
          <w:p>
            <w:pPr>
              <w:pStyle w:val="Compact"/>
              <w:jc w:val="left"/>
            </w:pPr>
            <w:r>
              <w:t xml:space="preserve">Pre-Issuance / Operational</w:t>
            </w:r>
          </w:p>
        </w:tc>
        <w:tc>
          <w:tcPr/>
          <w:p>
            <w:pPr>
              <w:pStyle w:val="Compact"/>
              <w:jc w:val="left"/>
            </w:pPr>
            <w:r>
              <w:t xml:space="preserve">11</w:t>
            </w:r>
          </w:p>
        </w:tc>
      </w:tr>
      <w:tr>
        <w:tc>
          <w:tcPr/>
          <w:p>
            <w:pPr>
              <w:pStyle w:val="Compact"/>
              <w:jc w:val="left"/>
            </w:pPr>
            <w:r>
              <w:t xml:space="preserve">N/A</w:t>
            </w:r>
          </w:p>
        </w:tc>
        <w:tc>
          <w:tcPr/>
          <w:p>
            <w:pPr>
              <w:pStyle w:val="Compact"/>
              <w:jc w:val="left"/>
            </w:pPr>
            <w:r>
              <w:t xml:space="preserve">0</w:t>
            </w:r>
          </w:p>
        </w:tc>
      </w:tr>
    </w:tbl>
    <w:p>
      <w:pPr>
        <w:pStyle w:val="BodyText"/>
      </w:pPr>
      <w:r>
        <w:rPr>
          <w:i/>
          <w:iCs/>
        </w:rPr>
        <w:t xml:space="preserve">Counts are approximate and reflect the line-item assessments above; several items carry more than one status dimension (e.g.,</w:t>
      </w:r>
      <w:r>
        <w:rPr>
          <w:i/>
          <w:iCs/>
        </w:rPr>
        <w:t xml:space="preserve"> </w:t>
      </w:r>
      <w:r>
        <w:rPr>
          <w:i/>
          <w:iCs/>
        </w:rPr>
        <w:t xml:space="preserve">“</w:t>
      </w:r>
      <w:r>
        <w:rPr>
          <w:i/>
          <w:iCs/>
        </w:rPr>
        <w:t xml:space="preserve">Compliant (Code)</w:t>
      </w:r>
      <w:r>
        <w:rPr>
          <w:i/>
          <w:iCs/>
        </w:rPr>
        <w:t xml:space="preserve">”</w:t>
      </w:r>
      <w:r>
        <w:rPr>
          <w:i/>
          <w:iCs/>
        </w:rPr>
        <w:t xml:space="preserve"> </w:t>
      </w:r>
      <w:r>
        <w:rPr>
          <w:i/>
          <w:iCs/>
        </w:rPr>
        <w:t xml:space="preserve">with a</w:t>
      </w:r>
      <w:r>
        <w:rPr>
          <w:i/>
          <w:iCs/>
        </w:rPr>
        <w:t xml:space="preserve"> </w:t>
      </w:r>
      <w:r>
        <w:rPr>
          <w:i/>
          <w:iCs/>
        </w:rPr>
        <w:t xml:space="preserve">“</w:t>
      </w:r>
      <w:r>
        <w:rPr>
          <w:i/>
          <w:iCs/>
        </w:rPr>
        <w:t xml:space="preserve">Conflict</w:t>
      </w:r>
      <w:r>
        <w:rPr>
          <w:i/>
          <w:iCs/>
        </w:rPr>
        <w:t xml:space="preserve">”</w:t>
      </w:r>
      <w:r>
        <w:rPr>
          <w:i/>
          <w:iCs/>
        </w:rPr>
        <w:t xml:space="preserve"> </w:t>
      </w:r>
      <w:r>
        <w:rPr>
          <w:i/>
          <w:iCs/>
        </w:rPr>
        <w:t xml:space="preserve">note). The single Non-Compliant item is the Session 2 community-engagement notice (K-2).</w:t>
      </w:r>
    </w:p>
    <w:p>
      <w:r>
        <w:pict>
          <v:rect style="width:0;height:1.5pt" o:hralign="center" o:hrstd="t" o:hr="t"/>
        </w:pict>
      </w:r>
    </w:p>
    <w:bookmarkEnd w:id="49"/>
    <w:bookmarkStart w:id="50" w:name="reviewers-conclusion"/>
    <w:p>
      <w:pPr>
        <w:pStyle w:val="Heading2"/>
      </w:pPr>
      <w:r>
        <w:t xml:space="preserve">7. Reviewer’s Conclusion</w:t>
      </w:r>
    </w:p>
    <w:p>
      <w:pPr>
        <w:pStyle w:val="FirstParagraph"/>
      </w:pPr>
      <w:r>
        <w:t xml:space="preserve">Greenleaf Therapeutics LLC has prepared a strong, well-documented application that demonstrates genuine readiness across most scoring categories and satisfies the substantive Code requirements for location, buffers, lease term, capitalization, social equity ownership, and community benefit commitment. The application is</w:t>
      </w:r>
      <w:r>
        <w:t xml:space="preserve"> </w:t>
      </w:r>
      <w:r>
        <w:rPr>
          <w:b/>
          <w:bCs/>
        </w:rPr>
        <w:t xml:space="preserve">not yet submission-ready</w:t>
      </w:r>
      <w:r>
        <w:t xml:space="preserve">, however, because of one affirmative non-compliance (the Session 2 notice defect), several hard completeness gates that remain open (odor P.E. certification, finalized security plan, bonding-capacity evidence, current buffer survey, R3-residency documentation, background-check forms, EIN letter, completed application form), and a set of governing-document conflicts that should be clarified with the Cannabis Licensing Coordinator before filing.</w:t>
      </w:r>
    </w:p>
    <w:p>
      <w:pPr>
        <w:pStyle w:val="BodyText"/>
      </w:pPr>
      <w:r>
        <w:t xml:space="preserve">If the Tier 1 remediation items are completed and the Tier 2/3 items addressed, the application should pass completeness review and be competitive on the scoring rubric, with the Social Equity 20-point bonus available upon verification. The principal residual risk is</w:t>
      </w:r>
      <w:r>
        <w:t xml:space="preserve"> </w:t>
      </w:r>
      <w:r>
        <w:rPr>
          <w:b/>
          <w:bCs/>
        </w:rPr>
        <w:t xml:space="preserve">timeline</w:t>
      </w:r>
      <w:r>
        <w:t xml:space="preserve">: the State conditional license expires September 21, 2024, and the required third community engagement session compresses the pre-submission schedule. The applicant should file a State extension petition defensively and target submission no later than the May 31, 2024 window close.</w:t>
      </w:r>
    </w:p>
    <w:p>
      <w:pPr>
        <w:pStyle w:val="BodyText"/>
      </w:pPr>
      <w:r>
        <w:t xml:space="preserve">This matrix is based solely on the documents listed in the header and on the Evanston Municipal Code and Submission Guide as provided. It is a compliance-readiness review and not a legal opinion or a guarantee of City action; final determinations of completeness, scoring, and permit issuance rest with the Cannabis Licensing Coordinator, the Liquor &amp; Cannabis Board, the Zoning Board of Appeals, and the City Council.</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Cannabis Dispensary Permit — Compliance Requirements Matrix</dc:title>
  <dc:creator>Compliance Review</dc:creator>
  <cp:keywords/>
  <dcterms:created xsi:type="dcterms:W3CDTF">2026-06-29T00:35:37Z</dcterms:created>
  <dcterms:modified xsi:type="dcterms:W3CDTF">2026-06-29T00:35:37Z</dcterms:modified>
</cp:coreProperties>
</file>

<file path=docProps/custom.xml><?xml version="1.0" encoding="utf-8"?>
<Properties xmlns="http://schemas.openxmlformats.org/officeDocument/2006/custom-properties" xmlns:vt="http://schemas.openxmlformats.org/officeDocument/2006/docPropsVTypes"/>
</file>