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onfidential-internal-memorandum"/>
    <w:p>
      <w:pPr>
        <w:pStyle w:val="Heading1"/>
      </w:pPr>
      <w:r>
        <w:t xml:space="preserve">CONFIDENTIAL — INTERNAL MEMORANDUM</w:t>
      </w:r>
    </w:p>
    <w:p>
      <w:pPr>
        <w:pStyle w:val="FirstParagraph"/>
      </w:pPr>
      <w:r>
        <w:rPr>
          <w:b/>
          <w:bCs/>
        </w:rPr>
        <w:t xml:space="preserve">THORNFIELD CAPITAL PARTERS</w:t>
      </w:r>
    </w:p>
    <w:p>
      <w:r>
        <w:pict>
          <v:rect style="width:0;height:1.5pt" o:hralign="center" o:hrstd="t" o:hr="t"/>
        </w:pict>
      </w:r>
    </w:p>
    <w:p>
      <w:pPr>
        <w:pStyle w:val="FirstParagraph"/>
      </w:pPr>
      <w:r>
        <w:rPr>
          <w:b/>
          <w:bCs/>
        </w:rPr>
        <w:t xml:space="preserve">To:</w:t>
      </w:r>
      <w:r>
        <w:t xml:space="preserve"> </w:t>
      </w:r>
      <w:r>
        <w:t xml:space="preserve">Marcus Yuen, Partner (Deal Lead); Diane Holbrook, Managing Partner</w:t>
      </w:r>
      <w:r>
        <w:t xml:space="preserve"> </w:t>
      </w:r>
      <w:r>
        <w:rPr>
          <w:b/>
          <w:bCs/>
        </w:rPr>
        <w:t xml:space="preserve">Cc:</w:t>
      </w:r>
      <w:r>
        <w:t xml:space="preserve"> </w:t>
      </w:r>
      <w:r>
        <w:t xml:space="preserve">Sarah Lindgren, Vice President</w:t>
      </w:r>
      <w:r>
        <w:t xml:space="preserve"> </w:t>
      </w:r>
      <w:r>
        <w:rPr>
          <w:b/>
          <w:bCs/>
        </w:rPr>
        <w:t xml:space="preserve">From:</w:t>
      </w:r>
      <w:r>
        <w:t xml:space="preserve"> </w:t>
      </w:r>
      <w:r>
        <w:t xml:space="preserve">David Koh, Associate</w:t>
      </w:r>
      <w:r>
        <w:t xml:space="preserve"> </w:t>
      </w:r>
      <w:r>
        <w:rPr>
          <w:b/>
          <w:bCs/>
        </w:rPr>
        <w:t xml:space="preserve">Date:</w:t>
      </w:r>
      <w:r>
        <w:t xml:space="preserve"> </w:t>
      </w:r>
      <w:r>
        <w:t xml:space="preserve">June 25, 2025</w:t>
      </w:r>
      <w:r>
        <w:t xml:space="preserve"> </w:t>
      </w:r>
      <w:r>
        <w:rPr>
          <w:b/>
          <w:bCs/>
        </w:rPr>
        <w:t xml:space="preserve">Re:</w:t>
      </w:r>
      <w:r>
        <w:t xml:space="preserve"> </w:t>
      </w:r>
      <w:r>
        <w:t xml:space="preserve">Buy-Side CIM Analysis — Cascade Environmental Solutions, Inc. (</w:t>
      </w:r>
      <w:r>
        <w:t xml:space="preserve">“</w:t>
      </w:r>
      <w:r>
        <w:t xml:space="preserve">CES</w:t>
      </w:r>
      <w:r>
        <w:t xml:space="preserve">”</w:t>
      </w:r>
      <w:r>
        <w:t xml:space="preserve"> </w:t>
      </w:r>
      <w:r>
        <w:t xml:space="preserve">/</w:t>
      </w:r>
      <w:r>
        <w:t xml:space="preserve"> </w:t>
      </w:r>
      <w:r>
        <w:t xml:space="preserve">“</w:t>
      </w:r>
      <w:r>
        <w:t xml:space="preserve">Project Cascade</w:t>
      </w:r>
      <w:r>
        <w:t xml:space="preserve">”</w:t>
      </w:r>
      <w:r>
        <w:t xml:space="preserve">)</w:t>
      </w:r>
      <w:r>
        <w:t xml:space="preserve"> </w:t>
      </w:r>
      <w:r>
        <w:rPr>
          <w:b/>
          <w:bCs/>
        </w:rPr>
        <w:t xml:space="preserve">Process:</w:t>
      </w:r>
      <w:r>
        <w:t xml:space="preserve"> </w:t>
      </w:r>
      <w:r>
        <w:t xml:space="preserve">IOI due July 14, 2025 (5:00 PM PT) to Greenleaf Advisory Group (Philip Tran)</w:t>
      </w:r>
    </w:p>
    <w:p>
      <w:r>
        <w:pict>
          <v:rect style="width:0;height:1.5pt" o:hralign="center" o:hrstd="t" o:hr="t"/>
        </w:pict>
      </w:r>
    </w:p>
    <w:bookmarkStart w:id="20" w:name="executive-summary-and-recommendation"/>
    <w:p>
      <w:pPr>
        <w:pStyle w:val="Heading2"/>
      </w:pPr>
      <w:r>
        <w:t xml:space="preserve">1. Executive Summary and Recommendation</w:t>
      </w:r>
    </w:p>
    <w:p>
      <w:pPr>
        <w:pStyle w:val="FirstParagraph"/>
      </w:pPr>
      <w:r>
        <w:t xml:space="preserve">This memorandum presents the deal team’s comprehensive buy-side analysis of 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a Pacific Northwest environmental services platform offered for sale by Greenleaf Advisory Group. It is prepared in advance of the July 14, 2025 Indication of Interest (</w:t>
      </w:r>
      <w:r>
        <w:t xml:space="preserve">“</w:t>
      </w:r>
      <w:r>
        <w:t xml:space="preserve">IOI</w:t>
      </w:r>
      <w:r>
        <w:t xml:space="preserve">”</w:t>
      </w:r>
      <w:r>
        <w:t xml:space="preserve">) deadline and uses the sector benchmarks developed in Sarah Lindgren’s June 12, 2025 sector memo as the evaluative framework. It draws on the Confidential Information Memorandum (</w:t>
      </w:r>
      <w:r>
        <w:t xml:space="preserve">“</w:t>
      </w:r>
      <w:r>
        <w:t xml:space="preserve">CIM</w:t>
      </w:r>
      <w:r>
        <w:t xml:space="preserve">”</w:t>
      </w:r>
      <w:r>
        <w:t xml:space="preserve">), the Customer Summary and Backlog Report (the</w:t>
      </w:r>
      <w:r>
        <w:t xml:space="preserve"> </w:t>
      </w:r>
      <w:r>
        <w:t xml:space="preserve">“</w:t>
      </w:r>
      <w:r>
        <w:t xml:space="preserve">Backlog Report</w:t>
      </w:r>
      <w:r>
        <w:t xml:space="preserve">”</w:t>
      </w:r>
      <w:r>
        <w:t xml:space="preserve">), the Financial Exhibits workbook, and the Greenleaf process letter.</w:t>
      </w:r>
    </w:p>
    <w:p>
      <w:pPr>
        <w:pStyle w:val="BodyText"/>
      </w:pPr>
      <w:r>
        <w:rPr>
          <w:b/>
          <w:bCs/>
        </w:rPr>
        <w:t xml:space="preserve">Recommendation: Proceed to an IOI, but at an enterprise value meaningfully below the sell-side guide, with a PFAS-linked earnout and a defined set of confirmatory-diligence conditions.</w:t>
      </w:r>
    </w:p>
    <w:p>
      <w:pPr>
        <w:pStyle w:val="BodyText"/>
      </w:pPr>
      <w:r>
        <w:t xml:space="preserve">CES is a genuinely attractive platform — a 16-year-old, founder-led, integrated environmental services business with real regulatory tailwinds, a contracted backlog, and an early position in PFAS remediation. However, the sell-side materials overstate normalized earnings, rely on a single unproven growth vector for the bulk of the equity story, and contain material data-integrity inconsistencies across the CIM, the Backlog Report, and the Financial Exhibits that must be reconciled before any binding bid.</w:t>
      </w:r>
    </w:p>
    <w:p>
      <w:pPr>
        <w:pStyle w:val="BodyText"/>
      </w:pPr>
      <w:r>
        <w:rPr>
          <w:b/>
          <w:bCs/>
        </w:rPr>
        <w:t xml:space="preserve">Headline conclusions:</w:t>
      </w:r>
    </w:p>
    <w:p>
      <w:pPr>
        <w:pStyle w:val="Compact"/>
        <w:numPr>
          <w:ilvl w:val="0"/>
          <w:numId w:val="1001"/>
        </w:numPr>
      </w:pPr>
      <w:r>
        <w:rPr>
          <w:b/>
          <w:bCs/>
        </w:rPr>
        <w:t xml:space="preserve">Adjusted EBITDA is overstated.</w:t>
      </w:r>
      <w:r>
        <w:t xml:space="preserve"> </w:t>
      </w:r>
      <w:r>
        <w:t xml:space="preserve">The sell-side FY2024 Adjusted EBITDA of</w:t>
      </w:r>
      <w:r>
        <w:t xml:space="preserve"> </w:t>
      </w:r>
      <w:r>
        <w:rPr>
          <w:b/>
          <w:bCs/>
        </w:rPr>
        <w:t xml:space="preserve">$17.1M</w:t>
      </w:r>
      <w:r>
        <w:t xml:space="preserve"> </w:t>
      </w:r>
      <w:r>
        <w:t xml:space="preserve">reflects $5.0M of add-backs, several of which are not fully defensible. Our reconstructed, buy-side defensible Adjusted EBITDA is approximately</w:t>
      </w:r>
      <w:r>
        <w:t xml:space="preserve"> </w:t>
      </w:r>
      <w:r>
        <w:rPr>
          <w:b/>
          <w:bCs/>
        </w:rPr>
        <w:t xml:space="preserve">$14.5M–$15.5M</w:t>
      </w:r>
      <w:r>
        <w:t xml:space="preserve"> </w:t>
      </w:r>
      <w:r>
        <w:t xml:space="preserve">(base case ~$15.0M), implying the sell-side figure is overstated by roughly</w:t>
      </w:r>
      <w:r>
        <w:t xml:space="preserve"> </w:t>
      </w:r>
      <w:r>
        <w:rPr>
          <w:b/>
          <w:bCs/>
        </w:rPr>
        <w:t xml:space="preserve">$1.8M–$2.3M</w:t>
      </w:r>
      <w:r>
        <w:t xml:space="preserve"> </w:t>
      </w:r>
      <w:r>
        <w:t xml:space="preserve">(≈$15M–$21M of enterprise value at an 8.0x–9.0x multiple).</w:t>
      </w:r>
    </w:p>
    <w:p>
      <w:pPr>
        <w:pStyle w:val="Compact"/>
        <w:numPr>
          <w:ilvl w:val="0"/>
          <w:numId w:val="1001"/>
        </w:numPr>
      </w:pPr>
      <w:r>
        <w:rPr>
          <w:b/>
          <w:bCs/>
        </w:rPr>
        <w:t xml:space="preserve">The growth thesis is almost entirely a PFAS thesis.</w:t>
      </w:r>
      <w:r>
        <w:t xml:space="preserve"> </w:t>
      </w:r>
      <w:r>
        <w:t xml:space="preserve">The Financial Exhibits reveal that</w:t>
      </w:r>
      <w:r>
        <w:t xml:space="preserve"> </w:t>
      </w:r>
      <w:r>
        <w:rPr>
          <w:i/>
          <w:iCs/>
        </w:rPr>
        <w:t xml:space="preserve">traditional</w:t>
      </w:r>
      <w:r>
        <w:t xml:space="preserve"> </w:t>
      </w:r>
      <w:r>
        <w:t xml:space="preserve">remediation is essentially flat (~3.5% CAGR through FY2027E) and that, ex-PFAS, the Company grows at only ~6% — roughly half the headline 12.5% rate. PFAS is projected to grow 125.8% in FY2025E, roughly 3x the company-level rate supported by sector data and our GreenWorks Remediation experience.</w:t>
      </w:r>
    </w:p>
    <w:p>
      <w:pPr>
        <w:pStyle w:val="Compact"/>
        <w:numPr>
          <w:ilvl w:val="0"/>
          <w:numId w:val="1001"/>
        </w:numPr>
      </w:pPr>
      <w:r>
        <w:rPr>
          <w:b/>
          <w:bCs/>
        </w:rPr>
        <w:t xml:space="preserve">The financial documents do not reconcile to each other.</w:t>
      </w:r>
      <w:r>
        <w:t xml:space="preserve"> </w:t>
      </w:r>
      <w:r>
        <w:t xml:space="preserve">The CIM’s condensed financials, the Financial Exhibits workbook, and the Backlog Report disagree on the income statement, balance sheet, cash flow, segment mix, and even the identity of five of the top ten customers. The Financial Exhibits income statement does not internally reconcile (Operating Income + D&amp;A ≠ Reported EBITDA, a ~$3.2M gap).</w:t>
      </w:r>
    </w:p>
    <w:p>
      <w:pPr>
        <w:pStyle w:val="Compact"/>
        <w:numPr>
          <w:ilvl w:val="0"/>
          <w:numId w:val="1001"/>
        </w:numPr>
      </w:pPr>
      <w:r>
        <w:rPr>
          <w:b/>
          <w:bCs/>
        </w:rPr>
        <w:t xml:space="preserve">Valuation.</w:t>
      </w:r>
      <w:r>
        <w:t xml:space="preserve"> </w:t>
      </w:r>
      <w:r>
        <w:t xml:space="preserve">We recommend an IOI enterprise-value range of</w:t>
      </w:r>
      <w:r>
        <w:t xml:space="preserve"> </w:t>
      </w:r>
      <w:r>
        <w:rPr>
          <w:b/>
          <w:bCs/>
        </w:rPr>
        <w:t xml:space="preserve">$120M–$135M</w:t>
      </w:r>
      <w:r>
        <w:t xml:space="preserve"> </w:t>
      </w:r>
      <w:r>
        <w:t xml:space="preserve">(≈8.0x–9.0x our defensible trailing Adjusted EBITDA), versus the sell-side guide of $136.8M–$171.0M (8.0x–10.0x $17.1M) and the forward guide of $157.6M–$197.0M. A PFAS-linked earnout can bridge the gap if execution materializes.</w:t>
      </w:r>
    </w:p>
    <w:p>
      <w:pPr>
        <w:pStyle w:val="FirstParagraph"/>
      </w:pPr>
      <w:r>
        <w:t xml:space="preserve">The remainder of this memo details the business, the financial profile and quality of earnings, the financial inconsistencies identified, the risk factors, the valuation analysis, and the recommended IOI position.</w:t>
      </w:r>
    </w:p>
    <w:p>
      <w:r>
        <w:pict>
          <v:rect style="width:0;height:1.5pt" o:hralign="center" o:hrstd="t" o:hr="t"/>
        </w:pict>
      </w:r>
    </w:p>
    <w:bookmarkEnd w:id="20"/>
    <w:bookmarkStart w:id="21" w:name="transaction-overview-and-process"/>
    <w:p>
      <w:pPr>
        <w:pStyle w:val="Heading2"/>
      </w:pPr>
      <w:r>
        <w:t xml:space="preserve">2. Transaction Overview and Process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Target</w:t>
            </w:r>
          </w:p>
        </w:tc>
        <w:tc>
          <w:tcPr/>
          <w:p>
            <w:pPr>
              <w:pStyle w:val="Compact"/>
              <w:jc w:val="left"/>
            </w:pPr>
            <w:r>
              <w:t xml:space="preserve">100% of the equity of CES (Delaware C-corp); expected to be structured as a stock purchase</w:t>
            </w:r>
          </w:p>
        </w:tc>
      </w:tr>
      <w:tr>
        <w:tc>
          <w:tcPr/>
          <w:p>
            <w:pPr>
              <w:pStyle w:val="Compact"/>
              <w:jc w:val="left"/>
            </w:pPr>
            <w:r>
              <w:t xml:space="preserve">Advisor / contact</w:t>
            </w:r>
          </w:p>
        </w:tc>
        <w:tc>
          <w:tcPr/>
          <w:p>
            <w:pPr>
              <w:pStyle w:val="Compact"/>
              <w:jc w:val="left"/>
            </w:pPr>
            <w:r>
              <w:t xml:space="preserve">Greenleaf Advisory Group — Philip Tran, Managing Director</w:t>
            </w:r>
          </w:p>
        </w:tc>
      </w:tr>
      <w:tr>
        <w:tc>
          <w:tcPr/>
          <w:p>
            <w:pPr>
              <w:pStyle w:val="Compact"/>
              <w:jc w:val="left"/>
            </w:pPr>
            <w:r>
              <w:t xml:space="preserve">Seller counsel</w:t>
            </w:r>
          </w:p>
        </w:tc>
        <w:tc>
          <w:tcPr/>
          <w:p>
            <w:pPr>
              <w:pStyle w:val="Compact"/>
              <w:jc w:val="left"/>
            </w:pPr>
            <w:r>
              <w:t xml:space="preserve">Wexford, Mallory &amp; Chen LLP</w:t>
            </w:r>
          </w:p>
        </w:tc>
      </w:tr>
      <w:tr>
        <w:tc>
          <w:tcPr/>
          <w:p>
            <w:pPr>
              <w:pStyle w:val="Compact"/>
              <w:jc w:val="left"/>
            </w:pPr>
            <w:r>
              <w:t xml:space="preserve">Auditor</w:t>
            </w:r>
          </w:p>
        </w:tc>
        <w:tc>
          <w:tcPr/>
          <w:p>
            <w:pPr>
              <w:pStyle w:val="Compact"/>
              <w:jc w:val="left"/>
            </w:pPr>
            <w:r>
              <w:t xml:space="preserve">Ridgeline Accounting Group, PC</w:t>
            </w:r>
          </w:p>
        </w:tc>
      </w:tr>
      <w:tr>
        <w:tc>
          <w:tcPr/>
          <w:p>
            <w:pPr>
              <w:pStyle w:val="Compact"/>
              <w:jc w:val="left"/>
            </w:pPr>
            <w:r>
              <w:t xml:space="preserve">Existing debt</w:t>
            </w:r>
          </w:p>
        </w:tc>
        <w:tc>
          <w:tcPr/>
          <w:p>
            <w:pPr>
              <w:pStyle w:val="Compact"/>
              <w:jc w:val="left"/>
            </w:pPr>
            <w:r>
              <w:t xml:space="preserve">Senior term loan + revolver with Cascadia Commercial Bank; expected to be refinanced/repaid at closing</w:t>
            </w:r>
          </w:p>
        </w:tc>
      </w:tr>
      <w:tr>
        <w:tc>
          <w:tcPr/>
          <w:p>
            <w:pPr>
              <w:pStyle w:val="Compact"/>
              <w:jc w:val="left"/>
            </w:pPr>
            <w:r>
              <w:t xml:space="preserve">Timeline</w:t>
            </w:r>
          </w:p>
        </w:tc>
        <w:tc>
          <w:tcPr/>
          <w:p>
            <w:pPr>
              <w:pStyle w:val="Compact"/>
              <w:jc w:val="left"/>
            </w:pPr>
            <w:r>
              <w:t xml:space="preserve">CIM distributed 6/9/2025; IOI due 7/14/2025; Phase II management presentations Aug 2025 (Portland); Phase III final bids + SPA markup; target close Q4 2025</w:t>
            </w:r>
          </w:p>
        </w:tc>
      </w:tr>
      <w:tr>
        <w:tc>
          <w:tcPr/>
          <w:p>
            <w:pPr>
              <w:pStyle w:val="Compact"/>
              <w:jc w:val="left"/>
            </w:pPr>
            <w:r>
              <w:t xml:space="preserve">IOI basis requested</w:t>
            </w:r>
          </w:p>
        </w:tc>
        <w:tc>
          <w:tcPr/>
          <w:p>
            <w:pPr>
              <w:pStyle w:val="Compact"/>
              <w:jc w:val="left"/>
            </w:pPr>
            <w:r>
              <w:t xml:space="preserve">Cash-free / debt-free enterprise value with normalized net working capital; specify trailing vs. projected and the implied Adjusted EBITDA multiple</w:t>
            </w:r>
          </w:p>
        </w:tc>
      </w:tr>
      <w:tr>
        <w:tc>
          <w:tcPr/>
          <w:p>
            <w:pPr>
              <w:pStyle w:val="Compact"/>
              <w:jc w:val="left"/>
            </w:pPr>
            <w:r>
              <w:t xml:space="preserve">Key structuring items flagged by seller</w:t>
            </w:r>
          </w:p>
        </w:tc>
        <w:tc>
          <w:tcPr/>
          <w:p>
            <w:pPr>
              <w:pStyle w:val="Compact"/>
              <w:jc w:val="left"/>
            </w:pPr>
            <w:r>
              <w:t xml:space="preserve">Treatment of HQ real estate (owned by the CEO); Mr. Oakes’ 18–24 month transition; financing sources; management retention</w:t>
            </w:r>
          </w:p>
        </w:tc>
      </w:tr>
    </w:tbl>
    <w:p>
      <w:pPr>
        <w:pStyle w:val="BodyText"/>
      </w:pPr>
      <w:r>
        <w:t xml:space="preserve">The process letter expressly asks bidders to address (i) the headquarters real estate owned by founder/CEO Randall Oakes and leased to the Company, (ii) the treatment of existing indebtedness, and (iii) willingness to accommodate Mr. Oakes’ desired 18–24 month transition period. Each of these is a value-relevant structuring item and is addressed in Sections 5 and 7.</w:t>
      </w:r>
    </w:p>
    <w:p>
      <w:r>
        <w:pict>
          <v:rect style="width:0;height:1.5pt" o:hralign="center" o:hrstd="t" o:hr="t"/>
        </w:pict>
      </w:r>
    </w:p>
    <w:bookmarkEnd w:id="21"/>
    <w:bookmarkStart w:id="26" w:name="business-and-investment-thesis"/>
    <w:p>
      <w:pPr>
        <w:pStyle w:val="Heading2"/>
      </w:pPr>
      <w:r>
        <w:t xml:space="preserve">3. Business and Investment Thesis</w:t>
      </w:r>
    </w:p>
    <w:bookmarkStart w:id="22" w:name="what-ces-is"/>
    <w:p>
      <w:pPr>
        <w:pStyle w:val="Heading3"/>
      </w:pPr>
      <w:r>
        <w:t xml:space="preserve">3.1 What CES is</w:t>
      </w:r>
    </w:p>
    <w:p>
      <w:pPr>
        <w:pStyle w:val="FirstParagraph"/>
      </w:pPr>
      <w:r>
        <w:t xml:space="preserve">CES is a Portland-headquartered environmental services platform founded in 2009 by Randall Oakes (age 61; 68% equity holder), operating across Oregon, Washington, Idaho, and Northern California. The Company employs 412 people across three facilities (Portland HQ/yard, Seattle office, Boise depot) and serves 150+ active customers. It holds hazardous waste transporter permits in all four states and an Oregon DEQ contractor license.</w:t>
      </w:r>
    </w:p>
    <w:bookmarkEnd w:id="22"/>
    <w:bookmarkStart w:id="23" w:name="three-integrated-segments-fy2024"/>
    <w:p>
      <w:pPr>
        <w:pStyle w:val="Heading3"/>
      </w:pPr>
      <w:r>
        <w:t xml:space="preserve">3.2 Three integrated segments (FY2024)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Profile</w:t>
            </w:r>
          </w:p>
        </w:tc>
      </w:tr>
      <w:tr>
        <w:tc>
          <w:tcPr/>
          <w:p>
            <w:pPr>
              <w:pStyle w:val="Compact"/>
              <w:jc w:val="left"/>
            </w:pPr>
            <w:r>
              <w:t xml:space="preserve">Environmental Remediation</w:t>
            </w:r>
          </w:p>
        </w:tc>
        <w:tc>
          <w:tcPr/>
          <w:p>
            <w:pPr>
              <w:pStyle w:val="Compact"/>
              <w:jc w:val="left"/>
            </w:pPr>
            <w:r>
              <w:t xml:space="preserve">$48.2M</w:t>
            </w:r>
          </w:p>
        </w:tc>
        <w:tc>
          <w:tcPr/>
          <w:p>
            <w:pPr>
              <w:pStyle w:val="Compact"/>
              <w:jc w:val="left"/>
            </w:pPr>
            <w:r>
              <w:t xml:space="preserve">55.2%</w:t>
            </w:r>
          </w:p>
        </w:tc>
        <w:tc>
          <w:tcPr/>
          <w:p>
            <w:pPr>
              <w:pStyle w:val="Compact"/>
              <w:jc w:val="left"/>
            </w:pPr>
            <w:r>
              <w:t xml:space="preserve">Soil/groundwater, UST, site assessments, brownfield, PFAS; PE-overseen; multi-year project lifecycles</w:t>
            </w:r>
          </w:p>
        </w:tc>
      </w:tr>
      <w:tr>
        <w:tc>
          <w:tcPr/>
          <w:p>
            <w:pPr>
              <w:pStyle w:val="Compact"/>
              <w:jc w:val="left"/>
            </w:pPr>
            <w:r>
              <w:t xml:space="preserve">Industrial Cleaning</w:t>
            </w:r>
          </w:p>
        </w:tc>
        <w:tc>
          <w:tcPr/>
          <w:p>
            <w:pPr>
              <w:pStyle w:val="Compact"/>
              <w:jc w:val="left"/>
            </w:pPr>
            <w:r>
              <w:t xml:space="preserve">$27.8M</w:t>
            </w:r>
          </w:p>
        </w:tc>
        <w:tc>
          <w:tcPr/>
          <w:p>
            <w:pPr>
              <w:pStyle w:val="Compact"/>
              <w:jc w:val="left"/>
            </w:pPr>
            <w:r>
              <w:t xml:space="preserve">31.8%</w:t>
            </w:r>
          </w:p>
        </w:tc>
        <w:tc>
          <w:tcPr/>
          <w:p>
            <w:pPr>
              <w:pStyle w:val="Compact"/>
              <w:jc w:val="left"/>
            </w:pPr>
            <w:r>
              <w:t xml:space="preserve">Tank cleaning, hydroblasting, vacuum trucks, confined space; recurring turnaround cycles; MSA-based</w:t>
            </w:r>
          </w:p>
        </w:tc>
      </w:tr>
      <w:tr>
        <w:tc>
          <w:tcPr/>
          <w:p>
            <w:pPr>
              <w:pStyle w:val="Compact"/>
              <w:jc w:val="left"/>
            </w:pPr>
            <w:r>
              <w:t xml:space="preserve">Emergency Response</w:t>
            </w:r>
          </w:p>
        </w:tc>
        <w:tc>
          <w:tcPr/>
          <w:p>
            <w:pPr>
              <w:pStyle w:val="Compact"/>
              <w:jc w:val="left"/>
            </w:pPr>
            <w:r>
              <w:t xml:space="preserve">$11.3M</w:t>
            </w:r>
          </w:p>
        </w:tc>
        <w:tc>
          <w:tcPr/>
          <w:p>
            <w:pPr>
              <w:pStyle w:val="Compact"/>
              <w:jc w:val="left"/>
            </w:pPr>
            <w:r>
              <w:t xml:space="preserve">12.9%</w:t>
            </w:r>
          </w:p>
        </w:tc>
        <w:tc>
          <w:tcPr/>
          <w:p>
            <w:pPr>
              <w:pStyle w:val="Compact"/>
              <w:jc w:val="left"/>
            </w:pPr>
            <w:r>
              <w:t xml:space="preserve">24/7 hazmat spill response; premium pricing; event-driven/variable</w:t>
            </w:r>
          </w:p>
        </w:tc>
      </w:tr>
      <w:tr>
        <w:tc>
          <w:tcPr/>
          <w:p>
            <w:pPr>
              <w:pStyle w:val="Compact"/>
              <w:jc w:val="left"/>
            </w:pPr>
            <w:r>
              <w:rPr>
                <w:b/>
                <w:bCs/>
              </w:rPr>
              <w:t xml:space="preserve">Total</w:t>
            </w:r>
          </w:p>
        </w:tc>
        <w:tc>
          <w:tcPr/>
          <w:p>
            <w:pPr>
              <w:pStyle w:val="Compact"/>
              <w:jc w:val="left"/>
            </w:pPr>
            <w:r>
              <w:rPr>
                <w:b/>
                <w:bCs/>
              </w:rPr>
              <w:t xml:space="preserve">$87.3M</w:t>
            </w:r>
          </w:p>
        </w:tc>
        <w:tc>
          <w:tcPr/>
          <w:p>
            <w:pPr>
              <w:pStyle w:val="Compact"/>
              <w:jc w:val="left"/>
            </w:pPr>
            <w:r>
              <w:rPr>
                <w:b/>
                <w:bCs/>
              </w:rPr>
              <w:t xml:space="preserve">100.0%</w:t>
            </w:r>
          </w:p>
        </w:tc>
        <w:tc>
          <w:tcPr/>
          <w:p>
            <w:pPr>
              <w:pStyle w:val="Compact"/>
            </w:pPr>
          </w:p>
        </w:tc>
      </w:tr>
    </w:tbl>
    <w:bookmarkEnd w:id="23"/>
    <w:bookmarkStart w:id="24" w:name="genuine-positives"/>
    <w:p>
      <w:pPr>
        <w:pStyle w:val="Heading3"/>
      </w:pPr>
      <w:r>
        <w:t xml:space="preserve">3.3 Genuine positives</w:t>
      </w:r>
    </w:p>
    <w:p>
      <w:pPr>
        <w:pStyle w:val="Compact"/>
        <w:numPr>
          <w:ilvl w:val="0"/>
          <w:numId w:val="1002"/>
        </w:numPr>
      </w:pPr>
      <w:r>
        <w:rPr>
          <w:b/>
          <w:bCs/>
        </w:rPr>
        <w:t xml:space="preserve">Real regulatory tailwinds.</w:t>
      </w:r>
      <w:r>
        <w:t xml:space="preserve"> </w:t>
      </w:r>
      <w:r>
        <w:t xml:space="preserve">EPA’s 2024 PFAS drinking-water rule and active Oregon/Washington state enforcement underpin durable, non-discretionary demand. The sector memo confirms the PFAS services market is genuinely attractive (25–35% sector growth).</w:t>
      </w:r>
    </w:p>
    <w:p>
      <w:pPr>
        <w:pStyle w:val="Compact"/>
        <w:numPr>
          <w:ilvl w:val="0"/>
          <w:numId w:val="1002"/>
        </w:numPr>
      </w:pPr>
      <w:r>
        <w:rPr>
          <w:b/>
          <w:bCs/>
        </w:rPr>
        <w:t xml:space="preserve">Integrated platform with switching costs.</w:t>
      </w:r>
      <w:r>
        <w:t xml:space="preserve"> </w:t>
      </w:r>
      <w:r>
        <w:t xml:space="preserve">The three-segment model enables cross-selling and single-source procurement; the Backlog Report cites a ~90% MSA renewal rate and no top-10 customer losses in five years.</w:t>
      </w:r>
    </w:p>
    <w:p>
      <w:pPr>
        <w:pStyle w:val="Compact"/>
        <w:numPr>
          <w:ilvl w:val="0"/>
          <w:numId w:val="1002"/>
        </w:numPr>
      </w:pPr>
      <w:r>
        <w:rPr>
          <w:b/>
          <w:bCs/>
        </w:rPr>
        <w:t xml:space="preserve">Contracted backlog.</w:t>
      </w:r>
      <w:r>
        <w:t xml:space="preserve"> </w:t>
      </w:r>
      <w:r>
        <w:t xml:space="preserve">$42.6M of contracted backlog (77.5% expected to convert in FY2025) provides near-term visibility.</w:t>
      </w:r>
    </w:p>
    <w:p>
      <w:pPr>
        <w:pStyle w:val="Compact"/>
        <w:numPr>
          <w:ilvl w:val="0"/>
          <w:numId w:val="1002"/>
        </w:numPr>
      </w:pPr>
      <w:r>
        <w:rPr>
          <w:b/>
          <w:bCs/>
        </w:rPr>
        <w:t xml:space="preserve">Defensible competitive moat.</w:t>
      </w:r>
      <w:r>
        <w:t xml:space="preserve"> </w:t>
      </w:r>
      <w:r>
        <w:t xml:space="preserve">Multi-state hazardous waste transporter permits, DEQ contractor license, and PE-stamped technical work are slow to replicate.</w:t>
      </w:r>
    </w:p>
    <w:p>
      <w:pPr>
        <w:pStyle w:val="Compact"/>
        <w:numPr>
          <w:ilvl w:val="0"/>
          <w:numId w:val="1002"/>
        </w:numPr>
      </w:pPr>
      <w:r>
        <w:rPr>
          <w:b/>
          <w:bCs/>
        </w:rPr>
        <w:t xml:space="preserve">Fund fit.</w:t>
      </w:r>
      <w:r>
        <w:t xml:space="preserve"> </w:t>
      </w:r>
      <w:r>
        <w:t xml:space="preserve">Sector, geography, and business model fit Fund III’s industrial/environmental services mandate (see caveat in Section 6.11).</w:t>
      </w:r>
    </w:p>
    <w:bookmarkEnd w:id="24"/>
    <w:bookmarkStart w:id="25" w:name="headline-financial-profile-as-presented"/>
    <w:p>
      <w:pPr>
        <w:pStyle w:val="Heading3"/>
      </w:pPr>
      <w:r>
        <w:t xml:space="preserve">3.4 Headline financial profile (as presented)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FY2025E</w:t>
            </w:r>
          </w:p>
        </w:tc>
        <w:tc>
          <w:tcPr/>
          <w:p>
            <w:pPr>
              <w:pStyle w:val="Compact"/>
              <w:jc w:val="left"/>
            </w:pPr>
            <w:r>
              <w:t xml:space="preserve">FY2026E</w:t>
            </w:r>
          </w:p>
        </w:tc>
        <w:tc>
          <w:tcPr/>
          <w:p>
            <w:pPr>
              <w:pStyle w:val="Compact"/>
              <w:jc w:val="left"/>
            </w:pPr>
            <w:r>
              <w:t xml:space="preserve">FY2027E</w:t>
            </w:r>
          </w:p>
        </w:tc>
      </w:tr>
      <w:tr>
        <w:tc>
          <w:tcPr/>
          <w:p>
            <w:pPr>
              <w:pStyle w:val="Compact"/>
              <w:jc w:val="left"/>
            </w:pPr>
            <w:r>
              <w:t xml:space="preserve">Revenue</w:t>
            </w:r>
          </w:p>
        </w:tc>
        <w:tc>
          <w:tcPr/>
          <w:p>
            <w:pPr>
              <w:pStyle w:val="Compact"/>
              <w:jc w:val="left"/>
            </w:pPr>
            <w:r>
              <w:t xml:space="preserve">61.4</w:t>
            </w:r>
          </w:p>
        </w:tc>
        <w:tc>
          <w:tcPr/>
          <w:p>
            <w:pPr>
              <w:pStyle w:val="Compact"/>
              <w:jc w:val="left"/>
            </w:pPr>
            <w:r>
              <w:t xml:space="preserve">68.9</w:t>
            </w:r>
          </w:p>
        </w:tc>
        <w:tc>
          <w:tcPr/>
          <w:p>
            <w:pPr>
              <w:pStyle w:val="Compact"/>
              <w:jc w:val="left"/>
            </w:pPr>
            <w:r>
              <w:t xml:space="preserve">76.1</w:t>
            </w:r>
          </w:p>
        </w:tc>
        <w:tc>
          <w:tcPr/>
          <w:p>
            <w:pPr>
              <w:pStyle w:val="Compact"/>
              <w:jc w:val="left"/>
            </w:pPr>
            <w:r>
              <w:t xml:space="preserve">87.3</w:t>
            </w:r>
          </w:p>
        </w:tc>
        <w:tc>
          <w:tcPr/>
          <w:p>
            <w:pPr>
              <w:pStyle w:val="Compact"/>
              <w:jc w:val="left"/>
            </w:pPr>
            <w:r>
              <w:t xml:space="preserve">98.5</w:t>
            </w:r>
          </w:p>
        </w:tc>
        <w:tc>
          <w:tcPr/>
          <w:p>
            <w:pPr>
              <w:pStyle w:val="Compact"/>
              <w:jc w:val="left"/>
            </w:pPr>
            <w:r>
              <w:t xml:space="preserve">112.0</w:t>
            </w:r>
          </w:p>
        </w:tc>
        <w:tc>
          <w:tcPr/>
          <w:p>
            <w:pPr>
              <w:pStyle w:val="Compact"/>
              <w:jc w:val="left"/>
            </w:pPr>
            <w:r>
              <w:t xml:space="preserve">124.0</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12.2%</w:t>
            </w:r>
          </w:p>
        </w:tc>
        <w:tc>
          <w:tcPr/>
          <w:p>
            <w:pPr>
              <w:pStyle w:val="Compact"/>
              <w:jc w:val="left"/>
            </w:pPr>
            <w:r>
              <w:t xml:space="preserve">10.4%</w:t>
            </w:r>
          </w:p>
        </w:tc>
        <w:tc>
          <w:tcPr/>
          <w:p>
            <w:pPr>
              <w:pStyle w:val="Compact"/>
              <w:jc w:val="left"/>
            </w:pPr>
            <w:r>
              <w:t xml:space="preserve">14.7%</w:t>
            </w:r>
          </w:p>
        </w:tc>
        <w:tc>
          <w:tcPr/>
          <w:p>
            <w:pPr>
              <w:pStyle w:val="Compact"/>
              <w:jc w:val="left"/>
            </w:pPr>
            <w:r>
              <w:t xml:space="preserve">12.8%</w:t>
            </w:r>
          </w:p>
        </w:tc>
        <w:tc>
          <w:tcPr/>
          <w:p>
            <w:pPr>
              <w:pStyle w:val="Compact"/>
              <w:jc w:val="left"/>
            </w:pPr>
            <w:r>
              <w:t xml:space="preserve">13.7%</w:t>
            </w:r>
          </w:p>
        </w:tc>
        <w:tc>
          <w:tcPr/>
          <w:p>
            <w:pPr>
              <w:pStyle w:val="Compact"/>
              <w:jc w:val="left"/>
            </w:pPr>
            <w:r>
              <w:t xml:space="preserve">10.7%</w:t>
            </w:r>
          </w:p>
        </w:tc>
      </w:tr>
      <w:tr>
        <w:tc>
          <w:tcPr/>
          <w:p>
            <w:pPr>
              <w:pStyle w:val="Compact"/>
              <w:jc w:val="left"/>
            </w:pPr>
            <w:r>
              <w:t xml:space="preserve">Reported EBITDA</w:t>
            </w:r>
          </w:p>
        </w:tc>
        <w:tc>
          <w:tcPr/>
          <w:p>
            <w:pPr>
              <w:pStyle w:val="Compact"/>
              <w:jc w:val="left"/>
            </w:pPr>
            <w:r>
              <w:t xml:space="preserve">7.4</w:t>
            </w:r>
          </w:p>
        </w:tc>
        <w:tc>
          <w:tcPr/>
          <w:p>
            <w:pPr>
              <w:pStyle w:val="Compact"/>
              <w:jc w:val="left"/>
            </w:pPr>
            <w:r>
              <w:t xml:space="preserve">8.6</w:t>
            </w:r>
          </w:p>
        </w:tc>
        <w:tc>
          <w:tcPr/>
          <w:p>
            <w:pPr>
              <w:pStyle w:val="Compact"/>
              <w:jc w:val="left"/>
            </w:pPr>
            <w:r>
              <w:t xml:space="preserve">10.3</w:t>
            </w:r>
          </w:p>
        </w:tc>
        <w:tc>
          <w:tcPr/>
          <w:p>
            <w:pPr>
              <w:pStyle w:val="Compact"/>
              <w:jc w:val="left"/>
            </w:pPr>
            <w:r>
              <w:t xml:space="preserve">12.1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Reported EBITDA margin</w:t>
            </w:r>
          </w:p>
        </w:tc>
        <w:tc>
          <w:tcPr/>
          <w:p>
            <w:pPr>
              <w:pStyle w:val="Compact"/>
              <w:jc w:val="left"/>
            </w:pPr>
            <w:r>
              <w:t xml:space="preserve">12.1%</w:t>
            </w:r>
          </w:p>
        </w:tc>
        <w:tc>
          <w:tcPr/>
          <w:p>
            <w:pPr>
              <w:pStyle w:val="Compact"/>
              <w:jc w:val="left"/>
            </w:pPr>
            <w:r>
              <w:t xml:space="preserve">12.5%</w:t>
            </w:r>
          </w:p>
        </w:tc>
        <w:tc>
          <w:tcPr/>
          <w:p>
            <w:pPr>
              <w:pStyle w:val="Compact"/>
              <w:jc w:val="left"/>
            </w:pPr>
            <w:r>
              <w:t xml:space="preserve">13.5%</w:t>
            </w:r>
          </w:p>
        </w:tc>
        <w:tc>
          <w:tcPr/>
          <w:p>
            <w:pPr>
              <w:pStyle w:val="Compact"/>
              <w:jc w:val="left"/>
            </w:pPr>
            <w:r>
              <w:t xml:space="preserve">13.9%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Adjusted EBITDA (sell-side)</w:t>
            </w:r>
          </w:p>
        </w:tc>
        <w:tc>
          <w:tcPr/>
          <w:p>
            <w:pPr>
              <w:pStyle w:val="Compact"/>
              <w:jc w:val="left"/>
            </w:pPr>
            <w:r>
              <w:t xml:space="preserve">9.7</w:t>
            </w:r>
          </w:p>
        </w:tc>
        <w:tc>
          <w:tcPr/>
          <w:p>
            <w:pPr>
              <w:pStyle w:val="Compact"/>
              <w:jc w:val="left"/>
            </w:pPr>
            <w:r>
              <w:t xml:space="preserve">11.1</w:t>
            </w:r>
          </w:p>
        </w:tc>
        <w:tc>
          <w:tcPr/>
          <w:p>
            <w:pPr>
              <w:pStyle w:val="Compact"/>
              <w:jc w:val="left"/>
            </w:pPr>
            <w:r>
              <w:t xml:space="preserve">13.4</w:t>
            </w:r>
          </w:p>
        </w:tc>
        <w:tc>
          <w:tcPr/>
          <w:p>
            <w:pPr>
              <w:pStyle w:val="Compact"/>
              <w:jc w:val="left"/>
            </w:pPr>
            <w:r>
              <w:t xml:space="preserve">17.1</w:t>
            </w:r>
          </w:p>
        </w:tc>
        <w:tc>
          <w:tcPr/>
          <w:p>
            <w:pPr>
              <w:pStyle w:val="Compact"/>
              <w:jc w:val="left"/>
            </w:pPr>
            <w:r>
              <w:t xml:space="preserve">19.7</w:t>
            </w:r>
          </w:p>
        </w:tc>
        <w:tc>
          <w:tcPr/>
          <w:p>
            <w:pPr>
              <w:pStyle w:val="Compact"/>
              <w:jc w:val="left"/>
            </w:pPr>
            <w:r>
              <w:t xml:space="preserve">23.5</w:t>
            </w:r>
          </w:p>
        </w:tc>
        <w:tc>
          <w:tcPr/>
          <w:p>
            <w:pPr>
              <w:pStyle w:val="Compact"/>
              <w:jc w:val="left"/>
            </w:pPr>
            <w:r>
              <w:t xml:space="preserve">26.7</w:t>
            </w:r>
          </w:p>
        </w:tc>
      </w:tr>
      <w:tr>
        <w:tc>
          <w:tcPr/>
          <w:p>
            <w:pPr>
              <w:pStyle w:val="Compact"/>
              <w:jc w:val="left"/>
            </w:pPr>
            <w:r>
              <w:t xml:space="preserve">Adjusted EBITDA margin</w:t>
            </w:r>
          </w:p>
        </w:tc>
        <w:tc>
          <w:tcPr/>
          <w:p>
            <w:pPr>
              <w:pStyle w:val="Compact"/>
              <w:jc w:val="left"/>
            </w:pPr>
            <w:r>
              <w:t xml:space="preserve">15.8%</w:t>
            </w:r>
          </w:p>
        </w:tc>
        <w:tc>
          <w:tcPr/>
          <w:p>
            <w:pPr>
              <w:pStyle w:val="Compact"/>
              <w:jc w:val="left"/>
            </w:pPr>
            <w:r>
              <w:t xml:space="preserve">16.1%</w:t>
            </w:r>
          </w:p>
        </w:tc>
        <w:tc>
          <w:tcPr/>
          <w:p>
            <w:pPr>
              <w:pStyle w:val="Compact"/>
              <w:jc w:val="left"/>
            </w:pPr>
            <w:r>
              <w:t xml:space="preserve">17.6%</w:t>
            </w:r>
          </w:p>
        </w:tc>
        <w:tc>
          <w:tcPr/>
          <w:p>
            <w:pPr>
              <w:pStyle w:val="Compact"/>
              <w:jc w:val="left"/>
            </w:pPr>
            <w:r>
              <w:t xml:space="preserve">19.6%</w:t>
            </w:r>
          </w:p>
        </w:tc>
        <w:tc>
          <w:tcPr/>
          <w:p>
            <w:pPr>
              <w:pStyle w:val="Compact"/>
              <w:jc w:val="left"/>
            </w:pPr>
            <w:r>
              <w:t xml:space="preserve">20.0%</w:t>
            </w:r>
          </w:p>
        </w:tc>
        <w:tc>
          <w:tcPr/>
          <w:p>
            <w:pPr>
              <w:pStyle w:val="Compact"/>
              <w:jc w:val="left"/>
            </w:pPr>
            <w:r>
              <w:t xml:space="preserve">21.0%</w:t>
            </w:r>
          </w:p>
        </w:tc>
        <w:tc>
          <w:tcPr/>
          <w:p>
            <w:pPr>
              <w:pStyle w:val="Compact"/>
              <w:jc w:val="left"/>
            </w:pPr>
            <w:r>
              <w:t xml:space="preserve">21.5%</w:t>
            </w:r>
          </w:p>
        </w:tc>
      </w:tr>
    </w:tbl>
    <w:p>
      <w:pPr>
        <w:pStyle w:val="BodyText"/>
      </w:pPr>
      <w:r>
        <w:t xml:space="preserve">Reported EBITDA margin (13.9%) sits comfortably within the sector range of 10–15%, indicating a reasonably well-managed core operation. The concerns arise in the bridge from reported to Adjusted EBITDA and in the projections — addressed below.</w:t>
      </w:r>
    </w:p>
    <w:p>
      <w:r>
        <w:pict>
          <v:rect style="width:0;height:1.5pt" o:hralign="center" o:hrstd="t" o:hr="t"/>
        </w:pict>
      </w:r>
    </w:p>
    <w:bookmarkEnd w:id="25"/>
    <w:bookmarkEnd w:id="26"/>
    <w:bookmarkStart w:id="33" w:name="X2c32dca5a10dbb5db9558ee148bc510f9d93a40"/>
    <w:p>
      <w:pPr>
        <w:pStyle w:val="Heading2"/>
      </w:pPr>
      <w:r>
        <w:t xml:space="preserve">4. Financial Profile and Quality of Earnings</w:t>
      </w:r>
    </w:p>
    <w:bookmarkStart w:id="27" w:name="the-growth-story-is-a-pfas-story"/>
    <w:p>
      <w:pPr>
        <w:pStyle w:val="Heading3"/>
      </w:pPr>
      <w:r>
        <w:t xml:space="preserve">4.1 The growth story is a PFAS story</w:t>
      </w:r>
    </w:p>
    <w:p>
      <w:pPr>
        <w:pStyle w:val="FirstParagraph"/>
      </w:pPr>
      <w:r>
        <w:t xml:space="preserve">The Financial Exhibits break Environmental Remediation into PFAS and</w:t>
      </w:r>
      <w:r>
        <w:t xml:space="preserve"> </w:t>
      </w:r>
      <w:r>
        <w:t xml:space="preserve">“</w:t>
      </w:r>
      <w:r>
        <w:t xml:space="preserve">Traditional Remediation.</w:t>
      </w:r>
      <w:r>
        <w:t xml:space="preserve">”</w:t>
      </w:r>
      <w:r>
        <w:t xml:space="preserve"> </w:t>
      </w:r>
      <w:r>
        <w:t xml:space="preserve">This breakout is the single most important analytical insight in the data room and is not surfaced in the CIM:</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w:t>
            </w: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FY2026E</w:t>
            </w:r>
          </w:p>
        </w:tc>
        <w:tc>
          <w:tcPr/>
          <w:p>
            <w:pPr>
              <w:pStyle w:val="Compact"/>
              <w:jc w:val="left"/>
            </w:pPr>
            <w:r>
              <w:t xml:space="preserve">FY2027E</w:t>
            </w:r>
          </w:p>
        </w:tc>
        <w:tc>
          <w:tcPr/>
          <w:p>
            <w:pPr>
              <w:pStyle w:val="Compact"/>
              <w:jc w:val="left"/>
            </w:pPr>
            <w:r>
              <w:t xml:space="preserve">CAGR (FY24–FY27E)</w:t>
            </w:r>
          </w:p>
        </w:tc>
      </w:tr>
      <w:tr>
        <w:tc>
          <w:tcPr/>
          <w:p>
            <w:pPr>
              <w:pStyle w:val="Compact"/>
              <w:jc w:val="left"/>
            </w:pPr>
            <w:r>
              <w:t xml:space="preserve">Traditional Remediation</w:t>
            </w:r>
          </w:p>
        </w:tc>
        <w:tc>
          <w:tcPr/>
          <w:p>
            <w:pPr>
              <w:pStyle w:val="Compact"/>
              <w:jc w:val="left"/>
            </w:pPr>
            <w:r>
              <w:t xml:space="preserve">42.0</w:t>
            </w:r>
          </w:p>
        </w:tc>
        <w:tc>
          <w:tcPr/>
          <w:p>
            <w:pPr>
              <w:pStyle w:val="Compact"/>
              <w:jc w:val="left"/>
            </w:pPr>
            <w:r>
              <w:t xml:space="preserve">42.5</w:t>
            </w:r>
          </w:p>
        </w:tc>
        <w:tc>
          <w:tcPr/>
          <w:p>
            <w:pPr>
              <w:pStyle w:val="Compact"/>
              <w:jc w:val="left"/>
            </w:pPr>
            <w:r>
              <w:t xml:space="preserve">44.0</w:t>
            </w:r>
          </w:p>
        </w:tc>
        <w:tc>
          <w:tcPr/>
          <w:p>
            <w:pPr>
              <w:pStyle w:val="Compact"/>
              <w:jc w:val="left"/>
            </w:pPr>
            <w:r>
              <w:t xml:space="preserve">46.5</w:t>
            </w:r>
          </w:p>
        </w:tc>
        <w:tc>
          <w:tcPr/>
          <w:p>
            <w:pPr>
              <w:pStyle w:val="Compact"/>
              <w:jc w:val="left"/>
            </w:pPr>
            <w:r>
              <w:t xml:space="preserve">~3.5%</w:t>
            </w:r>
          </w:p>
        </w:tc>
      </w:tr>
      <w:tr>
        <w:tc>
          <w:tcPr/>
          <w:p>
            <w:pPr>
              <w:pStyle w:val="Compact"/>
              <w:jc w:val="left"/>
            </w:pPr>
            <w:r>
              <w:t xml:space="preserve">PFAS Remediation</w:t>
            </w:r>
          </w:p>
        </w:tc>
        <w:tc>
          <w:tcPr/>
          <w:p>
            <w:pPr>
              <w:pStyle w:val="Compact"/>
              <w:jc w:val="left"/>
            </w:pPr>
            <w:r>
              <w:t xml:space="preserve">6.2</w:t>
            </w:r>
          </w:p>
        </w:tc>
        <w:tc>
          <w:tcPr/>
          <w:p>
            <w:pPr>
              <w:pStyle w:val="Compact"/>
              <w:jc w:val="left"/>
            </w:pPr>
            <w:r>
              <w:t xml:space="preserve">14.0</w:t>
            </w:r>
          </w:p>
        </w:tc>
        <w:tc>
          <w:tcPr/>
          <w:p>
            <w:pPr>
              <w:pStyle w:val="Compact"/>
              <w:jc w:val="left"/>
            </w:pPr>
            <w:r>
              <w:t xml:space="preserve">22.0</w:t>
            </w:r>
          </w:p>
        </w:tc>
        <w:tc>
          <w:tcPr/>
          <w:p>
            <w:pPr>
              <w:pStyle w:val="Compact"/>
              <w:jc w:val="left"/>
            </w:pPr>
            <w:r>
              <w:t xml:space="preserve">27.0</w:t>
            </w:r>
          </w:p>
        </w:tc>
        <w:tc>
          <w:tcPr/>
          <w:p>
            <w:pPr>
              <w:pStyle w:val="Compact"/>
              <w:jc w:val="left"/>
            </w:pPr>
            <w:r>
              <w:t xml:space="preserve">~63%</w:t>
            </w:r>
          </w:p>
        </w:tc>
      </w:tr>
      <w:tr>
        <w:tc>
          <w:tcPr/>
          <w:p>
            <w:pPr>
              <w:pStyle w:val="Compact"/>
              <w:jc w:val="left"/>
            </w:pPr>
            <w:r>
              <w:t xml:space="preserve">Industrial Cleaning</w:t>
            </w:r>
          </w:p>
        </w:tc>
        <w:tc>
          <w:tcPr/>
          <w:p>
            <w:pPr>
              <w:pStyle w:val="Compact"/>
              <w:jc w:val="left"/>
            </w:pPr>
            <w:r>
              <w:t xml:space="preserve">27.8</w:t>
            </w:r>
          </w:p>
        </w:tc>
        <w:tc>
          <w:tcPr/>
          <w:p>
            <w:pPr>
              <w:pStyle w:val="Compact"/>
              <w:jc w:val="left"/>
            </w:pPr>
            <w:r>
              <w:t xml:space="preserve">30.2</w:t>
            </w:r>
          </w:p>
        </w:tc>
        <w:tc>
          <w:tcPr/>
          <w:p>
            <w:pPr>
              <w:pStyle w:val="Compact"/>
              <w:jc w:val="left"/>
            </w:pPr>
            <w:r>
              <w:t xml:space="preserve">33.0</w:t>
            </w:r>
          </w:p>
        </w:tc>
        <w:tc>
          <w:tcPr/>
          <w:p>
            <w:pPr>
              <w:pStyle w:val="Compact"/>
              <w:jc w:val="left"/>
            </w:pPr>
            <w:r>
              <w:t xml:space="preserve">35.5</w:t>
            </w:r>
          </w:p>
        </w:tc>
        <w:tc>
          <w:tcPr/>
          <w:p>
            <w:pPr>
              <w:pStyle w:val="Compact"/>
              <w:jc w:val="left"/>
            </w:pPr>
            <w:r>
              <w:t xml:space="preserve">~8.5%</w:t>
            </w:r>
          </w:p>
        </w:tc>
      </w:tr>
      <w:tr>
        <w:tc>
          <w:tcPr/>
          <w:p>
            <w:pPr>
              <w:pStyle w:val="Compact"/>
              <w:jc w:val="left"/>
            </w:pPr>
            <w:r>
              <w:t xml:space="preserve">Emergency Response</w:t>
            </w:r>
          </w:p>
        </w:tc>
        <w:tc>
          <w:tcPr/>
          <w:p>
            <w:pPr>
              <w:pStyle w:val="Compact"/>
              <w:jc w:val="left"/>
            </w:pPr>
            <w:r>
              <w:t xml:space="preserve">11.3</w:t>
            </w:r>
          </w:p>
        </w:tc>
        <w:tc>
          <w:tcPr/>
          <w:p>
            <w:pPr>
              <w:pStyle w:val="Compact"/>
              <w:jc w:val="left"/>
            </w:pPr>
            <w:r>
              <w:t xml:space="preserve">11.8</w:t>
            </w:r>
          </w:p>
        </w:tc>
        <w:tc>
          <w:tcPr/>
          <w:p>
            <w:pPr>
              <w:pStyle w:val="Compact"/>
              <w:jc w:val="left"/>
            </w:pPr>
            <w:r>
              <w:t xml:space="preserve">13.0</w:t>
            </w:r>
          </w:p>
        </w:tc>
        <w:tc>
          <w:tcPr/>
          <w:p>
            <w:pPr>
              <w:pStyle w:val="Compact"/>
              <w:jc w:val="left"/>
            </w:pPr>
            <w:r>
              <w:t xml:space="preserve">15.0</w:t>
            </w:r>
          </w:p>
        </w:tc>
        <w:tc>
          <w:tcPr/>
          <w:p>
            <w:pPr>
              <w:pStyle w:val="Compact"/>
              <w:jc w:val="left"/>
            </w:pPr>
            <w:r>
              <w:t xml:space="preserve">~10%</w:t>
            </w:r>
          </w:p>
        </w:tc>
      </w:tr>
      <w:tr>
        <w:tc>
          <w:tcPr/>
          <w:p>
            <w:pPr>
              <w:pStyle w:val="Compact"/>
              <w:jc w:val="left"/>
            </w:pPr>
            <w:r>
              <w:rPr>
                <w:b/>
                <w:bCs/>
              </w:rPr>
              <w:t xml:space="preserve">Total</w:t>
            </w:r>
          </w:p>
        </w:tc>
        <w:tc>
          <w:tcPr/>
          <w:p>
            <w:pPr>
              <w:pStyle w:val="Compact"/>
              <w:jc w:val="left"/>
            </w:pPr>
            <w:r>
              <w:rPr>
                <w:b/>
                <w:bCs/>
              </w:rPr>
              <w:t xml:space="preserve">87.3</w:t>
            </w:r>
          </w:p>
        </w:tc>
        <w:tc>
          <w:tcPr/>
          <w:p>
            <w:pPr>
              <w:pStyle w:val="Compact"/>
              <w:jc w:val="left"/>
            </w:pPr>
            <w:r>
              <w:rPr>
                <w:b/>
                <w:bCs/>
              </w:rPr>
              <w:t xml:space="preserve">98.5</w:t>
            </w:r>
          </w:p>
        </w:tc>
        <w:tc>
          <w:tcPr/>
          <w:p>
            <w:pPr>
              <w:pStyle w:val="Compact"/>
              <w:jc w:val="left"/>
            </w:pPr>
            <w:r>
              <w:rPr>
                <w:b/>
                <w:bCs/>
              </w:rPr>
              <w:t xml:space="preserve">112.0</w:t>
            </w:r>
          </w:p>
        </w:tc>
        <w:tc>
          <w:tcPr/>
          <w:p>
            <w:pPr>
              <w:pStyle w:val="Compact"/>
              <w:jc w:val="left"/>
            </w:pPr>
            <w:r>
              <w:rPr>
                <w:b/>
                <w:bCs/>
              </w:rPr>
              <w:t xml:space="preserve">124.0</w:t>
            </w:r>
          </w:p>
        </w:tc>
        <w:tc>
          <w:tcPr/>
          <w:p>
            <w:pPr>
              <w:pStyle w:val="Compact"/>
              <w:jc w:val="left"/>
            </w:pPr>
            <w:r>
              <w:rPr>
                <w:b/>
                <w:bCs/>
              </w:rPr>
              <w:t xml:space="preserve">~12.4%</w:t>
            </w:r>
          </w:p>
        </w:tc>
      </w:tr>
      <w:tr>
        <w:tc>
          <w:tcPr/>
          <w:p>
            <w:pPr>
              <w:pStyle w:val="Compact"/>
              <w:jc w:val="left"/>
            </w:pPr>
            <w:r>
              <w:rPr>
                <w:b/>
                <w:bCs/>
              </w:rPr>
              <w:t xml:space="preserve">Total ex-PFAS</w:t>
            </w:r>
          </w:p>
        </w:tc>
        <w:tc>
          <w:tcPr/>
          <w:p>
            <w:pPr>
              <w:pStyle w:val="Compact"/>
              <w:jc w:val="left"/>
            </w:pPr>
            <w:r>
              <w:rPr>
                <w:b/>
                <w:bCs/>
              </w:rPr>
              <w:t xml:space="preserve">81.1</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97.0</w:t>
            </w:r>
          </w:p>
        </w:tc>
        <w:tc>
          <w:tcPr/>
          <w:p>
            <w:pPr>
              <w:pStyle w:val="Compact"/>
              <w:jc w:val="left"/>
            </w:pPr>
            <w:r>
              <w:rPr>
                <w:b/>
                <w:bCs/>
              </w:rPr>
              <w:t xml:space="preserve">~6.1%</w:t>
            </w:r>
          </w:p>
        </w:tc>
      </w:tr>
    </w:tbl>
    <w:p>
      <w:pPr>
        <w:pStyle w:val="BodyText"/>
      </w:pPr>
      <w:r>
        <w:rPr>
          <w:b/>
          <w:bCs/>
        </w:rPr>
        <w:t xml:space="preserve">Implication:</w:t>
      </w:r>
      <w:r>
        <w:t xml:space="preserve"> </w:t>
      </w:r>
      <w:r>
        <w:t xml:space="preserve">Strip out PFAS and CES is a ~6% organic grower — a mature core business (traditional remediation essentially flat at ~3.5%) supplemented by mid-single-to-high-single-digit growth in industrial cleaning and emergency response. The entire premium growth narrative — and the projected margin expansion from 13.9% reported to 20%+ adjusted — depends on PFAS, a service line launched in 2022 that is projected to more than double in FY2025E. PFAS is expected to drive ~64% of incremental revenue from FY2024 to FY2026E. A buyer is, in effect, paying a growth-platform multiple for a mature business plus an embedded, high-risk call option on PFAS execution.</w:t>
      </w:r>
    </w:p>
    <w:bookmarkEnd w:id="27"/>
    <w:bookmarkStart w:id="28" w:name="X267821672d57c35fc300cbcda0584ab7a48f5b7"/>
    <w:p>
      <w:pPr>
        <w:pStyle w:val="Heading3"/>
      </w:pPr>
      <w:r>
        <w:t xml:space="preserve">4.2 FY2024 Adjusted EBITDA bridge — defensibility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Adjustment</w:t>
            </w:r>
          </w:p>
        </w:tc>
        <w:tc>
          <w:tcPr/>
          <w:p>
            <w:pPr>
              <w:pStyle w:val="Compact"/>
              <w:jc w:val="left"/>
            </w:pPr>
            <w:r>
              <w:t xml:space="preserve">Sell-side ($M)</w:t>
            </w:r>
          </w:p>
        </w:tc>
        <w:tc>
          <w:tcPr/>
          <w:p>
            <w:pPr>
              <w:pStyle w:val="Compact"/>
              <w:jc w:val="left"/>
            </w:pPr>
            <w:r>
              <w:t xml:space="preserve">Buy-side base ($M)</w:t>
            </w:r>
          </w:p>
        </w:tc>
        <w:tc>
          <w:tcPr/>
          <w:p>
            <w:pPr>
              <w:pStyle w:val="Compact"/>
              <w:jc w:val="left"/>
            </w:pPr>
            <w:r>
              <w:t xml:space="preserve">Assessment</w:t>
            </w:r>
          </w:p>
        </w:tc>
      </w:tr>
      <w:tr>
        <w:tc>
          <w:tcPr/>
          <w:p>
            <w:pPr>
              <w:pStyle w:val="Compact"/>
              <w:jc w:val="left"/>
            </w:pPr>
            <w:r>
              <w:t xml:space="preserve">Reported EBITDA</w:t>
            </w:r>
          </w:p>
        </w:tc>
        <w:tc>
          <w:tcPr/>
          <w:p>
            <w:pPr>
              <w:pStyle w:val="Compact"/>
              <w:jc w:val="left"/>
            </w:pPr>
            <w:r>
              <w:t xml:space="preserve">12.1</w:t>
            </w:r>
          </w:p>
        </w:tc>
        <w:tc>
          <w:tcPr/>
          <w:p>
            <w:pPr>
              <w:pStyle w:val="Compact"/>
              <w:jc w:val="left"/>
            </w:pPr>
            <w:r>
              <w:t xml:space="preserve">12.1</w:t>
            </w:r>
          </w:p>
        </w:tc>
        <w:tc>
          <w:tcPr/>
          <w:p>
            <w:pPr>
              <w:pStyle w:val="Compact"/>
              <w:jc w:val="left"/>
            </w:pPr>
            <w:r>
              <w:t xml:space="preserve">Agreed; within sector range</w:t>
            </w:r>
          </w:p>
        </w:tc>
      </w:tr>
      <w:tr>
        <w:tc>
          <w:tcPr/>
          <w:p>
            <w:pPr>
              <w:pStyle w:val="Compact"/>
              <w:jc w:val="left"/>
            </w:pPr>
            <w:r>
              <w:t xml:space="preserve">Owner compensation normalization</w:t>
            </w:r>
          </w:p>
        </w:tc>
        <w:tc>
          <w:tcPr/>
          <w:p>
            <w:pPr>
              <w:pStyle w:val="Compact"/>
              <w:jc w:val="left"/>
            </w:pPr>
            <w:r>
              <w:t xml:space="preserve">+1.9</w:t>
            </w:r>
          </w:p>
        </w:tc>
        <w:tc>
          <w:tcPr/>
          <w:p>
            <w:pPr>
              <w:pStyle w:val="Compact"/>
              <w:jc w:val="left"/>
            </w:pPr>
            <w:r>
              <w:t xml:space="preserve">+1.6</w:t>
            </w:r>
          </w:p>
        </w:tc>
        <w:tc>
          <w:tcPr/>
          <w:p>
            <w:pPr>
              <w:pStyle w:val="Compact"/>
              <w:jc w:val="left"/>
            </w:pPr>
            <w:r>
              <w:t xml:space="preserve">Concept defensible; magnitude questionable (see 4.3)</w:t>
            </w:r>
          </w:p>
        </w:tc>
      </w:tr>
      <w:tr>
        <w:tc>
          <w:tcPr/>
          <w:p>
            <w:pPr>
              <w:pStyle w:val="Compact"/>
              <w:jc w:val="left"/>
            </w:pPr>
            <w:r>
              <w:t xml:space="preserve">Related-party lease normalization</w:t>
            </w:r>
          </w:p>
        </w:tc>
        <w:tc>
          <w:tcPr/>
          <w:p>
            <w:pPr>
              <w:pStyle w:val="Compact"/>
              <w:jc w:val="left"/>
            </w:pPr>
            <w:r>
              <w:t xml:space="preserve">+0.8</w:t>
            </w:r>
          </w:p>
        </w:tc>
        <w:tc>
          <w:tcPr/>
          <w:p>
            <w:pPr>
              <w:pStyle w:val="Compact"/>
              <w:jc w:val="left"/>
            </w:pPr>
            <w:r>
              <w:t xml:space="preserve">+0.3</w:t>
            </w:r>
          </w:p>
        </w:tc>
        <w:tc>
          <w:tcPr/>
          <w:p>
            <w:pPr>
              <w:pStyle w:val="Compact"/>
              <w:jc w:val="left"/>
            </w:pPr>
            <w:r>
              <w:t xml:space="preserve">Overstated — CIM’s own industry section contradicts the $0.6M market rent used (see 4.4)</w:t>
            </w:r>
          </w:p>
        </w:tc>
      </w:tr>
      <w:tr>
        <w:tc>
          <w:tcPr/>
          <w:p>
            <w:pPr>
              <w:pStyle w:val="Compact"/>
              <w:jc w:val="left"/>
            </w:pPr>
            <w:r>
              <w:t xml:space="preserve">One-time legal / regulatory (DEQ)</w:t>
            </w:r>
          </w:p>
        </w:tc>
        <w:tc>
          <w:tcPr/>
          <w:p>
            <w:pPr>
              <w:pStyle w:val="Compact"/>
              <w:jc w:val="left"/>
            </w:pPr>
            <w:r>
              <w:t xml:space="preserve">+1.2</w:t>
            </w:r>
          </w:p>
        </w:tc>
        <w:tc>
          <w:tcPr/>
          <w:p>
            <w:pPr>
              <w:pStyle w:val="Compact"/>
              <w:jc w:val="left"/>
            </w:pPr>
            <w:r>
              <w:t xml:space="preserve">+0.9</w:t>
            </w:r>
          </w:p>
        </w:tc>
        <w:tc>
          <w:tcPr/>
          <w:p>
            <w:pPr>
              <w:pStyle w:val="Compact"/>
              <w:jc w:val="left"/>
            </w:pPr>
            <w:r>
              <w:t xml:space="preserve">Only the excess over a recurring run-rate is defensible (see 4.5)</w:t>
            </w:r>
          </w:p>
        </w:tc>
      </w:tr>
      <w:tr>
        <w:tc>
          <w:tcPr/>
          <w:p>
            <w:pPr>
              <w:pStyle w:val="Compact"/>
              <w:jc w:val="left"/>
            </w:pPr>
            <w:r>
              <w:t xml:space="preserve">Non-recurring equipment relocation (Boise)</w:t>
            </w:r>
          </w:p>
        </w:tc>
        <w:tc>
          <w:tcPr/>
          <w:p>
            <w:pPr>
              <w:pStyle w:val="Compact"/>
              <w:jc w:val="left"/>
            </w:pPr>
            <w:r>
              <w:t xml:space="preserve">+0.4</w:t>
            </w:r>
          </w:p>
        </w:tc>
        <w:tc>
          <w:tcPr/>
          <w:p>
            <w:pPr>
              <w:pStyle w:val="Compact"/>
              <w:jc w:val="left"/>
            </w:pPr>
            <w:r>
              <w:t xml:space="preserve">0.0</w:t>
            </w:r>
          </w:p>
        </w:tc>
        <w:tc>
          <w:tcPr/>
          <w:p>
            <w:pPr>
              <w:pStyle w:val="Compact"/>
              <w:jc w:val="left"/>
            </w:pPr>
            <w:r>
              <w:t xml:space="preserve">Reclassify as growth capex — depot expansion to support growth</w:t>
            </w:r>
          </w:p>
        </w:tc>
      </w:tr>
      <w:tr>
        <w:tc>
          <w:tcPr/>
          <w:p>
            <w:pPr>
              <w:pStyle w:val="Compact"/>
              <w:jc w:val="left"/>
            </w:pPr>
            <w:r>
              <w:t xml:space="preserve">Stock-based comp (phantom units)</w:t>
            </w:r>
          </w:p>
        </w:tc>
        <w:tc>
          <w:tcPr/>
          <w:p>
            <w:pPr>
              <w:pStyle w:val="Compact"/>
              <w:jc w:val="left"/>
            </w:pPr>
            <w:r>
              <w:t xml:space="preserve">+0.3</w:t>
            </w:r>
          </w:p>
        </w:tc>
        <w:tc>
          <w:tcPr/>
          <w:p>
            <w:pPr>
              <w:pStyle w:val="Compact"/>
              <w:jc w:val="left"/>
            </w:pPr>
            <w:r>
              <w:t xml:space="preserve">+0.3</w:t>
            </w:r>
          </w:p>
        </w:tc>
        <w:tc>
          <w:tcPr/>
          <w:p>
            <w:pPr>
              <w:pStyle w:val="Compact"/>
              <w:jc w:val="left"/>
            </w:pPr>
            <w:r>
              <w:t xml:space="preserve">Non-cash; defensible, but the cash settlement at closing is a separate deal cost (see 6.8)</w:t>
            </w:r>
          </w:p>
        </w:tc>
      </w:tr>
      <w:tr>
        <w:tc>
          <w:tcPr/>
          <w:p>
            <w:pPr>
              <w:pStyle w:val="Compact"/>
              <w:jc w:val="left"/>
            </w:pPr>
            <w:r>
              <w:t xml:space="preserve">One-time IT / ERP</w:t>
            </w:r>
          </w:p>
        </w:tc>
        <w:tc>
          <w:tcPr/>
          <w:p>
            <w:pPr>
              <w:pStyle w:val="Compact"/>
              <w:jc w:val="left"/>
            </w:pPr>
            <w:r>
              <w:t xml:space="preserve">+0.1</w:t>
            </w:r>
          </w:p>
        </w:tc>
        <w:tc>
          <w:tcPr/>
          <w:p>
            <w:pPr>
              <w:pStyle w:val="Compact"/>
              <w:jc w:val="left"/>
            </w:pPr>
            <w:r>
              <w:t xml:space="preserve">+0.1</w:t>
            </w:r>
          </w:p>
        </w:tc>
        <w:tc>
          <w:tcPr/>
          <w:p>
            <w:pPr>
              <w:pStyle w:val="Compact"/>
              <w:jc w:val="left"/>
            </w:pPr>
            <w:r>
              <w:t xml:space="preserve">Defensible</w:t>
            </w:r>
          </w:p>
        </w:tc>
      </w:tr>
      <w:tr>
        <w:tc>
          <w:tcPr/>
          <w:p>
            <w:pPr>
              <w:pStyle w:val="Compact"/>
              <w:jc w:val="left"/>
            </w:pPr>
            <w:r>
              <w:rPr>
                <w:b/>
                <w:bCs/>
              </w:rPr>
              <w:t xml:space="preserve">Adjusted EBITDA</w:t>
            </w:r>
          </w:p>
        </w:tc>
        <w:tc>
          <w:tcPr/>
          <w:p>
            <w:pPr>
              <w:pStyle w:val="Compact"/>
              <w:jc w:val="left"/>
            </w:pPr>
            <w:r>
              <w:rPr>
                <w:b/>
                <w:bCs/>
              </w:rPr>
              <w:t xml:space="preserve">17.1</w:t>
            </w:r>
          </w:p>
        </w:tc>
        <w:tc>
          <w:tcPr/>
          <w:p>
            <w:pPr>
              <w:pStyle w:val="Compact"/>
              <w:jc w:val="left"/>
            </w:pPr>
            <w:r>
              <w:rPr>
                <w:b/>
                <w:bCs/>
              </w:rPr>
              <w:t xml:space="preserve">~15.0</w:t>
            </w:r>
          </w:p>
        </w:tc>
        <w:tc>
          <w:tcPr/>
          <w:p>
            <w:pPr>
              <w:pStyle w:val="Compact"/>
              <w:jc w:val="left"/>
            </w:pPr>
            <w:r>
              <w:rPr>
                <w:b/>
                <w:bCs/>
              </w:rPr>
              <w:t xml:space="preserve">Sell-side overstated by ~$1.8M–$2.3M</w:t>
            </w:r>
          </w:p>
        </w:tc>
      </w:tr>
    </w:tbl>
    <w:p>
      <w:pPr>
        <w:pStyle w:val="BodyText"/>
      </w:pPr>
      <w:r>
        <w:t xml:space="preserve">A conservative reconstruction (lower owner-comp add-back, minimal lease add-back, $0.5M regulatory run-rate) yields ~$14.5M. We therefore use a defensible Adjusted EBITDA range of</w:t>
      </w:r>
      <w:r>
        <w:t xml:space="preserve"> </w:t>
      </w:r>
      <w:r>
        <w:rPr>
          <w:b/>
          <w:bCs/>
        </w:rPr>
        <w:t xml:space="preserve">$14.5M–$15.5M</w:t>
      </w:r>
      <w:r>
        <w:t xml:space="preserve"> </w:t>
      </w:r>
      <w:r>
        <w:t xml:space="preserve">(base ~$15.0M). At an 8.0x–9.0x multiple, the ~$1.8M–$2.3M overstatement equates to roughly</w:t>
      </w:r>
      <w:r>
        <w:t xml:space="preserve"> </w:t>
      </w:r>
      <w:r>
        <w:rPr>
          <w:b/>
          <w:bCs/>
        </w:rPr>
        <w:t xml:space="preserve">$15M–$21M of enterprise value</w:t>
      </w:r>
      <w:r>
        <w:t xml:space="preserve">.</w:t>
      </w:r>
    </w:p>
    <w:bookmarkEnd w:id="28"/>
    <w:bookmarkStart w:id="29" w:name="X550350766c7b12f37cc3c65dce0f4cbe989df45"/>
    <w:p>
      <w:pPr>
        <w:pStyle w:val="Heading3"/>
      </w:pPr>
      <w:r>
        <w:t xml:space="preserve">4.3 Owner compensation normalization ($1.9M add-back)</w:t>
      </w:r>
    </w:p>
    <w:p>
      <w:pPr>
        <w:pStyle w:val="FirstParagraph"/>
      </w:pPr>
      <w:r>
        <w:t xml:space="preserve">Mr. Oakes’ total FY2024 compensation is stated at ~$2.4M (salary, bonus, benefits, and</w:t>
      </w:r>
      <w:r>
        <w:t xml:space="preserve"> </w:t>
      </w:r>
      <w:r>
        <w:t xml:space="preserve">“</w:t>
      </w:r>
      <w:r>
        <w:t xml:space="preserve">personal expenses allocated to the Company</w:t>
      </w:r>
      <w:r>
        <w:t xml:space="preserve">”</w:t>
      </w:r>
      <w:r>
        <w:t xml:space="preserve">), normalized to a $0.5M replacement CEO. Two issues:</w:t>
      </w:r>
    </w:p>
    <w:p>
      <w:pPr>
        <w:pStyle w:val="Compact"/>
        <w:numPr>
          <w:ilvl w:val="0"/>
          <w:numId w:val="1003"/>
        </w:numPr>
      </w:pPr>
      <w:r>
        <w:rPr>
          <w:b/>
          <w:bCs/>
        </w:rPr>
        <w:t xml:space="preserve">The $0.5M replacement assumption is aggressive.</w:t>
      </w:r>
      <w:r>
        <w:t xml:space="preserve"> </w:t>
      </w:r>
      <w:r>
        <w:t xml:space="preserve">A CEO for an $87M-revenue, 412-employee, multi-state regulated services business would more realistically command $0.7M–$1.0M all-in, reducing the defensible add-back to ~$1.4M–$1.7M. The $2.4M figure also includes</w:t>
      </w:r>
      <w:r>
        <w:t xml:space="preserve"> </w:t>
      </w:r>
      <w:r>
        <w:t xml:space="preserve">“</w:t>
      </w:r>
      <w:r>
        <w:t xml:space="preserve">personal expenses allocated to the Company,</w:t>
      </w:r>
      <w:r>
        <w:t xml:space="preserve">”</w:t>
      </w:r>
      <w:r>
        <w:t xml:space="preserve"> </w:t>
      </w:r>
      <w:r>
        <w:t xml:space="preserve">which must be independently verified as truly personal and non-recurring during QoE.</w:t>
      </w:r>
    </w:p>
    <w:p>
      <w:pPr>
        <w:pStyle w:val="Compact"/>
        <w:numPr>
          <w:ilvl w:val="0"/>
          <w:numId w:val="1003"/>
        </w:numPr>
      </w:pPr>
      <w:r>
        <w:rPr>
          <w:b/>
          <w:bCs/>
        </w:rPr>
        <w:t xml:space="preserve">The projections assume $0 CEO compensation.</w:t>
      </w:r>
      <w:r>
        <w:t xml:space="preserve"> </w:t>
      </w:r>
      <w:r>
        <w:t xml:space="preserve">The Financial Exhibits show Owner Compensation of $0 for FY2025E–FY2027E (Mr. Oakes removed) but do</w:t>
      </w:r>
      <w:r>
        <w:t xml:space="preserve"> </w:t>
      </w:r>
      <w:r>
        <w:rPr>
          <w:b/>
          <w:bCs/>
        </w:rPr>
        <w:t xml:space="preserve">not</w:t>
      </w:r>
      <w:r>
        <w:t xml:space="preserve"> </w:t>
      </w:r>
      <w:r>
        <w:t xml:space="preserve">add a replacement CEO cost. Projected Adjusted EBITDA is therefore overstated by the full cost of a real replacement CEO (~$0.5M–$0.8M per year), on top of the historical-bridge concerns.</w:t>
      </w:r>
    </w:p>
    <w:bookmarkEnd w:id="29"/>
    <w:bookmarkStart w:id="30" w:name="X2b0e0c639dc05b70bae289c0fb110d290fbbef6"/>
    <w:p>
      <w:pPr>
        <w:pStyle w:val="Heading3"/>
      </w:pPr>
      <w:r>
        <w:t xml:space="preserve">4.4 Related-party lease normalization ($0.8M add-back) — internally contradicted by the CIM</w:t>
      </w:r>
    </w:p>
    <w:p>
      <w:pPr>
        <w:pStyle w:val="FirstParagraph"/>
      </w:pPr>
      <w:r>
        <w:t xml:space="preserve">CES pays $1.4M annual rent to Mr. Oakes for the 8.5-acre Portland HQ. The bridge normalizes to a $0.6M</w:t>
      </w:r>
      <w:r>
        <w:t xml:space="preserve"> </w:t>
      </w:r>
      <w:r>
        <w:t xml:space="preserve">“</w:t>
      </w:r>
      <w:r>
        <w:t xml:space="preserve">market rent,</w:t>
      </w:r>
      <w:r>
        <w:t xml:space="preserve">”</w:t>
      </w:r>
      <w:r>
        <w:t xml:space="preserve"> </w:t>
      </w:r>
      <w:r>
        <w:t xml:space="preserve">yielding the $0.8M add-back.</w:t>
      </w:r>
      <w:r>
        <w:t xml:space="preserve"> </w:t>
      </w:r>
      <w:r>
        <w:rPr>
          <w:b/>
          <w:bCs/>
        </w:rPr>
        <w:t xml:space="preserve">However, the CIM’s own Industry Overview states that</w:t>
      </w:r>
      <w:r>
        <w:rPr>
          <w:b/>
          <w:bCs/>
        </w:rPr>
        <w:t xml:space="preserve"> </w:t>
      </w:r>
      <w:r>
        <w:rPr>
          <w:b/>
          <w:bCs/>
        </w:rPr>
        <w:t xml:space="preserve">“</w:t>
      </w:r>
      <w:r>
        <w:rPr>
          <w:b/>
          <w:bCs/>
        </w:rPr>
        <w:t xml:space="preserve">specialized environmental staging facilities command[ing] rates of $1.0 million to $1.2 million annually for properties of comparable acreage and infrastructure.</w:t>
      </w:r>
      <w:r>
        <w:rPr>
          <w:b/>
          <w:bCs/>
        </w:rPr>
        <w:t xml:space="preserve">”</w:t>
      </w:r>
      <w:r>
        <w:t xml:space="preserve"> </w:t>
      </w:r>
      <w:r>
        <w:t xml:space="preserve">CES’s facility is precisely such a purpose-built specialized environmental staging facility (permitted wash rack, secondary containment, soil stockpile areas, etc.). The appropriate market comparable is therefore $1.0M–$1.2M, not $0.6M, which implies above-market rent of only</w:t>
      </w:r>
      <w:r>
        <w:t xml:space="preserve"> </w:t>
      </w:r>
      <w:r>
        <w:rPr>
          <w:b/>
          <w:bCs/>
        </w:rPr>
        <w:t xml:space="preserve">$0.2M–$0.4M</w:t>
      </w:r>
      <w:r>
        <w:t xml:space="preserve"> </w:t>
      </w:r>
      <w:r>
        <w:t xml:space="preserve">— not $0.8M. The add-back is overstated by roughly</w:t>
      </w:r>
      <w:r>
        <w:t xml:space="preserve"> </w:t>
      </w:r>
      <w:r>
        <w:rPr>
          <w:b/>
          <w:bCs/>
        </w:rPr>
        <w:t xml:space="preserve">$0.4M–$0.6M</w:t>
      </w:r>
      <w:r>
        <w:t xml:space="preserve">.</w:t>
      </w:r>
    </w:p>
    <w:p>
      <w:pPr>
        <w:pStyle w:val="BodyText"/>
      </w:pPr>
      <w:r>
        <w:t xml:space="preserve">This is also a post-close structuring problem, not merely an EBITDA adjustment: the buyer must either (a) acquire the property from Mr. Oakes at fair value (a capital outlay outside EBITDA), (b) negotiate a market-rate lease with a seller who is transitioning out and may value the income stream, or (c) relocate from a customized, purpose-built facility at significant cost and operational disruption. The process letter requires bidders to state their treatment. Note also that the projections retain the full $1.4M lease expense (i.e., they do</w:t>
      </w:r>
      <w:r>
        <w:t xml:space="preserve"> </w:t>
      </w:r>
      <w:r>
        <w:rPr>
          <w:b/>
          <w:bCs/>
        </w:rPr>
        <w:t xml:space="preserve">not</w:t>
      </w:r>
      <w:r>
        <w:t xml:space="preserve"> </w:t>
      </w:r>
      <w:r>
        <w:t xml:space="preserve">normalize the lease), creating an inconsistency between the historical bridge (normalized) and the projections (unnormalized).</w:t>
      </w:r>
    </w:p>
    <w:bookmarkEnd w:id="30"/>
    <w:bookmarkStart w:id="31" w:name="Xde967c010c0019fe74ea4d8c527b2c6bce5ca2e"/>
    <w:p>
      <w:pPr>
        <w:pStyle w:val="Heading3"/>
      </w:pPr>
      <w:r>
        <w:t xml:space="preserve">4.5 Regulatory / legal add-back ($1.2M) — likely partially recurring</w:t>
      </w:r>
    </w:p>
    <w:p>
      <w:pPr>
        <w:pStyle w:val="FirstParagraph"/>
      </w:pPr>
      <w:r>
        <w:t xml:space="preserve">The $1.2M add-back comprises an $875K Oregon DEQ settlement (August 14, 2024, for improper storage of contaminated soils at the Portland facility) plus $325K of associated legal fees. Per the sector memo and our GreenWorks/Allied Waste experience, environmental services companies of this size incur</w:t>
      </w:r>
      <w:r>
        <w:t xml:space="preserve"> </w:t>
      </w:r>
      <w:r>
        <w:rPr>
          <w:b/>
          <w:bCs/>
        </w:rPr>
        <w:t xml:space="preserve">$200K–$500K of recurring regulatory and compliance costs annually</w:t>
      </w:r>
      <w:r>
        <w:t xml:space="preserve"> </w:t>
      </w:r>
      <w:r>
        <w:t xml:space="preserve">(routine defense, permit renewals, compliance audits, minor enforcement responses). Best-practice QoE adds back only the amount</w:t>
      </w:r>
      <w:r>
        <w:t xml:space="preserve"> </w:t>
      </w:r>
      <w:r>
        <w:rPr>
          <w:b/>
          <w:bCs/>
        </w:rPr>
        <w:t xml:space="preserve">in excess of</w:t>
      </w:r>
      <w:r>
        <w:t xml:space="preserve"> </w:t>
      </w:r>
      <w:r>
        <w:t xml:space="preserve">a normalized run-rate, not the full expense.</w:t>
      </w:r>
    </w:p>
    <w:p>
      <w:pPr>
        <w:pStyle w:val="Compact"/>
        <w:numPr>
          <w:ilvl w:val="0"/>
          <w:numId w:val="1004"/>
        </w:numPr>
      </w:pPr>
      <w:r>
        <w:t xml:space="preserve">If a $0.3M run-rate is appropriate, the defensible add-back is ~$0.9M (not $1.2M).</w:t>
      </w:r>
    </w:p>
    <w:p>
      <w:pPr>
        <w:pStyle w:val="Compact"/>
        <w:numPr>
          <w:ilvl w:val="0"/>
          <w:numId w:val="1004"/>
        </w:numPr>
      </w:pPr>
      <w:r>
        <w:t xml:space="preserve">If a $0.5M run-rate is appropriate, the defensible add-back is ~$0.7M.</w:t>
      </w:r>
    </w:p>
    <w:p>
      <w:pPr>
        <w:pStyle w:val="FirstParagraph"/>
      </w:pPr>
      <w:r>
        <w:t xml:space="preserve">The overstatement (~$0.3M–$0.5M) translates to ~$2.4M–$5.0M of enterprise value at an 8.0x–10.0x multiple. Two aggravating factors: (i) the violation occurred at the Portland facility, which is</w:t>
      </w:r>
      <w:r>
        <w:t xml:space="preserve"> </w:t>
      </w:r>
      <w:r>
        <w:rPr>
          <w:b/>
          <w:bCs/>
        </w:rPr>
        <w:t xml:space="preserve">owned by Mr. Oakes</w:t>
      </w:r>
      <w:r>
        <w:t xml:space="preserve"> </w:t>
      </w:r>
      <w:r>
        <w:t xml:space="preserve">(a related-party property), raising questions about whether the issue is facility-related as well as operational; and (ii) Oregon DEQ enforcement is described in the sector memo as</w:t>
      </w:r>
      <w:r>
        <w:t xml:space="preserve"> </w:t>
      </w:r>
      <w:r>
        <w:t xml:space="preserve">“</w:t>
      </w:r>
      <w:r>
        <w:t xml:space="preserve">particularly active.</w:t>
      </w:r>
      <w:r>
        <w:t xml:space="preserve">”</w:t>
      </w:r>
      <w:r>
        <w:t xml:space="preserve"> </w:t>
      </w:r>
      <w:r>
        <w:t xml:space="preserve">We must obtain CES’s full 10-year enforcement history to assess whether this is truly isolated or symptomatic.</w:t>
      </w:r>
    </w:p>
    <w:bookmarkEnd w:id="31"/>
    <w:bookmarkStart w:id="32" w:name="X67b3edc78ac454e2280fd5af9d10878b0282f77"/>
    <w:p>
      <w:pPr>
        <w:pStyle w:val="Heading3"/>
      </w:pPr>
      <w:r>
        <w:t xml:space="preserve">4.6 Cash conversion is weak — the EBITDA multiple overstates the cash return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Adjusted EBITDA (sell-side)</w:t>
            </w:r>
          </w:p>
        </w:tc>
        <w:tc>
          <w:tcPr/>
          <w:p>
            <w:pPr>
              <w:pStyle w:val="Compact"/>
              <w:jc w:val="left"/>
            </w:pPr>
            <w:r>
              <w:t xml:space="preserve">9.7</w:t>
            </w:r>
          </w:p>
        </w:tc>
        <w:tc>
          <w:tcPr/>
          <w:p>
            <w:pPr>
              <w:pStyle w:val="Compact"/>
              <w:jc w:val="left"/>
            </w:pPr>
            <w:r>
              <w:t xml:space="preserve">11.1</w:t>
            </w:r>
          </w:p>
        </w:tc>
        <w:tc>
          <w:tcPr/>
          <w:p>
            <w:pPr>
              <w:pStyle w:val="Compact"/>
              <w:jc w:val="left"/>
            </w:pPr>
            <w:r>
              <w:t xml:space="preserve">13.4</w:t>
            </w:r>
          </w:p>
        </w:tc>
        <w:tc>
          <w:tcPr/>
          <w:p>
            <w:pPr>
              <w:pStyle w:val="Compact"/>
              <w:jc w:val="left"/>
            </w:pPr>
            <w:r>
              <w:t xml:space="preserve">17.1</w:t>
            </w:r>
          </w:p>
        </w:tc>
      </w:tr>
      <w:tr>
        <w:tc>
          <w:tcPr/>
          <w:p>
            <w:pPr>
              <w:pStyle w:val="Compact"/>
              <w:jc w:val="left"/>
            </w:pPr>
            <w:r>
              <w:t xml:space="preserve">Free cash flow (per Financial Exhibits)</w:t>
            </w:r>
          </w:p>
        </w:tc>
        <w:tc>
          <w:tcPr/>
          <w:p>
            <w:pPr>
              <w:pStyle w:val="Compact"/>
              <w:jc w:val="left"/>
            </w:pPr>
            <w:r>
              <w:t xml:space="preserve">2.8</w:t>
            </w:r>
          </w:p>
        </w:tc>
        <w:tc>
          <w:tcPr/>
          <w:p>
            <w:pPr>
              <w:pStyle w:val="Compact"/>
              <w:jc w:val="left"/>
            </w:pPr>
            <w:r>
              <w:t xml:space="preserve">2.9</w:t>
            </w:r>
          </w:p>
        </w:tc>
        <w:tc>
          <w:tcPr/>
          <w:p>
            <w:pPr>
              <w:pStyle w:val="Compact"/>
              <w:jc w:val="left"/>
            </w:pPr>
            <w:r>
              <w:t xml:space="preserve">3.3</w:t>
            </w:r>
          </w:p>
        </w:tc>
        <w:tc>
          <w:tcPr/>
          <w:p>
            <w:pPr>
              <w:pStyle w:val="Compact"/>
              <w:jc w:val="left"/>
            </w:pPr>
            <w:r>
              <w:t xml:space="preserve">2.8</w:t>
            </w:r>
          </w:p>
        </w:tc>
      </w:tr>
      <w:tr>
        <w:tc>
          <w:tcPr/>
          <w:p>
            <w:pPr>
              <w:pStyle w:val="Compact"/>
              <w:jc w:val="left"/>
            </w:pPr>
            <w:r>
              <w:t xml:space="preserve">FCF / Adjusted EBITDA</w:t>
            </w:r>
          </w:p>
        </w:tc>
        <w:tc>
          <w:tcPr/>
          <w:p>
            <w:pPr>
              <w:pStyle w:val="Compact"/>
              <w:jc w:val="left"/>
            </w:pPr>
            <w:r>
              <w:t xml:space="preserve">~29%</w:t>
            </w:r>
          </w:p>
        </w:tc>
        <w:tc>
          <w:tcPr/>
          <w:p>
            <w:pPr>
              <w:pStyle w:val="Compact"/>
              <w:jc w:val="left"/>
            </w:pPr>
            <w:r>
              <w:t xml:space="preserve">~26%</w:t>
            </w:r>
          </w:p>
        </w:tc>
        <w:tc>
          <w:tcPr/>
          <w:p>
            <w:pPr>
              <w:pStyle w:val="Compact"/>
              <w:jc w:val="left"/>
            </w:pPr>
            <w:r>
              <w:t xml:space="preserve">~25%</w:t>
            </w:r>
          </w:p>
        </w:tc>
        <w:tc>
          <w:tcPr/>
          <w:p>
            <w:pPr>
              <w:pStyle w:val="Compact"/>
              <w:jc w:val="left"/>
            </w:pPr>
            <w:r>
              <w:t xml:space="preserve">~16%</w:t>
            </w:r>
          </w:p>
        </w:tc>
      </w:tr>
    </w:tbl>
    <w:p>
      <w:pPr>
        <w:pStyle w:val="BodyText"/>
      </w:pPr>
      <w:r>
        <w:t xml:space="preserve">Free cash flow conversion has declined as the Company has grown, because revenue growth consumes working capital (accounts receivable grew $2.1M in FY2024 alone) and capex has been elevated ($7.2M in FY2024). Even on the more favorable Financial Exhibits figures, FY2024 FCF of ~$2.8M against Adjusted EBITDA of $17.1M is only ~16% conversion. At our base-case EV of ~$128M, the FCF yield is only</w:t>
      </w:r>
      <w:r>
        <w:t xml:space="preserve"> </w:t>
      </w:r>
      <w:r>
        <w:rPr>
          <w:b/>
          <w:bCs/>
        </w:rPr>
        <w:t xml:space="preserve">~2.1%</w:t>
      </w:r>
      <w:r>
        <w:t xml:space="preserve">. The buyer is paying an ~8.5x EBITDA multiple but an effective ~45x–60x FCF multiple; the investment case requires FCF to grow materially via margin expansion and working-capital efficiency, both of which are uncertain. Any valuation discussion should be grounded in projected FCF, not headline EBITDA.</w:t>
      </w:r>
    </w:p>
    <w:p>
      <w:r>
        <w:pict>
          <v:rect style="width:0;height:1.5pt" o:hralign="center" o:hrstd="t" o:hr="t"/>
        </w:pict>
      </w:r>
    </w:p>
    <w:bookmarkEnd w:id="32"/>
    <w:bookmarkEnd w:id="33"/>
    <w:bookmarkStart w:id="41" w:name="X8816f952751ce4a883af7bbc047b113a48afaa0"/>
    <w:p>
      <w:pPr>
        <w:pStyle w:val="Heading2"/>
      </w:pPr>
      <w:r>
        <w:t xml:space="preserve">5. Financial Inconsistencies Across the Data Room</w:t>
      </w:r>
    </w:p>
    <w:p>
      <w:pPr>
        <w:pStyle w:val="FirstParagraph"/>
      </w:pPr>
      <w:r>
        <w:t xml:space="preserve">A central purpose of this memo is to flag that</w:t>
      </w:r>
      <w:r>
        <w:t xml:space="preserve"> </w:t>
      </w:r>
      <w:r>
        <w:rPr>
          <w:b/>
          <w:bCs/>
        </w:rPr>
        <w:t xml:space="preserve">the sell-side materials do not reconcile to one another</w:t>
      </w:r>
      <w:r>
        <w:t xml:space="preserve">. These are not rounding differences; several are material. All must be resolved via the audited financial statements and a quality-of-earnings report before a binding bid.</w:t>
      </w:r>
    </w:p>
    <w:bookmarkStart w:id="34" w:name="X6eaac1e788debc91020b8bf13f27178ebf7648f"/>
    <w:p>
      <w:pPr>
        <w:pStyle w:val="Heading3"/>
      </w:pPr>
      <w:r>
        <w:t xml:space="preserve">5.1 Income statement — CIM Appendix A vs. Financial Exhibits</w:t>
      </w:r>
    </w:p>
    <w:p>
      <w:pPr>
        <w:pStyle w:val="FirstParagraph"/>
      </w:pPr>
      <w:r>
        <w:t xml:space="preserve">Both documents report identical revenue ($87.3M) and Reported EBITDA ($12.1M) for FY2024, but disagree on virtually every line in between: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FY2024 ($M)</w:t>
            </w:r>
          </w:p>
        </w:tc>
        <w:tc>
          <w:tcPr/>
          <w:p>
            <w:pPr>
              <w:pStyle w:val="Compact"/>
              <w:jc w:val="left"/>
            </w:pPr>
            <w:r>
              <w:t xml:space="preserve">CIM Appendix A</w:t>
            </w:r>
          </w:p>
        </w:tc>
        <w:tc>
          <w:tcPr/>
          <w:p>
            <w:pPr>
              <w:pStyle w:val="Compact"/>
              <w:jc w:val="left"/>
            </w:pPr>
            <w:r>
              <w:t xml:space="preserve">Financial Exhibits</w:t>
            </w:r>
          </w:p>
        </w:tc>
      </w:tr>
      <w:tr>
        <w:tc>
          <w:tcPr/>
          <w:p>
            <w:pPr>
              <w:pStyle w:val="Compact"/>
              <w:jc w:val="left"/>
            </w:pPr>
            <w:r>
              <w:t xml:space="preserve">Cost of revenue</w:t>
            </w:r>
          </w:p>
        </w:tc>
        <w:tc>
          <w:tcPr/>
          <w:p>
            <w:pPr>
              <w:pStyle w:val="Compact"/>
              <w:jc w:val="left"/>
            </w:pPr>
            <w:r>
              <w:t xml:space="preserve">(57.8)</w:t>
            </w:r>
          </w:p>
        </w:tc>
        <w:tc>
          <w:tcPr/>
          <w:p>
            <w:pPr>
              <w:pStyle w:val="Compact"/>
              <w:jc w:val="left"/>
            </w:pPr>
            <w:r>
              <w:t xml:space="preserve">(58.5)</w:t>
            </w:r>
          </w:p>
        </w:tc>
      </w:tr>
      <w:tr>
        <w:tc>
          <w:tcPr/>
          <w:p>
            <w:pPr>
              <w:pStyle w:val="Compact"/>
              <w:jc w:val="left"/>
            </w:pPr>
            <w:r>
              <w:t xml:space="preserve">Gross profit</w:t>
            </w:r>
          </w:p>
        </w:tc>
        <w:tc>
          <w:tcPr/>
          <w:p>
            <w:pPr>
              <w:pStyle w:val="Compact"/>
              <w:jc w:val="left"/>
            </w:pPr>
            <w:r>
              <w:t xml:space="preserve">29.5</w:t>
            </w:r>
          </w:p>
        </w:tc>
        <w:tc>
          <w:tcPr/>
          <w:p>
            <w:pPr>
              <w:pStyle w:val="Compact"/>
              <w:jc w:val="left"/>
            </w:pPr>
            <w:r>
              <w:t xml:space="preserve">28.8</w:t>
            </w:r>
          </w:p>
        </w:tc>
      </w:tr>
      <w:tr>
        <w:tc>
          <w:tcPr/>
          <w:p>
            <w:pPr>
              <w:pStyle w:val="Compact"/>
              <w:jc w:val="left"/>
            </w:pPr>
            <w:r>
              <w:t xml:space="preserve">Gross margin</w:t>
            </w:r>
          </w:p>
        </w:tc>
        <w:tc>
          <w:tcPr/>
          <w:p>
            <w:pPr>
              <w:pStyle w:val="Compact"/>
              <w:jc w:val="left"/>
            </w:pPr>
            <w:r>
              <w:t xml:space="preserve">33.8%</w:t>
            </w:r>
          </w:p>
        </w:tc>
        <w:tc>
          <w:tcPr/>
          <w:p>
            <w:pPr>
              <w:pStyle w:val="Compact"/>
              <w:jc w:val="left"/>
            </w:pPr>
            <w:r>
              <w:t xml:space="preserve">33.0%</w:t>
            </w:r>
          </w:p>
        </w:tc>
      </w:tr>
      <w:tr>
        <w:tc>
          <w:tcPr/>
          <w:p>
            <w:pPr>
              <w:pStyle w:val="Compact"/>
              <w:jc w:val="left"/>
            </w:pPr>
            <w:r>
              <w:t xml:space="preserve">Total operating expenses (below GP)</w:t>
            </w:r>
          </w:p>
        </w:tc>
        <w:tc>
          <w:tcPr/>
          <w:p>
            <w:pPr>
              <w:pStyle w:val="Compact"/>
              <w:jc w:val="left"/>
            </w:pPr>
            <w:r>
              <w:t xml:space="preserve">(17.4)</w:t>
            </w:r>
          </w:p>
        </w:tc>
        <w:tc>
          <w:tcPr/>
          <w:p>
            <w:pPr>
              <w:pStyle w:val="Compact"/>
              <w:jc w:val="left"/>
            </w:pPr>
            <w:r>
              <w:t xml:space="preserve">(17.7)</w:t>
            </w:r>
          </w:p>
        </w:tc>
      </w:tr>
      <w:tr>
        <w:tc>
          <w:tcPr/>
          <w:p>
            <w:pPr>
              <w:pStyle w:val="Compact"/>
              <w:jc w:val="left"/>
            </w:pPr>
            <w:r>
              <w:t xml:space="preserve">Operating income (EBIT)</w:t>
            </w:r>
          </w:p>
        </w:tc>
        <w:tc>
          <w:tcPr/>
          <w:p>
            <w:pPr>
              <w:pStyle w:val="Compact"/>
              <w:jc w:val="left"/>
            </w:pPr>
            <w:r>
              <w:t xml:space="preserve">7.8</w:t>
            </w:r>
          </w:p>
        </w:tc>
        <w:tc>
          <w:tcPr/>
          <w:p>
            <w:pPr>
              <w:pStyle w:val="Compact"/>
              <w:jc w:val="left"/>
            </w:pPr>
            <w:r>
              <w:t xml:space="preserve">11.1</w:t>
            </w:r>
          </w:p>
        </w:tc>
      </w:tr>
      <w:tr>
        <w:tc>
          <w:tcPr/>
          <w:p>
            <w:pPr>
              <w:pStyle w:val="Compact"/>
              <w:jc w:val="left"/>
            </w:pPr>
            <w:r>
              <w:t xml:space="preserve">Net income</w:t>
            </w:r>
          </w:p>
        </w:tc>
        <w:tc>
          <w:tcPr/>
          <w:p>
            <w:pPr>
              <w:pStyle w:val="Compact"/>
              <w:jc w:val="left"/>
            </w:pPr>
            <w:r>
              <w:t xml:space="preserve">5.0</w:t>
            </w:r>
          </w:p>
        </w:tc>
        <w:tc>
          <w:tcPr/>
          <w:p>
            <w:pPr>
              <w:pStyle w:val="Compact"/>
              <w:jc w:val="left"/>
            </w:pPr>
            <w:r>
              <w:t xml:space="preserve">6.7</w:t>
            </w:r>
          </w:p>
        </w:tc>
      </w:tr>
    </w:tbl>
    <w:bookmarkEnd w:id="34"/>
    <w:bookmarkStart w:id="35" w:name="Xe77e3fdeaa71db31b6c2dd9fb1bae006ec0f71d"/>
    <w:p>
      <w:pPr>
        <w:pStyle w:val="Heading3"/>
      </w:pPr>
      <w:r>
        <w:t xml:space="preserve">5.2 Financial Exhibits income statement does not internally reconcile</w:t>
      </w:r>
    </w:p>
    <w:p>
      <w:pPr>
        <w:pStyle w:val="FirstParagraph"/>
      </w:pPr>
      <w:r>
        <w:t xml:space="preserve">The Financial Exhibits’ own income statement fails to tie:</w:t>
      </w:r>
      <w:r>
        <w:t xml:space="preserve"> </w:t>
      </w:r>
      <w:r>
        <w:rPr>
          <w:b/>
          <w:bCs/>
        </w:rPr>
        <w:t xml:space="preserve">Operating Income (EBIT) of $11.1M + D&amp;A of $4.2M = $15.3M, which is ~$3.2M higher than the stated Reported EBITDA of $12.1M.</w:t>
      </w:r>
      <w:r>
        <w:t xml:space="preserve"> </w:t>
      </w:r>
      <w:r>
        <w:t xml:space="preserve">The CIM, by contrast, is internally consistent ($12.1M EBITDA − $4.3M D&amp;A = $7.8M operating income). Either the Financial Exhibits’ operating income is overstated, D&amp;A is double-counted, or Reported EBITDA is understated — but the workbook as delivered does not reconcile. This must be the first item resolved with management and the auditor.</w:t>
      </w:r>
    </w:p>
    <w:bookmarkEnd w:id="35"/>
    <w:bookmarkStart w:id="36" w:name="X6f062e62a5dfed9be51e5f9448c2379e30b11f1"/>
    <w:p>
      <w:pPr>
        <w:pStyle w:val="Heading3"/>
      </w:pPr>
      <w:r>
        <w:t xml:space="preserve">5.3 Balance sheet — CIM vs. Financial Exhibits (as of 12/31/2024)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w:t>
            </w:r>
          </w:p>
        </w:tc>
        <w:tc>
          <w:tcPr/>
          <w:p>
            <w:pPr>
              <w:pStyle w:val="Compact"/>
              <w:jc w:val="left"/>
            </w:pPr>
            <w:r>
              <w:t xml:space="preserve">CIM</w:t>
            </w:r>
          </w:p>
        </w:tc>
        <w:tc>
          <w:tcPr/>
          <w:p>
            <w:pPr>
              <w:pStyle w:val="Compact"/>
              <w:jc w:val="left"/>
            </w:pPr>
            <w:r>
              <w:t xml:space="preserve">Financial Exhibits</w:t>
            </w:r>
          </w:p>
        </w:tc>
      </w:tr>
      <w:tr>
        <w:tc>
          <w:tcPr/>
          <w:p>
            <w:pPr>
              <w:pStyle w:val="Compact"/>
              <w:jc w:val="left"/>
            </w:pPr>
            <w:r>
              <w:t xml:space="preserve">Cash</w:t>
            </w:r>
          </w:p>
        </w:tc>
        <w:tc>
          <w:tcPr/>
          <w:p>
            <w:pPr>
              <w:pStyle w:val="Compact"/>
              <w:jc w:val="left"/>
            </w:pPr>
            <w:r>
              <w:t xml:space="preserve">2.3</w:t>
            </w:r>
          </w:p>
        </w:tc>
        <w:tc>
          <w:tcPr/>
          <w:p>
            <w:pPr>
              <w:pStyle w:val="Compact"/>
              <w:jc w:val="left"/>
            </w:pPr>
            <w:r>
              <w:t xml:space="preserve">4.1</w:t>
            </w:r>
          </w:p>
        </w:tc>
      </w:tr>
      <w:tr>
        <w:tc>
          <w:tcPr/>
          <w:p>
            <w:pPr>
              <w:pStyle w:val="Compact"/>
              <w:jc w:val="left"/>
            </w:pPr>
            <w:r>
              <w:t xml:space="preserve">Total current assets</w:t>
            </w:r>
          </w:p>
        </w:tc>
        <w:tc>
          <w:tcPr/>
          <w:p>
            <w:pPr>
              <w:pStyle w:val="Compact"/>
              <w:jc w:val="left"/>
            </w:pPr>
            <w:r>
              <w:t xml:space="preserve">24.0</w:t>
            </w:r>
          </w:p>
        </w:tc>
        <w:tc>
          <w:tcPr/>
          <w:p>
            <w:pPr>
              <w:pStyle w:val="Compact"/>
              <w:jc w:val="left"/>
            </w:pPr>
            <w:r>
              <w:t xml:space="preserve">25.1</w:t>
            </w:r>
          </w:p>
        </w:tc>
      </w:tr>
      <w:tr>
        <w:tc>
          <w:tcPr/>
          <w:p>
            <w:pPr>
              <w:pStyle w:val="Compact"/>
              <w:jc w:val="left"/>
            </w:pPr>
            <w:r>
              <w:t xml:space="preserve">PP&amp;E, net</w:t>
            </w:r>
          </w:p>
        </w:tc>
        <w:tc>
          <w:tcPr/>
          <w:p>
            <w:pPr>
              <w:pStyle w:val="Compact"/>
              <w:jc w:val="left"/>
            </w:pPr>
            <w:r>
              <w:t xml:space="preserve">18.7</w:t>
            </w:r>
          </w:p>
        </w:tc>
        <w:tc>
          <w:tcPr/>
          <w:p>
            <w:pPr>
              <w:pStyle w:val="Compact"/>
              <w:jc w:val="left"/>
            </w:pPr>
            <w:r>
              <w:t xml:space="preserve">21.3</w:t>
            </w:r>
          </w:p>
        </w:tc>
      </w:tr>
      <w:tr>
        <w:tc>
          <w:tcPr/>
          <w:p>
            <w:pPr>
              <w:pStyle w:val="Compact"/>
              <w:jc w:val="left"/>
            </w:pPr>
            <w:r>
              <w:t xml:space="preserve">Goodwill &amp; intangibles</w:t>
            </w:r>
          </w:p>
        </w:tc>
        <w:tc>
          <w:tcPr/>
          <w:p>
            <w:pPr>
              <w:pStyle w:val="Compact"/>
              <w:jc w:val="left"/>
            </w:pPr>
            <w:r>
              <w:t xml:space="preserve">not mentioned</w:t>
            </w:r>
          </w:p>
        </w:tc>
        <w:tc>
          <w:tcPr/>
          <w:p>
            <w:pPr>
              <w:pStyle w:val="Compact"/>
              <w:jc w:val="left"/>
            </w:pPr>
            <w:r>
              <w:t xml:space="preserve">2.5</w:t>
            </w:r>
          </w:p>
        </w:tc>
      </w:tr>
      <w:tr>
        <w:tc>
          <w:tcPr/>
          <w:p>
            <w:pPr>
              <w:pStyle w:val="Compact"/>
              <w:jc w:val="left"/>
            </w:pPr>
            <w:r>
              <w:t xml:space="preserve">Total assets</w:t>
            </w:r>
          </w:p>
        </w:tc>
        <w:tc>
          <w:tcPr/>
          <w:p>
            <w:pPr>
              <w:pStyle w:val="Compact"/>
              <w:jc w:val="left"/>
            </w:pPr>
            <w:r>
              <w:t xml:space="preserve">46.1</w:t>
            </w:r>
          </w:p>
        </w:tc>
        <w:tc>
          <w:tcPr/>
          <w:p>
            <w:pPr>
              <w:pStyle w:val="Compact"/>
              <w:jc w:val="left"/>
            </w:pPr>
            <w:r>
              <w:t xml:space="preserve">50.0</w:t>
            </w:r>
          </w:p>
        </w:tc>
      </w:tr>
      <w:tr>
        <w:tc>
          <w:tcPr/>
          <w:p>
            <w:pPr>
              <w:pStyle w:val="Compact"/>
              <w:jc w:val="left"/>
            </w:pPr>
            <w:r>
              <w:t xml:space="preserve">Accounts payable</w:t>
            </w:r>
          </w:p>
        </w:tc>
        <w:tc>
          <w:tcPr/>
          <w:p>
            <w:pPr>
              <w:pStyle w:val="Compact"/>
              <w:jc w:val="left"/>
            </w:pPr>
            <w:r>
              <w:t xml:space="preserve">5.4</w:t>
            </w:r>
          </w:p>
        </w:tc>
        <w:tc>
          <w:tcPr/>
          <w:p>
            <w:pPr>
              <w:pStyle w:val="Compact"/>
              <w:jc w:val="left"/>
            </w:pPr>
            <w:r>
              <w:t xml:space="preserve">6.1</w:t>
            </w:r>
          </w:p>
        </w:tc>
      </w:tr>
      <w:tr>
        <w:tc>
          <w:tcPr/>
          <w:p>
            <w:pPr>
              <w:pStyle w:val="Compact"/>
              <w:jc w:val="left"/>
            </w:pPr>
            <w:r>
              <w:t xml:space="preserve">Total current liabilities</w:t>
            </w:r>
          </w:p>
        </w:tc>
        <w:tc>
          <w:tcPr/>
          <w:p>
            <w:pPr>
              <w:pStyle w:val="Compact"/>
              <w:jc w:val="left"/>
            </w:pPr>
            <w:r>
              <w:t xml:space="preserve">12.2</w:t>
            </w:r>
          </w:p>
        </w:tc>
        <w:tc>
          <w:tcPr/>
          <w:p>
            <w:pPr>
              <w:pStyle w:val="Compact"/>
              <w:jc w:val="left"/>
            </w:pPr>
            <w:r>
              <w:t xml:space="preserve">13.3</w:t>
            </w:r>
          </w:p>
        </w:tc>
      </w:tr>
      <w:tr>
        <w:tc>
          <w:tcPr/>
          <w:p>
            <w:pPr>
              <w:pStyle w:val="Compact"/>
              <w:jc w:val="left"/>
            </w:pPr>
            <w:r>
              <w:t xml:space="preserve">Total debt</w:t>
            </w:r>
          </w:p>
        </w:tc>
        <w:tc>
          <w:tcPr/>
          <w:p>
            <w:pPr>
              <w:pStyle w:val="Compact"/>
              <w:jc w:val="left"/>
            </w:pPr>
            <w:r>
              <w:t xml:space="preserve">17.3</w:t>
            </w:r>
          </w:p>
        </w:tc>
        <w:tc>
          <w:tcPr/>
          <w:p>
            <w:pPr>
              <w:pStyle w:val="Compact"/>
              <w:jc w:val="left"/>
            </w:pPr>
            <w:r>
              <w:t xml:space="preserve">19.1</w:t>
            </w:r>
          </w:p>
        </w:tc>
      </w:tr>
      <w:tr>
        <w:tc>
          <w:tcPr/>
          <w:p>
            <w:pPr>
              <w:pStyle w:val="Compact"/>
              <w:jc w:val="left"/>
            </w:pPr>
            <w:r>
              <w:t xml:space="preserve">Total liabilities</w:t>
            </w:r>
          </w:p>
        </w:tc>
        <w:tc>
          <w:tcPr/>
          <w:p>
            <w:pPr>
              <w:pStyle w:val="Compact"/>
              <w:jc w:val="left"/>
            </w:pPr>
            <w:r>
              <w:t xml:space="preserve">29.0</w:t>
            </w:r>
          </w:p>
        </w:tc>
        <w:tc>
          <w:tcPr/>
          <w:p>
            <w:pPr>
              <w:pStyle w:val="Compact"/>
              <w:jc w:val="left"/>
            </w:pPr>
            <w:r>
              <w:t xml:space="preserve">31.2</w:t>
            </w:r>
          </w:p>
        </w:tc>
      </w:tr>
      <w:tr>
        <w:tc>
          <w:tcPr/>
          <w:p>
            <w:pPr>
              <w:pStyle w:val="Compact"/>
              <w:jc w:val="left"/>
            </w:pPr>
            <w:r>
              <w:t xml:space="preserve">Stockholders’ equity</w:t>
            </w:r>
          </w:p>
        </w:tc>
        <w:tc>
          <w:tcPr/>
          <w:p>
            <w:pPr>
              <w:pStyle w:val="Compact"/>
              <w:jc w:val="left"/>
            </w:pPr>
            <w:r>
              <w:t xml:space="preserve">17.1</w:t>
            </w:r>
          </w:p>
        </w:tc>
        <w:tc>
          <w:tcPr/>
          <w:p>
            <w:pPr>
              <w:pStyle w:val="Compact"/>
              <w:jc w:val="left"/>
            </w:pPr>
            <w:r>
              <w:t xml:space="preserve">18.8</w:t>
            </w:r>
          </w:p>
        </w:tc>
      </w:tr>
    </w:tbl>
    <w:p>
      <w:pPr>
        <w:pStyle w:val="BodyText"/>
      </w:pPr>
      <w:r>
        <w:t xml:space="preserve">The discrepancies persist across all four historical years (e.g., FY2021 equity: CIM $11.8M vs. Financial Exhibits $3.7M), not just FY2024. Two items warrant specific attention:</w:t>
      </w:r>
    </w:p>
    <w:p>
      <w:pPr>
        <w:pStyle w:val="Compact"/>
        <w:numPr>
          <w:ilvl w:val="0"/>
          <w:numId w:val="1005"/>
        </w:numPr>
      </w:pPr>
      <w:r>
        <w:rPr>
          <w:b/>
          <w:bCs/>
        </w:rPr>
        <w:t xml:space="preserve">Goodwill &amp; intangibles of $2.5M</w:t>
      </w:r>
      <w:r>
        <w:t xml:space="preserve"> </w:t>
      </w:r>
      <w:r>
        <w:t xml:space="preserve">appear on the Financial Exhibits balance sheet in every year but are</w:t>
      </w:r>
      <w:r>
        <w:t xml:space="preserve"> </w:t>
      </w:r>
      <w:r>
        <w:rPr>
          <w:b/>
          <w:bCs/>
        </w:rPr>
        <w:t xml:space="preserve">never mentioned in the CIM</w:t>
      </w:r>
      <w:r>
        <w:t xml:space="preserve">, which presents CES as an organically grown company with no acquisition history. The origin of this goodwill is unexplained and must be clarified (an undisclosed prior acquisition would also bear on the quality of the</w:t>
      </w:r>
      <w:r>
        <w:t xml:space="preserve"> </w:t>
      </w:r>
      <w:r>
        <w:t xml:space="preserve">“</w:t>
      </w:r>
      <w:r>
        <w:t xml:space="preserve">16-year organic platform</w:t>
      </w:r>
      <w:r>
        <w:t xml:space="preserve">”</w:t>
      </w:r>
      <w:r>
        <w:t xml:space="preserve"> </w:t>
      </w:r>
      <w:r>
        <w:t xml:space="preserve">narrative).</w:t>
      </w:r>
    </w:p>
    <w:p>
      <w:pPr>
        <w:pStyle w:val="Compact"/>
        <w:numPr>
          <w:ilvl w:val="0"/>
          <w:numId w:val="1005"/>
        </w:numPr>
      </w:pPr>
      <w:r>
        <w:rPr>
          <w:b/>
          <w:bCs/>
        </w:rPr>
        <w:t xml:space="preserve">Total debt does not reconcile.</w:t>
      </w:r>
      <w:r>
        <w:t xml:space="preserve"> </w:t>
      </w:r>
      <w:r>
        <w:t xml:space="preserve">The CIM states a $14.2M term loan ($2.3M current + $11.9M non-current) plus a $3.1M revolver = $17.3M total. The Financial Exhibits show a $1.8M current portion</w:t>
      </w:r>
      <w:r>
        <w:t xml:space="preserve"> </w:t>
      </w:r>
      <w:r>
        <w:rPr>
          <w:b/>
          <w:bCs/>
        </w:rPr>
        <w:t xml:space="preserve">plus</w:t>
      </w:r>
      <w:r>
        <w:t xml:space="preserve"> </w:t>
      </w:r>
      <w:r>
        <w:t xml:space="preserve">a $14.2M term-loan line</w:t>
      </w:r>
      <w:r>
        <w:t xml:space="preserve"> </w:t>
      </w:r>
      <w:r>
        <w:rPr>
          <w:b/>
          <w:bCs/>
        </w:rPr>
        <w:t xml:space="preserve">plus</w:t>
      </w:r>
      <w:r>
        <w:t xml:space="preserve"> </w:t>
      </w:r>
      <w:r>
        <w:t xml:space="preserve">a $3.1M revolver = $19.1M, which appears to either double-count the current portion or imply a $16.0M term loan. Net debt coincidentally rounds to ~$15.0M under both, but the gross debt and term-loan balance must be confirmed against the bank facility documents.</w:t>
      </w:r>
    </w:p>
    <w:bookmarkEnd w:id="36"/>
    <w:bookmarkStart w:id="37" w:name="cash-flow-and-net-income-discrepancies"/>
    <w:p>
      <w:pPr>
        <w:pStyle w:val="Heading3"/>
      </w:pPr>
      <w:r>
        <w:t xml:space="preserve">5.4 Cash flow and net income discrepancies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w:t>
            </w:r>
          </w:p>
        </w:tc>
        <w:tc>
          <w:tcPr/>
          <w:p>
            <w:pPr>
              <w:pStyle w:val="Compact"/>
              <w:jc w:val="left"/>
            </w:pPr>
            <w:r>
              <w:t xml:space="preserve">CIM Appendix A</w:t>
            </w:r>
          </w:p>
        </w:tc>
        <w:tc>
          <w:tcPr/>
          <w:p>
            <w:pPr>
              <w:pStyle w:val="Compact"/>
              <w:jc w:val="left"/>
            </w:pPr>
            <w:r>
              <w:t xml:space="preserve">Financial Exhibits</w:t>
            </w:r>
          </w:p>
        </w:tc>
      </w:tr>
      <w:tr>
        <w:tc>
          <w:tcPr/>
          <w:p>
            <w:pPr>
              <w:pStyle w:val="Compact"/>
              <w:jc w:val="left"/>
            </w:pPr>
            <w:r>
              <w:t xml:space="preserve">FY2024 net income</w:t>
            </w:r>
          </w:p>
        </w:tc>
        <w:tc>
          <w:tcPr/>
          <w:p>
            <w:pPr>
              <w:pStyle w:val="Compact"/>
              <w:jc w:val="left"/>
            </w:pPr>
            <w:r>
              <w:t xml:space="preserve">5.0</w:t>
            </w:r>
          </w:p>
        </w:tc>
        <w:tc>
          <w:tcPr/>
          <w:p>
            <w:pPr>
              <w:pStyle w:val="Compact"/>
              <w:jc w:val="left"/>
            </w:pPr>
            <w:r>
              <w:t xml:space="preserve">6.7</w:t>
            </w:r>
          </w:p>
        </w:tc>
      </w:tr>
      <w:tr>
        <w:tc>
          <w:tcPr/>
          <w:p>
            <w:pPr>
              <w:pStyle w:val="Compact"/>
              <w:jc w:val="left"/>
            </w:pPr>
            <w:r>
              <w:t xml:space="preserve">FY2024 operating cash flow</w:t>
            </w:r>
          </w:p>
        </w:tc>
        <w:tc>
          <w:tcPr/>
          <w:p>
            <w:pPr>
              <w:pStyle w:val="Compact"/>
              <w:jc w:val="left"/>
            </w:pPr>
            <w:r>
              <w:t xml:space="preserve">9.2</w:t>
            </w:r>
          </w:p>
        </w:tc>
        <w:tc>
          <w:tcPr/>
          <w:p>
            <w:pPr>
              <w:pStyle w:val="Compact"/>
              <w:jc w:val="left"/>
            </w:pPr>
            <w:r>
              <w:t xml:space="preserve">10.0</w:t>
            </w:r>
          </w:p>
        </w:tc>
      </w:tr>
      <w:tr>
        <w:tc>
          <w:tcPr/>
          <w:p>
            <w:pPr>
              <w:pStyle w:val="Compact"/>
              <w:jc w:val="left"/>
            </w:pPr>
            <w:r>
              <w:t xml:space="preserve">FY2024 free cash flow</w:t>
            </w:r>
          </w:p>
        </w:tc>
        <w:tc>
          <w:tcPr/>
          <w:p>
            <w:pPr>
              <w:pStyle w:val="Compact"/>
              <w:jc w:val="left"/>
            </w:pPr>
            <w:r>
              <w:t xml:space="preserve">2.0</w:t>
            </w:r>
          </w:p>
        </w:tc>
        <w:tc>
          <w:tcPr/>
          <w:p>
            <w:pPr>
              <w:pStyle w:val="Compact"/>
              <w:jc w:val="left"/>
            </w:pPr>
            <w:r>
              <w:t xml:space="preserve">2.8</w:t>
            </w:r>
          </w:p>
        </w:tc>
      </w:tr>
    </w:tbl>
    <w:p>
      <w:pPr>
        <w:pStyle w:val="BodyText"/>
      </w:pPr>
      <w:r>
        <w:t xml:space="preserve">The Financial Exhibits are consistently more profitable and cash-generative than the CIM’s condensed statements. Both cannot be correct. The Financial Exhibits also disclose</w:t>
      </w:r>
      <w:r>
        <w:t xml:space="preserve"> </w:t>
      </w:r>
      <w:r>
        <w:rPr>
          <w:b/>
          <w:bCs/>
        </w:rPr>
        <w:t xml:space="preserve">distributions to shareholders</w:t>
      </w:r>
      <w:r>
        <w:t xml:space="preserve"> </w:t>
      </w:r>
      <w:r>
        <w:t xml:space="preserve">of $1.5M / $2.7M / $1.5M / $1.0M over FY2021–FY2024 (Mr. Oakes owns 68%), which is relevant context for owner behavior and the related-party dynamics but is not surfaced in the CIM.</w:t>
      </w:r>
    </w:p>
    <w:bookmarkEnd w:id="37"/>
    <w:bookmarkStart w:id="38" w:name="Xf4bcd42dddbc9378917176326f69f6a5581e474"/>
    <w:p>
      <w:pPr>
        <w:pStyle w:val="Heading3"/>
      </w:pPr>
      <w:r>
        <w:t xml:space="preserve">5.5 Segment revenue — historical reclassification and projection divergence</w:t>
      </w:r>
    </w:p>
    <w:p>
      <w:pPr>
        <w:pStyle w:val="Compact"/>
        <w:numPr>
          <w:ilvl w:val="0"/>
          <w:numId w:val="1006"/>
        </w:numPr>
      </w:pPr>
      <w:r>
        <w:rPr>
          <w:b/>
          <w:bCs/>
        </w:rPr>
        <w:t xml:space="preserve">Historical (FY2021–FY2023):</w:t>
      </w:r>
      <w:r>
        <w:t xml:space="preserve"> </w:t>
      </w:r>
      <w:r>
        <w:t xml:space="preserve">The CIM and Financial Exhibits agree on total revenue each year but disagree on the segment split (e.g., FY2023 Remediation: CIM $41.5M vs. Financial Exhibits $42.5M; Industrial Cleaning: CIM $24.9M vs. $24.4M). The historical segment data has evidently been reclassified, most likely around the PFAS carve-out.</w:t>
      </w:r>
    </w:p>
    <w:p>
      <w:pPr>
        <w:pStyle w:val="Compact"/>
        <w:numPr>
          <w:ilvl w:val="0"/>
          <w:numId w:val="1006"/>
        </w:numPr>
      </w:pPr>
      <w:r>
        <w:rPr>
          <w:b/>
          <w:bCs/>
        </w:rPr>
        <w:t xml:space="preserve">Projections:</w:t>
      </w:r>
      <w:r>
        <w:t xml:space="preserve"> </w:t>
      </w:r>
      <w:r>
        <w:t xml:space="preserve">The documents diverge on the segment mix even though totals reconcile. Most notably,</w:t>
      </w:r>
      <w:r>
        <w:t xml:space="preserve"> </w:t>
      </w:r>
      <w:r>
        <w:rPr>
          <w:b/>
          <w:bCs/>
        </w:rPr>
        <w:t xml:space="preserve">Emergency Response</w:t>
      </w:r>
      <w:r>
        <w:t xml:space="preserve"> </w:t>
      </w:r>
      <w:r>
        <w:t xml:space="preserve">is projected at $13.0M / $15.0M / $17.0M (CIM) versus $11.8M / $13.0M / $15.0M (Financial Exhibits) for FY2025E–FY2027E — a ~$1.2M–$2.0M per-year difference. Because emergency response is the most volatile, event-driven segment, the higher CIM figures inflate the perceived durability of growth.</w:t>
      </w:r>
    </w:p>
    <w:bookmarkEnd w:id="38"/>
    <w:bookmarkStart w:id="39" w:name="Xa6edf943bc7e57830c4376e327208449af9ff2c"/>
    <w:p>
      <w:pPr>
        <w:pStyle w:val="Heading3"/>
      </w:pPr>
      <w:r>
        <w:t xml:space="preserve">5.6 Top-10 customer identity — CIM vs. Backlog Report</w:t>
      </w:r>
    </w:p>
    <w:p>
      <w:pPr>
        <w:pStyle w:val="FirstParagraph"/>
      </w:pPr>
      <w:r>
        <w:t xml:space="preserve">This is the most concerning data-integrity finding.</w:t>
      </w:r>
      <w:r>
        <w:t xml:space="preserve"> </w:t>
      </w:r>
      <w:r>
        <w:rPr>
          <w:b/>
          <w:bCs/>
        </w:rPr>
        <w:t xml:space="preserve">The CIM and the Backlog Report — both prepared by Greenleaf — disagree on the identity of five of the top ten customers.</w:t>
      </w:r>
      <w:r>
        <w:t xml:space="preserve"> </w:t>
      </w:r>
      <w:r>
        <w:t xml:space="preserve">Customers #1–#5 match (same names, revenue, and percentages), but #6–#10 are entirely different entities, even though the revenue and percentage figures are identical: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Rank</w:t>
            </w:r>
          </w:p>
        </w:tc>
        <w:tc>
          <w:tcPr/>
          <w:p>
            <w:pPr>
              <w:pStyle w:val="Compact"/>
              <w:jc w:val="left"/>
            </w:pPr>
            <w:r>
              <w:t xml:space="preserve">CIM name</w:t>
            </w:r>
          </w:p>
        </w:tc>
        <w:tc>
          <w:tcPr/>
          <w:p>
            <w:pPr>
              <w:pStyle w:val="Compact"/>
              <w:jc w:val="left"/>
            </w:pPr>
            <w:r>
              <w:t xml:space="preserve">Backlog Report name</w:t>
            </w:r>
          </w:p>
        </w:tc>
      </w:tr>
      <w:tr>
        <w:tc>
          <w:tcPr/>
          <w:p>
            <w:pPr>
              <w:pStyle w:val="Compact"/>
              <w:jc w:val="left"/>
            </w:pPr>
            <w:r>
              <w:t xml:space="preserve">6</w:t>
            </w:r>
          </w:p>
        </w:tc>
        <w:tc>
          <w:tcPr/>
          <w:p>
            <w:pPr>
              <w:pStyle w:val="Compact"/>
              <w:jc w:val="left"/>
            </w:pPr>
            <w:r>
              <w:t xml:space="preserve">Cascade Terminals, Inc.</w:t>
            </w:r>
          </w:p>
        </w:tc>
        <w:tc>
          <w:tcPr/>
          <w:p>
            <w:pPr>
              <w:pStyle w:val="Compact"/>
              <w:jc w:val="left"/>
            </w:pPr>
            <w:r>
              <w:t xml:space="preserve">Clearwater Municipal Utility District</w:t>
            </w:r>
          </w:p>
        </w:tc>
      </w:tr>
      <w:tr>
        <w:tc>
          <w:tcPr/>
          <w:p>
            <w:pPr>
              <w:pStyle w:val="Compact"/>
              <w:jc w:val="left"/>
            </w:pPr>
            <w:r>
              <w:t xml:space="preserve">7</w:t>
            </w:r>
          </w:p>
        </w:tc>
        <w:tc>
          <w:tcPr/>
          <w:p>
            <w:pPr>
              <w:pStyle w:val="Compact"/>
              <w:jc w:val="left"/>
            </w:pPr>
            <w:r>
              <w:t xml:space="preserve">Puget Sound Utilities Group</w:t>
            </w:r>
          </w:p>
        </w:tc>
        <w:tc>
          <w:tcPr/>
          <w:p>
            <w:pPr>
              <w:pStyle w:val="Compact"/>
              <w:jc w:val="left"/>
            </w:pPr>
            <w:r>
              <w:t xml:space="preserve">Northshore Industrial Park</w:t>
            </w:r>
          </w:p>
        </w:tc>
      </w:tr>
      <w:tr>
        <w:tc>
          <w:tcPr/>
          <w:p>
            <w:pPr>
              <w:pStyle w:val="Compact"/>
              <w:jc w:val="left"/>
            </w:pPr>
            <w:r>
              <w:t xml:space="preserve">8</w:t>
            </w:r>
          </w:p>
        </w:tc>
        <w:tc>
          <w:tcPr/>
          <w:p>
            <w:pPr>
              <w:pStyle w:val="Compact"/>
              <w:jc w:val="left"/>
            </w:pPr>
            <w:r>
              <w:t xml:space="preserve">City of Portland — BES</w:t>
            </w:r>
          </w:p>
        </w:tc>
        <w:tc>
          <w:tcPr/>
          <w:p>
            <w:pPr>
              <w:pStyle w:val="Compact"/>
              <w:jc w:val="left"/>
            </w:pPr>
            <w:r>
              <w:t xml:space="preserve">Summit Materials Processing</w:t>
            </w:r>
          </w:p>
        </w:tc>
      </w:tr>
      <w:tr>
        <w:tc>
          <w:tcPr/>
          <w:p>
            <w:pPr>
              <w:pStyle w:val="Compact"/>
              <w:jc w:val="left"/>
            </w:pPr>
            <w:r>
              <w:t xml:space="preserve">9</w:t>
            </w:r>
          </w:p>
        </w:tc>
        <w:tc>
          <w:tcPr/>
          <w:p>
            <w:pPr>
              <w:pStyle w:val="Compact"/>
              <w:jc w:val="left"/>
            </w:pPr>
            <w:r>
              <w:t xml:space="preserve">Northern Pacific Rail Systems</w:t>
            </w:r>
          </w:p>
        </w:tc>
        <w:tc>
          <w:tcPr/>
          <w:p>
            <w:pPr>
              <w:pStyle w:val="Compact"/>
              <w:jc w:val="left"/>
            </w:pPr>
            <w:r>
              <w:t xml:space="preserve">Timberline Construction Group</w:t>
            </w:r>
          </w:p>
        </w:tc>
      </w:tr>
      <w:tr>
        <w:tc>
          <w:tcPr/>
          <w:p>
            <w:pPr>
              <w:pStyle w:val="Compact"/>
              <w:jc w:val="left"/>
            </w:pPr>
            <w:r>
              <w:t xml:space="preserve">10</w:t>
            </w:r>
          </w:p>
        </w:tc>
        <w:tc>
          <w:tcPr/>
          <w:p>
            <w:pPr>
              <w:pStyle w:val="Compact"/>
              <w:jc w:val="left"/>
            </w:pPr>
            <w:r>
              <w:t xml:space="preserve">Tidewater Chemical Corp.</w:t>
            </w:r>
          </w:p>
        </w:tc>
        <w:tc>
          <w:tcPr/>
          <w:p>
            <w:pPr>
              <w:pStyle w:val="Compact"/>
              <w:jc w:val="left"/>
            </w:pPr>
            <w:r>
              <w:t xml:space="preserve">Harborview Port Authority</w:t>
            </w:r>
          </w:p>
        </w:tc>
      </w:tr>
    </w:tbl>
    <w:p>
      <w:pPr>
        <w:pStyle w:val="BodyText"/>
      </w:pPr>
      <w:r>
        <w:t xml:space="preserve">The segment(s) served, contract types, and expiration dates for these slots also differ. Either document may be correct, but they cannot both be. The deal team must obtain the customer list directly from management and reconcile against the audited revenue-by-customer schedule. Additional customer-data inconsistencies between the two documents include:</w:t>
      </w:r>
    </w:p>
    <w:p>
      <w:pPr>
        <w:pStyle w:val="Compact"/>
        <w:numPr>
          <w:ilvl w:val="0"/>
          <w:numId w:val="1007"/>
        </w:numPr>
      </w:pPr>
      <w:r>
        <w:rPr>
          <w:b/>
          <w:bCs/>
        </w:rPr>
        <w:t xml:space="preserve">Relationship start dates</w:t>
      </w:r>
      <w:r>
        <w:t xml:space="preserve"> </w:t>
      </w:r>
      <w:r>
        <w:t xml:space="preserve">for the top 5 differ (PNR: CIM</w:t>
      </w:r>
      <w:r>
        <w:t xml:space="preserve"> </w:t>
      </w:r>
      <w:r>
        <w:t xml:space="preserve">“</w:t>
      </w:r>
      <w:r>
        <w:t xml:space="preserve">2011</w:t>
      </w:r>
      <w:r>
        <w:t xml:space="preserve">”</w:t>
      </w:r>
      <w:r>
        <w:t xml:space="preserve"> </w:t>
      </w:r>
      <w:r>
        <w:t xml:space="preserve">vs. Backlog</w:t>
      </w:r>
      <w:r>
        <w:t xml:space="preserve"> </w:t>
      </w:r>
      <w:r>
        <w:t xml:space="preserve">“</w:t>
      </w:r>
      <w:r>
        <w:t xml:space="preserve">2012</w:t>
      </w:r>
      <w:r>
        <w:t xml:space="preserve">”</w:t>
      </w:r>
      <w:r>
        <w:t xml:space="preserve">; ODOT:</w:t>
      </w:r>
      <w:r>
        <w:t xml:space="preserve"> </w:t>
      </w:r>
      <w:r>
        <w:t xml:space="preserve">“</w:t>
      </w:r>
      <w:r>
        <w:t xml:space="preserve">2013</w:t>
      </w:r>
      <w:r>
        <w:t xml:space="preserve">”</w:t>
      </w:r>
      <w:r>
        <w:t xml:space="preserve"> </w:t>
      </w:r>
      <w:r>
        <w:t xml:space="preserve">vs. </w:t>
      </w:r>
      <w:r>
        <w:t xml:space="preserve">“</w:t>
      </w:r>
      <w:r>
        <w:t xml:space="preserve">2014</w:t>
      </w:r>
      <w:r>
        <w:t xml:space="preserve">”</w:t>
      </w:r>
      <w:r>
        <w:t xml:space="preserve">; Columbia Basin:</w:t>
      </w:r>
      <w:r>
        <w:t xml:space="preserve"> </w:t>
      </w:r>
      <w:r>
        <w:t xml:space="preserve">“</w:t>
      </w:r>
      <w:r>
        <w:t xml:space="preserve">2017</w:t>
      </w:r>
      <w:r>
        <w:t xml:space="preserve">”</w:t>
      </w:r>
      <w:r>
        <w:t xml:space="preserve"> </w:t>
      </w:r>
      <w:r>
        <w:t xml:space="preserve">vs. </w:t>
      </w:r>
      <w:r>
        <w:t xml:space="preserve">“</w:t>
      </w:r>
      <w:r>
        <w:t xml:space="preserve">2016</w:t>
      </w:r>
      <w:r>
        <w:t xml:space="preserve">”</w:t>
      </w:r>
      <w:r>
        <w:t xml:space="preserve">; Meridian:</w:t>
      </w:r>
      <w:r>
        <w:t xml:space="preserve"> </w:t>
      </w:r>
      <w:r>
        <w:t xml:space="preserve">“</w:t>
      </w:r>
      <w:r>
        <w:t xml:space="preserve">2014</w:t>
      </w:r>
      <w:r>
        <w:t xml:space="preserve">”</w:t>
      </w:r>
      <w:r>
        <w:t xml:space="preserve"> </w:t>
      </w:r>
      <w:r>
        <w:t xml:space="preserve">vs. </w:t>
      </w:r>
      <w:r>
        <w:t xml:space="preserve">“</w:t>
      </w:r>
      <w:r>
        <w:t xml:space="preserve">2017</w:t>
      </w:r>
      <w:r>
        <w:t xml:space="preserve">”</w:t>
      </w:r>
      <w:r>
        <w:t xml:space="preserve">).</w:t>
      </w:r>
    </w:p>
    <w:p>
      <w:pPr>
        <w:pStyle w:val="Compact"/>
        <w:numPr>
          <w:ilvl w:val="0"/>
          <w:numId w:val="1007"/>
        </w:numPr>
      </w:pPr>
      <w:r>
        <w:rPr>
          <w:b/>
          <w:bCs/>
        </w:rPr>
        <w:t xml:space="preserve">Segment classification</w:t>
      </w:r>
      <w:r>
        <w:t xml:space="preserve"> </w:t>
      </w:r>
      <w:r>
        <w:t xml:space="preserve">differs (PNR: CIM</w:t>
      </w:r>
      <w:r>
        <w:t xml:space="preserve"> </w:t>
      </w:r>
      <w:r>
        <w:t xml:space="preserve">“</w:t>
      </w:r>
      <w:r>
        <w:t xml:space="preserve">Industrial Cleaning, Remediation</w:t>
      </w:r>
      <w:r>
        <w:t xml:space="preserve">”</w:t>
      </w:r>
      <w:r>
        <w:t xml:space="preserve"> </w:t>
      </w:r>
      <w:r>
        <w:t xml:space="preserve">vs. Backlog</w:t>
      </w:r>
      <w:r>
        <w:t xml:space="preserve"> </w:t>
      </w:r>
      <w:r>
        <w:t xml:space="preserve">“</w:t>
      </w:r>
      <w:r>
        <w:t xml:space="preserve">IC, Emergency Response</w:t>
      </w:r>
      <w:r>
        <w:t xml:space="preserve">”</w:t>
      </w:r>
      <w:r>
        <w:t xml:space="preserve">; Meridian and Willamette also differ).</w:t>
      </w:r>
    </w:p>
    <w:p>
      <w:pPr>
        <w:pStyle w:val="Compact"/>
        <w:numPr>
          <w:ilvl w:val="0"/>
          <w:numId w:val="1007"/>
        </w:numPr>
      </w:pPr>
      <w:r>
        <w:rPr>
          <w:b/>
          <w:bCs/>
        </w:rPr>
        <w:t xml:space="preserve">Contract type</w:t>
      </w:r>
      <w:r>
        <w:t xml:space="preserve"> </w:t>
      </w:r>
      <w:r>
        <w:t xml:space="preserve">differs (Columbia Basin: CIM</w:t>
      </w:r>
      <w:r>
        <w:t xml:space="preserve"> </w:t>
      </w:r>
      <w:r>
        <w:t xml:space="preserve">“</w:t>
      </w:r>
      <w:r>
        <w:t xml:space="preserve">Fixed-term Contract</w:t>
      </w:r>
      <w:r>
        <w:t xml:space="preserve">”</w:t>
      </w:r>
      <w:r>
        <w:t xml:space="preserve"> </w:t>
      </w:r>
      <w:r>
        <w:t xml:space="preserve">vs. Backlog</w:t>
      </w:r>
      <w:r>
        <w:t xml:space="preserve"> </w:t>
      </w:r>
      <w:r>
        <w:t xml:space="preserve">“</w:t>
      </w:r>
      <w:r>
        <w:t xml:space="preserve">Service Agreement</w:t>
      </w:r>
      <w:r>
        <w:t xml:space="preserve">”</w:t>
      </w:r>
      <w:r>
        <w:t xml:space="preserve">).</w:t>
      </w:r>
    </w:p>
    <w:bookmarkEnd w:id="39"/>
    <w:bookmarkStart w:id="40" w:name="other-cim-internal-inconsistencies"/>
    <w:p>
      <w:pPr>
        <w:pStyle w:val="Heading3"/>
      </w:pPr>
      <w:r>
        <w:t xml:space="preserve">5.7 Other CIM internal inconsistencies</w:t>
      </w:r>
    </w:p>
    <w:p>
      <w:pPr>
        <w:pStyle w:val="Compact"/>
        <w:numPr>
          <w:ilvl w:val="0"/>
          <w:numId w:val="1008"/>
        </w:numPr>
      </w:pPr>
      <w:r>
        <w:rPr>
          <w:b/>
          <w:bCs/>
        </w:rPr>
        <w:t xml:space="preserve">DSO does not reconcile to the balance sheet.</w:t>
      </w:r>
      <w:r>
        <w:t xml:space="preserve"> </w:t>
      </w:r>
      <w:r>
        <w:t xml:space="preserve">The CIM states DSO of 52 days and calls collections</w:t>
      </w:r>
      <w:r>
        <w:t xml:space="preserve"> </w:t>
      </w:r>
      <w:r>
        <w:t xml:space="preserve">“</w:t>
      </w:r>
      <w:r>
        <w:t xml:space="preserve">industry-leading.</w:t>
      </w:r>
      <w:r>
        <w:t xml:space="preserve">”</w:t>
      </w:r>
      <w:r>
        <w:t xml:space="preserve"> </w:t>
      </w:r>
      <w:r>
        <w:t xml:space="preserve">Accounts receivable of $16.9M against FY2024 revenue of $87.3M implies</w:t>
      </w:r>
      <w:r>
        <w:t xml:space="preserve"> </w:t>
      </w:r>
      <w:r>
        <w:rPr>
          <w:b/>
          <w:bCs/>
        </w:rPr>
        <w:t xml:space="preserve">~71 days</w:t>
      </w:r>
      <w:r>
        <w:t xml:space="preserve"> </w:t>
      </w:r>
      <w:r>
        <w:t xml:space="preserve">(or ~82 days including the $2.7M of unbilled revenue shown in the Financial Exhibits) — well above the 60-day concern threshold in the sector memo and inconsistent with the stated 52 days. The stated figure appears to reflect a</w:t>
      </w:r>
      <w:r>
        <w:t xml:space="preserve"> </w:t>
      </w:r>
      <w:r>
        <w:t xml:space="preserve">“</w:t>
      </w:r>
      <w:r>
        <w:t xml:space="preserve">normalized</w:t>
      </w:r>
      <w:r>
        <w:t xml:space="preserve">”</w:t>
      </w:r>
      <w:r>
        <w:t xml:space="preserve"> </w:t>
      </w:r>
      <w:r>
        <w:t xml:space="preserve">rather than actual period-end calculation.</w:t>
      </w:r>
    </w:p>
    <w:p>
      <w:pPr>
        <w:pStyle w:val="Compact"/>
        <w:numPr>
          <w:ilvl w:val="0"/>
          <w:numId w:val="1008"/>
        </w:numPr>
      </w:pPr>
      <w:r>
        <w:rPr>
          <w:b/>
          <w:bCs/>
        </w:rPr>
        <w:t xml:space="preserve">Geographic concentration is understated.</w:t>
      </w:r>
      <w:r>
        <w:t xml:space="preserve"> </w:t>
      </w:r>
      <w:r>
        <w:t xml:space="preserve">The CIM states</w:t>
      </w:r>
      <w:r>
        <w:t xml:space="preserve"> </w:t>
      </w:r>
      <w:r>
        <w:t xml:space="preserve">“</w:t>
      </w:r>
      <w:r>
        <w:t xml:space="preserve">approximately 75%</w:t>
      </w:r>
      <w:r>
        <w:t xml:space="preserve">”</w:t>
      </w:r>
      <w:r>
        <w:t xml:space="preserve"> </w:t>
      </w:r>
      <w:r>
        <w:t xml:space="preserve">of revenue from Oregon and Washington; the Backlog Report’s state breakdown shows</w:t>
      </w:r>
      <w:r>
        <w:t xml:space="preserve"> </w:t>
      </w:r>
      <w:r>
        <w:rPr>
          <w:b/>
          <w:bCs/>
        </w:rPr>
        <w:t xml:space="preserve">82.3%</w:t>
      </w:r>
      <w:r>
        <w:t xml:space="preserve"> </w:t>
      </w:r>
      <w:r>
        <w:t xml:space="preserve">(Oregon 54.5% + Washington 27.8%). The Company is more geographically concentrated than the CIM implies.</w:t>
      </w:r>
    </w:p>
    <w:p>
      <w:pPr>
        <w:pStyle w:val="Compact"/>
        <w:numPr>
          <w:ilvl w:val="0"/>
          <w:numId w:val="1008"/>
        </w:numPr>
      </w:pPr>
      <w:r>
        <w:rPr>
          <w:b/>
          <w:bCs/>
        </w:rPr>
        <w:t xml:space="preserve">“</w:t>
      </w:r>
      <w:r>
        <w:rPr>
          <w:b/>
          <w:bCs/>
        </w:rPr>
        <w:t xml:space="preserve">Total potential revenue visibility</w:t>
      </w:r>
      <w:r>
        <w:rPr>
          <w:b/>
          <w:bCs/>
        </w:rPr>
        <w:t xml:space="preserve">”</w:t>
      </w:r>
      <w:r>
        <w:rPr>
          <w:b/>
          <w:bCs/>
        </w:rPr>
        <w:t xml:space="preserve"> </w:t>
      </w:r>
      <w:r>
        <w:rPr>
          <w:b/>
          <w:bCs/>
        </w:rPr>
        <w:t xml:space="preserve">of $74.0M is optimistic.</w:t>
      </w:r>
      <w:r>
        <w:t xml:space="preserve"> </w:t>
      </w:r>
      <w:r>
        <w:t xml:space="preserve">This figure adds the full $31.4M pipeline to the $42.6M backlog at a 100% win rate. The Backlog Report itself states a 35%–40% historical win rate, implying a realistic pipeline yield of only ~$11.0M–$12.6M and realistic total visibility of</w:t>
      </w:r>
      <w:r>
        <w:t xml:space="preserve"> </w:t>
      </w:r>
      <w:r>
        <w:rPr>
          <w:b/>
          <w:bCs/>
        </w:rPr>
        <w:t xml:space="preserve">~$54M</w:t>
      </w:r>
      <w:r>
        <w:t xml:space="preserve">, not $74M.</w:t>
      </w:r>
    </w:p>
    <w:p>
      <w:pPr>
        <w:pStyle w:val="Compact"/>
        <w:numPr>
          <w:ilvl w:val="0"/>
          <w:numId w:val="1008"/>
        </w:numPr>
      </w:pPr>
      <w:r>
        <w:rPr>
          <w:b/>
          <w:bCs/>
        </w:rPr>
        <w:t xml:space="preserve">Facility footprint inconsistency.</w:t>
      </w:r>
      <w:r>
        <w:t xml:space="preserve"> </w:t>
      </w:r>
      <w:r>
        <w:t xml:space="preserve">The Backlog Report references a</w:t>
      </w:r>
      <w:r>
        <w:t xml:space="preserve"> </w:t>
      </w:r>
      <w:r>
        <w:t xml:space="preserve">“</w:t>
      </w:r>
      <w:r>
        <w:t xml:space="preserve">Sacramento</w:t>
      </w:r>
      <w:r>
        <w:t xml:space="preserve">”</w:t>
      </w:r>
      <w:r>
        <w:t xml:space="preserve"> </w:t>
      </w:r>
      <w:r>
        <w:t xml:space="preserve">satellite operation; the CIM’s facilities section lists only Portland, Seattle, and Boise.</w:t>
      </w:r>
    </w:p>
    <w:p>
      <w:pPr>
        <w:pStyle w:val="Compact"/>
        <w:numPr>
          <w:ilvl w:val="0"/>
          <w:numId w:val="1008"/>
        </w:numPr>
      </w:pPr>
      <w:r>
        <w:rPr>
          <w:b/>
          <w:bCs/>
        </w:rPr>
        <w:t xml:space="preserve">Management tenure inconsistency.</w:t>
      </w:r>
      <w:r>
        <w:t xml:space="preserve"> </w:t>
      </w:r>
      <w:r>
        <w:t xml:space="preserve">VP Operations Janet Prewitt is described as</w:t>
      </w:r>
      <w:r>
        <w:t xml:space="preserve"> </w:t>
      </w:r>
      <w:r>
        <w:t xml:space="preserve">“</w:t>
      </w:r>
      <w:r>
        <w:t xml:space="preserve">with CES for 18 years, joining in 2007,</w:t>
      </w:r>
      <w:r>
        <w:t xml:space="preserve">”</w:t>
      </w:r>
      <w:r>
        <w:t xml:space="preserve"> </w:t>
      </w:r>
      <w:r>
        <w:t xml:space="preserve">but the Company was founded and commenced operations in 2009 (a</w:t>
      </w:r>
      <w:r>
        <w:t xml:space="preserve"> </w:t>
      </w:r>
      <w:r>
        <w:t xml:space="preserve">“</w:t>
      </w:r>
      <w:r>
        <w:t xml:space="preserve">16+ year</w:t>
      </w:r>
      <w:r>
        <w:t xml:space="preserve">”</w:t>
      </w:r>
      <w:r>
        <w:t xml:space="preserve"> </w:t>
      </w:r>
      <w:r>
        <w:t xml:space="preserve">history). The pre-incorporation dating should be clarified.</w:t>
      </w:r>
    </w:p>
    <w:p>
      <w:r>
        <w:pict>
          <v:rect style="width:0;height:1.5pt" o:hralign="center" o:hrstd="t" o:hr="t"/>
        </w:pict>
      </w:r>
    </w:p>
    <w:bookmarkEnd w:id="40"/>
    <w:bookmarkEnd w:id="41"/>
    <w:bookmarkStart w:id="53" w:name="risk-factors"/>
    <w:p>
      <w:pPr>
        <w:pStyle w:val="Heading2"/>
      </w:pPr>
      <w:r>
        <w:t xml:space="preserve">6. Risk Factors</w:t>
      </w:r>
    </w:p>
    <w:bookmarkStart w:id="42" w:name="Xafc6ed247f0b1b839cdf29f06399ffbe7b2819e"/>
    <w:p>
      <w:pPr>
        <w:pStyle w:val="Heading3"/>
      </w:pPr>
      <w:r>
        <w:t xml:space="preserve">6.1 PFAS projection aggressiveness and execution risk</w:t>
      </w:r>
    </w:p>
    <w:p>
      <w:pPr>
        <w:pStyle w:val="FirstParagraph"/>
      </w:pPr>
      <w:r>
        <w:t xml:space="preserve">The CIM projects PFAS revenue of $14.0M in FY2025E —</w:t>
      </w:r>
      <w:r>
        <w:t xml:space="preserve"> </w:t>
      </w:r>
      <w:r>
        <w:rPr>
          <w:b/>
          <w:bCs/>
        </w:rPr>
        <w:t xml:space="preserve">125.8% growth</w:t>
      </w:r>
      <w:r>
        <w:t xml:space="preserve"> </w:t>
      </w:r>
      <w:r>
        <w:t xml:space="preserve">— and $22.0M in FY2026E. The sector memo benchmarks realistic company-level PFAS growth at</w:t>
      </w:r>
      <w:r>
        <w:t xml:space="preserve"> </w:t>
      </w:r>
      <w:r>
        <w:rPr>
          <w:b/>
          <w:bCs/>
        </w:rPr>
        <w:t xml:space="preserve">30%–50%</w:t>
      </w:r>
      <w:r>
        <w:t xml:space="preserve"> </w:t>
      </w:r>
      <w:r>
        <w:t xml:space="preserve">once a practice crosses the $5M threshold, and our direct GreenWorks Remediation experience is cautionary: an emerging service line (vapor intrusion mitigation) projected at 80%+ growth in years two and three actually moderated to ~35% once initial pent-up demand was absorbed. If PFAS reaches only ~$9–10M in FY2025 rather than $14M, the revenue trajectory weakens and the projected margin expansion to 20%+ adjusted becomes difficult to achieve, since PFAS is presented as carrying above-average margins.</w:t>
      </w:r>
      <w:r>
        <w:t xml:space="preserve"> </w:t>
      </w:r>
      <w:r>
        <w:rPr>
          <w:b/>
          <w:bCs/>
        </w:rPr>
        <w:t xml:space="preserve">The CIM does not break out how much of the $14.0M FY2025E PFAS figure is supported by signed contracts versus pipeline assumptions — this must be requested immediately.</w:t>
      </w:r>
    </w:p>
    <w:bookmarkEnd w:id="42"/>
    <w:bookmarkStart w:id="43" w:name="X4fdb02bb8efe443a787a849d951060e00f7947f"/>
    <w:p>
      <w:pPr>
        <w:pStyle w:val="Heading3"/>
      </w:pPr>
      <w:r>
        <w:t xml:space="preserve">6.2 Professional Engineer capacity constraint</w:t>
      </w:r>
    </w:p>
    <w:p>
      <w:pPr>
        <w:pStyle w:val="FirstParagraph"/>
      </w:pPr>
      <w:r>
        <w:t xml:space="preserve">CES’s licensed PE headcount fell from three to two in January 2025 (a retirement, not yet replaced). PE sign-off is required for site assessments, remediation work plans, and closure reports across the 55%-of-revenue Remediation segment, and PFAS projects typically require PE oversight. Scaling PFAS at the projected pace would likely require hiring two to three additional PEs; the environmental PE market is tight, with 6–12 month recruitment timelines. The loss of one-third of PE capacity is a near-term execution bottleneck that the CIM does not address. Management’s PE hiring plan must be assessed.</w:t>
      </w:r>
    </w:p>
    <w:bookmarkEnd w:id="43"/>
    <w:bookmarkStart w:id="44" w:name="X12ea058eeee1a65aab997febeebb70950edf627"/>
    <w:p>
      <w:pPr>
        <w:pStyle w:val="Heading3"/>
      </w:pPr>
      <w:r>
        <w:t xml:space="preserve">6.3 Customer concentration and imminent contract expirations</w:t>
      </w:r>
    </w:p>
    <w:p>
      <w:pPr>
        <w:pStyle w:val="FirstParagraph"/>
      </w:pPr>
      <w:r>
        <w:t xml:space="preserve">Top-5 concentration is 52.5% and top-10 is 71.0%; PNR alone is 21.4%. More urgently:</w:t>
      </w:r>
    </w:p>
    <w:p>
      <w:pPr>
        <w:pStyle w:val="Compact"/>
        <w:numPr>
          <w:ilvl w:val="0"/>
          <w:numId w:val="1009"/>
        </w:numPr>
      </w:pPr>
      <w:r>
        <w:rPr>
          <w:b/>
          <w:bCs/>
        </w:rPr>
        <w:t xml:space="preserve">PNR’s MSA expires March 31, 2025 — before the IOI deadline and roughly six months before the expected Q4 2025 close.</w:t>
      </w:r>
      <w:r>
        <w:t xml:space="preserve"> </w:t>
      </w:r>
      <w:r>
        <w:t xml:space="preserve">PNR is the largest and longest-tenured customer. The Backlog Report’s ~90% renewal rate and</w:t>
      </w:r>
      <w:r>
        <w:t xml:space="preserve"> </w:t>
      </w:r>
      <w:r>
        <w:t xml:space="preserve">“</w:t>
      </w:r>
      <w:r>
        <w:t xml:space="preserve">no top-10 losses in five years</w:t>
      </w:r>
      <w:r>
        <w:t xml:space="preserve">”</w:t>
      </w:r>
      <w:r>
        <w:t xml:space="preserve"> </w:t>
      </w:r>
      <w:r>
        <w:t xml:space="preserve">are reassuring, but an expired master agreement for 21% of revenue at signing is a material risk.</w:t>
      </w:r>
      <w:r>
        <w:t xml:space="preserve"> </w:t>
      </w:r>
      <w:r>
        <w:rPr>
          <w:b/>
          <w:bCs/>
        </w:rPr>
        <w:t xml:space="preserve">PNR renewal status should be confirmed before we submit an IOI.</w:t>
      </w:r>
    </w:p>
    <w:p>
      <w:pPr>
        <w:pStyle w:val="Compact"/>
        <w:numPr>
          <w:ilvl w:val="0"/>
          <w:numId w:val="1009"/>
        </w:numPr>
      </w:pPr>
      <w:r>
        <w:rPr>
          <w:b/>
          <w:bCs/>
        </w:rPr>
        <w:t xml:space="preserve">Meridian Lumber &amp; Paper (6.6%) expires December 31, 2025</w:t>
      </w:r>
      <w:r>
        <w:t xml:space="preserve">, around the expected close.</w:t>
      </w:r>
    </w:p>
    <w:p>
      <w:pPr>
        <w:pStyle w:val="Compact"/>
        <w:numPr>
          <w:ilvl w:val="0"/>
          <w:numId w:val="1009"/>
        </w:numPr>
      </w:pPr>
      <w:r>
        <w:rPr>
          <w:b/>
          <w:bCs/>
        </w:rPr>
        <w:t xml:space="preserve">Willamette Steel (5.6%) is month-to-month.</w:t>
      </w:r>
    </w:p>
    <w:p>
      <w:pPr>
        <w:pStyle w:val="FirstParagraph"/>
      </w:pPr>
      <w:r>
        <w:t xml:space="preserve">Together, ~33% of revenue sits in contracts that are expired, expiring at/around close, or rolling. The sector memo also notes meaningful cyclical exposure: Oil &amp; Gas/Refining is ~25.7% of revenue (per the Backlog Report sector mix), with forest products and metals adding further cyclicality.</w:t>
      </w:r>
    </w:p>
    <w:bookmarkEnd w:id="44"/>
    <w:bookmarkStart w:id="45" w:name="Xdcb3261c4e5570951d74e3a22f2f76514278aaa"/>
    <w:p>
      <w:pPr>
        <w:pStyle w:val="Heading3"/>
      </w:pPr>
      <w:r>
        <w:t xml:space="preserve">6.4 Key-person and management-transition risk</w:t>
      </w:r>
    </w:p>
    <w:p>
      <w:pPr>
        <w:pStyle w:val="FirstParagraph"/>
      </w:pPr>
      <w:r>
        <w:t xml:space="preserve">Mr. Oakes (CEO, 68% owner, 30+ years’ experience, age 61) intends to transition out of day-to-day operations within 18–24 months post-close. He holds the deepest relationships — particularly with PNR — and personally owns the headquarters real estate. His departure creates (i) relationship-continuity risk on the largest customer, (ii) a CEO succession requirement (the assumed $0.5M replacement is low and recruitment is a risk), and (iii) the real-estate complication noted in Section 4.4. Separately, the</w:t>
      </w:r>
      <w:r>
        <w:t xml:space="preserve"> </w:t>
      </w:r>
      <w:r>
        <w:rPr>
          <w:b/>
          <w:bCs/>
        </w:rPr>
        <w:t xml:space="preserve">phantom equity plan</w:t>
      </w:r>
      <w:r>
        <w:t xml:space="preserve"> </w:t>
      </w:r>
      <w:r>
        <w:t xml:space="preserve">held by select senior managers settles in cash at closing (Section 6.8), which may</w:t>
      </w:r>
      <w:r>
        <w:t xml:space="preserve"> </w:t>
      </w:r>
      <w:r>
        <w:rPr>
          <w:i/>
          <w:iCs/>
        </w:rPr>
        <w:t xml:space="preserve">reduce</w:t>
      </w:r>
      <w:r>
        <w:t xml:space="preserve"> </w:t>
      </w:r>
      <w:r>
        <w:t xml:space="preserve">post-close retention incentives precisely when continuity matters most. Our GreenWorks experience — losing a lead project manager within six months of close — argues for</w:t>
      </w:r>
      <w:r>
        <w:t xml:space="preserve"> </w:t>
      </w:r>
      <w:r>
        <w:rPr>
          <w:b/>
          <w:bCs/>
        </w:rPr>
        <w:t xml:space="preserve">retention agreements as a closing condition</w:t>
      </w:r>
      <w:r>
        <w:t xml:space="preserve"> </w:t>
      </w:r>
      <w:r>
        <w:t xml:space="preserve">for VP Operations Janet Prewitt, VP Sales Derek Cahill, Controller Lisa Fontaine, and Safety Director Mark Stovall, alongside a transition services agreement with Mr. Oakes.</w:t>
      </w:r>
    </w:p>
    <w:bookmarkEnd w:id="45"/>
    <w:bookmarkStart w:id="46" w:name="maintenance-capex-likely-understated"/>
    <w:p>
      <w:pPr>
        <w:pStyle w:val="Heading3"/>
      </w:pPr>
      <w:r>
        <w:t xml:space="preserve">6.5 Maintenance capex likely understated</w:t>
      </w:r>
    </w:p>
    <w:p>
      <w:pPr>
        <w:pStyle w:val="FirstParagraph"/>
      </w:pPr>
      <w:r>
        <w:t xml:space="preserve">The CIM states maintenance capex of $3.0M (3.4% of revenue). The sector benchmark is</w:t>
      </w:r>
      <w:r>
        <w:t xml:space="preserve"> </w:t>
      </w:r>
      <w:r>
        <w:rPr>
          <w:b/>
          <w:bCs/>
        </w:rPr>
        <w:t xml:space="preserve">5%–7% of revenue</w:t>
      </w:r>
      <w:r>
        <w:t xml:space="preserve"> </w:t>
      </w:r>
      <w:r>
        <w:t xml:space="preserve">(~$4.4M–$6.1M for CES), and our portfolio data is directly on point: GreenWorks’ sell-side CIM understated maintenance capex at ~3.5%, with actual post-close maintenance capex running ~6.2% as deferred maintenance and aging equipment surfaced; Allied Waste ran ~5.8%. CES’s fleet is ~4.5 years old on average with an estimated $22M replacement value. If true maintenance capex is ~5.5% (~$4.8M) rather than 3.4% (~$3.0M), the ~$1.8M annual difference directly reduces free cash flow.</w:t>
      </w:r>
      <w:r>
        <w:t xml:space="preserve"> </w:t>
      </w:r>
      <w:r>
        <w:rPr>
          <w:b/>
          <w:bCs/>
        </w:rPr>
        <w:t xml:space="preserve">An independent fleet age and condition assessment is a priority diligence item.</w:t>
      </w:r>
    </w:p>
    <w:bookmarkEnd w:id="46"/>
    <w:bookmarkStart w:id="47" w:name="X1fc9329fbf7da2667b473217cfbf1ed1ff45470"/>
    <w:p>
      <w:pPr>
        <w:pStyle w:val="Heading3"/>
      </w:pPr>
      <w:r>
        <w:t xml:space="preserve">6.6 Regulatory cost recurrence and the DEQ matter</w:t>
      </w:r>
    </w:p>
    <w:p>
      <w:pPr>
        <w:pStyle w:val="FirstParagraph"/>
      </w:pPr>
      <w:r>
        <w:t xml:space="preserve">As detailed in Section 4.5, the full $1.2M regulatory add-back is likely overstated by ~$0.3M–$0.5M, and the violation occurred at a related-party (Oakes-owned) facility. We need CES’s 10-year enforcement history and a normalized regulatory cost run-rate before accepting any add-back.</w:t>
      </w:r>
    </w:p>
    <w:bookmarkEnd w:id="47"/>
    <w:bookmarkStart w:id="48" w:name="related-party-real-estate"/>
    <w:p>
      <w:pPr>
        <w:pStyle w:val="Heading3"/>
      </w:pPr>
      <w:r>
        <w:t xml:space="preserve">6.7 Related-party real estate</w:t>
      </w:r>
    </w:p>
    <w:p>
      <w:pPr>
        <w:pStyle w:val="FirstParagraph"/>
      </w:pPr>
      <w:r>
        <w:t xml:space="preserve">The HQ is owned by the CEO and leased above market (per the CIM’s own specialized-facility comparable). Post-close resolution (buy, re-lease at market, or relocate) is a structuring decision with real capital or EBITDA consequences and is explicitly requested by the seller in the process letter. See Section 4.4.</w:t>
      </w:r>
    </w:p>
    <w:bookmarkEnd w:id="48"/>
    <w:bookmarkStart w:id="49" w:name="X69fc45b2f5bd63edcea01dfe5b19d1057778ddf"/>
    <w:p>
      <w:pPr>
        <w:pStyle w:val="Heading3"/>
      </w:pPr>
      <w:r>
        <w:t xml:space="preserve">6.8 Phantom equity cash settlement at closing — unquantified deal cost</w:t>
      </w:r>
    </w:p>
    <w:p>
      <w:pPr>
        <w:pStyle w:val="FirstParagraph"/>
      </w:pPr>
      <w:r>
        <w:t xml:space="preserve">The phantom equity plan is</w:t>
      </w:r>
      <w:r>
        <w:t xml:space="preserve"> </w:t>
      </w:r>
      <w:r>
        <w:t xml:space="preserve">“</w:t>
      </w:r>
      <w:r>
        <w:t xml:space="preserve">tied to the value of the enterprise</w:t>
      </w:r>
      <w:r>
        <w:t xml:space="preserve">”</w:t>
      </w:r>
      <w:r>
        <w:t xml:space="preserve"> </w:t>
      </w:r>
      <w:r>
        <w:t xml:space="preserve">and</w:t>
      </w:r>
      <w:r>
        <w:t xml:space="preserve"> </w:t>
      </w:r>
      <w:r>
        <w:t xml:space="preserve">“</w:t>
      </w:r>
      <w:r>
        <w:t xml:space="preserve">expected to be settled in cash at closing.</w:t>
      </w:r>
      <w:r>
        <w:t xml:space="preserve">”</w:t>
      </w:r>
      <w:r>
        <w:t xml:space="preserve"> </w:t>
      </w:r>
      <w:r>
        <w:t xml:space="preserve">The CIM expenses only $0.3M/year of non-cash SBC but</w:t>
      </w:r>
      <w:r>
        <w:t xml:space="preserve"> </w:t>
      </w:r>
      <w:r>
        <w:rPr>
          <w:b/>
          <w:bCs/>
        </w:rPr>
        <w:t xml:space="preserve">does not quantify the closing cash payout</w:t>
      </w:r>
      <w:r>
        <w:t xml:space="preserve">, which is effectively additional purchase consideration paid to senior management on top of the equity purchase price. Depending on unit count, strike, and the transacted enterprise value, this could be several million dollars.</w:t>
      </w:r>
      <w:r>
        <w:t xml:space="preserve"> </w:t>
      </w:r>
      <w:r>
        <w:rPr>
          <w:b/>
          <w:bCs/>
        </w:rPr>
        <w:t xml:space="preserve">The outstanding phantom units, their strike, and the projected cash settlement must be quantified before the IOI.</w:t>
      </w:r>
      <w:r>
        <w:t xml:space="preserve"> </w:t>
      </w:r>
      <w:r>
        <w:t xml:space="preserve">This also intersects with retention (6.4): cashing out phantom holders at close may weaken their incentive to stay.</w:t>
      </w:r>
    </w:p>
    <w:bookmarkEnd w:id="49"/>
    <w:bookmarkStart w:id="50" w:name="debt-maturity-and-refinancing"/>
    <w:p>
      <w:pPr>
        <w:pStyle w:val="Heading3"/>
      </w:pPr>
      <w:r>
        <w:t xml:space="preserve">6.9 Debt maturity and refinancing</w:t>
      </w:r>
    </w:p>
    <w:p>
      <w:pPr>
        <w:pStyle w:val="FirstParagraph"/>
      </w:pPr>
      <w:r>
        <w:t xml:space="preserve">The senior term loan matures August 31, 2026 — roughly 10 months after the expected Q4 2025 close — at SOFR + 3.75%. The process letter states existing debt will be refinanced or repaid at closing, which is standard, but the buyer should confirm any change-of-control provisions, prepayment penalties, and revolver mechanics with Cascadia Commercial Bank (via Greenleaf only, per the process letter).</w:t>
      </w:r>
    </w:p>
    <w:bookmarkEnd w:id="50"/>
    <w:bookmarkStart w:id="51" w:name="working-capital-and-dso"/>
    <w:p>
      <w:pPr>
        <w:pStyle w:val="Heading3"/>
      </w:pPr>
      <w:r>
        <w:t xml:space="preserve">6.10 Working capital and DSO</w:t>
      </w:r>
    </w:p>
    <w:p>
      <w:pPr>
        <w:pStyle w:val="FirstParagraph"/>
      </w:pPr>
      <w:r>
        <w:t xml:space="preserve">As detailed in Section 5.7, the stated 52-day DSO does not reconcile to the ~71 days implied by the balance sheet. Receivables are growing with revenue and consuming cash. The normalized net working capital peg (the process letter specifies a cash-free/debt-free deal with</w:t>
      </w:r>
      <w:r>
        <w:t xml:space="preserve"> </w:t>
      </w:r>
      <w:r>
        <w:t xml:space="preserve">“</w:t>
      </w:r>
      <w:r>
        <w:t xml:space="preserve">normalized</w:t>
      </w:r>
      <w:r>
        <w:t xml:space="preserve">”</w:t>
      </w:r>
      <w:r>
        <w:t xml:space="preserve"> </w:t>
      </w:r>
      <w:r>
        <w:t xml:space="preserve">NWC) must be set carefully; reported NWC of $11.8M is 13.5% of revenue, within the sector’s 10%–14% range, but the DSO discrepancy suggests the true working-capital base may be heavier than presented.</w:t>
      </w:r>
    </w:p>
    <w:bookmarkEnd w:id="51"/>
    <w:bookmarkStart w:id="52" w:name="fund-fit-check-size"/>
    <w:p>
      <w:pPr>
        <w:pStyle w:val="Heading3"/>
      </w:pPr>
      <w:r>
        <w:t xml:space="preserve">6.11 Fund fit / check size</w:t>
      </w:r>
    </w:p>
    <w:p>
      <w:pPr>
        <w:pStyle w:val="FirstParagraph"/>
      </w:pPr>
      <w:r>
        <w:t xml:space="preserve">The sector memo states Fund III</w:t>
      </w:r>
      <w:r>
        <w:t xml:space="preserve"> </w:t>
      </w:r>
      <w:r>
        <w:t xml:space="preserve">“</w:t>
      </w:r>
      <w:r>
        <w:t xml:space="preserve">targets platforms in the $30M–$100M enterprise value range</w:t>
      </w:r>
      <w:r>
        <w:t xml:space="preserve">”</w:t>
      </w:r>
      <w:r>
        <w:t xml:space="preserve"> </w:t>
      </w:r>
      <w:r>
        <w:t xml:space="preserve">and that</w:t>
      </w:r>
      <w:r>
        <w:t xml:space="preserve"> </w:t>
      </w:r>
      <w:r>
        <w:t xml:space="preserve">“</w:t>
      </w:r>
      <w:r>
        <w:t xml:space="preserve">CES fits squarely within these parameters.</w:t>
      </w:r>
      <w:r>
        <w:t xml:space="preserve">”</w:t>
      </w:r>
      <w:r>
        <w:t xml:space="preserve"> </w:t>
      </w:r>
      <w:r>
        <w:t xml:space="preserve">On the numbers, however, CES’s enterprise value — whether at the sell-side guide ($137M–$171M) or our buy-side range ($120M–$135M) —</w:t>
      </w:r>
      <w:r>
        <w:t xml:space="preserve"> </w:t>
      </w:r>
      <w:r>
        <w:rPr>
          <w:b/>
          <w:bCs/>
        </w:rPr>
        <w:t xml:space="preserve">exceeds the $100M EV ceiling</w:t>
      </w:r>
      <w:r>
        <w:t xml:space="preserve">. At ~$130M EV with ~55%–60% leverage, the equity check would be roughly $55M–$65M, or ~13%–15% of the $425M fund in a single platform. This is feasible but concentrated, and likely above the typical platform target. The deal team should confirm with the IC whether this requires a larger-than-standard equity check, a co-investment, or a fund-size-limit accommodation before proceeding.</w:t>
      </w:r>
    </w:p>
    <w:p>
      <w:r>
        <w:pict>
          <v:rect style="width:0;height:1.5pt" o:hralign="center" o:hrstd="t" o:hr="t"/>
        </w:pict>
      </w:r>
    </w:p>
    <w:bookmarkEnd w:id="52"/>
    <w:bookmarkEnd w:id="53"/>
    <w:bookmarkStart w:id="59" w:name="valuation-analysis"/>
    <w:p>
      <w:pPr>
        <w:pStyle w:val="Heading2"/>
      </w:pPr>
      <w:r>
        <w:t xml:space="preserve">7. Valuation Analysis</w:t>
      </w:r>
    </w:p>
    <w:bookmarkStart w:id="54" w:name="sell-side-valuation-guide"/>
    <w:p>
      <w:pPr>
        <w:pStyle w:val="Heading3"/>
      </w:pPr>
      <w:r>
        <w:t xml:space="preserve">7.1 Sell-side valuation guide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Basis</w:t>
            </w:r>
          </w:p>
        </w:tc>
        <w:tc>
          <w:tcPr/>
          <w:p>
            <w:pPr>
              <w:pStyle w:val="Compact"/>
              <w:jc w:val="left"/>
            </w:pPr>
            <w:r>
              <w:t xml:space="preserve">Adjusted EBITDA</w:t>
            </w:r>
          </w:p>
        </w:tc>
        <w:tc>
          <w:tcPr/>
          <w:p>
            <w:pPr>
              <w:pStyle w:val="Compact"/>
              <w:jc w:val="left"/>
            </w:pPr>
            <w:r>
              <w:t xml:space="preserve">Multiple</w:t>
            </w:r>
          </w:p>
        </w:tc>
        <w:tc>
          <w:tcPr/>
          <w:p>
            <w:pPr>
              <w:pStyle w:val="Compact"/>
              <w:jc w:val="left"/>
            </w:pPr>
            <w:r>
              <w:t xml:space="preserve">Implied EV ($M)</w:t>
            </w:r>
          </w:p>
        </w:tc>
      </w:tr>
      <w:tr>
        <w:tc>
          <w:tcPr/>
          <w:p>
            <w:pPr>
              <w:pStyle w:val="Compact"/>
              <w:jc w:val="left"/>
            </w:pPr>
            <w:r>
              <w:t xml:space="preserve">Trailing FY2024 (sell-side)</w:t>
            </w:r>
          </w:p>
        </w:tc>
        <w:tc>
          <w:tcPr/>
          <w:p>
            <w:pPr>
              <w:pStyle w:val="Compact"/>
              <w:jc w:val="left"/>
            </w:pPr>
            <w:r>
              <w:t xml:space="preserve">$17.1M</w:t>
            </w:r>
          </w:p>
        </w:tc>
        <w:tc>
          <w:tcPr/>
          <w:p>
            <w:pPr>
              <w:pStyle w:val="Compact"/>
              <w:jc w:val="left"/>
            </w:pPr>
            <w:r>
              <w:t xml:space="preserve">8.0x–10.0x</w:t>
            </w:r>
          </w:p>
        </w:tc>
        <w:tc>
          <w:tcPr/>
          <w:p>
            <w:pPr>
              <w:pStyle w:val="Compact"/>
              <w:jc w:val="left"/>
            </w:pPr>
            <w:r>
              <w:t xml:space="preserve">136.8 – 171.0</w:t>
            </w:r>
          </w:p>
        </w:tc>
      </w:tr>
      <w:tr>
        <w:tc>
          <w:tcPr/>
          <w:p>
            <w:pPr>
              <w:pStyle w:val="Compact"/>
              <w:jc w:val="left"/>
            </w:pPr>
            <w:r>
              <w:t xml:space="preserve">Forward FY2025E (sell-side)</w:t>
            </w:r>
          </w:p>
        </w:tc>
        <w:tc>
          <w:tcPr/>
          <w:p>
            <w:pPr>
              <w:pStyle w:val="Compact"/>
              <w:jc w:val="left"/>
            </w:pPr>
            <w:r>
              <w:t xml:space="preserve">$19.7M</w:t>
            </w:r>
          </w:p>
        </w:tc>
        <w:tc>
          <w:tcPr/>
          <w:p>
            <w:pPr>
              <w:pStyle w:val="Compact"/>
              <w:jc w:val="left"/>
            </w:pPr>
            <w:r>
              <w:t xml:space="preserve">8.0x–10.0x</w:t>
            </w:r>
          </w:p>
        </w:tc>
        <w:tc>
          <w:tcPr/>
          <w:p>
            <w:pPr>
              <w:pStyle w:val="Compact"/>
              <w:jc w:val="left"/>
            </w:pPr>
            <w:r>
              <w:t xml:space="preserve">157.6 – 197.0</w:t>
            </w:r>
          </w:p>
        </w:tc>
      </w:tr>
    </w:tbl>
    <w:p>
      <w:pPr>
        <w:pStyle w:val="BodyText"/>
      </w:pPr>
      <w:r>
        <w:t xml:space="preserve">The sell-side argues for the high end of the range and for forward multiples, citing growth, PFAS, margin expansion, and platform characteristics.</w:t>
      </w:r>
    </w:p>
    <w:bookmarkEnd w:id="54"/>
    <w:bookmarkStart w:id="55" w:name="X6eabb2cbfccff63e17a3922344381e14698192c"/>
    <w:p>
      <w:pPr>
        <w:pStyle w:val="Heading3"/>
      </w:pPr>
      <w:r>
        <w:t xml:space="preserve">7.2 Buy-side Adjusted EBITDA reconstruction (FY2024)</w:t>
      </w:r>
    </w:p>
    <w:p>
      <w:pPr>
        <w:pStyle w:val="FirstParagraph"/>
      </w:pPr>
      <w:r>
        <w:t xml:space="preserve">Per Section 4.2, our defensible Adjusted EBITDA is</w:t>
      </w:r>
      <w:r>
        <w:t xml:space="preserve"> </w:t>
      </w:r>
      <w:r>
        <w:rPr>
          <w:b/>
          <w:bCs/>
        </w:rPr>
        <w:t xml:space="preserve">~$14.5M–$15.5M (base ~$15.0M)</w:t>
      </w:r>
      <w:r>
        <w:t xml:space="preserve">, reflecting: (i) regulatory normalization to a recurring run-rate (−$0.3M–$0.5M); (ii) reclassification of the Boise relocation as growth capex (−$0.4M); (iii) reduction of the lease add-back to reflect the CIM’s own specialized-facility market rent of $1.0M–$1.2M (−$0.4M–$0.6M); and (iv) a more realistic replacement-CEO cost in the owner-comp normalization (−$0.2M–$0.4M); partially offset by accepting the non-cash SBC and one-time IT add-backs.</w:t>
      </w:r>
    </w:p>
    <w:bookmarkEnd w:id="55"/>
    <w:bookmarkStart w:id="56" w:name="buy-side-valuation-scenarios"/>
    <w:p>
      <w:pPr>
        <w:pStyle w:val="Heading3"/>
      </w:pPr>
      <w:r>
        <w:t xml:space="preserve">7.3 Buy-side valuation scenarios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Adj. EBITDA ($M)</w:t>
            </w:r>
          </w:p>
        </w:tc>
        <w:tc>
          <w:tcPr/>
          <w:p>
            <w:pPr>
              <w:pStyle w:val="Compact"/>
              <w:jc w:val="left"/>
            </w:pPr>
            <w:r>
              <w:t xml:space="preserve">Multiple</w:t>
            </w:r>
          </w:p>
        </w:tc>
        <w:tc>
          <w:tcPr/>
          <w:p>
            <w:pPr>
              <w:pStyle w:val="Compact"/>
              <w:jc w:val="left"/>
            </w:pPr>
            <w:r>
              <w:t xml:space="preserve">EV ($M)</w:t>
            </w:r>
          </w:p>
        </w:tc>
        <w:tc>
          <w:tcPr/>
          <w:p>
            <w:pPr>
              <w:pStyle w:val="Compact"/>
              <w:jc w:val="left"/>
            </w:pPr>
            <w:r>
              <w:t xml:space="preserve">Net debt ($M)</w:t>
            </w:r>
          </w:p>
        </w:tc>
        <w:tc>
          <w:tcPr/>
          <w:p>
            <w:pPr>
              <w:pStyle w:val="Compact"/>
              <w:jc w:val="left"/>
            </w:pPr>
            <w:r>
              <w:t xml:space="preserve">Equity ($M, pre-phantom/RE)</w:t>
            </w:r>
          </w:p>
        </w:tc>
      </w:tr>
      <w:tr>
        <w:tc>
          <w:tcPr/>
          <w:p>
            <w:pPr>
              <w:pStyle w:val="Compact"/>
              <w:jc w:val="left"/>
            </w:pPr>
            <w:r>
              <w:t xml:space="preserve">Sell-side trailing</w:t>
            </w:r>
          </w:p>
        </w:tc>
        <w:tc>
          <w:tcPr/>
          <w:p>
            <w:pPr>
              <w:pStyle w:val="Compact"/>
              <w:jc w:val="left"/>
            </w:pPr>
            <w:r>
              <w:t xml:space="preserve">17.1</w:t>
            </w:r>
          </w:p>
        </w:tc>
        <w:tc>
          <w:tcPr/>
          <w:p>
            <w:pPr>
              <w:pStyle w:val="Compact"/>
              <w:jc w:val="left"/>
            </w:pPr>
            <w:r>
              <w:t xml:space="preserve">8.0x–10.0x</w:t>
            </w:r>
          </w:p>
        </w:tc>
        <w:tc>
          <w:tcPr/>
          <w:p>
            <w:pPr>
              <w:pStyle w:val="Compact"/>
              <w:jc w:val="left"/>
            </w:pPr>
            <w:r>
              <w:t xml:space="preserve">136.8 – 171.0</w:t>
            </w:r>
          </w:p>
        </w:tc>
        <w:tc>
          <w:tcPr/>
          <w:p>
            <w:pPr>
              <w:pStyle w:val="Compact"/>
              <w:jc w:val="left"/>
            </w:pPr>
            <w:r>
              <w:t xml:space="preserve">(15.0)</w:t>
            </w:r>
          </w:p>
        </w:tc>
        <w:tc>
          <w:tcPr/>
          <w:p>
            <w:pPr>
              <w:pStyle w:val="Compact"/>
              <w:jc w:val="left"/>
            </w:pPr>
            <w:r>
              <w:t xml:space="preserve">121.8 – 156.0</w:t>
            </w:r>
          </w:p>
        </w:tc>
      </w:tr>
      <w:tr>
        <w:tc>
          <w:tcPr/>
          <w:p>
            <w:pPr>
              <w:pStyle w:val="Compact"/>
              <w:jc w:val="left"/>
            </w:pPr>
            <w:r>
              <w:t xml:space="preserve">Sell-side forward</w:t>
            </w:r>
          </w:p>
        </w:tc>
        <w:tc>
          <w:tcPr/>
          <w:p>
            <w:pPr>
              <w:pStyle w:val="Compact"/>
              <w:jc w:val="left"/>
            </w:pPr>
            <w:r>
              <w:t xml:space="preserve">19.7</w:t>
            </w:r>
          </w:p>
        </w:tc>
        <w:tc>
          <w:tcPr/>
          <w:p>
            <w:pPr>
              <w:pStyle w:val="Compact"/>
              <w:jc w:val="left"/>
            </w:pPr>
            <w:r>
              <w:t xml:space="preserve">8.0x–10.0x</w:t>
            </w:r>
          </w:p>
        </w:tc>
        <w:tc>
          <w:tcPr/>
          <w:p>
            <w:pPr>
              <w:pStyle w:val="Compact"/>
              <w:jc w:val="left"/>
            </w:pPr>
            <w:r>
              <w:t xml:space="preserve">157.6 – 197.0</w:t>
            </w:r>
          </w:p>
        </w:tc>
        <w:tc>
          <w:tcPr/>
          <w:p>
            <w:pPr>
              <w:pStyle w:val="Compact"/>
              <w:jc w:val="left"/>
            </w:pPr>
            <w:r>
              <w:t xml:space="preserve">(15.0)</w:t>
            </w:r>
          </w:p>
        </w:tc>
        <w:tc>
          <w:tcPr/>
          <w:p>
            <w:pPr>
              <w:pStyle w:val="Compact"/>
              <w:jc w:val="left"/>
            </w:pPr>
            <w:r>
              <w:t xml:space="preserve">142.6 – 182.0</w:t>
            </w:r>
          </w:p>
        </w:tc>
      </w:tr>
      <w:tr>
        <w:tc>
          <w:tcPr/>
          <w:p>
            <w:pPr>
              <w:pStyle w:val="Compact"/>
              <w:jc w:val="left"/>
            </w:pPr>
            <w:r>
              <w:rPr>
                <w:b/>
                <w:bCs/>
              </w:rPr>
              <w:t xml:space="preserve">Buy-side base</w:t>
            </w:r>
          </w:p>
        </w:tc>
        <w:tc>
          <w:tcPr/>
          <w:p>
            <w:pPr>
              <w:pStyle w:val="Compact"/>
              <w:jc w:val="left"/>
            </w:pPr>
            <w:r>
              <w:rPr>
                <w:b/>
                <w:bCs/>
              </w:rPr>
              <w:t xml:space="preserve">~15.0</w:t>
            </w:r>
          </w:p>
        </w:tc>
        <w:tc>
          <w:tcPr/>
          <w:p>
            <w:pPr>
              <w:pStyle w:val="Compact"/>
              <w:jc w:val="left"/>
            </w:pPr>
            <w:r>
              <w:rPr>
                <w:b/>
                <w:bCs/>
              </w:rPr>
              <w:t xml:space="preserve">8.0x–9.0x</w:t>
            </w:r>
          </w:p>
        </w:tc>
        <w:tc>
          <w:tcPr/>
          <w:p>
            <w:pPr>
              <w:pStyle w:val="Compact"/>
              <w:jc w:val="left"/>
            </w:pPr>
            <w:r>
              <w:rPr>
                <w:b/>
                <w:bCs/>
              </w:rPr>
              <w:t xml:space="preserve">120 – 135</w:t>
            </w:r>
          </w:p>
        </w:tc>
        <w:tc>
          <w:tcPr/>
          <w:p>
            <w:pPr>
              <w:pStyle w:val="Compact"/>
              <w:jc w:val="left"/>
            </w:pPr>
            <w:r>
              <w:rPr>
                <w:b/>
                <w:bCs/>
              </w:rPr>
              <w:t xml:space="preserve">(15.0)</w:t>
            </w:r>
          </w:p>
        </w:tc>
        <w:tc>
          <w:tcPr/>
          <w:p>
            <w:pPr>
              <w:pStyle w:val="Compact"/>
              <w:jc w:val="left"/>
            </w:pPr>
            <w:r>
              <w:rPr>
                <w:b/>
                <w:bCs/>
              </w:rPr>
              <w:t xml:space="preserve">105 – 120</w:t>
            </w:r>
          </w:p>
        </w:tc>
      </w:tr>
      <w:tr>
        <w:tc>
          <w:tcPr/>
          <w:p>
            <w:pPr>
              <w:pStyle w:val="Compact"/>
              <w:jc w:val="left"/>
            </w:pPr>
            <w:r>
              <w:t xml:space="preserve">Buy-side conservative</w:t>
            </w:r>
          </w:p>
        </w:tc>
        <w:tc>
          <w:tcPr/>
          <w:p>
            <w:pPr>
              <w:pStyle w:val="Compact"/>
              <w:jc w:val="left"/>
            </w:pPr>
            <w:r>
              <w:t xml:space="preserve">~14.5</w:t>
            </w:r>
          </w:p>
        </w:tc>
        <w:tc>
          <w:tcPr/>
          <w:p>
            <w:pPr>
              <w:pStyle w:val="Compact"/>
              <w:jc w:val="left"/>
            </w:pPr>
            <w:r>
              <w:t xml:space="preserve">8.0x</w:t>
            </w:r>
          </w:p>
        </w:tc>
        <w:tc>
          <w:tcPr/>
          <w:p>
            <w:pPr>
              <w:pStyle w:val="Compact"/>
              <w:jc w:val="left"/>
            </w:pPr>
            <w:r>
              <w:t xml:space="preserve">~116</w:t>
            </w:r>
          </w:p>
        </w:tc>
        <w:tc>
          <w:tcPr/>
          <w:p>
            <w:pPr>
              <w:pStyle w:val="Compact"/>
              <w:jc w:val="left"/>
            </w:pPr>
            <w:r>
              <w:t xml:space="preserve">(15.0)</w:t>
            </w:r>
          </w:p>
        </w:tc>
        <w:tc>
          <w:tcPr/>
          <w:p>
            <w:pPr>
              <w:pStyle w:val="Compact"/>
              <w:jc w:val="left"/>
            </w:pPr>
            <w:r>
              <w:t xml:space="preserve">~101</w:t>
            </w:r>
          </w:p>
        </w:tc>
      </w:tr>
      <w:tr>
        <w:tc>
          <w:tcPr/>
          <w:p>
            <w:pPr>
              <w:pStyle w:val="Compact"/>
              <w:jc w:val="left"/>
            </w:pPr>
            <w:r>
              <w:t xml:space="preserve">Reported-EBITDA floor</w:t>
            </w:r>
          </w:p>
        </w:tc>
        <w:tc>
          <w:tcPr/>
          <w:p>
            <w:pPr>
              <w:pStyle w:val="Compact"/>
              <w:jc w:val="left"/>
            </w:pPr>
            <w:r>
              <w:t xml:space="preserve">12.1</w:t>
            </w:r>
          </w:p>
        </w:tc>
        <w:tc>
          <w:tcPr/>
          <w:p>
            <w:pPr>
              <w:pStyle w:val="Compact"/>
              <w:jc w:val="left"/>
            </w:pPr>
            <w:r>
              <w:t xml:space="preserve">8.0x–10.0x</w:t>
            </w:r>
          </w:p>
        </w:tc>
        <w:tc>
          <w:tcPr/>
          <w:p>
            <w:pPr>
              <w:pStyle w:val="Compact"/>
              <w:jc w:val="left"/>
            </w:pPr>
            <w:r>
              <w:t xml:space="preserve">96.8 – 121.0</w:t>
            </w:r>
          </w:p>
        </w:tc>
        <w:tc>
          <w:tcPr/>
          <w:p>
            <w:pPr>
              <w:pStyle w:val="Compact"/>
              <w:jc w:val="left"/>
            </w:pPr>
            <w:r>
              <w:t xml:space="preserve">(15.0)</w:t>
            </w:r>
          </w:p>
        </w:tc>
        <w:tc>
          <w:tcPr/>
          <w:p>
            <w:pPr>
              <w:pStyle w:val="Compact"/>
              <w:jc w:val="left"/>
            </w:pPr>
            <w:r>
              <w:t xml:space="preserve">81.8 – 106.0</w:t>
            </w:r>
          </w:p>
        </w:tc>
      </w:tr>
    </w:tbl>
    <w:p>
      <w:pPr>
        <w:pStyle w:val="BodyText"/>
      </w:pPr>
      <w:r>
        <w:t xml:space="preserve">Notes on the bridge from EV to equity:</w:t>
      </w:r>
      <w:r>
        <w:t xml:space="preserve"> </w:t>
      </w:r>
      <w:r>
        <w:t xml:space="preserve">-</w:t>
      </w:r>
      <w:r>
        <w:t xml:space="preserve"> </w:t>
      </w:r>
      <w:r>
        <w:rPr>
          <w:b/>
          <w:bCs/>
        </w:rPr>
        <w:t xml:space="preserve">Net debt</w:t>
      </w:r>
      <w:r>
        <w:t xml:space="preserve"> </w:t>
      </w:r>
      <w:r>
        <w:t xml:space="preserve">is ~$15.0M (coincidentally consistent between the CIM and Financial Exhibits, though gross debt does not reconcile — see 5.3).</w:t>
      </w:r>
      <w:r>
        <w:t xml:space="preserve"> </w:t>
      </w:r>
      <w:r>
        <w:t xml:space="preserve">-</w:t>
      </w:r>
      <w:r>
        <w:t xml:space="preserve"> </w:t>
      </w:r>
      <w:r>
        <w:rPr>
          <w:b/>
          <w:bCs/>
        </w:rPr>
        <w:t xml:space="preserve">Phantom unit cash settlement</w:t>
      </w:r>
      <w:r>
        <w:t xml:space="preserve"> </w:t>
      </w:r>
      <w:r>
        <w:t xml:space="preserve">(est. several $M; to be quantified) reduces equity proceeds to the seller and is effectively additional deal consideration.</w:t>
      </w:r>
      <w:r>
        <w:t xml:space="preserve"> </w:t>
      </w:r>
      <w:r>
        <w:t xml:space="preserve">-</w:t>
      </w:r>
      <w:r>
        <w:t xml:space="preserve"> </w:t>
      </w:r>
      <w:r>
        <w:rPr>
          <w:b/>
          <w:bCs/>
        </w:rPr>
        <w:t xml:space="preserve">HQ real estate</w:t>
      </w:r>
      <w:r>
        <w:t xml:space="preserve">: if acquired, add ~$7M–$10M of separate capital (outside EV) based on the $1.0M–$1.2M specialized-facility rent at a reasonable cap rate; if leased at market, no additional capital but EBITDA already reflects the normalized rent.</w:t>
      </w:r>
      <w:r>
        <w:t xml:space="preserve"> </w:t>
      </w:r>
      <w:r>
        <w:t xml:space="preserve">-</w:t>
      </w:r>
      <w:r>
        <w:t xml:space="preserve"> </w:t>
      </w:r>
      <w:r>
        <w:rPr>
          <w:b/>
          <w:bCs/>
        </w:rPr>
        <w:t xml:space="preserve">NWC peg</w:t>
      </w:r>
      <w:r>
        <w:t xml:space="preserve"> </w:t>
      </w:r>
      <w:r>
        <w:t xml:space="preserve">~$11.8M (13.5% of revenue, within the 10%–14% sector range); minimal adjustment expected, subject to the DSO reconciliation.</w:t>
      </w:r>
    </w:p>
    <w:bookmarkEnd w:id="56"/>
    <w:bookmarkStart w:id="57" w:name="multiple-selection-rationale"/>
    <w:p>
      <w:pPr>
        <w:pStyle w:val="Heading3"/>
      </w:pPr>
      <w:r>
        <w:t xml:space="preserve">7.4 Multiple selection rationale</w:t>
      </w:r>
    </w:p>
    <w:p>
      <w:pPr>
        <w:pStyle w:val="FirstParagraph"/>
      </w:pPr>
      <w:r>
        <w:t xml:space="preserve">We apply</w:t>
      </w:r>
      <w:r>
        <w:t xml:space="preserve"> </w:t>
      </w:r>
      <w:r>
        <w:rPr>
          <w:b/>
          <w:bCs/>
        </w:rPr>
        <w:t xml:space="preserve">8.0x–9.0x</w:t>
      </w:r>
      <w:r>
        <w:t xml:space="preserve"> </w:t>
      </w:r>
      <w:r>
        <w:t xml:space="preserve">(lower-to-middle of the 8.0x–10.0x comp range) rather than the high end, and we anchor on</w:t>
      </w:r>
      <w:r>
        <w:t xml:space="preserve"> </w:t>
      </w:r>
      <w:r>
        <w:rPr>
          <w:b/>
          <w:bCs/>
        </w:rPr>
        <w:t xml:space="preserve">trailing defensible Adjusted EBITDA</w:t>
      </w:r>
      <w:r>
        <w:t xml:space="preserve"> </w:t>
      </w:r>
      <w:r>
        <w:t xml:space="preserve">rather than forward, because: (i) the growth story is concentrated in an unproven two-year-old PFAS practice with execution and capacity constraints; (ii) customer concentration is high with imminent contract expirations; (iii) key-person/transition risk is elevated; (iv) maintenance capex is likely understated, reducing FCF; and (v) the data room contains material unreconciled inconsistencies. High-end and forward multiples are warranted only if PFAS execution, contract renewals, and the QoE all confirm the sell-side narrative — which is precisely what an earnout is designed to bridge.</w:t>
      </w:r>
    </w:p>
    <w:bookmarkEnd w:id="57"/>
    <w:bookmarkStart w:id="58" w:name="free-cash-flow-perspective"/>
    <w:p>
      <w:pPr>
        <w:pStyle w:val="Heading3"/>
      </w:pPr>
      <w:r>
        <w:t xml:space="preserve">7.5 Free-cash-flow perspective</w:t>
      </w:r>
    </w:p>
    <w:p>
      <w:pPr>
        <w:pStyle w:val="FirstParagraph"/>
      </w:pPr>
      <w:r>
        <w:t xml:space="preserve">At a ~$128M EV, FY2024 FCF of ~$2.8M implies a ~2.1% FCF yield. Even allowing for projected FCF growth, the buyer is paying a high multiple of current cash flow; the return depends on PFAS-driven margin expansion and working-capital discipline materializing. The IC should review the deal on an FCF basis, not solely on EBITDA multiples.</w:t>
      </w:r>
    </w:p>
    <w:p>
      <w:r>
        <w:pict>
          <v:rect style="width:0;height:1.5pt" o:hralign="center" o:hrstd="t" o:hr="t"/>
        </w:pict>
      </w:r>
    </w:p>
    <w:bookmarkEnd w:id="58"/>
    <w:bookmarkEnd w:id="59"/>
    <w:bookmarkStart w:id="64" w:name="recommended-ioi-position"/>
    <w:p>
      <w:pPr>
        <w:pStyle w:val="Heading2"/>
      </w:pPr>
      <w:r>
        <w:t xml:space="preserve">8. Recommended IOI Position</w:t>
      </w:r>
    </w:p>
    <w:bookmarkStart w:id="60" w:name="indication-of-value"/>
    <w:p>
      <w:pPr>
        <w:pStyle w:val="Heading3"/>
      </w:pPr>
      <w:r>
        <w:t xml:space="preserve">8.1 Indication of value</w:t>
      </w:r>
    </w:p>
    <w:p>
      <w:pPr>
        <w:pStyle w:val="Compact"/>
        <w:numPr>
          <w:ilvl w:val="0"/>
          <w:numId w:val="1010"/>
        </w:numPr>
      </w:pPr>
      <w:r>
        <w:rPr>
          <w:b/>
          <w:bCs/>
        </w:rPr>
        <w:t xml:space="preserve">Enterprise value range: $120M–$135M</w:t>
      </w:r>
      <w:r>
        <w:t xml:space="preserve">, on a cash-free / debt-free basis with normalized net working capital.</w:t>
      </w:r>
    </w:p>
    <w:p>
      <w:pPr>
        <w:pStyle w:val="Compact"/>
        <w:numPr>
          <w:ilvl w:val="0"/>
          <w:numId w:val="1010"/>
        </w:numPr>
      </w:pPr>
      <w:r>
        <w:rPr>
          <w:b/>
          <w:bCs/>
        </w:rPr>
        <w:t xml:space="preserve">Basis:</w:t>
      </w:r>
      <w:r>
        <w:t xml:space="preserve"> </w:t>
      </w:r>
      <w:r>
        <w:t xml:space="preserve">trailing FY2024 buy-side defensible Adjusted EBITDA of ~$15.0M at an implied</w:t>
      </w:r>
      <w:r>
        <w:t xml:space="preserve"> </w:t>
      </w:r>
      <w:r>
        <w:rPr>
          <w:b/>
          <w:bCs/>
        </w:rPr>
        <w:t xml:space="preserve">8.0x–9.0x</w:t>
      </w:r>
      <w:r>
        <w:t xml:space="preserve"> </w:t>
      </w:r>
      <w:r>
        <w:t xml:space="preserve">multiple.</w:t>
      </w:r>
    </w:p>
    <w:p>
      <w:pPr>
        <w:pStyle w:val="Compact"/>
        <w:numPr>
          <w:ilvl w:val="0"/>
          <w:numId w:val="1010"/>
        </w:numPr>
      </w:pPr>
      <w:r>
        <w:rPr>
          <w:b/>
          <w:bCs/>
        </w:rPr>
        <w:t xml:space="preserve">Earnout:</w:t>
      </w:r>
      <w:r>
        <w:t xml:space="preserve"> </w:t>
      </w:r>
      <w:r>
        <w:t xml:space="preserve">propose a contingent component (e.g., up to $15M–$25M) tied to PFAS revenue/EBITDA milestones over FY2025–FY2026 (e.g., PFAS revenue ≥ $12M in FY2025 and ≥ $18M in FY2026), structured to bridge toward the sell-side value</w:t>
      </w:r>
      <w:r>
        <w:t xml:space="preserve"> </w:t>
      </w:r>
      <w:r>
        <w:rPr>
          <w:i/>
          <w:iCs/>
        </w:rPr>
        <w:t xml:space="preserve">if</w:t>
      </w:r>
      <w:r>
        <w:t xml:space="preserve"> </w:t>
      </w:r>
      <w:r>
        <w:t xml:space="preserve">PFAS execution materializes. This aligns price with the riskiest part of the thesis without paying for it upfront.</w:t>
      </w:r>
    </w:p>
    <w:bookmarkEnd w:id="60"/>
    <w:bookmarkStart w:id="61" w:name="proposed-structure"/>
    <w:p>
      <w:pPr>
        <w:pStyle w:val="Heading3"/>
      </w:pPr>
      <w:r>
        <w:t xml:space="preserve">8.2 Proposed structure</w:t>
      </w:r>
    </w:p>
    <w:p>
      <w:pPr>
        <w:pStyle w:val="Compact"/>
        <w:numPr>
          <w:ilvl w:val="0"/>
          <w:numId w:val="1011"/>
        </w:numPr>
      </w:pPr>
      <w:r>
        <w:rPr>
          <w:b/>
          <w:bCs/>
        </w:rPr>
        <w:t xml:space="preserve">Stock purchase</w:t>
      </w:r>
      <w:r>
        <w:t xml:space="preserve"> </w:t>
      </w:r>
      <w:r>
        <w:t xml:space="preserve">(consistent with the seller’s expected SPA).</w:t>
      </w:r>
    </w:p>
    <w:p>
      <w:pPr>
        <w:pStyle w:val="Compact"/>
        <w:numPr>
          <w:ilvl w:val="0"/>
          <w:numId w:val="1011"/>
        </w:numPr>
      </w:pPr>
      <w:r>
        <w:rPr>
          <w:b/>
          <w:bCs/>
        </w:rPr>
        <w:t xml:space="preserve">Existing debt</w:t>
      </w:r>
      <w:r>
        <w:t xml:space="preserve"> </w:t>
      </w:r>
      <w:r>
        <w:t xml:space="preserve">refinanced/repaid at closing.</w:t>
      </w:r>
    </w:p>
    <w:p>
      <w:pPr>
        <w:pStyle w:val="Compact"/>
        <w:numPr>
          <w:ilvl w:val="0"/>
          <w:numId w:val="1011"/>
        </w:numPr>
      </w:pPr>
      <w:r>
        <w:rPr>
          <w:b/>
          <w:bCs/>
        </w:rPr>
        <w:t xml:space="preserve">HQ real estate:</w:t>
      </w:r>
      <w:r>
        <w:t xml:space="preserve"> </w:t>
      </w:r>
      <w:r>
        <w:t xml:space="preserve">propose to either (a) acquire the property at fair market value determined by an independent appraisal and Phase I/II environmental assessment, or (b) enter a long-term market-rate lease — contingent on resolving the $1.0M–$1.2M specialized-facility market rent question and the site’s environmental condition (given the 2024 DEQ soils matter occurred there).</w:t>
      </w:r>
    </w:p>
    <w:p>
      <w:pPr>
        <w:pStyle w:val="Compact"/>
        <w:numPr>
          <w:ilvl w:val="0"/>
          <w:numId w:val="1011"/>
        </w:numPr>
      </w:pPr>
      <w:r>
        <w:rPr>
          <w:b/>
          <w:bCs/>
        </w:rPr>
        <w:t xml:space="preserve">Phantom units:</w:t>
      </w:r>
      <w:r>
        <w:t xml:space="preserve"> </w:t>
      </w:r>
      <w:r>
        <w:t xml:space="preserve">settled in cash at closing per the existing plan; quantify the payout and treat as deal consideration.</w:t>
      </w:r>
    </w:p>
    <w:p>
      <w:pPr>
        <w:pStyle w:val="Compact"/>
        <w:numPr>
          <w:ilvl w:val="0"/>
          <w:numId w:val="1011"/>
        </w:numPr>
      </w:pPr>
      <w:r>
        <w:rPr>
          <w:b/>
          <w:bCs/>
        </w:rPr>
        <w:t xml:space="preserve">Transition:</w:t>
      </w:r>
      <w:r>
        <w:t xml:space="preserve"> </w:t>
      </w:r>
      <w:r>
        <w:t xml:space="preserve">accommodate Mr. Oakes’ 18–24 month transition via a transition services agreement.</w:t>
      </w:r>
    </w:p>
    <w:p>
      <w:pPr>
        <w:pStyle w:val="Compact"/>
        <w:numPr>
          <w:ilvl w:val="0"/>
          <w:numId w:val="1011"/>
        </w:numPr>
      </w:pPr>
      <w:r>
        <w:rPr>
          <w:b/>
          <w:bCs/>
        </w:rPr>
        <w:t xml:space="preserve">Retention:</w:t>
      </w:r>
      <w:r>
        <w:t xml:space="preserve"> </w:t>
      </w:r>
      <w:r>
        <w:t xml:space="preserve">retention agreements for the four senior managers (Prewitt, Cahill, Fontaine, Stovall) as a closing condition.</w:t>
      </w:r>
    </w:p>
    <w:bookmarkEnd w:id="61"/>
    <w:bookmarkStart w:id="62" w:name="Xa8cebbcea269471da8e1b973948ce6ceb3832b7"/>
    <w:p>
      <w:pPr>
        <w:pStyle w:val="Heading3"/>
      </w:pPr>
      <w:r>
        <w:t xml:space="preserve">8.3 Conditions and confirmatory diligence (prioritized)</w:t>
      </w:r>
    </w:p>
    <w:p>
      <w:pPr>
        <w:pStyle w:val="Compact"/>
        <w:numPr>
          <w:ilvl w:val="0"/>
          <w:numId w:val="1012"/>
        </w:numPr>
      </w:pPr>
      <w:r>
        <w:rPr>
          <w:b/>
          <w:bCs/>
        </w:rPr>
        <w:t xml:space="preserve">Audited financials + QoE:</w:t>
      </w:r>
      <w:r>
        <w:t xml:space="preserve"> </w:t>
      </w:r>
      <w:r>
        <w:t xml:space="preserve">reconcile the CIM, Financial Exhibits, and Backlog Report; resolve the Operating Income / D&amp;A / EBITDA reconciliation (~$3.2M gap); confirm net income, gross debt, cash, and the origin of the $2.5M goodwill.</w:t>
      </w:r>
    </w:p>
    <w:p>
      <w:pPr>
        <w:pStyle w:val="Compact"/>
        <w:numPr>
          <w:ilvl w:val="0"/>
          <w:numId w:val="1012"/>
        </w:numPr>
      </w:pPr>
      <w:r>
        <w:rPr>
          <w:b/>
          <w:bCs/>
        </w:rPr>
        <w:t xml:space="preserve">PFAS:</w:t>
      </w:r>
      <w:r>
        <w:t xml:space="preserve"> </w:t>
      </w:r>
      <w:r>
        <w:t xml:space="preserve">contracted-backlog breakout (signed vs. pipeline) supporting the $14.0M FY2025E figure; customer-level win rates; PE hiring plan and capacity.</w:t>
      </w:r>
    </w:p>
    <w:p>
      <w:pPr>
        <w:pStyle w:val="Compact"/>
        <w:numPr>
          <w:ilvl w:val="0"/>
          <w:numId w:val="1012"/>
        </w:numPr>
      </w:pPr>
      <w:r>
        <w:rPr>
          <w:b/>
          <w:bCs/>
        </w:rPr>
        <w:t xml:space="preserve">Customer contracts:</w:t>
      </w:r>
      <w:r>
        <w:t xml:space="preserve"> </w:t>
      </w:r>
      <w:r>
        <w:t xml:space="preserve">PNR renewal status (MSA expired 3/31/2025) and Meridian renewal (12/31/2025) before IOI; reconcile the top-10 customer identities; confirm relationship tenures.</w:t>
      </w:r>
    </w:p>
    <w:p>
      <w:pPr>
        <w:pStyle w:val="Compact"/>
        <w:numPr>
          <w:ilvl w:val="0"/>
          <w:numId w:val="1012"/>
        </w:numPr>
      </w:pPr>
      <w:r>
        <w:rPr>
          <w:b/>
          <w:bCs/>
        </w:rPr>
        <w:t xml:space="preserve">Maintenance capex &amp; fleet:</w:t>
      </w:r>
      <w:r>
        <w:t xml:space="preserve"> </w:t>
      </w:r>
      <w:r>
        <w:t xml:space="preserve">independent fleet age/condition assessment; true maintenance capex run-rate vs. the 3.4% stated.</w:t>
      </w:r>
    </w:p>
    <w:p>
      <w:pPr>
        <w:pStyle w:val="Compact"/>
        <w:numPr>
          <w:ilvl w:val="0"/>
          <w:numId w:val="1012"/>
        </w:numPr>
      </w:pPr>
      <w:r>
        <w:rPr>
          <w:b/>
          <w:bCs/>
        </w:rPr>
        <w:t xml:space="preserve">Regulatory:</w:t>
      </w:r>
      <w:r>
        <w:t xml:space="preserve"> </w:t>
      </w:r>
      <w:r>
        <w:t xml:space="preserve">10-year DEQ/enforcement history; compliance program; recurring regulatory cost run-rate; details of the 2024 DEQ matter at the related-party facility.</w:t>
      </w:r>
    </w:p>
    <w:p>
      <w:pPr>
        <w:pStyle w:val="Compact"/>
        <w:numPr>
          <w:ilvl w:val="0"/>
          <w:numId w:val="1012"/>
        </w:numPr>
      </w:pPr>
      <w:r>
        <w:rPr>
          <w:b/>
          <w:bCs/>
        </w:rPr>
        <w:t xml:space="preserve">Real estate:</w:t>
      </w:r>
      <w:r>
        <w:t xml:space="preserve"> </w:t>
      </w:r>
      <w:r>
        <w:t xml:space="preserve">independent HQ valuation and market rent for a specialized environmental staging facility; acquisition vs. lease options; site environmental condition.</w:t>
      </w:r>
    </w:p>
    <w:p>
      <w:pPr>
        <w:pStyle w:val="Compact"/>
        <w:numPr>
          <w:ilvl w:val="0"/>
          <w:numId w:val="1012"/>
        </w:numPr>
      </w:pPr>
      <w:r>
        <w:rPr>
          <w:b/>
          <w:bCs/>
        </w:rPr>
        <w:t xml:space="preserve">Owner compensation:</w:t>
      </w:r>
      <w:r>
        <w:t xml:space="preserve"> </w:t>
      </w:r>
      <w:r>
        <w:t xml:space="preserve">verify the $2.4M composition (personal expenses); market-test the replacement CEO cost; confirm the transition plan.</w:t>
      </w:r>
    </w:p>
    <w:p>
      <w:pPr>
        <w:pStyle w:val="Compact"/>
        <w:numPr>
          <w:ilvl w:val="0"/>
          <w:numId w:val="1012"/>
        </w:numPr>
      </w:pPr>
      <w:r>
        <w:rPr>
          <w:b/>
          <w:bCs/>
        </w:rPr>
        <w:t xml:space="preserve">Phantom equity:</w:t>
      </w:r>
      <w:r>
        <w:t xml:space="preserve"> </w:t>
      </w:r>
      <w:r>
        <w:t xml:space="preserve">quantify outstanding units, strike, and closing cash settlement; identify recipients; agree retention plan.</w:t>
      </w:r>
    </w:p>
    <w:p>
      <w:pPr>
        <w:pStyle w:val="Compact"/>
        <w:numPr>
          <w:ilvl w:val="0"/>
          <w:numId w:val="1012"/>
        </w:numPr>
      </w:pPr>
      <w:r>
        <w:rPr>
          <w:b/>
          <w:bCs/>
        </w:rPr>
        <w:t xml:space="preserve">Working capital:</w:t>
      </w:r>
      <w:r>
        <w:t xml:space="preserve"> </w:t>
      </w:r>
      <w:r>
        <w:t xml:space="preserve">reconcile DSO (stated 52 vs. ~71 implied); AR aging; unbilled revenue; set the NWC peg.</w:t>
      </w:r>
    </w:p>
    <w:p>
      <w:pPr>
        <w:pStyle w:val="Compact"/>
        <w:numPr>
          <w:ilvl w:val="0"/>
          <w:numId w:val="1012"/>
        </w:numPr>
      </w:pPr>
      <w:r>
        <w:rPr>
          <w:b/>
          <w:bCs/>
        </w:rPr>
        <w:t xml:space="preserve">Management retention &amp; debt:</w:t>
      </w:r>
      <w:r>
        <w:t xml:space="preserve"> </w:t>
      </w:r>
      <w:r>
        <w:t xml:space="preserve">retention/TSAs; confirm debt terms, change-of-control, and refinancing plan.</w:t>
      </w:r>
    </w:p>
    <w:bookmarkEnd w:id="62"/>
    <w:bookmarkStart w:id="63" w:name="process-next-steps"/>
    <w:p>
      <w:pPr>
        <w:pStyle w:val="Heading3"/>
      </w:pPr>
      <w:r>
        <w:t xml:space="preserve">8.4 Process next steps</w:t>
      </w:r>
    </w:p>
    <w:p>
      <w:pPr>
        <w:pStyle w:val="Compact"/>
        <w:numPr>
          <w:ilvl w:val="0"/>
          <w:numId w:val="1013"/>
        </w:numPr>
      </w:pPr>
      <w:r>
        <w:t xml:space="preserve">Submit IOI in the $120M–$135M EV range with the earnout and conditions above by the July 14, 2025 deadline.</w:t>
      </w:r>
    </w:p>
    <w:p>
      <w:pPr>
        <w:pStyle w:val="Compact"/>
        <w:numPr>
          <w:ilvl w:val="0"/>
          <w:numId w:val="1013"/>
        </w:numPr>
      </w:pPr>
      <w:r>
        <w:t xml:space="preserve">Request the PFAS backlog breakout, PNR renewal status, and the audited financial statements immediately upon advancement to Phase II.</w:t>
      </w:r>
    </w:p>
    <w:p>
      <w:pPr>
        <w:pStyle w:val="Compact"/>
        <w:numPr>
          <w:ilvl w:val="0"/>
          <w:numId w:val="1013"/>
        </w:numPr>
      </w:pPr>
      <w:r>
        <w:t xml:space="preserve">Engage Calloway, Barrett &amp; Sims LLP (buyer’s counsel) and select an independent QoE provider in parallel with Phase II preparation.</w:t>
      </w:r>
    </w:p>
    <w:p>
      <w:pPr>
        <w:pStyle w:val="Compact"/>
        <w:numPr>
          <w:ilvl w:val="0"/>
          <w:numId w:val="1013"/>
        </w:numPr>
      </w:pPr>
      <w:r>
        <w:t xml:space="preserve">Target an investment committee review ahead of final bids, with the fund-fit/check-size question (Section 6.11) resolved with the IC before the IOI is submitted.</w:t>
      </w:r>
    </w:p>
    <w:p>
      <w:r>
        <w:pict>
          <v:rect style="width:0;height:1.5pt" o:hralign="center" o:hrstd="t" o:hr="t"/>
        </w:pict>
      </w:r>
    </w:p>
    <w:p>
      <w:pPr>
        <w:pStyle w:val="FirstParagraph"/>
      </w:pPr>
      <w:r>
        <w:rPr>
          <w:i/>
          <w:iCs/>
        </w:rPr>
        <w:t xml:space="preserve">Prepared for internal Thornfield Capital Partners use only. Not to be shared with Greenleaf Advisory Group, CES, or their representatives. All figures are derived from the sell-side materials and have not been independently verified; this memo identifies items requiring confirmatory diligence and does not constitute a binding offer.</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2026-06-28T10:17:33Z</dcterms:created>
  <dcterms:modified xsi:type="dcterms:W3CDTF">2026-06-28T10:17:33Z</dcterms:modified>
</cp:coreProperties>
</file>

<file path=docProps/custom.xml><?xml version="1.0" encoding="utf-8"?>
<Properties xmlns="http://schemas.openxmlformats.org/officeDocument/2006/custom-properties" xmlns:vt="http://schemas.openxmlformats.org/officeDocument/2006/docPropsVTypes"/>
</file>