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buy-side-cim-analysis-memorandum"/>
    <w:p>
      <w:pPr>
        <w:pStyle w:val="Heading1"/>
      </w:pPr>
      <w:r>
        <w:t xml:space="preserve">BUY-SIDE CIM ANALYSIS MEMORANDUM</w:t>
      </w:r>
    </w:p>
    <w:p>
      <w:pPr>
        <w:pStyle w:val="FirstParagraph"/>
      </w:pPr>
      <w:r>
        <w:rPr>
          <w:b/>
          <w:bCs/>
        </w:rPr>
        <w:t xml:space="preserve">CONFIDENTIAL — INTERNAL USE ONLY — ATTORNEY-CLIENT PRIVILEGED /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Yuen, Partner (Deal Lead); Diane Holbrook, Managing Partner</w:t>
            </w:r>
          </w:p>
        </w:tc>
      </w:tr>
      <w:tr>
        <w:tc>
          <w:tcPr/>
          <w:p>
            <w:pPr>
              <w:pStyle w:val="Compact"/>
              <w:jc w:val="left"/>
            </w:pPr>
            <w:r>
              <w:rPr>
                <w:b/>
                <w:bCs/>
              </w:rPr>
              <w:t xml:space="preserve">From:</w:t>
            </w:r>
          </w:p>
        </w:tc>
        <w:tc>
          <w:tcPr/>
          <w:p>
            <w:pPr>
              <w:pStyle w:val="Compact"/>
              <w:jc w:val="left"/>
            </w:pPr>
            <w:r>
              <w:t xml:space="preserve">David Koh, Associate</w:t>
            </w:r>
          </w:p>
        </w:tc>
      </w:tr>
      <w:tr>
        <w:tc>
          <w:tcPr/>
          <w:p>
            <w:pPr>
              <w:pStyle w:val="Compact"/>
              <w:jc w:val="left"/>
            </w:pPr>
            <w:r>
              <w:rPr>
                <w:b/>
                <w:bCs/>
              </w:rPr>
              <w:t xml:space="preserve">CC:</w:t>
            </w:r>
          </w:p>
        </w:tc>
        <w:tc>
          <w:tcPr/>
          <w:p>
            <w:pPr>
              <w:pStyle w:val="Compact"/>
              <w:jc w:val="left"/>
            </w:pPr>
            <w:r>
              <w:t xml:space="preserve">Sarah Lindgren, Vice President</w:t>
            </w:r>
          </w:p>
        </w:tc>
      </w:tr>
      <w:tr>
        <w:tc>
          <w:tcPr/>
          <w:p>
            <w:pPr>
              <w:pStyle w:val="Compact"/>
              <w:jc w:val="left"/>
            </w:pPr>
            <w:r>
              <w:rPr>
                <w:b/>
                <w:bCs/>
              </w:rPr>
              <w:t xml:space="preserve">Date:</w:t>
            </w:r>
          </w:p>
        </w:tc>
        <w:tc>
          <w:tcPr/>
          <w:p>
            <w:pPr>
              <w:pStyle w:val="Compact"/>
              <w:jc w:val="left"/>
            </w:pPr>
            <w:r>
              <w:t xml:space="preserve">June 25, 2025</w:t>
            </w:r>
          </w:p>
        </w:tc>
      </w:tr>
      <w:tr>
        <w:tc>
          <w:tcPr/>
          <w:p>
            <w:pPr>
              <w:pStyle w:val="Compact"/>
              <w:jc w:val="left"/>
            </w:pPr>
            <w:r>
              <w:rPr>
                <w:b/>
                <w:bCs/>
              </w:rPr>
              <w:t xml:space="preserve">Re:</w:t>
            </w:r>
          </w:p>
        </w:tc>
        <w:tc>
          <w:tcPr/>
          <w:p>
            <w:pPr>
              <w:pStyle w:val="Compact"/>
              <w:jc w:val="left"/>
            </w:pPr>
            <w:r>
              <w:t xml:space="preserve">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 Buy-Side CIM Analysis and IOI Recommendation</w:t>
            </w:r>
          </w:p>
        </w:tc>
      </w:tr>
      <w:tr>
        <w:tc>
          <w:tcPr/>
          <w:p>
            <w:pPr>
              <w:pStyle w:val="Compact"/>
              <w:jc w:val="left"/>
            </w:pPr>
            <w:r>
              <w:rPr>
                <w:b/>
                <w:bCs/>
              </w:rPr>
              <w:t xml:space="preserve">Project:</w:t>
            </w:r>
          </w:p>
        </w:tc>
        <w:tc>
          <w:tcPr/>
          <w:p>
            <w:pPr>
              <w:pStyle w:val="Compact"/>
              <w:jc w:val="left"/>
            </w:pPr>
            <w:r>
              <w:t xml:space="preserve">Project Cascade | Thornfield Capital Partners Fund III, LP</w:t>
            </w:r>
          </w:p>
        </w:tc>
      </w:tr>
      <w:tr>
        <w:tc>
          <w:tcPr/>
          <w:p>
            <w:pPr>
              <w:pStyle w:val="Compact"/>
              <w:jc w:val="left"/>
            </w:pPr>
            <w:r>
              <w:rPr>
                <w:b/>
                <w:bCs/>
              </w:rPr>
              <w:t xml:space="preserve">IOI Deadline:</w:t>
            </w:r>
          </w:p>
        </w:tc>
        <w:tc>
          <w:tcPr/>
          <w:p>
            <w:pPr>
              <w:pStyle w:val="Compact"/>
              <w:jc w:val="left"/>
            </w:pPr>
            <w:r>
              <w:t xml:space="preserve">July 14, 2025 (5:00 PM PT)</w:t>
            </w:r>
          </w:p>
        </w:tc>
      </w:tr>
    </w:tbl>
    <w:p>
      <w:pPr>
        <w:pStyle w:val="BodyText"/>
      </w:pPr>
      <w:r>
        <w:rPr>
          <w:i/>
          <w:iCs/>
        </w:rPr>
        <w:t xml:space="preserve">Prepared in connection with the Confidential Information Memorandum dated June 9, 2025 (the</w:t>
      </w:r>
      <w:r>
        <w:rPr>
          <w:i/>
          <w:iCs/>
        </w:rPr>
        <w:t xml:space="preserve"> </w:t>
      </w:r>
      <w:r>
        <w:rPr>
          <w:i/>
          <w:iCs/>
        </w:rPr>
        <w:t xml:space="preserve">“</w:t>
      </w:r>
      <w:r>
        <w:rPr>
          <w:i/>
          <w:iCs/>
        </w:rPr>
        <w:t xml:space="preserve">CIM</w:t>
      </w:r>
      <w:r>
        <w:rPr>
          <w:i/>
          <w:iCs/>
        </w:rPr>
        <w:t xml:space="preserve">”</w:t>
      </w:r>
      <w:r>
        <w:rPr>
          <w:i/>
          <w:iCs/>
        </w:rPr>
        <w:t xml:space="preserve">), the Customer Summary and Backlog Report, the Financial Exhibits workbook, and the Process Letter, each furnished by Greenleaf Advisory Group, LLC (</w:t>
      </w:r>
      <w:r>
        <w:rPr>
          <w:i/>
          <w:iCs/>
        </w:rPr>
        <w:t xml:space="preserve">“</w:t>
      </w:r>
      <w:r>
        <w:rPr>
          <w:i/>
          <w:iCs/>
        </w:rPr>
        <w:t xml:space="preserve">Greenleaf</w:t>
      </w:r>
      <w:r>
        <w:rPr>
          <w:i/>
          <w:iCs/>
        </w:rPr>
        <w:t xml:space="preserve">”</w:t>
      </w:r>
      <w:r>
        <w:rPr>
          <w:i/>
          <w:iCs/>
        </w:rPr>
        <w:t xml:space="preserve">). This memorandum supplements and builds on Sarah Lindgren’s sector screening memo dated June 12, 2025. All figures are in USD unless noted;</w:t>
      </w:r>
      <w:r>
        <w:rPr>
          <w:i/>
          <w:iCs/>
        </w:rPr>
        <w:t xml:space="preserve"> </w:t>
      </w:r>
      <w:r>
        <w:rPr>
          <w:i/>
          <w:iCs/>
        </w:rPr>
        <w:t xml:space="preserve">“</w:t>
      </w:r>
      <w:r>
        <w:rPr>
          <w:i/>
          <w:iCs/>
        </w:rPr>
        <w:t xml:space="preserve">$M</w:t>
      </w:r>
      <w:r>
        <w:rPr>
          <w:i/>
          <w:iCs/>
        </w:rPr>
        <w:t xml:space="preserve">”</w:t>
      </w:r>
      <w:r>
        <w:rPr>
          <w:i/>
          <w:iCs/>
        </w:rPr>
        <w:t xml:space="preserve"> </w:t>
      </w:r>
      <w:r>
        <w:rPr>
          <w:i/>
          <w:iCs/>
        </w:rPr>
        <w:t xml:space="preserve">= millions. Sell-side materials have not been independently verified.</w:t>
      </w:r>
    </w:p>
    <w:p>
      <w:r>
        <w:pict>
          <v:rect style="width:0;height:1.5pt" o:hralign="center" o:hrstd="t" o:hr="t"/>
        </w:pict>
      </w:r>
    </w:p>
    <w:bookmarkStart w:id="20" w:name="executive-summary-and-recommendation"/>
    <w:p>
      <w:pPr>
        <w:pStyle w:val="Heading2"/>
      </w:pPr>
      <w:r>
        <w:t xml:space="preserve">1. Executive Summary and Recommendation</w:t>
      </w:r>
    </w:p>
    <w:p>
      <w:pPr>
        <w:pStyle w:val="FirstParagraph"/>
      </w:pPr>
      <w:r>
        <w:rPr>
          <w:b/>
          <w:bCs/>
        </w:rPr>
        <w:t xml:space="preserve">Recommendation: Proceed to a non-binding Indication of Interest, but anchor valuation on a buy-side normalized EBITDA that is materially below the sell-side’s $17.1M figure, and condition the bid on a structured set of confirmatory-diligence items.</w:t>
      </w:r>
      <w:r>
        <w:t xml:space="preserve"> </w:t>
      </w:r>
      <w:r>
        <w:t xml:space="preserve">CES is a genuinely attractive environmental services platform that fits Thornfield’s sector thesis and portfolio pattern (GreenWorks, Allied Waste), but the CIM’s headline growth and margin story rests on aggressive PFAS projections and a heavy quality-of-earnings (</w:t>
      </w:r>
      <w:r>
        <w:t xml:space="preserve">“</w:t>
      </w:r>
      <w:r>
        <w:t xml:space="preserve">QoE</w:t>
      </w:r>
      <w:r>
        <w:t xml:space="preserve">”</w:t>
      </w:r>
      <w:r>
        <w:t xml:space="preserve">) adjustment bridge that does not survive scrutiny against sector benchmarks or against the Company’s own financial exhibits.</w:t>
      </w:r>
    </w:p>
    <w:p>
      <w:pPr>
        <w:pStyle w:val="BodyText"/>
      </w:pPr>
      <w:r>
        <w:rPr>
          <w:b/>
          <w:bCs/>
        </w:rPr>
        <w:t xml:space="preserve">Headline findings:</w:t>
      </w:r>
    </w:p>
    <w:p>
      <w:pPr>
        <w:numPr>
          <w:ilvl w:val="0"/>
          <w:numId w:val="1001"/>
        </w:numPr>
      </w:pPr>
      <w:r>
        <w:rPr>
          <w:b/>
          <w:bCs/>
        </w:rPr>
        <w:t xml:space="preserve">The Adjusted EBITDA bridge is overstated by ~$1.5M.</w:t>
      </w:r>
      <w:r>
        <w:t xml:space="preserve"> </w:t>
      </w:r>
      <w:r>
        <w:t xml:space="preserve">Sell-side Adjusted EBITDA of $17.1M reflects $5.0M of add-backs (a 41% uplift over $12.1M reported EBITDA). Three of the largest add-backs rely on assumptions that are either internally contradicted by the CIM or below market: (i) the owner-compensation replacement assumption has been</w:t>
      </w:r>
      <w:r>
        <w:t xml:space="preserve"> </w:t>
      </w:r>
      <w:r>
        <w:rPr>
          <w:i/>
          <w:iCs/>
        </w:rPr>
        <w:t xml:space="preserve">lowered</w:t>
      </w:r>
      <w:r>
        <w:t xml:space="preserve"> </w:t>
      </w:r>
      <w:r>
        <w:t xml:space="preserve">from $700K to $500K over four years to inflate the add-back; (ii) the $600K</w:t>
      </w:r>
      <w:r>
        <w:t xml:space="preserve"> </w:t>
      </w:r>
      <w:r>
        <w:t xml:space="preserve">“</w:t>
      </w:r>
      <w:r>
        <w:t xml:space="preserve">market rent</w:t>
      </w:r>
      <w:r>
        <w:t xml:space="preserve">”</w:t>
      </w:r>
      <w:r>
        <w:t xml:space="preserve"> </w:t>
      </w:r>
      <w:r>
        <w:t xml:space="preserve">used to justify the $0.8M lease add-back contradicts the CIM’s own statement that comparable</w:t>
      </w:r>
      <w:r>
        <w:t xml:space="preserve"> </w:t>
      </w:r>
      <w:r>
        <w:rPr>
          <w:i/>
          <w:iCs/>
        </w:rPr>
        <w:t xml:space="preserve">specialized environmental staging facilities</w:t>
      </w:r>
      <w:r>
        <w:t xml:space="preserve"> </w:t>
      </w:r>
      <w:r>
        <w:t xml:space="preserve">lease for $1.0M–$1.2M; and (iii) the full $1.2M DEQ settlement add-back ignores the recurring nature of regulatory cost in this sector. Our preliminary buy-side normalized FY2024 EBITDA is</w:t>
      </w:r>
      <w:r>
        <w:t xml:space="preserve"> </w:t>
      </w:r>
      <w:r>
        <w:rPr>
          <w:b/>
          <w:bCs/>
        </w:rPr>
        <w:t xml:space="preserve">~$15.6M (range $15.0M–$16.0M)</w:t>
      </w:r>
      <w:r>
        <w:t xml:space="preserve">, vs. $17.1M sell-side.</w:t>
      </w:r>
    </w:p>
    <w:p>
      <w:pPr>
        <w:numPr>
          <w:ilvl w:val="0"/>
          <w:numId w:val="1001"/>
        </w:numPr>
      </w:pPr>
      <w:r>
        <w:rPr>
          <w:b/>
          <w:bCs/>
        </w:rPr>
        <w:t xml:space="preserve">The growth story is almost entirely PFAS, and the PFAS plan is aggressive.</w:t>
      </w:r>
      <w:r>
        <w:t xml:space="preserve"> </w:t>
      </w:r>
      <w:r>
        <w:t xml:space="preserve">Ex-PFAS, the core business (traditional remediation + industrial cleaning + emergency response) is projected to grow only ~3–8% annually; PFAS is ~64% of incremental revenue from FY2024–FY2026E and is projected to grow 126% in FY2025E. Sector data and Thornfield’s GreenWorks experience suggest company-level PFAS growth of 30–50% is realistic once a practice exceeds $5M. If PFAS reaches ~$9–10M in FY2025 (not $14M), the revenue trajectory and the margin-expansion thesis both weaken materially.</w:t>
      </w:r>
    </w:p>
    <w:p>
      <w:pPr>
        <w:numPr>
          <w:ilvl w:val="0"/>
          <w:numId w:val="1001"/>
        </w:numPr>
      </w:pPr>
      <w:r>
        <w:rPr>
          <w:b/>
          <w:bCs/>
        </w:rPr>
        <w:t xml:space="preserve">The largest customer’s contract expired before the CIM was distributed.</w:t>
      </w:r>
      <w:r>
        <w:t xml:space="preserve"> </w:t>
      </w:r>
      <w:r>
        <w:t xml:space="preserve">Pacific Northwest Refining Co. (</w:t>
      </w:r>
      <w:r>
        <w:t xml:space="preserve">“</w:t>
      </w:r>
      <w:r>
        <w:t xml:space="preserve">PNR</w:t>
      </w:r>
      <w:r>
        <w:t xml:space="preserve">”</w:t>
      </w:r>
      <w:r>
        <w:t xml:space="preserve">) is 21.4% of revenue ($18.7M) and its MSA is listed as expiring</w:t>
      </w:r>
      <w:r>
        <w:t xml:space="preserve"> </w:t>
      </w:r>
      <w:r>
        <w:rPr>
          <w:b/>
          <w:bCs/>
        </w:rPr>
        <w:t xml:space="preserve">March 31, 2025</w:t>
      </w:r>
      <w:r>
        <w:t xml:space="preserve"> </w:t>
      </w:r>
      <w:r>
        <w:t xml:space="preserve">— approximately 10 weeks</w:t>
      </w:r>
      <w:r>
        <w:t xml:space="preserve"> </w:t>
      </w:r>
      <w:r>
        <w:rPr>
          <w:i/>
          <w:iCs/>
        </w:rPr>
        <w:t xml:space="preserve">before</w:t>
      </w:r>
      <w:r>
        <w:t xml:space="preserve"> </w:t>
      </w:r>
      <w:r>
        <w:t xml:space="preserve">the June 9, 2025 CIM date. Renewal status is unconfirmed in the materials. This is the single most important commercial diligence item.</w:t>
      </w:r>
    </w:p>
    <w:p>
      <w:pPr>
        <w:numPr>
          <w:ilvl w:val="0"/>
          <w:numId w:val="1001"/>
        </w:numPr>
      </w:pPr>
      <w:r>
        <w:rPr>
          <w:b/>
          <w:bCs/>
        </w:rPr>
        <w:t xml:space="preserve">The CIM and the Financial Exhibits do not reconcile.</w:t>
      </w:r>
      <w:r>
        <w:t xml:space="preserve"> </w:t>
      </w:r>
      <w:r>
        <w:t xml:space="preserve">Material differences exist in gross profit, operating income, net income, cash, PP&amp;E, total assets, debt, and equity. The financial model also contains an internal EBIT→EBITDA inconsistency. These must be reconciled to the audited financials in QoE.</w:t>
      </w:r>
    </w:p>
    <w:p>
      <w:pPr>
        <w:numPr>
          <w:ilvl w:val="0"/>
          <w:numId w:val="1001"/>
        </w:numPr>
      </w:pPr>
      <w:r>
        <w:rPr>
          <w:b/>
          <w:bCs/>
        </w:rPr>
        <w:t xml:space="preserve">DSO is materially worse than represented.</w:t>
      </w:r>
      <w:r>
        <w:t xml:space="preserve"> </w:t>
      </w:r>
      <w:r>
        <w:t xml:space="preserve">The CIM states 52 days; the balance sheet implies</w:t>
      </w:r>
      <w:r>
        <w:t xml:space="preserve"> </w:t>
      </w:r>
      <w:r>
        <w:rPr>
          <w:b/>
          <w:bCs/>
        </w:rPr>
        <w:t xml:space="preserve">~71 days</w:t>
      </w:r>
      <w:r>
        <w:t xml:space="preserve"> </w:t>
      </w:r>
      <w:r>
        <w:t xml:space="preserve">(AR $16.9M ÷ $87.3M revenue × 365), or ~82 days including unbilled receivables. This implies ~$4.5M–$7.2M more working capital tied up than the stated metric suggests.</w:t>
      </w:r>
    </w:p>
    <w:p>
      <w:pPr>
        <w:numPr>
          <w:ilvl w:val="0"/>
          <w:numId w:val="1001"/>
        </w:numPr>
      </w:pPr>
      <w:r>
        <w:rPr>
          <w:b/>
          <w:bCs/>
        </w:rPr>
        <w:t xml:space="preserve">Maintenance capex is understated vs. sector norms.</w:t>
      </w:r>
      <w:r>
        <w:t xml:space="preserve"> </w:t>
      </w:r>
      <w:r>
        <w:t xml:space="preserve">Stated maintenance capex of $3.0M (3.4% of revenue) is ~150–200 bps below the 5–7% sector benchmark and Thornfield’s portfolio experience (GreenWorks 6.2%, Allied 5.8%). If true maintenance capex is ~$5.5M, free cash flow is ~$2.5M/yr lower than presented.</w:t>
      </w:r>
    </w:p>
    <w:p>
      <w:pPr>
        <w:pStyle w:val="FirstParagraph"/>
      </w:pPr>
      <w:r>
        <w:rPr>
          <w:b/>
          <w:bCs/>
        </w:rPr>
        <w:t xml:space="preserve">Preliminary valuation:</w:t>
      </w:r>
      <w:r>
        <w:t xml:space="preserve"> </w:t>
      </w:r>
      <w:r>
        <w:t xml:space="preserve">On buy-side normalized LTM EBITDA of ~$15.6M, an 8.5x–9.5x multiple implies an enterprise value of</w:t>
      </w:r>
      <w:r>
        <w:t xml:space="preserve"> </w:t>
      </w:r>
      <w:r>
        <w:rPr>
          <w:b/>
          <w:bCs/>
        </w:rPr>
        <w:t xml:space="preserve">~$133M–$148M</w:t>
      </w:r>
      <w:r>
        <w:t xml:space="preserve"> </w:t>
      </w:r>
      <w:r>
        <w:t xml:space="preserve">(midpoint ~$140M). This is below the sell-side’s $136.8M–$171.0M LTM range and reflects the QoE haircuts and risk profile.</w:t>
      </w:r>
      <w:r>
        <w:t xml:space="preserve"> </w:t>
      </w:r>
      <w:r>
        <w:rPr>
          <w:b/>
          <w:bCs/>
        </w:rPr>
        <w:t xml:space="preserve">Recommended IOI enterprise-value range: $130M–$150M</w:t>
      </w:r>
      <w:r>
        <w:t xml:space="preserve">, on a cash-free / debt-free basis with a normalized working-capital peg, with an earnout tied to PFAS revenue milestones and/or PNR renewal to bridge the valuation gap.</w:t>
      </w:r>
    </w:p>
    <w:p>
      <w:pPr>
        <w:pStyle w:val="BodyText"/>
      </w:pPr>
      <w:r>
        <w:rPr>
          <w:b/>
          <w:bCs/>
        </w:rPr>
        <w:t xml:space="preserve">Fund-sizing flag:</w:t>
      </w:r>
      <w:r>
        <w:t xml:space="preserve"> </w:t>
      </w:r>
      <w:r>
        <w:t xml:space="preserve">Even at the low end, CES’s EV (~$130M+) is at/above the $30M–$100M platform EV target cited for Fund III in the sector memo. An ~$95M equity check would represent ~22% of the $425M fund. IC confirmation on sizing, leverage, and any co-investment is required before submitting an IOI.</w:t>
      </w:r>
    </w:p>
    <w:p>
      <w:r>
        <w:pict>
          <v:rect style="width:0;height:1.5pt" o:hralign="center" o:hrstd="t" o:hr="t"/>
        </w:pict>
      </w:r>
    </w:p>
    <w:bookmarkEnd w:id="20"/>
    <w:bookmarkStart w:id="21" w:name="transaction-overview-and-process"/>
    <w:p>
      <w:pPr>
        <w:pStyle w:val="Heading2"/>
      </w:pPr>
      <w:r>
        <w:t xml:space="preserve">2. Transaction Overview and Process</w:t>
      </w:r>
    </w:p>
    <w:p>
      <w:pPr>
        <w:pStyle w:val="FirstParagraph"/>
      </w:pPr>
      <w:r>
        <w:rPr>
          <w:b/>
          <w:bCs/>
        </w:rPr>
        <w:t xml:space="preserve">Seller / advisor.</w:t>
      </w:r>
      <w:r>
        <w:t xml:space="preserve"> </w:t>
      </w:r>
      <w:r>
        <w:t xml:space="preserve">Greenleaf Advisory Group (Philip Tran, MD) is running a competitive sale of 100% of the equity of CES on behalf of founder/CEO Randall Oakes (68% owner) and other equity holders. Company counsel is Wexford, Mallory &amp; Chen LLP; auditor is Ridgeline Accounting Group, PC.</w:t>
      </w:r>
    </w:p>
    <w:p>
      <w:pPr>
        <w:pStyle w:val="BodyText"/>
      </w:pPr>
      <w:r>
        <w:rPr>
          <w:b/>
          <w:bCs/>
        </w:rPr>
        <w:t xml:space="preserve">Process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I</w:t>
            </w:r>
          </w:p>
        </w:tc>
        <w:tc>
          <w:tcPr/>
          <w:p>
            <w:pPr>
              <w:pStyle w:val="Compact"/>
              <w:jc w:val="left"/>
            </w:pPr>
            <w:r>
              <w:t xml:space="preserve">CIM / exhibits distributed; IOIs due</w:t>
            </w:r>
          </w:p>
        </w:tc>
        <w:tc>
          <w:tcPr/>
          <w:p>
            <w:pPr>
              <w:pStyle w:val="Compact"/>
              <w:jc w:val="left"/>
            </w:pPr>
            <w:r>
              <w:t xml:space="preserve">June 9, 2025 →</w:t>
            </w:r>
            <w:r>
              <w:t xml:space="preserve"> </w:t>
            </w:r>
            <w:r>
              <w:rPr>
                <w:b/>
                <w:bCs/>
              </w:rPr>
              <w:t xml:space="preserve">July 14, 2025</w:t>
            </w:r>
          </w:p>
        </w:tc>
      </w:tr>
      <w:tr>
        <w:tc>
          <w:tcPr/>
          <w:p>
            <w:pPr>
              <w:pStyle w:val="Compact"/>
              <w:jc w:val="left"/>
            </w:pPr>
            <w:r>
              <w:t xml:space="preserve">II</w:t>
            </w:r>
          </w:p>
        </w:tc>
        <w:tc>
          <w:tcPr/>
          <w:p>
            <w:pPr>
              <w:pStyle w:val="Compact"/>
              <w:jc w:val="left"/>
            </w:pPr>
            <w:r>
              <w:t xml:space="preserve">Management presentations (Portland HQ); VDR access; confirmatory diligence</w:t>
            </w:r>
          </w:p>
        </w:tc>
        <w:tc>
          <w:tcPr/>
          <w:p>
            <w:pPr>
              <w:pStyle w:val="Compact"/>
              <w:jc w:val="left"/>
            </w:pPr>
            <w:r>
              <w:t xml:space="preserve">August 2025</w:t>
            </w:r>
          </w:p>
        </w:tc>
      </w:tr>
      <w:tr>
        <w:tc>
          <w:tcPr/>
          <w:p>
            <w:pPr>
              <w:pStyle w:val="Compact"/>
              <w:jc w:val="left"/>
            </w:pPr>
            <w:r>
              <w:t xml:space="preserve">III</w:t>
            </w:r>
          </w:p>
        </w:tc>
        <w:tc>
          <w:tcPr/>
          <w:p>
            <w:pPr>
              <w:pStyle w:val="Compact"/>
              <w:jc w:val="left"/>
            </w:pPr>
            <w:r>
              <w:t xml:space="preserve">Final bids; draft SPA markups; signing</w:t>
            </w:r>
          </w:p>
        </w:tc>
        <w:tc>
          <w:tcPr/>
          <w:p>
            <w:pPr>
              <w:pStyle w:val="Compact"/>
              <w:jc w:val="left"/>
            </w:pPr>
            <w:r>
              <w:t xml:space="preserve">Q4 2025 (target close)</w:t>
            </w:r>
          </w:p>
        </w:tc>
      </w:tr>
    </w:tbl>
    <w:p>
      <w:pPr>
        <w:pStyle w:val="BodyText"/>
      </w:pPr>
      <w:r>
        <w:rPr>
          <w:b/>
          <w:bCs/>
        </w:rPr>
        <w:t xml:space="preserve">Structure.</w:t>
      </w:r>
      <w:r>
        <w:t xml:space="preserve"> </w:t>
      </w:r>
      <w:r>
        <w:t xml:space="preserve">The Process Letter signals a</w:t>
      </w:r>
      <w:r>
        <w:t xml:space="preserve"> </w:t>
      </w:r>
      <w:r>
        <w:rPr>
          <w:b/>
          <w:bCs/>
        </w:rPr>
        <w:t xml:space="preserve">stock purchase</w:t>
      </w:r>
      <w:r>
        <w:t xml:space="preserve"> </w:t>
      </w:r>
      <w:r>
        <w:t xml:space="preserve">(draft SPA to be distributed in Phase III),</w:t>
      </w:r>
      <w:r>
        <w:t xml:space="preserve"> </w:t>
      </w:r>
      <w:r>
        <w:rPr>
          <w:b/>
          <w:bCs/>
        </w:rPr>
        <w:t xml:space="preserve">cash-free / debt-free with a normalized working-capital peg</w:t>
      </w:r>
      <w:r>
        <w:t xml:space="preserve">. Existing indebtedness (Cascadia Commercial Bank; senior term loan + revolver) is expected to be repaid/refinanced at closing. The Process Letter expressly asks bidders to address three structuring items that are central to this deal: (i) the</w:t>
      </w:r>
      <w:r>
        <w:t xml:space="preserve"> </w:t>
      </w:r>
      <w:r>
        <w:rPr>
          <w:b/>
          <w:bCs/>
        </w:rPr>
        <w:t xml:space="preserve">headquarters real estate owned personally by Mr. Oakes</w:t>
      </w:r>
      <w:r>
        <w:t xml:space="preserve"> </w:t>
      </w:r>
      <w:r>
        <w:t xml:space="preserve">and leased to the Company; (ii) any</w:t>
      </w:r>
      <w:r>
        <w:t xml:space="preserve"> </w:t>
      </w:r>
      <w:r>
        <w:rPr>
          <w:b/>
          <w:bCs/>
        </w:rPr>
        <w:t xml:space="preserve">rollover equity or earnout</w:t>
      </w:r>
      <w:r>
        <w:t xml:space="preserve">; and (iii) treatment of existing debt. The IOI must also specify the EBITDA basis (trailing vs. projected) and implied multiple.</w:t>
      </w:r>
    </w:p>
    <w:p>
      <w:pPr>
        <w:pStyle w:val="BodyText"/>
      </w:pPr>
      <w:r>
        <w:rPr>
          <w:b/>
          <w:bCs/>
        </w:rPr>
        <w:t xml:space="preserve">Key structuring considerations for our IOI:</w:t>
      </w:r>
    </w:p>
    <w:p>
      <w:pPr>
        <w:pStyle w:val="Compact"/>
        <w:numPr>
          <w:ilvl w:val="0"/>
          <w:numId w:val="1002"/>
        </w:numPr>
      </w:pPr>
      <w:r>
        <w:rPr>
          <w:b/>
          <w:bCs/>
        </w:rPr>
        <w:t xml:space="preserve">Real estate.</w:t>
      </w:r>
      <w:r>
        <w:t xml:space="preserve"> </w:t>
      </w:r>
      <w:r>
        <w:t xml:space="preserve">The Portland HQ (8.5 acres, purpose-built environmental yard with permitted wash rack, secondary containment, soil stockpile areas) is owned by Oakes and leased to CES at $1.4M/yr. It is operationally critical and not easily replicable, giving the seller leverage. We should propose either (a) acquiring the real estate at fair market value (separate from EV) or (b) a new arm’s-length lease at market — and price the related-party lease normalization accordingly.</w:t>
      </w:r>
    </w:p>
    <w:p>
      <w:pPr>
        <w:pStyle w:val="Compact"/>
        <w:numPr>
          <w:ilvl w:val="0"/>
          <w:numId w:val="1002"/>
        </w:numPr>
      </w:pPr>
      <w:r>
        <w:rPr>
          <w:b/>
          <w:bCs/>
        </w:rPr>
        <w:t xml:space="preserve">Phantom equity.</w:t>
      </w:r>
      <w:r>
        <w:t xml:space="preserve"> </w:t>
      </w:r>
      <w:r>
        <w:t xml:space="preserve">The phantom unit plan will be</w:t>
      </w:r>
      <w:r>
        <w:t xml:space="preserve"> </w:t>
      </w:r>
      <w:r>
        <w:rPr>
          <w:b/>
          <w:bCs/>
        </w:rPr>
        <w:t xml:space="preserve">settled in cash at closing</w:t>
      </w:r>
      <w:r>
        <w:t xml:space="preserve">. This is a cash obligation</w:t>
      </w:r>
      <w:r>
        <w:t xml:space="preserve"> </w:t>
      </w:r>
      <w:r>
        <w:rPr>
          <w:i/>
          <w:iCs/>
        </w:rPr>
        <w:t xml:space="preserve">outside</w:t>
      </w:r>
      <w:r>
        <w:t xml:space="preserve"> </w:t>
      </w:r>
      <w:r>
        <w:t xml:space="preserve">the EV and reduces net equity proceeds to sellers. The total payout is not quantified in the materials and must be sized.</w:t>
      </w:r>
    </w:p>
    <w:p>
      <w:pPr>
        <w:pStyle w:val="Compact"/>
        <w:numPr>
          <w:ilvl w:val="0"/>
          <w:numId w:val="1002"/>
        </w:numPr>
      </w:pPr>
      <w:r>
        <w:rPr>
          <w:b/>
          <w:bCs/>
        </w:rPr>
        <w:t xml:space="preserve">Debt.</w:t>
      </w:r>
      <w:r>
        <w:t xml:space="preserve"> </w:t>
      </w:r>
      <w:r>
        <w:t xml:space="preserve">Term loan matures August 31, 2026 — shortly after a Q4 2025 close — so refinancing is required regardless. Total debt is stated as $17.3M (CIM) but the Financial Exhibits imply ~$19.1M; reconcile.</w:t>
      </w:r>
    </w:p>
    <w:p>
      <w:pPr>
        <w:pStyle w:val="Compact"/>
        <w:numPr>
          <w:ilvl w:val="0"/>
          <w:numId w:val="1002"/>
        </w:numPr>
      </w:pPr>
      <w:r>
        <w:rPr>
          <w:b/>
          <w:bCs/>
        </w:rPr>
        <w:t xml:space="preserve">Transition.</w:t>
      </w:r>
      <w:r>
        <w:t xml:space="preserve"> </w:t>
      </w:r>
      <w:r>
        <w:t xml:space="preserve">Oakes intends to exit day-to-day operations within 18–24 months post-close. We should require a transition/consulting arrangement and retention agreements for the remaining management team as closing conditions.</w:t>
      </w:r>
    </w:p>
    <w:p>
      <w:r>
        <w:pict>
          <v:rect style="width:0;height:1.5pt" o:hralign="center" o:hrstd="t" o:hr="t"/>
        </w:pict>
      </w:r>
    </w:p>
    <w:bookmarkEnd w:id="21"/>
    <w:bookmarkStart w:id="22" w:name="company-overview"/>
    <w:p>
      <w:pPr>
        <w:pStyle w:val="Heading2"/>
      </w:pPr>
      <w:r>
        <w:t xml:space="preserve">3. Company Overview</w:t>
      </w:r>
    </w:p>
    <w:p>
      <w:pPr>
        <w:pStyle w:val="FirstParagraph"/>
      </w:pPr>
      <w:r>
        <w:rPr>
          <w:b/>
          <w:bCs/>
        </w:rPr>
        <w:t xml:space="preserve">Business.</w:t>
      </w:r>
      <w:r>
        <w:t xml:space="preserve"> </w:t>
      </w:r>
      <w:r>
        <w:t xml:space="preserve">CES is a Pacific Northwest environmental services platform founded in 2009 and headquartered in Portland, OR (4200 Industrial Way). Delaware C-corp; EIN 93-1247856. 412 employees across Portland (HQ/yard), Seattle (PM/sales), and Boise (field staging). Service territory ~250,000 sq. miles across OR, WA, ID, and Northern CA, with hazardous waste transporter permits in all four states and Oregon DEQ Contractor License ENV-2009-04821.</w:t>
      </w:r>
    </w:p>
    <w:p>
      <w:pPr>
        <w:pStyle w:val="BodyText"/>
      </w:pPr>
      <w:r>
        <w:rPr>
          <w:b/>
          <w:bCs/>
        </w:rPr>
        <w:t xml:space="preserve">Segments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FY2024 Rev ($M)</w:t>
            </w:r>
          </w:p>
        </w:tc>
        <w:tc>
          <w:tcPr/>
          <w:p>
            <w:pPr>
              <w:pStyle w:val="Compact"/>
              <w:jc w:val="left"/>
            </w:pPr>
            <w:r>
              <w:t xml:space="preserve">% of Total</w:t>
            </w:r>
          </w:p>
        </w:tc>
        <w:tc>
          <w:tcPr/>
          <w:p>
            <w:pPr>
              <w:pStyle w:val="Compact"/>
              <w:jc w:val="left"/>
            </w:pPr>
            <w:r>
              <w:t xml:space="preserve">Nature</w:t>
            </w:r>
          </w:p>
        </w:tc>
      </w:tr>
      <w:tr>
        <w:tc>
          <w:tcPr/>
          <w:p>
            <w:pPr>
              <w:pStyle w:val="Compact"/>
              <w:jc w:val="left"/>
            </w:pPr>
            <w:r>
              <w:t xml:space="preserve">Environmental Remediation</w:t>
            </w:r>
          </w:p>
        </w:tc>
        <w:tc>
          <w:tcPr/>
          <w:p>
            <w:pPr>
              <w:pStyle w:val="Compact"/>
              <w:jc w:val="left"/>
            </w:pPr>
            <w:r>
              <w:t xml:space="preserve">48.2</w:t>
            </w:r>
          </w:p>
        </w:tc>
        <w:tc>
          <w:tcPr/>
          <w:p>
            <w:pPr>
              <w:pStyle w:val="Compact"/>
              <w:jc w:val="left"/>
            </w:pPr>
            <w:r>
              <w:t xml:space="preserve">55.2%</w:t>
            </w:r>
          </w:p>
        </w:tc>
        <w:tc>
          <w:tcPr/>
          <w:p>
            <w:pPr>
              <w:pStyle w:val="Compact"/>
              <w:jc w:val="left"/>
            </w:pPr>
            <w:r>
              <w:t xml:space="preserve">Soil/groundwater, UST, Phase I/II, brownfield, PFAS; PE-overseen; project lifecycle creates recurring phases</w:t>
            </w:r>
          </w:p>
        </w:tc>
      </w:tr>
      <w:tr>
        <w:tc>
          <w:tcPr/>
          <w:p>
            <w:pPr>
              <w:pStyle w:val="Compact"/>
              <w:jc w:val="left"/>
            </w:pPr>
            <w:r>
              <w:t xml:space="preserve">Industrial Cleaning</w:t>
            </w:r>
          </w:p>
        </w:tc>
        <w:tc>
          <w:tcPr/>
          <w:p>
            <w:pPr>
              <w:pStyle w:val="Compact"/>
              <w:jc w:val="left"/>
            </w:pPr>
            <w:r>
              <w:t xml:space="preserve">27.8</w:t>
            </w:r>
          </w:p>
        </w:tc>
        <w:tc>
          <w:tcPr/>
          <w:p>
            <w:pPr>
              <w:pStyle w:val="Compact"/>
              <w:jc w:val="left"/>
            </w:pPr>
            <w:r>
              <w:t xml:space="preserve">31.8%</w:t>
            </w:r>
          </w:p>
        </w:tc>
        <w:tc>
          <w:tcPr/>
          <w:p>
            <w:pPr>
              <w:pStyle w:val="Compact"/>
              <w:jc w:val="left"/>
            </w:pPr>
            <w:r>
              <w:t xml:space="preserve">Tank cleaning, hydroblasting (to 40,000 PSI), vacuum trucks, confined space; recurring turnaround cycles; MSA-based</w:t>
            </w:r>
          </w:p>
        </w:tc>
      </w:tr>
      <w:tr>
        <w:tc>
          <w:tcPr/>
          <w:p>
            <w:pPr>
              <w:pStyle w:val="Compact"/>
              <w:jc w:val="left"/>
            </w:pPr>
            <w:r>
              <w:t xml:space="preserve">Emergency Response</w:t>
            </w:r>
          </w:p>
        </w:tc>
        <w:tc>
          <w:tcPr/>
          <w:p>
            <w:pPr>
              <w:pStyle w:val="Compact"/>
              <w:jc w:val="left"/>
            </w:pPr>
            <w:r>
              <w:t xml:space="preserve">11.3</w:t>
            </w:r>
          </w:p>
        </w:tc>
        <w:tc>
          <w:tcPr/>
          <w:p>
            <w:pPr>
              <w:pStyle w:val="Compact"/>
              <w:jc w:val="left"/>
            </w:pPr>
            <w:r>
              <w:t xml:space="preserve">12.9%</w:t>
            </w:r>
          </w:p>
        </w:tc>
        <w:tc>
          <w:tcPr/>
          <w:p>
            <w:pPr>
              <w:pStyle w:val="Compact"/>
              <w:jc w:val="left"/>
            </w:pPr>
            <w:r>
              <w:t xml:space="preserve">24/7 hazmat spill response; premium-priced but inherently variable/event-driven</w:t>
            </w:r>
          </w:p>
        </w:tc>
      </w:tr>
      <w:tr>
        <w:tc>
          <w:tcPr/>
          <w:p>
            <w:pPr>
              <w:pStyle w:val="Compact"/>
              <w:jc w:val="left"/>
            </w:pPr>
            <w:r>
              <w:rPr>
                <w:b/>
                <w:bCs/>
              </w:rPr>
              <w:t xml:space="preserve">Total</w:t>
            </w:r>
          </w:p>
        </w:tc>
        <w:tc>
          <w:tcPr/>
          <w:p>
            <w:pPr>
              <w:pStyle w:val="Compact"/>
              <w:jc w:val="left"/>
            </w:pPr>
            <w:r>
              <w:rPr>
                <w:b/>
                <w:bCs/>
              </w:rPr>
              <w:t xml:space="preserve">87.3</w:t>
            </w:r>
          </w:p>
        </w:tc>
        <w:tc>
          <w:tcPr/>
          <w:p>
            <w:pPr>
              <w:pStyle w:val="Compact"/>
              <w:jc w:val="left"/>
            </w:pPr>
            <w:r>
              <w:rPr>
                <w:b/>
                <w:bCs/>
              </w:rPr>
              <w:t xml:space="preserve">100%</w:t>
            </w:r>
          </w:p>
        </w:tc>
        <w:tc>
          <w:tcPr/>
          <w:p>
            <w:pPr>
              <w:pStyle w:val="Compact"/>
            </w:pPr>
          </w:p>
        </w:tc>
      </w:tr>
    </w:tbl>
    <w:p>
      <w:pPr>
        <w:pStyle w:val="BodyText"/>
      </w:pPr>
      <w:r>
        <w:rPr>
          <w:b/>
          <w:bCs/>
        </w:rPr>
        <w:t xml:space="preserve">Ownership / management.</w:t>
      </w:r>
      <w:r>
        <w:t xml:space="preserve"> </w:t>
      </w:r>
      <w:r>
        <w:t xml:space="preserve">Oakes (61) owns 68%; remaining 32% held by early investors and key employees; no institutional investors. Management: Janet Prewitt (VP Operations, 18 yrs), Derek Cahill (VP Sales, since 2014), Lisa Fontaine (Controller, since 2016), Mark Stovall (Safety Director, since 2012).</w:t>
      </w:r>
      <w:r>
        <w:t xml:space="preserve"> </w:t>
      </w:r>
      <w:r>
        <w:rPr>
          <w:b/>
          <w:bCs/>
        </w:rPr>
        <w:t xml:space="preserve">No CFO, no COO, no named successor CEO</w:t>
      </w:r>
      <w:r>
        <w:t xml:space="preserve"> </w:t>
      </w:r>
      <w:r>
        <w:t xml:space="preserve">— the bench below Oakes is thin. Two licensed Professional Engineers (down from three after a January 2025 retirement that has not been backfilled).</w:t>
      </w:r>
    </w:p>
    <w:p>
      <w:pPr>
        <w:pStyle w:val="BodyText"/>
      </w:pPr>
      <w:r>
        <w:rPr>
          <w:b/>
          <w:bCs/>
        </w:rPr>
        <w:t xml:space="preserve">Credentials / safety.</w:t>
      </w:r>
      <w:r>
        <w:t xml:space="preserve"> </w:t>
      </w:r>
      <w:r>
        <w:t xml:space="preserve">EMR of 0.87 (strong); ISNetworld/Avetta qualified; HAZWOPER-trained field workforce. Fleet of 82+ major units (avg. age ~4.5 yrs; estimated replacement value &gt;$22M).</w:t>
      </w:r>
    </w:p>
    <w:p>
      <w:r>
        <w:pict>
          <v:rect style="width:0;height:1.5pt" o:hralign="center" o:hrstd="t" o:hr="t"/>
        </w:pict>
      </w:r>
    </w:p>
    <w:bookmarkEnd w:id="22"/>
    <w:bookmarkStart w:id="23" w:name="investment-thesis-and-strengths"/>
    <w:p>
      <w:pPr>
        <w:pStyle w:val="Heading2"/>
      </w:pPr>
      <w:r>
        <w:t xml:space="preserve">4. Investment Thesis and Strengths</w:t>
      </w:r>
    </w:p>
    <w:p>
      <w:pPr>
        <w:pStyle w:val="FirstParagraph"/>
      </w:pPr>
      <w:r>
        <w:t xml:space="preserve">Consistent with the sector memo’s positive attributes, the genuine strengths of the asset are:</w:t>
      </w:r>
    </w:p>
    <w:p>
      <w:pPr>
        <w:pStyle w:val="Compact"/>
        <w:numPr>
          <w:ilvl w:val="0"/>
          <w:numId w:val="1003"/>
        </w:numPr>
      </w:pPr>
      <w:r>
        <w:rPr>
          <w:b/>
          <w:bCs/>
        </w:rPr>
        <w:t xml:space="preserve">Real platform with durable moats.</w:t>
      </w:r>
      <w:r>
        <w:t xml:space="preserve"> </w:t>
      </w:r>
      <w:r>
        <w:t xml:space="preserve">16-year operating history; integrated three-segment offering that reduces customer procurement complexity and enables cross-selling; hard-to-replicate multi-state permits and PE credentials that take years to assemble.</w:t>
      </w:r>
    </w:p>
    <w:p>
      <w:pPr>
        <w:pStyle w:val="Compact"/>
        <w:numPr>
          <w:ilvl w:val="0"/>
          <w:numId w:val="1003"/>
        </w:numPr>
      </w:pPr>
      <w:r>
        <w:rPr>
          <w:b/>
          <w:bCs/>
        </w:rPr>
        <w:t xml:space="preserve">Regulatory tailwinds are structural, not cyclical.</w:t>
      </w:r>
      <w:r>
        <w:t xml:space="preserve"> </w:t>
      </w:r>
      <w:r>
        <w:t xml:space="preserve">CERCLA/Superfund, RCRA, Clean Water Act, state enforcement, and — above all — PFAS (EPA’s April 2024 drinking-water MCLs; OR/WA state initiatives) drive non-discretionary, multi-decade demand. Oregon DEQ enforcement has been intensifying.</w:t>
      </w:r>
    </w:p>
    <w:p>
      <w:pPr>
        <w:pStyle w:val="Compact"/>
        <w:numPr>
          <w:ilvl w:val="0"/>
          <w:numId w:val="1003"/>
        </w:numPr>
      </w:pPr>
      <w:r>
        <w:rPr>
          <w:b/>
          <w:bCs/>
        </w:rPr>
        <w:t xml:space="preserve">Diversified, sticky customer base.</w:t>
      </w:r>
      <w:r>
        <w:t xml:space="preserve"> </w:t>
      </w:r>
      <w:r>
        <w:t xml:space="preserve">Six end-market sectors; ~90% historical MSA renewal rate; no top-10 customer lost in five years (per the Customer Report). High switching costs (safety qualifications, regulatory knowledge, on-site integration).</w:t>
      </w:r>
    </w:p>
    <w:p>
      <w:pPr>
        <w:pStyle w:val="Compact"/>
        <w:numPr>
          <w:ilvl w:val="0"/>
          <w:numId w:val="1003"/>
        </w:numPr>
      </w:pPr>
      <w:r>
        <w:rPr>
          <w:b/>
          <w:bCs/>
        </w:rPr>
        <w:t xml:space="preserve">Contracted backlog and pipeline.</w:t>
      </w:r>
      <w:r>
        <w:t xml:space="preserve"> </w:t>
      </w:r>
      <w:r>
        <w:t xml:space="preserve">$42.6M contracted backlog + $31.4M proposal pipeline = $74.0M total opportunity set as of 12/31/24.</w:t>
      </w:r>
    </w:p>
    <w:p>
      <w:pPr>
        <w:pStyle w:val="Compact"/>
        <w:numPr>
          <w:ilvl w:val="0"/>
          <w:numId w:val="1003"/>
        </w:numPr>
      </w:pPr>
      <w:r>
        <w:rPr>
          <w:b/>
          <w:bCs/>
        </w:rPr>
        <w:t xml:space="preserve">Track record of growth and margin expansion (reported).</w:t>
      </w:r>
      <w:r>
        <w:t xml:space="preserve"> </w:t>
      </w:r>
      <w:r>
        <w:t xml:space="preserve">12.5% revenue CAGR (FY21–FY24); reported EBITDA margin 12.1% → 13.9%.</w:t>
      </w:r>
    </w:p>
    <w:p>
      <w:pPr>
        <w:pStyle w:val="Compact"/>
        <w:numPr>
          <w:ilvl w:val="0"/>
          <w:numId w:val="1003"/>
        </w:numPr>
      </w:pPr>
      <w:r>
        <w:rPr>
          <w:b/>
          <w:bCs/>
        </w:rPr>
        <w:t xml:space="preserve">PFAS early-mover position.</w:t>
      </w:r>
      <w:r>
        <w:t xml:space="preserve"> </w:t>
      </w:r>
      <w:r>
        <w:t xml:space="preserve">Launched 2022; $6.2M FY24 revenue; specialized sampling/analytical/mobile treatment equipment; 12 new customers brought in via PFAS. Genuine first-mover advantage in the region.</w:t>
      </w:r>
    </w:p>
    <w:p>
      <w:pPr>
        <w:pStyle w:val="Compact"/>
        <w:numPr>
          <w:ilvl w:val="0"/>
          <w:numId w:val="1003"/>
        </w:numPr>
      </w:pPr>
      <w:r>
        <w:rPr>
          <w:b/>
          <w:bCs/>
        </w:rPr>
        <w:t xml:space="preserve">Safety record as a competitive asset.</w:t>
      </w:r>
      <w:r>
        <w:t xml:space="preserve"> </w:t>
      </w:r>
      <w:r>
        <w:t xml:space="preserve">EMR 0.87 is a real differentiator for access to industrial/refining facilities.</w:t>
      </w:r>
    </w:p>
    <w:p>
      <w:pPr>
        <w:pStyle w:val="Compact"/>
        <w:numPr>
          <w:ilvl w:val="0"/>
          <w:numId w:val="1003"/>
        </w:numPr>
      </w:pPr>
      <w:r>
        <w:rPr>
          <w:b/>
          <w:bCs/>
        </w:rPr>
        <w:t xml:space="preserve">Fragmented market → M&amp;A platform.</w:t>
      </w:r>
      <w:r>
        <w:t xml:space="preserve"> </w:t>
      </w:r>
      <w:r>
        <w:t xml:space="preserve">5–7 identified tuck-in targets; CES can serve as a consolidation platform in adjacent geographies/service lines.</w:t>
      </w:r>
    </w:p>
    <w:p>
      <w:pPr>
        <w:pStyle w:val="Compact"/>
        <w:numPr>
          <w:ilvl w:val="0"/>
          <w:numId w:val="1003"/>
        </w:numPr>
      </w:pPr>
      <w:r>
        <w:rPr>
          <w:b/>
          <w:bCs/>
        </w:rPr>
        <w:t xml:space="preserve">Fit with Thornfield’s pattern recognition.</w:t>
      </w:r>
      <w:r>
        <w:t xml:space="preserve"> </w:t>
      </w:r>
      <w:r>
        <w:t xml:space="preserve">Founder-led, regional, capital-intensive, regulatory-sensitive — directly comparable to GreenWorks and Allied Waste, where Thornfield has operating playbooks.</w:t>
      </w:r>
    </w:p>
    <w:p>
      <w:r>
        <w:pict>
          <v:rect style="width:0;height:1.5pt" o:hralign="center" o:hrstd="t" o:hr="t"/>
        </w:pict>
      </w:r>
    </w:p>
    <w:bookmarkEnd w:id="23"/>
    <w:bookmarkStart w:id="28" w:name="financial-analysis"/>
    <w:p>
      <w:pPr>
        <w:pStyle w:val="Heading2"/>
      </w:pPr>
      <w:r>
        <w:t xml:space="preserve">5. Financial Analysis</w:t>
      </w:r>
    </w:p>
    <w:bookmarkStart w:id="24" w:name="X7b3ebe525e1363aff476f959484adeb466ed22e"/>
    <w:p>
      <w:pPr>
        <w:pStyle w:val="Heading3"/>
      </w:pPr>
      <w:r>
        <w:t xml:space="preserve">5.1 Historical performance and the growth mix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CAGR</w:t>
            </w:r>
          </w:p>
        </w:tc>
      </w:tr>
      <w:tr>
        <w:tc>
          <w:tcPr/>
          <w:p>
            <w:pPr>
              <w:pStyle w:val="Compact"/>
              <w:jc w:val="left"/>
            </w:pPr>
            <w:r>
              <w:t xml:space="preserve">Revenue</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w:r>
              <w:t xml:space="preserve">87.3</w:t>
            </w:r>
          </w:p>
        </w:tc>
        <w:tc>
          <w:tcPr/>
          <w:p>
            <w:pPr>
              <w:pStyle w:val="Compact"/>
              <w:jc w:val="left"/>
            </w:pPr>
            <w:r>
              <w:t xml:space="preserve">12.5%</w:t>
            </w:r>
          </w:p>
        </w:tc>
      </w:tr>
      <w:tr>
        <w:tc>
          <w:tcPr/>
          <w:p>
            <w:pPr>
              <w:pStyle w:val="Compact"/>
              <w:jc w:val="left"/>
            </w:pPr>
            <w:r>
              <w:t xml:space="preserve">Reported EBITDA</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w:r>
              <w:t xml:space="preserve">12.1</w:t>
            </w:r>
          </w:p>
        </w:tc>
        <w:tc>
          <w:tcPr/>
          <w:p>
            <w:pPr>
              <w:pStyle w:val="Compact"/>
              <w:jc w:val="left"/>
            </w:pPr>
            <w:r>
              <w:t xml:space="preserve">17.8%</w:t>
            </w:r>
          </w:p>
        </w:tc>
      </w:tr>
      <w:tr>
        <w:tc>
          <w:tcPr/>
          <w:p>
            <w:pPr>
              <w:pStyle w:val="Compact"/>
              <w:jc w:val="left"/>
            </w:pPr>
            <w:r>
              <w:t xml:space="preserve">Reported 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c>
          <w:tcPr/>
          <w:p>
            <w:pPr>
              <w:pStyle w:val="Compact"/>
              <w:jc w:val="left"/>
            </w:pPr>
            <w:r>
              <w:t xml:space="preserve">—</w:t>
            </w:r>
          </w:p>
        </w:tc>
      </w:tr>
      <w:tr>
        <w:tc>
          <w:tcPr/>
          <w:p>
            <w:pPr>
              <w:pStyle w:val="Compact"/>
              <w:jc w:val="left"/>
            </w:pPr>
            <w:r>
              <w:t xml:space="preserve">Sell-side Adjusted EBITDA</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c>
          <w:tcPr/>
          <w:p>
            <w:pPr>
              <w:pStyle w:val="Compact"/>
              <w:jc w:val="left"/>
            </w:pPr>
            <w:r>
              <w:t xml:space="preserve">20.8%</w:t>
            </w:r>
          </w:p>
        </w:tc>
      </w:tr>
    </w:tbl>
    <w:p>
      <w:pPr>
        <w:pStyle w:val="BodyText"/>
      </w:pPr>
      <w:r>
        <w:t xml:space="preserve">The 12.5% headline CAGR is above the 5–10% sector norm, but the composition matters. Decomposing the Financial Exhibits’ segment build: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FY2024</w:t>
            </w:r>
          </w:p>
        </w:tc>
        <w:tc>
          <w:tcPr/>
          <w:p>
            <w:pPr>
              <w:pStyle w:val="Compact"/>
              <w:jc w:val="left"/>
            </w:pPr>
            <w:r>
              <w:t xml:space="preserve">Hist. CAGR</w:t>
            </w:r>
          </w:p>
        </w:tc>
        <w:tc>
          <w:tcPr/>
          <w:p>
            <w:pPr>
              <w:pStyle w:val="Compact"/>
              <w:jc w:val="left"/>
            </w:pPr>
            <w:r>
              <w:t xml:space="preserve">FY2024→FY2026E CAGR</w:t>
            </w:r>
          </w:p>
        </w:tc>
      </w:tr>
      <w:tr>
        <w:tc>
          <w:tcPr/>
          <w:p>
            <w:pPr>
              <w:pStyle w:val="Compact"/>
              <w:jc w:val="left"/>
            </w:pPr>
            <w:r>
              <w:t xml:space="preserve">Traditional Remediation (ex-PFAS)</w:t>
            </w:r>
          </w:p>
        </w:tc>
        <w:tc>
          <w:tcPr/>
          <w:p>
            <w:pPr>
              <w:pStyle w:val="Compact"/>
              <w:jc w:val="left"/>
            </w:pPr>
            <w:r>
              <w:t xml:space="preserve">34.8</w:t>
            </w:r>
          </w:p>
        </w:tc>
        <w:tc>
          <w:tcPr/>
          <w:p>
            <w:pPr>
              <w:pStyle w:val="Compact"/>
              <w:jc w:val="left"/>
            </w:pPr>
            <w:r>
              <w:t xml:space="preserve">42.0</w:t>
            </w:r>
          </w:p>
        </w:tc>
        <w:tc>
          <w:tcPr/>
          <w:p>
            <w:pPr>
              <w:pStyle w:val="Compact"/>
              <w:jc w:val="left"/>
            </w:pPr>
            <w:r>
              <w:t xml:space="preserve">6.5%</w:t>
            </w:r>
          </w:p>
        </w:tc>
        <w:tc>
          <w:tcPr/>
          <w:p>
            <w:pPr>
              <w:pStyle w:val="Compact"/>
              <w:jc w:val="left"/>
            </w:pPr>
            <w:r>
              <w:t xml:space="preserve">~2.4%</w:t>
            </w:r>
          </w:p>
        </w:tc>
      </w:tr>
      <w:tr>
        <w:tc>
          <w:tcPr/>
          <w:p>
            <w:pPr>
              <w:pStyle w:val="Compact"/>
              <w:jc w:val="left"/>
            </w:pPr>
            <w:r>
              <w:t xml:space="preserve">PFAS Remediation</w:t>
            </w:r>
          </w:p>
        </w:tc>
        <w:tc>
          <w:tcPr/>
          <w:p>
            <w:pPr>
              <w:pStyle w:val="Compact"/>
              <w:jc w:val="left"/>
            </w:pPr>
            <w:r>
              <w:t xml:space="preserve">—</w:t>
            </w:r>
          </w:p>
        </w:tc>
        <w:tc>
          <w:tcPr/>
          <w:p>
            <w:pPr>
              <w:pStyle w:val="Compact"/>
              <w:jc w:val="left"/>
            </w:pPr>
            <w:r>
              <w:t xml:space="preserve">6.2</w:t>
            </w:r>
          </w:p>
        </w:tc>
        <w:tc>
          <w:tcPr/>
          <w:p>
            <w:pPr>
              <w:pStyle w:val="Compact"/>
              <w:jc w:val="left"/>
            </w:pPr>
            <w:r>
              <w:t xml:space="preserve">n/a (from $1.1M in FY22)</w:t>
            </w:r>
          </w:p>
        </w:tc>
        <w:tc>
          <w:tcPr/>
          <w:p>
            <w:pPr>
              <w:pStyle w:val="Compact"/>
              <w:jc w:val="left"/>
            </w:pPr>
            <w:r>
              <w:t xml:space="preserve">~88%</w:t>
            </w:r>
          </w:p>
        </w:tc>
      </w:tr>
      <w:tr>
        <w:tc>
          <w:tcPr/>
          <w:p>
            <w:pPr>
              <w:pStyle w:val="Compact"/>
              <w:jc w:val="left"/>
            </w:pPr>
            <w:r>
              <w:t xml:space="preserve">Industrial Cleaning</w:t>
            </w:r>
          </w:p>
        </w:tc>
        <w:tc>
          <w:tcPr/>
          <w:p>
            <w:pPr>
              <w:pStyle w:val="Compact"/>
              <w:jc w:val="left"/>
            </w:pPr>
            <w:r>
              <w:t xml:space="preserve">19.2</w:t>
            </w:r>
          </w:p>
        </w:tc>
        <w:tc>
          <w:tcPr/>
          <w:p>
            <w:pPr>
              <w:pStyle w:val="Compact"/>
              <w:jc w:val="left"/>
            </w:pPr>
            <w:r>
              <w:t xml:space="preserve">27.8</w:t>
            </w:r>
          </w:p>
        </w:tc>
        <w:tc>
          <w:tcPr/>
          <w:p>
            <w:pPr>
              <w:pStyle w:val="Compact"/>
              <w:jc w:val="left"/>
            </w:pPr>
            <w:r>
              <w:t xml:space="preserve">13.2%</w:t>
            </w:r>
          </w:p>
        </w:tc>
        <w:tc>
          <w:tcPr/>
          <w:p>
            <w:pPr>
              <w:pStyle w:val="Compact"/>
              <w:jc w:val="left"/>
            </w:pPr>
            <w:r>
              <w:t xml:space="preserve">~9.0%</w:t>
            </w:r>
          </w:p>
        </w:tc>
      </w:tr>
      <w:tr>
        <w:tc>
          <w:tcPr/>
          <w:p>
            <w:pPr>
              <w:pStyle w:val="Compact"/>
              <w:jc w:val="left"/>
            </w:pPr>
            <w:r>
              <w:t xml:space="preserve">Emergency Response</w:t>
            </w:r>
          </w:p>
        </w:tc>
        <w:tc>
          <w:tcPr/>
          <w:p>
            <w:pPr>
              <w:pStyle w:val="Compact"/>
              <w:jc w:val="left"/>
            </w:pPr>
            <w:r>
              <w:t xml:space="preserve">7.4</w:t>
            </w:r>
          </w:p>
        </w:tc>
        <w:tc>
          <w:tcPr/>
          <w:p>
            <w:pPr>
              <w:pStyle w:val="Compact"/>
              <w:jc w:val="left"/>
            </w:pPr>
            <w:r>
              <w:t xml:space="preserve">11.3</w:t>
            </w:r>
          </w:p>
        </w:tc>
        <w:tc>
          <w:tcPr/>
          <w:p>
            <w:pPr>
              <w:pStyle w:val="Compact"/>
              <w:jc w:val="left"/>
            </w:pPr>
            <w:r>
              <w:t xml:space="preserve">15.1%</w:t>
            </w:r>
          </w:p>
        </w:tc>
        <w:tc>
          <w:tcPr/>
          <w:p>
            <w:pPr>
              <w:pStyle w:val="Compact"/>
              <w:jc w:val="left"/>
            </w:pPr>
            <w:r>
              <w:t xml:space="preserve">~7.3%</w:t>
            </w:r>
          </w:p>
        </w:tc>
      </w:tr>
    </w:tbl>
    <w:p>
      <w:pPr>
        <w:pStyle w:val="BodyText"/>
      </w:pPr>
      <w:r>
        <w:rPr>
          <w:b/>
          <w:bCs/>
        </w:rPr>
        <w:t xml:space="preserve">Key insight:</w:t>
      </w:r>
      <w:r>
        <w:t xml:space="preserve"> </w:t>
      </w:r>
      <w:r>
        <w:t xml:space="preserve">In the</w:t>
      </w:r>
      <w:r>
        <w:t xml:space="preserve"> </w:t>
      </w:r>
      <w:r>
        <w:rPr>
          <w:i/>
          <w:iCs/>
        </w:rPr>
        <w:t xml:space="preserve">projection</w:t>
      </w:r>
      <w:r>
        <w:t xml:space="preserve"> </w:t>
      </w:r>
      <w:r>
        <w:t xml:space="preserve">period, traditional remediation growth slows to ~2–3% and industrial cleaning to ~8–9%, while PFAS is asked to grow ~63% per year (FY24→FY27E) and accounts for</w:t>
      </w:r>
      <w:r>
        <w:t xml:space="preserve"> </w:t>
      </w:r>
      <w:r>
        <w:rPr>
          <w:b/>
          <w:bCs/>
        </w:rPr>
        <w:t xml:space="preserve">64% of incremental revenue</w:t>
      </w:r>
      <w:r>
        <w:t xml:space="preserve"> </w:t>
      </w:r>
      <w:r>
        <w:t xml:space="preserve">FY2024→FY2026E ($15.8M of $24.7M). Ex-PFAS, the platform is a mid-single-digit grower. The entire equity story — growth</w:t>
      </w:r>
      <w:r>
        <w:t xml:space="preserve"> </w:t>
      </w:r>
      <w:r>
        <w:rPr>
          <w:i/>
          <w:iCs/>
        </w:rPr>
        <w:t xml:space="preserve">and</w:t>
      </w:r>
      <w:r>
        <w:t xml:space="preserve"> </w:t>
      </w:r>
      <w:r>
        <w:t xml:space="preserve">margin expansion — is levered to a service line that is two years old and generated $6.2M last year.</w:t>
      </w:r>
    </w:p>
    <w:bookmarkEnd w:id="24"/>
    <w:bookmarkStart w:id="25" w:name="projections"/>
    <w:p>
      <w:pPr>
        <w:pStyle w:val="Heading3"/>
      </w:pPr>
      <w:r>
        <w:t xml:space="preserve">5.2 Projections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98.5</w:t>
            </w:r>
          </w:p>
        </w:tc>
        <w:tc>
          <w:tcPr/>
          <w:p>
            <w:pPr>
              <w:pStyle w:val="Compact"/>
              <w:jc w:val="left"/>
            </w:pPr>
            <w:r>
              <w:t xml:space="preserve">112.0</w:t>
            </w:r>
          </w:p>
        </w:tc>
        <w:tc>
          <w:tcPr/>
          <w:p>
            <w:pPr>
              <w:pStyle w:val="Compact"/>
              <w:jc w:val="left"/>
            </w:pPr>
            <w:r>
              <w:t xml:space="preserve">124.0</w:t>
            </w:r>
          </w:p>
        </w:tc>
      </w:tr>
      <w:tr>
        <w:tc>
          <w:tcPr/>
          <w:p>
            <w:pPr>
              <w:pStyle w:val="Compact"/>
              <w:jc w:val="left"/>
            </w:pPr>
            <w:r>
              <w:t xml:space="preserve">YoY growth</w:t>
            </w:r>
          </w:p>
        </w:tc>
        <w:tc>
          <w:tcPr/>
          <w:p>
            <w:pPr>
              <w:pStyle w:val="Compact"/>
              <w:jc w:val="left"/>
            </w:pPr>
            <w:r>
              <w:t xml:space="preserve">14.7%</w:t>
            </w:r>
          </w:p>
        </w:tc>
        <w:tc>
          <w:tcPr/>
          <w:p>
            <w:pPr>
              <w:pStyle w:val="Compact"/>
              <w:jc w:val="left"/>
            </w:pPr>
            <w:r>
              <w:t xml:space="preserve">12.8%</w:t>
            </w:r>
          </w:p>
        </w:tc>
        <w:tc>
          <w:tcPr/>
          <w:p>
            <w:pPr>
              <w:pStyle w:val="Compact"/>
              <w:jc w:val="left"/>
            </w:pPr>
            <w:r>
              <w:t xml:space="preserve">13.7%</w:t>
            </w:r>
          </w:p>
        </w:tc>
        <w:tc>
          <w:tcPr/>
          <w:p>
            <w:pPr>
              <w:pStyle w:val="Compact"/>
              <w:jc w:val="left"/>
            </w:pPr>
            <w:r>
              <w:t xml:space="preserve">10.7%</w:t>
            </w:r>
          </w:p>
        </w:tc>
      </w:tr>
      <w:tr>
        <w:tc>
          <w:tcPr/>
          <w:p>
            <w:pPr>
              <w:pStyle w:val="Compact"/>
              <w:jc w:val="left"/>
            </w:pPr>
            <w:r>
              <w:t xml:space="preserve">Sell-side Adj. EBITDA</w:t>
            </w:r>
          </w:p>
        </w:tc>
        <w:tc>
          <w:tcPr/>
          <w:p>
            <w:pPr>
              <w:pStyle w:val="Compact"/>
              <w:jc w:val="left"/>
            </w:pPr>
            <w:r>
              <w:t xml:space="preserve">17.1</w:t>
            </w:r>
          </w:p>
        </w:tc>
        <w:tc>
          <w:tcPr/>
          <w:p>
            <w:pPr>
              <w:pStyle w:val="Compact"/>
              <w:jc w:val="left"/>
            </w:pPr>
            <w:r>
              <w:t xml:space="preserve">19.7</w:t>
            </w:r>
          </w:p>
        </w:tc>
        <w:tc>
          <w:tcPr/>
          <w:p>
            <w:pPr>
              <w:pStyle w:val="Compact"/>
              <w:jc w:val="left"/>
            </w:pPr>
            <w:r>
              <w:t xml:space="preserve">23.5</w:t>
            </w:r>
          </w:p>
        </w:tc>
        <w:tc>
          <w:tcPr/>
          <w:p>
            <w:pPr>
              <w:pStyle w:val="Compact"/>
              <w:jc w:val="left"/>
            </w:pPr>
            <w:r>
              <w:t xml:space="preserve">26.7</w:t>
            </w:r>
          </w:p>
        </w:tc>
      </w:tr>
      <w:tr>
        <w:tc>
          <w:tcPr/>
          <w:p>
            <w:pPr>
              <w:pStyle w:val="Compact"/>
              <w:jc w:val="left"/>
            </w:pPr>
            <w:r>
              <w:t xml:space="preserve">Adj. EBITDA margin</w:t>
            </w:r>
          </w:p>
        </w:tc>
        <w:tc>
          <w:tcPr/>
          <w:p>
            <w:pPr>
              <w:pStyle w:val="Compact"/>
              <w:jc w:val="left"/>
            </w:pPr>
            <w:r>
              <w:t xml:space="preserve">19.6%</w:t>
            </w:r>
          </w:p>
        </w:tc>
        <w:tc>
          <w:tcPr/>
          <w:p>
            <w:pPr>
              <w:pStyle w:val="Compact"/>
              <w:jc w:val="left"/>
            </w:pPr>
            <w:r>
              <w:t xml:space="preserve">20.0%</w:t>
            </w:r>
          </w:p>
        </w:tc>
        <w:tc>
          <w:tcPr/>
          <w:p>
            <w:pPr>
              <w:pStyle w:val="Compact"/>
              <w:jc w:val="left"/>
            </w:pPr>
            <w:r>
              <w:t xml:space="preserve">21.0%</w:t>
            </w:r>
          </w:p>
        </w:tc>
        <w:tc>
          <w:tcPr/>
          <w:p>
            <w:pPr>
              <w:pStyle w:val="Compact"/>
              <w:jc w:val="left"/>
            </w:pPr>
            <w:r>
              <w:t xml:space="preserve">21.5%</w:t>
            </w:r>
          </w:p>
        </w:tc>
      </w:tr>
      <w:tr>
        <w:tc>
          <w:tcPr/>
          <w:p>
            <w:pPr>
              <w:pStyle w:val="Compact"/>
              <w:jc w:val="left"/>
            </w:pPr>
            <w:r>
              <w:t xml:space="preserve">Memo: PFAS revenue</w:t>
            </w:r>
          </w:p>
        </w:tc>
        <w:tc>
          <w:tcPr/>
          <w:p>
            <w:pPr>
              <w:pStyle w:val="Compact"/>
              <w:jc w:val="left"/>
            </w:pPr>
            <w:r>
              <w:t xml:space="preserve">6.2</w:t>
            </w:r>
          </w:p>
        </w:tc>
        <w:tc>
          <w:tcPr/>
          <w:p>
            <w:pPr>
              <w:pStyle w:val="Compact"/>
              <w:jc w:val="left"/>
            </w:pPr>
            <w:r>
              <w:t xml:space="preserve">14.0</w:t>
            </w:r>
          </w:p>
        </w:tc>
        <w:tc>
          <w:tcPr/>
          <w:p>
            <w:pPr>
              <w:pStyle w:val="Compact"/>
              <w:jc w:val="left"/>
            </w:pPr>
            <w:r>
              <w:t xml:space="preserve">22.0</w:t>
            </w:r>
          </w:p>
        </w:tc>
        <w:tc>
          <w:tcPr/>
          <w:p>
            <w:pPr>
              <w:pStyle w:val="Compact"/>
              <w:jc w:val="left"/>
            </w:pPr>
            <w:r>
              <w:t xml:space="preserve">27.0</w:t>
            </w:r>
          </w:p>
        </w:tc>
      </w:tr>
    </w:tbl>
    <w:p>
      <w:pPr>
        <w:pStyle w:val="BodyText"/>
      </w:pPr>
      <w:r>
        <w:t xml:space="preserve">Margin expansion from 19.6% to 21.5% is attributed to operating leverage and a mix shift toward higher-margin PFAS.</w:t>
      </w:r>
      <w:r>
        <w:t xml:space="preserve"> </w:t>
      </w:r>
      <w:r>
        <w:rPr>
          <w:b/>
          <w:bCs/>
        </w:rPr>
        <w:t xml:space="preserve">If PFAS mix shift disappoints, the margin-expansion thesis is the first thing to break</w:t>
      </w:r>
      <w:r>
        <w:t xml:space="preserve">, because PFAS is presented as carrying above-average margins and is the sole source of mix improvement.</w:t>
      </w:r>
    </w:p>
    <w:bookmarkEnd w:id="25"/>
    <w:bookmarkStart w:id="26" w:name="free-cash-flow-and-capital-intensity"/>
    <w:p>
      <w:pPr>
        <w:pStyle w:val="Heading3"/>
      </w:pPr>
      <w:r>
        <w:t xml:space="preserve">5.3 Free cash flow and capital intensity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Cash from operations (per exhibits)</w:t>
            </w:r>
          </w:p>
        </w:tc>
        <w:tc>
          <w:tcPr/>
          <w:p>
            <w:pPr>
              <w:pStyle w:val="Compact"/>
              <w:jc w:val="left"/>
            </w:pPr>
            <w:r>
              <w:t xml:space="preserve">6.4</w:t>
            </w:r>
          </w:p>
        </w:tc>
        <w:tc>
          <w:tcPr/>
          <w:p>
            <w:pPr>
              <w:pStyle w:val="Compact"/>
              <w:jc w:val="left"/>
            </w:pPr>
            <w:r>
              <w:t xml:space="preserve">7.0</w:t>
            </w:r>
          </w:p>
        </w:tc>
        <w:tc>
          <w:tcPr/>
          <w:p>
            <w:pPr>
              <w:pStyle w:val="Compact"/>
              <w:jc w:val="left"/>
            </w:pPr>
            <w:r>
              <w:t xml:space="preserve">9.1</w:t>
            </w:r>
          </w:p>
        </w:tc>
        <w:tc>
          <w:tcPr/>
          <w:p>
            <w:pPr>
              <w:pStyle w:val="Compact"/>
              <w:jc w:val="left"/>
            </w:pPr>
            <w:r>
              <w:t xml:space="preserve">10.0</w:t>
            </w:r>
          </w:p>
        </w:tc>
      </w:tr>
      <w:tr>
        <w:tc>
          <w:tcPr/>
          <w:p>
            <w:pPr>
              <w:pStyle w:val="Compact"/>
              <w:jc w:val="left"/>
            </w:pPr>
            <w:r>
              <w:t xml:space="preserve">Total capex</w:t>
            </w:r>
          </w:p>
        </w:tc>
        <w:tc>
          <w:tcPr/>
          <w:p>
            <w:pPr>
              <w:pStyle w:val="Compact"/>
              <w:jc w:val="left"/>
            </w:pPr>
            <w:r>
              <w:t xml:space="preserve">(3.6)</w:t>
            </w:r>
          </w:p>
        </w:tc>
        <w:tc>
          <w:tcPr/>
          <w:p>
            <w:pPr>
              <w:pStyle w:val="Compact"/>
              <w:jc w:val="left"/>
            </w:pPr>
            <w:r>
              <w:t xml:space="preserve">(4.1)</w:t>
            </w:r>
          </w:p>
        </w:tc>
        <w:tc>
          <w:tcPr/>
          <w:p>
            <w:pPr>
              <w:pStyle w:val="Compact"/>
              <w:jc w:val="left"/>
            </w:pPr>
            <w:r>
              <w:t xml:space="preserve">(5.8)</w:t>
            </w:r>
          </w:p>
        </w:tc>
        <w:tc>
          <w:tcPr/>
          <w:p>
            <w:pPr>
              <w:pStyle w:val="Compact"/>
              <w:jc w:val="left"/>
            </w:pPr>
            <w:r>
              <w:t xml:space="preserve">(7.2)</w:t>
            </w:r>
          </w:p>
        </w:tc>
      </w:tr>
      <w:tr>
        <w:tc>
          <w:tcPr/>
          <w:p>
            <w:pPr>
              <w:pStyle w:val="Compact"/>
              <w:jc w:val="left"/>
            </w:pPr>
            <w:r>
              <w:t xml:space="preserve">Free cash flow</w:t>
            </w:r>
          </w:p>
        </w:tc>
        <w:tc>
          <w:tcPr/>
          <w:p>
            <w:pPr>
              <w:pStyle w:val="Compact"/>
              <w:jc w:val="left"/>
            </w:pPr>
            <w:r>
              <w:t xml:space="preserve">2.8</w:t>
            </w:r>
          </w:p>
        </w:tc>
        <w:tc>
          <w:tcPr/>
          <w:p>
            <w:pPr>
              <w:pStyle w:val="Compact"/>
              <w:jc w:val="left"/>
            </w:pPr>
            <w:r>
              <w:t xml:space="preserve">2.9</w:t>
            </w:r>
          </w:p>
        </w:tc>
        <w:tc>
          <w:tcPr/>
          <w:p>
            <w:pPr>
              <w:pStyle w:val="Compact"/>
              <w:jc w:val="left"/>
            </w:pPr>
            <w:r>
              <w:t xml:space="preserve">3.3</w:t>
            </w:r>
          </w:p>
        </w:tc>
        <w:tc>
          <w:tcPr/>
          <w:p>
            <w:pPr>
              <w:pStyle w:val="Compact"/>
              <w:jc w:val="left"/>
            </w:pPr>
            <w:r>
              <w:t xml:space="preserve">2.8</w:t>
            </w:r>
          </w:p>
        </w:tc>
      </w:tr>
      <w:tr>
        <w:tc>
          <w:tcPr/>
          <w:p>
            <w:pPr>
              <w:pStyle w:val="Compact"/>
              <w:jc w:val="left"/>
            </w:pPr>
            <w:r>
              <w:t xml:space="preserve">Capex % of revenue</w:t>
            </w:r>
          </w:p>
        </w:tc>
        <w:tc>
          <w:tcPr/>
          <w:p>
            <w:pPr>
              <w:pStyle w:val="Compact"/>
              <w:jc w:val="left"/>
            </w:pPr>
            <w:r>
              <w:t xml:space="preserve">5.9%</w:t>
            </w:r>
          </w:p>
        </w:tc>
        <w:tc>
          <w:tcPr/>
          <w:p>
            <w:pPr>
              <w:pStyle w:val="Compact"/>
              <w:jc w:val="left"/>
            </w:pPr>
            <w:r>
              <w:t xml:space="preserve">6.0%</w:t>
            </w:r>
          </w:p>
        </w:tc>
        <w:tc>
          <w:tcPr/>
          <w:p>
            <w:pPr>
              <w:pStyle w:val="Compact"/>
              <w:jc w:val="left"/>
            </w:pPr>
            <w:r>
              <w:t xml:space="preserve">7.6%</w:t>
            </w:r>
          </w:p>
        </w:tc>
        <w:tc>
          <w:tcPr/>
          <w:p>
            <w:pPr>
              <w:pStyle w:val="Compact"/>
              <w:jc w:val="left"/>
            </w:pPr>
            <w:r>
              <w:t xml:space="preserve">8.2%</w:t>
            </w:r>
          </w:p>
        </w:tc>
      </w:tr>
    </w:tbl>
    <w:p>
      <w:pPr>
        <w:pStyle w:val="BodyText"/>
      </w:pPr>
      <w:r>
        <w:t xml:space="preserve">FCF is thin (~$2.8M on $87.3M revenue) and</w:t>
      </w:r>
      <w:r>
        <w:t xml:space="preserve"> </w:t>
      </w:r>
      <w:r>
        <w:rPr>
          <w:b/>
          <w:bCs/>
        </w:rPr>
        <w:t xml:space="preserve">declining as a share of revenue</w:t>
      </w:r>
      <w:r>
        <w:t xml:space="preserve"> </w:t>
      </w:r>
      <w:r>
        <w:t xml:space="preserve">despite rising EBITDA, because capex and working-capital build are consuming the gains. The Financial Exhibits also show</w:t>
      </w:r>
      <w:r>
        <w:t xml:space="preserve"> </w:t>
      </w:r>
      <w:r>
        <w:rPr>
          <w:b/>
          <w:bCs/>
        </w:rPr>
        <w:t xml:space="preserve">shareholder distributions of $1.0M–$2.7M per year</w:t>
      </w:r>
      <w:r>
        <w:t xml:space="preserve"> </w:t>
      </w:r>
      <w:r>
        <w:t xml:space="preserve">(totaling ~$6.7M over FY21–FY24) — i.e., the owner has been paying out the majority of FCF via distributions, on top of above-market rent and elevated compensation. This is consistent with an owner-extraction pattern and means growth has been partly funded by debt and working-capital stretch rather than retained earnings. A buyer reinvesting at a true maintenance-capex run-rate will see lower FCF than the historical figures suggest.</w:t>
      </w:r>
    </w:p>
    <w:bookmarkEnd w:id="26"/>
    <w:bookmarkStart w:id="27" w:name="working-capital-and-the-dso-discrepancy"/>
    <w:p>
      <w:pPr>
        <w:pStyle w:val="Heading3"/>
      </w:pPr>
      <w:r>
        <w:t xml:space="preserve">5.4 Working capital and the DSO discrepancy</w:t>
      </w:r>
    </w:p>
    <w:p>
      <w:pPr>
        <w:pStyle w:val="FirstParagraph"/>
      </w:pPr>
      <w:r>
        <w:t xml:space="preserve">The CIM states DSO of 52 days.</w:t>
      </w:r>
      <w:r>
        <w:t xml:space="preserve"> </w:t>
      </w:r>
      <w:r>
        <w:rPr>
          <w:b/>
          <w:bCs/>
        </w:rPr>
        <w:t xml:space="preserve">The balance sheet does not support this.</w:t>
      </w:r>
      <w:r>
        <w:t xml:space="preserve"> </w:t>
      </w:r>
      <w:r>
        <w:t xml:space="preserve">Using period-end AR and full-year revenue from the Financial Exhibits: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w:t>
            </w:r>
          </w:p>
        </w:tc>
        <w:tc>
          <w:tcPr/>
          <w:p>
            <w:pPr>
              <w:pStyle w:val="Compact"/>
              <w:jc w:val="left"/>
            </w:pPr>
            <w:r>
              <w:t xml:space="preserve">AR (</w:t>
            </w:r>
            <m:oMath>
              <m:r>
                <m:t>M</m:t>
              </m:r>
              <m:r>
                <m:rPr>
                  <m:sty m:val="p"/>
                </m:rPr>
                <m:t>)</m:t>
              </m:r>
              <m:r>
                <m:rPr>
                  <m:sty m:val="p"/>
                </m:rPr>
                <m:t>|</m:t>
              </m:r>
              <m:r>
                <m:t>R</m:t>
              </m:r>
              <m:r>
                <m:t>e</m:t>
              </m:r>
              <m:r>
                <m:t>v</m:t>
              </m:r>
              <m:r>
                <m:t>e</m:t>
              </m:r>
              <m:r>
                <m:t>n</m:t>
              </m:r>
              <m:r>
                <m:t>u</m:t>
              </m:r>
              <m:r>
                <m:t>e</m:t>
              </m:r>
              <m:r>
                <m:rPr>
                  <m:sty m:val="p"/>
                </m:rPr>
                <m:t>(</m:t>
              </m:r>
            </m:oMath>
            <w:r>
              <w:t xml:space="preserve">M)</w:t>
            </w:r>
          </w:p>
        </w:tc>
        <w:tc>
          <w:tcPr/>
          <w:p>
            <w:pPr>
              <w:pStyle w:val="Compact"/>
              <w:jc w:val="left"/>
            </w:pPr>
            <w:r>
              <w:t xml:space="preserve">Implied DSO (days)</w:t>
            </w:r>
          </w:p>
        </w:tc>
        <w:tc>
          <w:tcPr/>
          <w:p>
            <w:pPr>
              <w:pStyle w:val="Compact"/>
            </w:pPr>
          </w:p>
        </w:tc>
      </w:tr>
      <w:tr>
        <w:tc>
          <w:tcPr/>
          <w:p>
            <w:pPr>
              <w:pStyle w:val="Compact"/>
              <w:jc w:val="left"/>
            </w:pPr>
            <w:r>
              <w:t xml:space="preserve">FY2021</w:t>
            </w:r>
          </w:p>
        </w:tc>
        <w:tc>
          <w:tcPr/>
          <w:p>
            <w:pPr>
              <w:pStyle w:val="Compact"/>
              <w:jc w:val="left"/>
            </w:pPr>
            <w:r>
              <w:t xml:space="preserve">11.4</w:t>
            </w:r>
          </w:p>
        </w:tc>
        <w:tc>
          <w:tcPr/>
          <w:p>
            <w:pPr>
              <w:pStyle w:val="Compact"/>
              <w:jc w:val="left"/>
            </w:pPr>
            <w:r>
              <w:t xml:space="preserve">61.4</w:t>
            </w:r>
          </w:p>
        </w:tc>
        <w:tc>
          <w:tcPr/>
          <w:p>
            <w:pPr>
              <w:pStyle w:val="Compact"/>
              <w:jc w:val="left"/>
            </w:pPr>
            <w:r>
              <w:t xml:space="preserve">67.8</w:t>
            </w:r>
          </w:p>
        </w:tc>
      </w:tr>
      <w:tr>
        <w:tc>
          <w:tcPr/>
          <w:p>
            <w:pPr>
              <w:pStyle w:val="Compact"/>
              <w:jc w:val="left"/>
            </w:pPr>
            <w:r>
              <w:t xml:space="preserve">FY2022</w:t>
            </w:r>
          </w:p>
        </w:tc>
        <w:tc>
          <w:tcPr/>
          <w:p>
            <w:pPr>
              <w:pStyle w:val="Compact"/>
              <w:jc w:val="left"/>
            </w:pPr>
            <w:r>
              <w:t xml:space="preserve">13.2</w:t>
            </w:r>
          </w:p>
        </w:tc>
        <w:tc>
          <w:tcPr/>
          <w:p>
            <w:pPr>
              <w:pStyle w:val="Compact"/>
              <w:jc w:val="left"/>
            </w:pPr>
            <w:r>
              <w:t xml:space="preserve">68.9</w:t>
            </w:r>
          </w:p>
        </w:tc>
        <w:tc>
          <w:tcPr/>
          <w:p>
            <w:pPr>
              <w:pStyle w:val="Compact"/>
              <w:jc w:val="left"/>
            </w:pPr>
            <w:r>
              <w:t xml:space="preserve">70.0</w:t>
            </w:r>
          </w:p>
        </w:tc>
      </w:tr>
      <w:tr>
        <w:tc>
          <w:tcPr/>
          <w:p>
            <w:pPr>
              <w:pStyle w:val="Compact"/>
              <w:jc w:val="left"/>
            </w:pPr>
            <w:r>
              <w:t xml:space="preserve">FY2023</w:t>
            </w:r>
          </w:p>
        </w:tc>
        <w:tc>
          <w:tcPr/>
          <w:p>
            <w:pPr>
              <w:pStyle w:val="Compact"/>
              <w:jc w:val="left"/>
            </w:pPr>
            <w:r>
              <w:t xml:space="preserve">14.8</w:t>
            </w:r>
          </w:p>
        </w:tc>
        <w:tc>
          <w:tcPr/>
          <w:p>
            <w:pPr>
              <w:pStyle w:val="Compact"/>
              <w:jc w:val="left"/>
            </w:pPr>
            <w:r>
              <w:t xml:space="preserve">76.1</w:t>
            </w:r>
          </w:p>
        </w:tc>
        <w:tc>
          <w:tcPr/>
          <w:p>
            <w:pPr>
              <w:pStyle w:val="Compact"/>
              <w:jc w:val="left"/>
            </w:pPr>
            <w:r>
              <w:t xml:space="preserve">71.0</w:t>
            </w:r>
          </w:p>
        </w:tc>
      </w:tr>
      <w:tr>
        <w:tc>
          <w:tcPr/>
          <w:p>
            <w:pPr>
              <w:pStyle w:val="Compact"/>
              <w:jc w:val="left"/>
            </w:pPr>
            <w:r>
              <w:t xml:space="preserve">FY2024</w:t>
            </w:r>
          </w:p>
        </w:tc>
        <w:tc>
          <w:tcPr/>
          <w:p>
            <w:pPr>
              <w:pStyle w:val="Compact"/>
              <w:jc w:val="left"/>
            </w:pPr>
            <w:r>
              <w:t xml:space="preserve">16.9</w:t>
            </w:r>
          </w:p>
        </w:tc>
        <w:tc>
          <w:tcPr/>
          <w:p>
            <w:pPr>
              <w:pStyle w:val="Compact"/>
              <w:jc w:val="left"/>
            </w:pPr>
            <w:r>
              <w:t xml:space="preserve">87.3</w:t>
            </w:r>
          </w:p>
        </w:tc>
        <w:tc>
          <w:tcPr/>
          <w:p>
            <w:pPr>
              <w:pStyle w:val="Compact"/>
              <w:jc w:val="left"/>
            </w:pPr>
            <w:r>
              <w:rPr>
                <w:b/>
                <w:bCs/>
              </w:rPr>
              <w:t xml:space="preserve">70.7</w:t>
            </w:r>
          </w:p>
        </w:tc>
      </w:tr>
    </w:tbl>
    <w:p>
      <w:pPr>
        <w:pStyle w:val="BodyText"/>
      </w:pPr>
      <w:r>
        <w:t xml:space="preserve">Balance-sheet-implied DSO has run</w:t>
      </w:r>
      <w:r>
        <w:t xml:space="preserve"> </w:t>
      </w:r>
      <w:r>
        <w:rPr>
          <w:b/>
          <w:bCs/>
        </w:rPr>
        <w:t xml:space="preserve">~68–71 days</w:t>
      </w:r>
      <w:r>
        <w:t xml:space="preserve"> </w:t>
      </w:r>
      <w:r>
        <w:t xml:space="preserve">consistently — not 52. Including unbilled receivables ($2.7M in FY2024, per the exhibits),</w:t>
      </w:r>
      <w:r>
        <w:t xml:space="preserve"> </w:t>
      </w:r>
      <w:r>
        <w:t xml:space="preserve">“</w:t>
      </w:r>
      <w:r>
        <w:t xml:space="preserve">contract assets</w:t>
      </w:r>
      <w:r>
        <w:t xml:space="preserve">”</w:t>
      </w:r>
      <w:r>
        <w:t xml:space="preserve"> </w:t>
      </w:r>
      <w:r>
        <w:t xml:space="preserve">imply</w:t>
      </w:r>
      <w:r>
        <w:t xml:space="preserve"> </w:t>
      </w:r>
      <w:r>
        <w:rPr>
          <w:b/>
          <w:bCs/>
        </w:rPr>
        <w:t xml:space="preserve">~82 days</w:t>
      </w:r>
      <w:r>
        <w:t xml:space="preserve">. At 52 days, AR would be ~$12.4M; actual AR is $16.9M — a</w:t>
      </w:r>
      <w:r>
        <w:t xml:space="preserve"> </w:t>
      </w:r>
      <w:r>
        <w:rPr>
          <w:b/>
          <w:bCs/>
        </w:rPr>
        <w:t xml:space="preserve">~$4.5M gap</w:t>
      </w:r>
      <w:r>
        <w:t xml:space="preserve"> </w:t>
      </w:r>
      <w:r>
        <w:t xml:space="preserve">(~$7.2M including unbilled). This is a material QoE finding: working capital is ~$4.5M–$7.2M heavier than the stated metric implies, which (a) increases the working-capital dollars required at close and (b) raises questions about collection quality, revenue-recognition timing, and whether the</w:t>
      </w:r>
      <w:r>
        <w:t xml:space="preserve"> </w:t>
      </w:r>
      <w:r>
        <w:t xml:space="preserve">“</w:t>
      </w:r>
      <w:r>
        <w:t xml:space="preserve">52 days</w:t>
      </w:r>
      <w:r>
        <w:t xml:space="preserve">”</w:t>
      </w:r>
      <w:r>
        <w:t xml:space="preserve"> </w:t>
      </w:r>
      <w:r>
        <w:t xml:space="preserve">figure reflects a management</w:t>
      </w:r>
      <w:r>
        <w:t xml:space="preserve"> </w:t>
      </w:r>
      <w:r>
        <w:t xml:space="preserve">“</w:t>
      </w:r>
      <w:r>
        <w:t xml:space="preserve">normalized</w:t>
      </w:r>
      <w:r>
        <w:t xml:space="preserve">”</w:t>
      </w:r>
      <w:r>
        <w:t xml:space="preserve"> </w:t>
      </w:r>
      <w:r>
        <w:t xml:space="preserve">view rather than actual period-end economics. This directly confirms the diligence flag raised in the sector memo.</w:t>
      </w:r>
    </w:p>
    <w:p>
      <w:r>
        <w:pict>
          <v:rect style="width:0;height:1.5pt" o:hralign="center" o:hrstd="t" o:hr="t"/>
        </w:pict>
      </w:r>
    </w:p>
    <w:bookmarkEnd w:id="27"/>
    <w:bookmarkEnd w:id="28"/>
    <w:bookmarkStart w:id="33" w:name="X8c5517dd35f7063da87cb540462d28222a86c96"/>
    <w:p>
      <w:pPr>
        <w:pStyle w:val="Heading2"/>
      </w:pPr>
      <w:r>
        <w:t xml:space="preserve">6. Quality of Earnings and Adjusted EBITDA Analysis</w:t>
      </w:r>
    </w:p>
    <w:bookmarkStart w:id="29" w:name="the-bridge-and-why-it-is-overstated"/>
    <w:p>
      <w:pPr>
        <w:pStyle w:val="Heading3"/>
      </w:pPr>
      <w:r>
        <w:t xml:space="preserve">6.1 The bridge and why it is overstated</w:t>
      </w:r>
    </w:p>
    <w:p>
      <w:pPr>
        <w:pStyle w:val="FirstParagraph"/>
      </w:pPr>
      <w:r>
        <w:t xml:space="preserve">Sell-side FY2024 bridge: Reported EBITDA $12.1M + $5.0M adjustments = Adjusted EBITDA $17.1M (19.6% margin). The $5.0M of add-backs is a</w:t>
      </w:r>
      <w:r>
        <w:t xml:space="preserve"> </w:t>
      </w:r>
      <w:r>
        <w:rPr>
          <w:b/>
          <w:bCs/>
        </w:rPr>
        <w:t xml:space="preserve">41% uplift</w:t>
      </w:r>
      <w:r>
        <w:t xml:space="preserve"> </w:t>
      </w:r>
      <w:r>
        <w:t xml:space="preserve">— high for this sector, where adjusted margins above 18–20% warrant scrutiny (sector memo). Each material add-back is examined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Add-back</w:t>
            </w:r>
          </w:p>
        </w:tc>
        <w:tc>
          <w:tcPr/>
          <w:p>
            <w:pPr>
              <w:pStyle w:val="Compact"/>
              <w:jc w:val="left"/>
            </w:pPr>
            <w:r>
              <w:t xml:space="preserve">Sell-side</w:t>
            </w:r>
          </w:p>
        </w:tc>
        <w:tc>
          <w:tcPr/>
          <w:p>
            <w:pPr>
              <w:pStyle w:val="Compact"/>
              <w:jc w:val="left"/>
            </w:pPr>
            <w:r>
              <w:t xml:space="preserve">Issue</w:t>
            </w:r>
          </w:p>
        </w:tc>
        <w:tc>
          <w:tcPr/>
          <w:p>
            <w:pPr>
              <w:pStyle w:val="Compact"/>
              <w:jc w:val="left"/>
            </w:pPr>
            <w:r>
              <w:t xml:space="preserve">Buy-side</w:t>
            </w:r>
          </w:p>
        </w:tc>
      </w:tr>
      <w:tr>
        <w:tc>
          <w:tcPr/>
          <w:p>
            <w:pPr>
              <w:pStyle w:val="Compact"/>
              <w:jc w:val="left"/>
            </w:pPr>
            <w:r>
              <w:t xml:space="preserve">Owner comp normalization</w:t>
            </w:r>
          </w:p>
        </w:tc>
        <w:tc>
          <w:tcPr/>
          <w:p>
            <w:pPr>
              <w:pStyle w:val="Compact"/>
              <w:jc w:val="left"/>
            </w:pPr>
            <w:r>
              <w:t xml:space="preserve">$1.9M</w:t>
            </w:r>
          </w:p>
        </w:tc>
        <w:tc>
          <w:tcPr/>
          <w:p>
            <w:pPr>
              <w:pStyle w:val="Compact"/>
              <w:jc w:val="left"/>
            </w:pPr>
            <w:r>
              <w:t xml:space="preserve">Replacement CEO assumed at $500K; the implied replacement assumption has</w:t>
            </w:r>
            <w:r>
              <w:t xml:space="preserve"> </w:t>
            </w:r>
            <w:r>
              <w:rPr>
                <w:i/>
                <w:iCs/>
              </w:rPr>
              <w:t xml:space="preserve">declined</w:t>
            </w:r>
            <w:r>
              <w:t xml:space="preserve"> </w:t>
            </w:r>
            <w:r>
              <w:t xml:space="preserve">from $700K (FY21) to $500K (FY24) — i.e., management lowered the assumption over time to enlarge the add-back. A credible CEO for an $87M / 412-employee multi-state platform likely costs $750K–$1.0M+.</w:t>
            </w:r>
            <w:r>
              <w:t xml:space="preserve"> </w:t>
            </w:r>
            <w:r>
              <w:t xml:space="preserve">“</w:t>
            </w:r>
            <w:r>
              <w:t xml:space="preserve">Personal expenses allocated to the Company</w:t>
            </w:r>
            <w:r>
              <w:t xml:space="preserve">”</w:t>
            </w:r>
            <w:r>
              <w:t xml:space="preserve"> </w:t>
            </w:r>
            <w:r>
              <w:t xml:space="preserve">unverified.</w:t>
            </w:r>
          </w:p>
        </w:tc>
        <w:tc>
          <w:tcPr/>
          <w:p>
            <w:pPr>
              <w:pStyle w:val="Compact"/>
              <w:jc w:val="left"/>
            </w:pPr>
            <w:r>
              <w:t xml:space="preserve">~$1.55M (at $850K replacement)</w:t>
            </w:r>
          </w:p>
        </w:tc>
      </w:tr>
      <w:tr>
        <w:tc>
          <w:tcPr/>
          <w:p>
            <w:pPr>
              <w:pStyle w:val="Compact"/>
              <w:jc w:val="left"/>
            </w:pPr>
            <w:r>
              <w:t xml:space="preserve">Related-party lease normalization</w:t>
            </w:r>
          </w:p>
        </w:tc>
        <w:tc>
          <w:tcPr/>
          <w:p>
            <w:pPr>
              <w:pStyle w:val="Compact"/>
              <w:jc w:val="left"/>
            </w:pPr>
            <w:r>
              <w:t xml:space="preserve">$0.8M</w:t>
            </w:r>
          </w:p>
        </w:tc>
        <w:tc>
          <w:tcPr/>
          <w:p>
            <w:pPr>
              <w:pStyle w:val="Compact"/>
              <w:jc w:val="left"/>
            </w:pPr>
            <w:r>
              <w:t xml:space="preserve">Assumes $600K market rent.</w:t>
            </w:r>
            <w:r>
              <w:t xml:space="preserve"> </w:t>
            </w:r>
            <w:r>
              <w:rPr>
                <w:b/>
                <w:bCs/>
              </w:rPr>
              <w:t xml:space="preserve">The CIM itself states</w:t>
            </w:r>
            <w:r>
              <w:t xml:space="preserve"> </w:t>
            </w:r>
            <w:r>
              <w:t xml:space="preserve">(Sec. IV.C) that</w:t>
            </w:r>
            <w:r>
              <w:t xml:space="preserve"> </w:t>
            </w:r>
            <w:r>
              <w:t xml:space="preserve">“</w:t>
            </w:r>
            <w:r>
              <w:t xml:space="preserve">specialized environmental staging facilities</w:t>
            </w:r>
            <w:r>
              <w:t xml:space="preserve">”</w:t>
            </w:r>
            <w:r>
              <w:t xml:space="preserve"> </w:t>
            </w:r>
            <w:r>
              <w:t xml:space="preserve">of comparable acreage/infrastructure command</w:t>
            </w:r>
            <w:r>
              <w:t xml:space="preserve"> </w:t>
            </w:r>
            <w:r>
              <w:rPr>
                <w:b/>
                <w:bCs/>
              </w:rPr>
              <w:t xml:space="preserve">$1.0M–$1.2M annually</w:t>
            </w:r>
            <w:r>
              <w:t xml:space="preserve">. The CES HQ is exactly such a facility (permitted wash rack, secondary containment, soil stockpile areas). The $600K figure references generic industrial yard space, not the specialized facility CES occupies. Internal contradiction.</w:t>
            </w:r>
          </w:p>
        </w:tc>
        <w:tc>
          <w:tcPr/>
          <w:p>
            <w:pPr>
              <w:pStyle w:val="Compact"/>
              <w:jc w:val="left"/>
            </w:pPr>
            <w:r>
              <w:t xml:space="preserve">~$0.3M (at $1.1M market)</w:t>
            </w:r>
          </w:p>
        </w:tc>
      </w:tr>
      <w:tr>
        <w:tc>
          <w:tcPr/>
          <w:p>
            <w:pPr>
              <w:pStyle w:val="Compact"/>
              <w:jc w:val="left"/>
            </w:pPr>
            <w:r>
              <w:t xml:space="preserve">One-time legal/regulatory (DEQ)</w:t>
            </w:r>
          </w:p>
        </w:tc>
        <w:tc>
          <w:tcPr/>
          <w:p>
            <w:pPr>
              <w:pStyle w:val="Compact"/>
              <w:jc w:val="left"/>
            </w:pPr>
            <w:r>
              <w:t xml:space="preserve">$1.2M</w:t>
            </w:r>
          </w:p>
        </w:tc>
        <w:tc>
          <w:tcPr/>
          <w:p>
            <w:pPr>
              <w:pStyle w:val="Compact"/>
              <w:jc w:val="left"/>
            </w:pPr>
            <w:r>
              <w:t xml:space="preserve">Full add-back of $875K settlement + $325K legal. Sector recurring regulatory run-rate is $200K–$500K/yr (Thornfield: GreenWorks $275K/yr recurring after a</w:t>
            </w:r>
            <w:r>
              <w:t xml:space="preserve"> </w:t>
            </w:r>
            <w:r>
              <w:t xml:space="preserve">“</w:t>
            </w:r>
            <w:r>
              <w:t xml:space="preserve">one-time</w:t>
            </w:r>
            <w:r>
              <w:t xml:space="preserve">”</w:t>
            </w:r>
            <w:r>
              <w:t xml:space="preserve"> </w:t>
            </w:r>
            <w:r>
              <w:t xml:space="preserve">$380K add-back; Allied $310K/yr). FY2023 also had $200K of</w:t>
            </w:r>
            <w:r>
              <w:t xml:space="preserve"> </w:t>
            </w:r>
            <w:r>
              <w:t xml:space="preserve">“</w:t>
            </w:r>
            <w:r>
              <w:t xml:space="preserve">one-time</w:t>
            </w:r>
            <w:r>
              <w:t xml:space="preserve">”</w:t>
            </w:r>
            <w:r>
              <w:t xml:space="preserve"> </w:t>
            </w:r>
            <w:r>
              <w:t xml:space="preserve">legal/regulatory — so not truly isolated. Best practice: retain a run-rate and add back only the excess.</w:t>
            </w:r>
          </w:p>
        </w:tc>
        <w:tc>
          <w:tcPr/>
          <w:p>
            <w:pPr>
              <w:pStyle w:val="Compact"/>
              <w:jc w:val="left"/>
            </w:pPr>
            <w:r>
              <w:t xml:space="preserve">~$0.9M (at $300K run-rate)</w:t>
            </w:r>
          </w:p>
        </w:tc>
      </w:tr>
      <w:tr>
        <w:tc>
          <w:tcPr/>
          <w:p>
            <w:pPr>
              <w:pStyle w:val="Compact"/>
              <w:jc w:val="left"/>
            </w:pPr>
            <w:r>
              <w:t xml:space="preserve">Non-recurring equipment relocation (Boise)</w:t>
            </w:r>
          </w:p>
        </w:tc>
        <w:tc>
          <w:tcPr/>
          <w:p>
            <w:pPr>
              <w:pStyle w:val="Compact"/>
              <w:jc w:val="left"/>
            </w:pPr>
            <w:r>
              <w:t xml:space="preserve">$0.4M</w:t>
            </w:r>
          </w:p>
        </w:tc>
        <w:tc>
          <w:tcPr/>
          <w:p>
            <w:pPr>
              <w:pStyle w:val="Compact"/>
              <w:jc w:val="left"/>
            </w:pPr>
            <w:r>
              <w:t xml:space="preserve">Genuinely one-time, but growth-related (depot expansion to support revenue). Borderline between add-back and growth capex.</w:t>
            </w:r>
          </w:p>
        </w:tc>
        <w:tc>
          <w:tcPr/>
          <w:p>
            <w:pPr>
              <w:pStyle w:val="Compact"/>
              <w:jc w:val="left"/>
            </w:pPr>
            <w:r>
              <w:t xml:space="preserve">$0.4M (accept; flag)</w:t>
            </w:r>
          </w:p>
        </w:tc>
      </w:tr>
      <w:tr>
        <w:tc>
          <w:tcPr/>
          <w:p>
            <w:pPr>
              <w:pStyle w:val="Compact"/>
              <w:jc w:val="left"/>
            </w:pPr>
            <w:r>
              <w:t xml:space="preserve">Stock-based comp (phantom units)</w:t>
            </w:r>
          </w:p>
        </w:tc>
        <w:tc>
          <w:tcPr/>
          <w:p>
            <w:pPr>
              <w:pStyle w:val="Compact"/>
              <w:jc w:val="left"/>
            </w:pPr>
            <w:r>
              <w:t xml:space="preserve">$0.3M</w:t>
            </w:r>
          </w:p>
        </w:tc>
        <w:tc>
          <w:tcPr/>
          <w:p>
            <w:pPr>
              <w:pStyle w:val="Compact"/>
              <w:jc w:val="left"/>
            </w:pPr>
            <w:r>
              <w:t xml:space="preserve">Non-cash; acceptable as add-back.</w:t>
            </w:r>
            <w:r>
              <w:t xml:space="preserve"> </w:t>
            </w:r>
            <w:r>
              <w:rPr>
                <w:b/>
                <w:bCs/>
              </w:rPr>
              <w:t xml:space="preserve">But the phantom units settle in cash at closing</w:t>
            </w:r>
            <w:r>
              <w:t xml:space="preserve"> </w:t>
            </w:r>
            <w:r>
              <w:t xml:space="preserve">— a separate cash obligation outside EV that must be sized and deducted from equity proceeds.</w:t>
            </w:r>
          </w:p>
        </w:tc>
        <w:tc>
          <w:tcPr/>
          <w:p>
            <w:pPr>
              <w:pStyle w:val="Compact"/>
              <w:jc w:val="left"/>
            </w:pPr>
            <w:r>
              <w:t xml:space="preserve">$0.3M (accept; flag cash settlement)</w:t>
            </w:r>
          </w:p>
        </w:tc>
      </w:tr>
      <w:tr>
        <w:tc>
          <w:tcPr/>
          <w:p>
            <w:pPr>
              <w:pStyle w:val="Compact"/>
              <w:jc w:val="left"/>
            </w:pPr>
            <w:r>
              <w:t xml:space="preserve">One-time IT (ERP)</w:t>
            </w:r>
          </w:p>
        </w:tc>
        <w:tc>
          <w:tcPr/>
          <w:p>
            <w:pPr>
              <w:pStyle w:val="Compact"/>
              <w:jc w:val="left"/>
            </w:pPr>
            <w:r>
              <w:t xml:space="preserve">$0.1M</w:t>
            </w:r>
          </w:p>
        </w:tc>
        <w:tc>
          <w:tcPr/>
          <w:p>
            <w:pPr>
              <w:pStyle w:val="Compact"/>
              <w:jc w:val="left"/>
            </w:pPr>
            <w:r>
              <w:t xml:space="preserve">One-time; acceptable.</w:t>
            </w:r>
          </w:p>
        </w:tc>
        <w:tc>
          <w:tcPr/>
          <w:p>
            <w:pPr>
              <w:pStyle w:val="Compact"/>
              <w:jc w:val="left"/>
            </w:pPr>
            <w:r>
              <w:t xml:space="preserve">$0.1M</w:t>
            </w:r>
          </w:p>
        </w:tc>
      </w:tr>
      <w:tr>
        <w:tc>
          <w:tcPr/>
          <w:p>
            <w:pPr>
              <w:pStyle w:val="Compact"/>
              <w:jc w:val="left"/>
            </w:pPr>
            <w:r>
              <w:rPr>
                <w:b/>
                <w:bCs/>
              </w:rPr>
              <w:t xml:space="preserve">Total adjustments</w:t>
            </w:r>
          </w:p>
        </w:tc>
        <w:tc>
          <w:tcPr/>
          <w:p>
            <w:pPr>
              <w:pStyle w:val="Compact"/>
              <w:jc w:val="left"/>
            </w:pPr>
            <w:r>
              <w:rPr>
                <w:b/>
                <w:bCs/>
              </w:rPr>
              <w:t xml:space="preserve">$5.0M</w:t>
            </w:r>
          </w:p>
        </w:tc>
        <w:tc>
          <w:tcPr/>
          <w:p>
            <w:pPr>
              <w:pStyle w:val="Compact"/>
            </w:pPr>
          </w:p>
        </w:tc>
        <w:tc>
          <w:tcPr/>
          <w:p>
            <w:pPr>
              <w:pStyle w:val="Compact"/>
              <w:jc w:val="left"/>
            </w:pPr>
            <w:r>
              <w:rPr>
                <w:b/>
                <w:bCs/>
              </w:rPr>
              <w:t xml:space="preserve">~$3.5M</w:t>
            </w:r>
          </w:p>
        </w:tc>
      </w:tr>
      <w:tr>
        <w:tc>
          <w:tcPr/>
          <w:p>
            <w:pPr>
              <w:pStyle w:val="Compact"/>
              <w:jc w:val="left"/>
            </w:pPr>
            <w:r>
              <w:rPr>
                <w:b/>
                <w:bCs/>
              </w:rPr>
              <w:t xml:space="preserve">Adjusted EBITDA</w:t>
            </w:r>
          </w:p>
        </w:tc>
        <w:tc>
          <w:tcPr/>
          <w:p>
            <w:pPr>
              <w:pStyle w:val="Compact"/>
              <w:jc w:val="left"/>
            </w:pPr>
            <w:r>
              <w:rPr>
                <w:b/>
                <w:bCs/>
              </w:rPr>
              <w:t xml:space="preserve">$17.1M</w:t>
            </w:r>
          </w:p>
        </w:tc>
        <w:tc>
          <w:tcPr/>
          <w:p>
            <w:pPr>
              <w:pStyle w:val="Compact"/>
            </w:pPr>
          </w:p>
        </w:tc>
        <w:tc>
          <w:tcPr/>
          <w:p>
            <w:pPr>
              <w:pStyle w:val="Compact"/>
              <w:jc w:val="left"/>
            </w:pPr>
            <w:r>
              <w:rPr>
                <w:b/>
                <w:bCs/>
              </w:rPr>
              <w:t xml:space="preserve">~$15.6M</w:t>
            </w:r>
          </w:p>
        </w:tc>
      </w:tr>
    </w:tbl>
    <w:p>
      <w:pPr>
        <w:pStyle w:val="BodyText"/>
      </w:pPr>
      <w:r>
        <w:rPr>
          <w:b/>
          <w:bCs/>
        </w:rPr>
        <w:t xml:space="preserve">Preliminary buy-side normalized FY2024 EBITDA: ~$15.6M (range ~$15.0M–$16.0M)</w:t>
      </w:r>
      <w:r>
        <w:t xml:space="preserve">, roughly</w:t>
      </w:r>
      <w:r>
        <w:t xml:space="preserve"> </w:t>
      </w:r>
      <w:r>
        <w:rPr>
          <w:b/>
          <w:bCs/>
        </w:rPr>
        <w:t xml:space="preserve">$1.5M below the sell-side figure</w:t>
      </w:r>
      <w:r>
        <w:t xml:space="preserve">. At an 8.0x–10.0x multiple, the ~$1.5M difference is worth</w:t>
      </w:r>
      <w:r>
        <w:t xml:space="preserve"> </w:t>
      </w:r>
      <w:r>
        <w:rPr>
          <w:b/>
          <w:bCs/>
        </w:rPr>
        <w:t xml:space="preserve">~$12M–$15M of enterprise value</w:t>
      </w:r>
      <w:r>
        <w:t xml:space="preserve"> </w:t>
      </w:r>
      <w:r>
        <w:t xml:space="preserve">before any other risk adjustments. The range reflects sensitivity to the replacement-CEO assumption ($750K–$1.0M), the market-rent assumption ($1.0M–$1.2M), and the regulatory run-rate ($200K–$500K).</w:t>
      </w:r>
    </w:p>
    <w:bookmarkEnd w:id="29"/>
    <w:bookmarkStart w:id="30" w:name="Xb38c598815cc55d80e234933fecc3ab9b9901e5"/>
    <w:p>
      <w:pPr>
        <w:pStyle w:val="Heading3"/>
      </w:pPr>
      <w:r>
        <w:t xml:space="preserve">6.2 The DEQ matter is also a compliance-culture flag, not just an add-back</w:t>
      </w:r>
    </w:p>
    <w:p>
      <w:pPr>
        <w:pStyle w:val="FirstParagraph"/>
      </w:pPr>
      <w:r>
        <w:t xml:space="preserve">The August 14, 2024 consent agreement resolved an Oregon DEQ enforcement action for</w:t>
      </w:r>
      <w:r>
        <w:t xml:space="preserve"> </w:t>
      </w:r>
      <w:r>
        <w:rPr>
          <w:b/>
          <w:bCs/>
        </w:rPr>
        <w:t xml:space="preserve">improper storage of contaminated soils at CES’s own Portland facility</w:t>
      </w:r>
      <w:r>
        <w:t xml:space="preserve">. For an environmental services company, improperly storing contaminated soils at its own yard is a core-competency failure, not a routine regulatory hiccup. Diligence must establish: (i) the complete 10-year enforcement history (is this isolated or systemic?); (ii) consent-decree terms and any ongoing obligations/monitoring; (iii) root cause and remediation of controls; and (iv) insurance coverage. The fact that FY2023 also carried a $200K</w:t>
      </w:r>
      <w:r>
        <w:t xml:space="preserve"> </w:t>
      </w:r>
      <w:r>
        <w:t xml:space="preserve">“</w:t>
      </w:r>
      <w:r>
        <w:t xml:space="preserve">one-time</w:t>
      </w:r>
      <w:r>
        <w:t xml:space="preserve">”</w:t>
      </w:r>
      <w:r>
        <w:t xml:space="preserve"> </w:t>
      </w:r>
      <w:r>
        <w:t xml:space="preserve">legal/regulatory charge suggests a pattern rather than a single event.</w:t>
      </w:r>
    </w:p>
    <w:bookmarkEnd w:id="30"/>
    <w:bookmarkStart w:id="31" w:name="X6a35ce65f646d2ba113a0abc8386d39e68301ca"/>
    <w:p>
      <w:pPr>
        <w:pStyle w:val="Heading3"/>
      </w:pPr>
      <w:r>
        <w:t xml:space="preserve">6.3 Financial-statement discrepancies: CIM vs. Financial Exhibits</w:t>
      </w:r>
    </w:p>
    <w:p>
      <w:pPr>
        <w:pStyle w:val="FirstParagraph"/>
      </w:pPr>
      <w:r>
        <w:t xml:space="preserve">The CIM’s Appendix A financials and the Financial Exhibits workbook</w:t>
      </w:r>
      <w:r>
        <w:t xml:space="preserve"> </w:t>
      </w:r>
      <w:r>
        <w:rPr>
          <w:b/>
          <w:bCs/>
        </w:rPr>
        <w:t xml:space="preserve">do not reconcile</w:t>
      </w:r>
      <w:r>
        <w:t xml:space="preserve">. Key FY2024 differences: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($M)</w:t>
            </w:r>
          </w:p>
        </w:tc>
        <w:tc>
          <w:tcPr/>
          <w:p>
            <w:pPr>
              <w:pStyle w:val="Compact"/>
              <w:jc w:val="left"/>
            </w:pPr>
            <w:r>
              <w:t xml:space="preserve">CIM Appendix A</w:t>
            </w:r>
          </w:p>
        </w:tc>
        <w:tc>
          <w:tcPr/>
          <w:p>
            <w:pPr>
              <w:pStyle w:val="Compact"/>
              <w:jc w:val="left"/>
            </w:pPr>
            <w:r>
              <w:t xml:space="preserve">Financial Exhibits</w:t>
            </w:r>
          </w:p>
        </w:tc>
        <w:tc>
          <w:tcPr/>
          <w:p>
            <w:pPr>
              <w:pStyle w:val="Compact"/>
              <w:jc w:val="left"/>
            </w:pPr>
            <w:r>
              <w:t xml:space="preserve">Variance</w:t>
            </w:r>
          </w:p>
        </w:tc>
      </w:tr>
      <w:tr>
        <w:tc>
          <w:tcPr/>
          <w:p>
            <w:pPr>
              <w:pStyle w:val="Compact"/>
              <w:jc w:val="left"/>
            </w:pPr>
            <w:r>
              <w:t xml:space="preserve">Cost of revenue</w:t>
            </w:r>
          </w:p>
        </w:tc>
        <w:tc>
          <w:tcPr/>
          <w:p>
            <w:pPr>
              <w:pStyle w:val="Compact"/>
              <w:jc w:val="left"/>
            </w:pPr>
            <w:r>
              <w:t xml:space="preserve">(57.8)</w:t>
            </w:r>
          </w:p>
        </w:tc>
        <w:tc>
          <w:tcPr/>
          <w:p>
            <w:pPr>
              <w:pStyle w:val="Compact"/>
              <w:jc w:val="left"/>
            </w:pPr>
            <w:r>
              <w:t xml:space="preserve">(58.5)</w:t>
            </w:r>
          </w:p>
        </w:tc>
        <w:tc>
          <w:tcPr/>
          <w:p>
            <w:pPr>
              <w:pStyle w:val="Compact"/>
              <w:jc w:val="left"/>
            </w:pPr>
            <w:r>
              <w:t xml:space="preserve">0.7</w:t>
            </w:r>
          </w:p>
        </w:tc>
      </w:tr>
      <w:tr>
        <w:tc>
          <w:tcPr/>
          <w:p>
            <w:pPr>
              <w:pStyle w:val="Compact"/>
              <w:jc w:val="left"/>
            </w:pPr>
            <w:r>
              <w:t xml:space="preserve">Gross profit / margin</w:t>
            </w:r>
          </w:p>
        </w:tc>
        <w:tc>
          <w:tcPr/>
          <w:p>
            <w:pPr>
              <w:pStyle w:val="Compact"/>
              <w:jc w:val="left"/>
            </w:pPr>
            <w:r>
              <w:t xml:space="preserve">29.5 / 33.8%</w:t>
            </w:r>
          </w:p>
        </w:tc>
        <w:tc>
          <w:tcPr/>
          <w:p>
            <w:pPr>
              <w:pStyle w:val="Compact"/>
              <w:jc w:val="left"/>
            </w:pPr>
            <w:r>
              <w:t xml:space="preserve">28.8 / 33.0%</w:t>
            </w:r>
          </w:p>
        </w:tc>
        <w:tc>
          <w:tcPr/>
          <w:p>
            <w:pPr>
              <w:pStyle w:val="Compact"/>
              <w:jc w:val="left"/>
            </w:pPr>
            <w:r>
              <w:t xml:space="preserve">0.7</w:t>
            </w:r>
          </w:p>
        </w:tc>
      </w:tr>
      <w:tr>
        <w:tc>
          <w:tcPr/>
          <w:p>
            <w:pPr>
              <w:pStyle w:val="Compact"/>
              <w:jc w:val="left"/>
            </w:pPr>
            <w:r>
              <w:t xml:space="preserve">Operating income (EBIT)</w:t>
            </w:r>
          </w:p>
        </w:tc>
        <w:tc>
          <w:tcPr/>
          <w:p>
            <w:pPr>
              <w:pStyle w:val="Compact"/>
              <w:jc w:val="left"/>
            </w:pPr>
            <w:r>
              <w:t xml:space="preserve">7.8</w:t>
            </w:r>
          </w:p>
        </w:tc>
        <w:tc>
          <w:tcPr/>
          <w:p>
            <w:pPr>
              <w:pStyle w:val="Compact"/>
              <w:jc w:val="left"/>
            </w:pPr>
            <w:r>
              <w:t xml:space="preserve">11.1</w:t>
            </w:r>
          </w:p>
        </w:tc>
        <w:tc>
          <w:tcPr/>
          <w:p>
            <w:pPr>
              <w:pStyle w:val="Compact"/>
              <w:jc w:val="left"/>
            </w:pPr>
            <w:r>
              <w:t xml:space="preserve">3.3</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0 ✓</w:t>
            </w:r>
          </w:p>
        </w:tc>
      </w:tr>
      <w:tr>
        <w:tc>
          <w:tcPr/>
          <w:p>
            <w:pPr>
              <w:pStyle w:val="Compact"/>
              <w:jc w:val="left"/>
            </w:pPr>
            <w:r>
              <w:t xml:space="preserve">Net income</w:t>
            </w:r>
          </w:p>
        </w:tc>
        <w:tc>
          <w:tcPr/>
          <w:p>
            <w:pPr>
              <w:pStyle w:val="Compact"/>
              <w:jc w:val="left"/>
            </w:pPr>
            <w:r>
              <w:t xml:space="preserve">5.0</w:t>
            </w:r>
          </w:p>
        </w:tc>
        <w:tc>
          <w:tcPr/>
          <w:p>
            <w:pPr>
              <w:pStyle w:val="Compact"/>
              <w:jc w:val="left"/>
            </w:pPr>
            <w:r>
              <w:t xml:space="preserve">6.7</w:t>
            </w:r>
          </w:p>
        </w:tc>
        <w:tc>
          <w:tcPr/>
          <w:p>
            <w:pPr>
              <w:pStyle w:val="Compact"/>
              <w:jc w:val="left"/>
            </w:pPr>
            <w:r>
              <w:t xml:space="preserve">1.7</w:t>
            </w:r>
          </w:p>
        </w:tc>
      </w:tr>
      <w:tr>
        <w:tc>
          <w:tcPr/>
          <w:p>
            <w:pPr>
              <w:pStyle w:val="Compact"/>
              <w:jc w:val="left"/>
            </w:pPr>
            <w:r>
              <w:t xml:space="preserve">Cash</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p>
            <w:pPr>
              <w:pStyle w:val="Compact"/>
              <w:jc w:val="left"/>
            </w:pPr>
            <w:r>
              <w:t xml:space="preserve">PP&amp;E,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r>
      <w:tr>
        <w:tc>
          <w:tcPr/>
          <w:p>
            <w:pPr>
              <w:pStyle w:val="Compact"/>
              <w:jc w:val="left"/>
            </w:pPr>
            <w:r>
              <w:t xml:space="preserve">Total assets</w:t>
            </w:r>
          </w:p>
        </w:tc>
        <w:tc>
          <w:tcPr/>
          <w:p>
            <w:pPr>
              <w:pStyle w:val="Compact"/>
              <w:jc w:val="left"/>
            </w:pPr>
            <w:r>
              <w:t xml:space="preserve">46.1</w:t>
            </w:r>
          </w:p>
        </w:tc>
        <w:tc>
          <w:tcPr/>
          <w:p>
            <w:pPr>
              <w:pStyle w:val="Compact"/>
              <w:jc w:val="left"/>
            </w:pPr>
            <w:r>
              <w:t xml:space="preserve">50.0</w:t>
            </w:r>
          </w:p>
        </w:tc>
        <w:tc>
          <w:tcPr/>
          <w:p>
            <w:pPr>
              <w:pStyle w:val="Compact"/>
              <w:jc w:val="left"/>
            </w:pPr>
            <w:r>
              <w:t xml:space="preserve">3.9</w:t>
            </w:r>
          </w:p>
        </w:tc>
      </w:tr>
      <w:tr>
        <w:tc>
          <w:tcPr/>
          <w:p>
            <w:pPr>
              <w:pStyle w:val="Compact"/>
              <w:jc w:val="left"/>
            </w:pPr>
            <w:r>
              <w:t xml:space="preserve">Senior term loan</w:t>
            </w:r>
          </w:p>
        </w:tc>
        <w:tc>
          <w:tcPr/>
          <w:p>
            <w:pPr>
              <w:pStyle w:val="Compact"/>
              <w:jc w:val="left"/>
            </w:pPr>
            <w:r>
              <w:t xml:space="preserve">11.9</w:t>
            </w:r>
          </w:p>
        </w:tc>
        <w:tc>
          <w:tcPr/>
          <w:p>
            <w:pPr>
              <w:pStyle w:val="Compact"/>
              <w:jc w:val="left"/>
            </w:pPr>
            <w:r>
              <w:t xml:space="preserve">14.2</w:t>
            </w:r>
          </w:p>
        </w:tc>
        <w:tc>
          <w:tcPr/>
          <w:p>
            <w:pPr>
              <w:pStyle w:val="Compact"/>
              <w:jc w:val="left"/>
            </w:pPr>
            <w:r>
              <w:t xml:space="preserve">2.3</w:t>
            </w:r>
          </w:p>
        </w:tc>
      </w:tr>
      <w:tr>
        <w:tc>
          <w:tcPr/>
          <w:p>
            <w:pPr>
              <w:pStyle w:val="Compact"/>
              <w:jc w:val="left"/>
            </w:pPr>
            <w:r>
              <w:t xml:space="preserve">Total liabilities</w:t>
            </w:r>
          </w:p>
        </w:tc>
        <w:tc>
          <w:tcPr/>
          <w:p>
            <w:pPr>
              <w:pStyle w:val="Compact"/>
              <w:jc w:val="left"/>
            </w:pPr>
            <w:r>
              <w:t xml:space="preserve">29.0</w:t>
            </w:r>
          </w:p>
        </w:tc>
        <w:tc>
          <w:tcPr/>
          <w:p>
            <w:pPr>
              <w:pStyle w:val="Compact"/>
              <w:jc w:val="left"/>
            </w:pPr>
            <w:r>
              <w:t xml:space="preserve">31.2</w:t>
            </w:r>
          </w:p>
        </w:tc>
        <w:tc>
          <w:tcPr/>
          <w:p>
            <w:pPr>
              <w:pStyle w:val="Compact"/>
              <w:jc w:val="left"/>
            </w:pPr>
            <w:r>
              <w:t xml:space="preserve">2.2</w:t>
            </w:r>
          </w:p>
        </w:tc>
      </w:tr>
      <w:tr>
        <w:tc>
          <w:tcPr/>
          <w:p>
            <w:pPr>
              <w:pStyle w:val="Compact"/>
              <w:jc w:val="left"/>
            </w:pPr>
            <w:r>
              <w:t xml:space="preserve">Stockholders’ equity</w:t>
            </w:r>
          </w:p>
        </w:tc>
        <w:tc>
          <w:tcPr/>
          <w:p>
            <w:pPr>
              <w:pStyle w:val="Compact"/>
              <w:jc w:val="left"/>
            </w:pPr>
            <w:r>
              <w:t xml:space="preserve">17.1</w:t>
            </w:r>
          </w:p>
        </w:tc>
        <w:tc>
          <w:tcPr/>
          <w:p>
            <w:pPr>
              <w:pStyle w:val="Compact"/>
              <w:jc w:val="left"/>
            </w:pPr>
            <w:r>
              <w:t xml:space="preserve">18.8</w:t>
            </w:r>
          </w:p>
        </w:tc>
        <w:tc>
          <w:tcPr/>
          <w:p>
            <w:pPr>
              <w:pStyle w:val="Compact"/>
              <w:jc w:val="left"/>
            </w:pPr>
            <w:r>
              <w:t xml:space="preserve">1.7</w:t>
            </w:r>
          </w:p>
        </w:tc>
      </w:tr>
    </w:tbl>
    <w:p>
      <w:pPr>
        <w:pStyle w:val="BodyText"/>
      </w:pPr>
      <w:r>
        <w:t xml:space="preserve">Additional observations:</w:t>
      </w:r>
    </w:p>
    <w:p>
      <w:pPr>
        <w:pStyle w:val="Compact"/>
        <w:numPr>
          <w:ilvl w:val="0"/>
          <w:numId w:val="1004"/>
        </w:numPr>
      </w:pPr>
      <w:r>
        <w:rPr>
          <w:b/>
          <w:bCs/>
        </w:rPr>
        <w:t xml:space="preserve">Reported EBITDA ties at $12.1M</w:t>
      </w:r>
      <w:r>
        <w:t xml:space="preserve">, but everything above and below it diverges. The CIM appendix appears to be on a different basis (it excludes the DEQ settlement from the P&amp;L and buries owner comp/lease in SG&amp;A/Other), while the exhibits break out owner compensation ($2.4M) and the related-party lease ($1.4M) as separate lines and include the $875K settlement in</w:t>
      </w:r>
      <w:r>
        <w:t xml:space="preserve"> </w:t>
      </w:r>
      <w:r>
        <w:t xml:space="preserve">“</w:t>
      </w:r>
      <w:r>
        <w:t xml:space="preserve">Other Income/(Expense).</w:t>
      </w:r>
      <w:r>
        <w:t xml:space="preserve">”</w:t>
      </w:r>
    </w:p>
    <w:p>
      <w:pPr>
        <w:pStyle w:val="Compact"/>
        <w:numPr>
          <w:ilvl w:val="0"/>
          <w:numId w:val="1004"/>
        </w:numPr>
      </w:pPr>
      <w:r>
        <w:rPr>
          <w:b/>
          <w:bCs/>
        </w:rPr>
        <w:t xml:space="preserve">Internal model inconsistency.</w:t>
      </w:r>
      <w:r>
        <w:t xml:space="preserve"> </w:t>
      </w:r>
      <w:r>
        <w:t xml:space="preserve">In the exhibits,</w:t>
      </w:r>
      <w:r>
        <w:t xml:space="preserve"> </w:t>
      </w:r>
      <w:r>
        <w:t xml:space="preserve">“</w:t>
      </w:r>
      <w:r>
        <w:t xml:space="preserve">Operating Income (EBIT)</w:t>
      </w:r>
      <w:r>
        <w:t xml:space="preserve">”</w:t>
      </w:r>
      <w:r>
        <w:t xml:space="preserve"> </w:t>
      </w:r>
      <w:r>
        <w:t xml:space="preserve">of $11.1M plus D&amp;A of $4.2M equals $15.3M — which does</w:t>
      </w:r>
      <w:r>
        <w:t xml:space="preserve"> </w:t>
      </w:r>
      <w:r>
        <w:rPr>
          <w:b/>
          <w:bCs/>
        </w:rPr>
        <w:t xml:space="preserve">not</w:t>
      </w:r>
      <w:r>
        <w:t xml:space="preserve"> </w:t>
      </w:r>
      <w:r>
        <w:t xml:space="preserve">equal the stated Reported EBITDA of $12.1M. The EBIT→EBITDA bridge in the model is internally inconsistent and must be reconciled.</w:t>
      </w:r>
    </w:p>
    <w:p>
      <w:pPr>
        <w:pStyle w:val="Compact"/>
        <w:numPr>
          <w:ilvl w:val="0"/>
          <w:numId w:val="1004"/>
        </w:numPr>
      </w:pPr>
      <w:r>
        <w:rPr>
          <w:b/>
          <w:bCs/>
        </w:rPr>
        <w:t xml:space="preserve">Unexplained goodwill/intangibles.</w:t>
      </w:r>
      <w:r>
        <w:t xml:space="preserve"> </w:t>
      </w:r>
      <w:r>
        <w:t xml:space="preserve">The exhibits show</w:t>
      </w:r>
      <w:r>
        <w:t xml:space="preserve"> </w:t>
      </w:r>
      <w:r>
        <w:rPr>
          <w:b/>
          <w:bCs/>
        </w:rPr>
        <w:t xml:space="preserve">$2.5M of goodwill &amp; intangible assets</w:t>
      </w:r>
      <w:r>
        <w:t xml:space="preserve">, constant across FY21–FY24. The CIM describes CES as organically grown (offices opened, service lines launched) with</w:t>
      </w:r>
      <w:r>
        <w:t xml:space="preserve"> </w:t>
      </w:r>
      <w:r>
        <w:rPr>
          <w:b/>
          <w:bCs/>
        </w:rPr>
        <w:t xml:space="preserve">no acquisitions mentioned</w:t>
      </w:r>
      <w:r>
        <w:t xml:space="preserve">. The source of $2.5M of goodwill is unexplained and should be investigated.</w:t>
      </w:r>
    </w:p>
    <w:p>
      <w:pPr>
        <w:pStyle w:val="Compact"/>
        <w:numPr>
          <w:ilvl w:val="0"/>
          <w:numId w:val="1004"/>
        </w:numPr>
      </w:pPr>
      <w:r>
        <w:rPr>
          <w:b/>
          <w:bCs/>
        </w:rPr>
        <w:t xml:space="preserve">Debt ambiguity.</w:t>
      </w:r>
      <w:r>
        <w:t xml:space="preserve"> </w:t>
      </w:r>
      <w:r>
        <w:t xml:space="preserve">CIM states total debt of $17.3M (term loan $14.2M = $2.3M current + $11.9M non-current, plus $3.1M revolver). The exhibits present a $1.8M</w:t>
      </w:r>
      <w:r>
        <w:t xml:space="preserve"> </w:t>
      </w:r>
      <w:r>
        <w:t xml:space="preserve">“</w:t>
      </w:r>
      <w:r>
        <w:t xml:space="preserve">current portion of long-term debt</w:t>
      </w:r>
      <w:r>
        <w:t xml:space="preserve">”</w:t>
      </w:r>
      <w:r>
        <w:t xml:space="preserve"> </w:t>
      </w:r>
      <w:r>
        <w:rPr>
          <w:i/>
          <w:iCs/>
        </w:rPr>
        <w:t xml:space="preserve">separate from</w:t>
      </w:r>
      <w:r>
        <w:t xml:space="preserve"> </w:t>
      </w:r>
      <w:r>
        <w:t xml:space="preserve">a $14.2M</w:t>
      </w:r>
      <w:r>
        <w:t xml:space="preserve"> </w:t>
      </w:r>
      <w:r>
        <w:t xml:space="preserve">“</w:t>
      </w:r>
      <w:r>
        <w:t xml:space="preserve">senior term loan</w:t>
      </w:r>
      <w:r>
        <w:t xml:space="preserve">”</w:t>
      </w:r>
      <w:r>
        <w:t xml:space="preserve"> </w:t>
      </w:r>
      <w:r>
        <w:t xml:space="preserve">long-term line, which reads as ~$16.0M term loan + $3.1M revolver =</w:t>
      </w:r>
      <w:r>
        <w:t xml:space="preserve"> </w:t>
      </w:r>
      <w:r>
        <w:rPr>
          <w:b/>
          <w:bCs/>
        </w:rPr>
        <w:t xml:space="preserve">~$19.1M total debt</w:t>
      </w:r>
      <w:r>
        <w:t xml:space="preserve"> </w:t>
      </w:r>
      <w:r>
        <w:t xml:space="preserve">— a ~$1.8M difference that happens to equal the cash discrepancy.</w:t>
      </w:r>
    </w:p>
    <w:p>
      <w:pPr>
        <w:pStyle w:val="Compact"/>
        <w:numPr>
          <w:ilvl w:val="0"/>
          <w:numId w:val="1004"/>
        </w:numPr>
      </w:pPr>
      <w:r>
        <w:rPr>
          <w:b/>
          <w:bCs/>
        </w:rPr>
        <w:t xml:space="preserve">Cash-flow discrepancy.</w:t>
      </w:r>
      <w:r>
        <w:t xml:space="preserve"> </w:t>
      </w:r>
      <w:r>
        <w:t xml:space="preserve">CIM Appendix A shows operating cash flow of $9.2M and FCF of $2.0M for FY2024; the exhibits show $10.0M and $2.8M, respectively, with ending cash of $4.1M (consistent with the exhibits’ balance sheet, not the CIM’s $2.3M).</w:t>
      </w:r>
    </w:p>
    <w:p>
      <w:pPr>
        <w:pStyle w:val="FirstParagraph"/>
      </w:pPr>
      <w:r>
        <w:rPr>
          <w:b/>
          <w:bCs/>
        </w:rPr>
        <w:t xml:space="preserve">Implication:</w:t>
      </w:r>
      <w:r>
        <w:t xml:space="preserve"> </w:t>
      </w:r>
      <w:r>
        <w:t xml:space="preserve">These are not rounding differences; they affect net debt, the equity bridge, FCF, and the QoE baseline. The QoE provider must reconcile the CIM, the exhibits, and the audited financials to a single set of numbers before any bid is finalized.</w:t>
      </w:r>
    </w:p>
    <w:bookmarkEnd w:id="31"/>
    <w:bookmarkStart w:id="32" w:name="X2b253958db4f7aa7a4763ce2a125a569e5c606f"/>
    <w:p>
      <w:pPr>
        <w:pStyle w:val="Heading3"/>
      </w:pPr>
      <w:r>
        <w:t xml:space="preserve">6.4 Customer-list inconsistencies across sell-side materials</w:t>
      </w:r>
    </w:p>
    <w:p>
      <w:pPr>
        <w:pStyle w:val="FirstParagraph"/>
      </w:pPr>
      <w:r>
        <w:t xml:space="preserve">The CIM’s Top-10 table and the Customer Report’s Top-10 table disagree on</w:t>
      </w:r>
      <w:r>
        <w:t xml:space="preserve"> </w:t>
      </w:r>
      <w:r>
        <w:rPr>
          <w:b/>
          <w:bCs/>
        </w:rPr>
        <w:t xml:space="preserve">customers #6–#10</w:t>
      </w:r>
      <w:r>
        <w:t xml:space="preserve"> </w:t>
      </w:r>
      <w:r>
        <w:t xml:space="preserve">(same revenue figures, different company names), on</w:t>
      </w:r>
      <w:r>
        <w:t xml:space="preserve"> </w:t>
      </w:r>
      <w:r>
        <w:rPr>
          <w:b/>
          <w:bCs/>
        </w:rPr>
        <w:t xml:space="preserve">segment attribution</w:t>
      </w:r>
      <w:r>
        <w:t xml:space="preserve"> </w:t>
      </w:r>
      <w:r>
        <w:t xml:space="preserve">for PNR (CIM: Industrial Cleaning + Remediation; Report: IC + Emergency Response) and Willamette Steel (CIM: Remediation + IC; Report: IC only), and on</w:t>
      </w:r>
      <w:r>
        <w:t xml:space="preserve"> </w:t>
      </w:r>
      <w:r>
        <w:rPr>
          <w:b/>
          <w:bCs/>
        </w:rPr>
        <w:t xml:space="preserve">relationship start dates</w:t>
      </w:r>
      <w:r>
        <w:t xml:space="preserve"> </w:t>
      </w:r>
      <w:r>
        <w:t xml:space="preserve">for several top customers (e.g., PNR: CIM narrative</w:t>
      </w:r>
      <w:r>
        <w:t xml:space="preserve"> </w:t>
      </w:r>
      <w:r>
        <w:t xml:space="preserve">“</w:t>
      </w:r>
      <w:r>
        <w:t xml:space="preserve">2011</w:t>
      </w:r>
      <w:r>
        <w:t xml:space="preserve">”</w:t>
      </w:r>
      <w:r>
        <w:t xml:space="preserve"> </w:t>
      </w:r>
      <w:r>
        <w:t xml:space="preserve">vs. Report</w:t>
      </w:r>
      <w:r>
        <w:t xml:space="preserve"> </w:t>
      </w:r>
      <w:r>
        <w:t xml:space="preserve">“</w:t>
      </w:r>
      <w:r>
        <w:t xml:space="preserve">2012</w:t>
      </w:r>
      <w:r>
        <w:t xml:space="preserve">”</w:t>
      </w:r>
      <w:r>
        <w:t xml:space="preserve">; ODOT: CIM</w:t>
      </w:r>
      <w:r>
        <w:t xml:space="preserve"> </w:t>
      </w:r>
      <w:r>
        <w:t xml:space="preserve">“</w:t>
      </w:r>
      <w:r>
        <w:t xml:space="preserve">2013</w:t>
      </w:r>
      <w:r>
        <w:t xml:space="preserve">”</w:t>
      </w:r>
      <w:r>
        <w:t xml:space="preserve"> </w:t>
      </w:r>
      <w:r>
        <w:t xml:space="preserve">vs. Report</w:t>
      </w:r>
      <w:r>
        <w:t xml:space="preserve"> </w:t>
      </w:r>
      <w:r>
        <w:t xml:space="preserve">“</w:t>
      </w:r>
      <w:r>
        <w:t xml:space="preserve">2014</w:t>
      </w:r>
      <w:r>
        <w:t xml:space="preserve">”</w:t>
      </w:r>
      <w:r>
        <w:t xml:space="preserve">; Meridian: CIM</w:t>
      </w:r>
      <w:r>
        <w:t xml:space="preserve"> </w:t>
      </w:r>
      <w:r>
        <w:t xml:space="preserve">“</w:t>
      </w:r>
      <w:r>
        <w:t xml:space="preserve">2014</w:t>
      </w:r>
      <w:r>
        <w:t xml:space="preserve">”</w:t>
      </w:r>
      <w:r>
        <w:t xml:space="preserve"> </w:t>
      </w:r>
      <w:r>
        <w:t xml:space="preserve">vs. Report</w:t>
      </w:r>
      <w:r>
        <w:t xml:space="preserve"> </w:t>
      </w:r>
      <w:r>
        <w:t xml:space="preserve">“</w:t>
      </w:r>
      <w:r>
        <w:t xml:space="preserve">2017</w:t>
      </w:r>
      <w:r>
        <w:t xml:space="preserve">”</w:t>
      </w:r>
      <w:r>
        <w:t xml:space="preserve">). The CIM’s</w:t>
      </w:r>
      <w:r>
        <w:t xml:space="preserve"> </w:t>
      </w:r>
      <w:r>
        <w:t xml:space="preserve">“</w:t>
      </w:r>
      <w:r>
        <w:t xml:space="preserve">75% OR/WA — 25% ID/NoCA</w:t>
      </w:r>
      <w:r>
        <w:t xml:space="preserve">”</w:t>
      </w:r>
      <w:r>
        <w:t xml:space="preserve"> </w:t>
      </w:r>
      <w:r>
        <w:t xml:space="preserve">geographic split also conflicts with the Customer Report’s state breakdown (OR 54.5% + WA 27.8% =</w:t>
      </w:r>
      <w:r>
        <w:t xml:space="preserve"> </w:t>
      </w:r>
      <w:r>
        <w:rPr>
          <w:b/>
          <w:bCs/>
        </w:rPr>
        <w:t xml:space="preserve">82.3%</w:t>
      </w:r>
      <w:r>
        <w:t xml:space="preserve">; ID 10.0% + NoCA 7.7% = 17.7%). Individually minor, collectively these inconsistencies reinforce the need for a clean, reconciled data room.</w:t>
      </w:r>
    </w:p>
    <w:p>
      <w:r>
        <w:pict>
          <v:rect style="width:0;height:1.5pt" o:hralign="center" o:hrstd="t" o:hr="t"/>
        </w:pict>
      </w:r>
    </w:p>
    <w:bookmarkEnd w:id="32"/>
    <w:bookmarkEnd w:id="33"/>
    <w:bookmarkStart w:id="34" w:name="X19f6a6ae920c32523d1ea03fe94b505238f54fa"/>
    <w:p>
      <w:pPr>
        <w:pStyle w:val="Heading2"/>
      </w:pPr>
      <w:r>
        <w:t xml:space="preserve">7. Key Diligence Issues and Risk Factors (Prioritized)</w:t>
      </w:r>
    </w:p>
    <w:p>
      <w:pPr>
        <w:pStyle w:val="FirstParagraph"/>
      </w:pPr>
      <w:r>
        <w:rPr>
          <w:b/>
          <w:bCs/>
        </w:rPr>
        <w:t xml:space="preserve">1. PNR concentration and contract expiry (CRITICAL).</w:t>
      </w:r>
      <w:r>
        <w:t xml:space="preserve"> </w:t>
      </w:r>
      <w:r>
        <w:t xml:space="preserve">PNR is 21.4% of revenue ($18.7M) and the MSA is listed as expiring</w:t>
      </w:r>
      <w:r>
        <w:t xml:space="preserve"> </w:t>
      </w:r>
      <w:r>
        <w:rPr>
          <w:b/>
          <w:bCs/>
        </w:rPr>
        <w:t xml:space="preserve">March 31, 2025</w:t>
      </w:r>
      <w:r>
        <w:t xml:space="preserve"> </w:t>
      </w:r>
      <w:r>
        <w:t xml:space="preserve">— before the CIM was even distributed (June 9, 2025). Renewal status, new term, pricing, and any change-of-control provisions are unconfirmed. CES personnel are on-site at PNR near-daily and CES holds</w:t>
      </w:r>
      <w:r>
        <w:t xml:space="preserve"> </w:t>
      </w:r>
      <w:r>
        <w:t xml:space="preserve">“</w:t>
      </w:r>
      <w:r>
        <w:t xml:space="preserve">preferred provider</w:t>
      </w:r>
      <w:r>
        <w:t xml:space="preserve">”</w:t>
      </w:r>
      <w:r>
        <w:t xml:space="preserve"> </w:t>
      </w:r>
      <w:r>
        <w:t xml:space="preserve">status, which is reassuring, but a lapsed or re-bid contract on the largest customer is the single biggest commercial risk. Top-10 concentration is 71.0% (Top-5 52.5%); Willamette Steel (5.6%) is month-to-month; several other top-10 contracts expire in 2025–2026.</w:t>
      </w:r>
      <w:r>
        <w:t xml:space="preserve"> </w:t>
      </w:r>
      <w:r>
        <w:rPr>
          <w:b/>
          <w:bCs/>
        </w:rPr>
        <w:t xml:space="preserve">Action: confirm PNR renewal in writing before IOI; request all top-10 contracts and change-of-control clauses in Phase II.</w:t>
      </w:r>
    </w:p>
    <w:p>
      <w:pPr>
        <w:pStyle w:val="BodyText"/>
      </w:pPr>
      <w:r>
        <w:rPr>
          <w:b/>
          <w:bCs/>
        </w:rPr>
        <w:t xml:space="preserve">2. PFAS growth aggressiveness and capacity.</w:t>
      </w:r>
      <w:r>
        <w:t xml:space="preserve"> </w:t>
      </w:r>
      <w:r>
        <w:t xml:space="preserve">FY2025E PFAS of $14.0M implies +126% growth; sector/company-level realistic growth is 30–50% (GreenWorks analog: 80%+ projected → ~35% actual after pent-up demand was worked through). PFAS is 64% of incremental revenue and the sole margin-mix driver.</w:t>
      </w:r>
      <w:r>
        <w:t xml:space="preserve"> </w:t>
      </w:r>
      <w:r>
        <w:rPr>
          <w:b/>
          <w:bCs/>
        </w:rPr>
        <w:t xml:space="preserve">Capacity constraint:</w:t>
      </w:r>
      <w:r>
        <w:t xml:space="preserve"> </w:t>
      </w:r>
      <w:r>
        <w:t xml:space="preserve">PE headcount fell from 3 to 2 in January 2025 (unreplaced); PFAS projects require PE oversight; PE hiring runs 6–12 months in a tight market; projected growth likely needs 2–3 additional PEs.</w:t>
      </w:r>
      <w:r>
        <w:t xml:space="preserve"> </w:t>
      </w:r>
      <w:r>
        <w:rPr>
          <w:b/>
          <w:bCs/>
        </w:rPr>
        <w:t xml:space="preserve">Action: demand a contracted-PFAS-backlog breakout (signed vs. pipeline), the PFAS proposal pipeline with win rates, the PE hiring plan, and equipment/technician capacity assumptions.</w:t>
      </w:r>
    </w:p>
    <w:p>
      <w:pPr>
        <w:pStyle w:val="BodyText"/>
      </w:pPr>
      <w:r>
        <w:rPr>
          <w:b/>
          <w:bCs/>
        </w:rPr>
        <w:t xml:space="preserve">3. Maintenance capex and fleet condition.</w:t>
      </w:r>
      <w:r>
        <w:t xml:space="preserve"> </w:t>
      </w:r>
      <w:r>
        <w:t xml:space="preserve">Stated maintenance capex of $3.0M (3.4% of revenue) is ~150–200 bps below the 5–7% sector floor and Thornfield’s portfolio experience; the CIM’s own schedule shows maintenance capex</w:t>
      </w:r>
      <w:r>
        <w:t xml:space="preserve"> </w:t>
      </w:r>
      <w:r>
        <w:rPr>
          <w:i/>
          <w:iCs/>
        </w:rPr>
        <w:t xml:space="preserve">declining</w:t>
      </w:r>
      <w:r>
        <w:t xml:space="preserve"> </w:t>
      </w:r>
      <w:r>
        <w:t xml:space="preserve">as a % of revenue (3.9% → 2.7%) despite an aging fleet — the opposite of what one would expect. If true maintenance capex is ~$5.5M, FCF is ~$2.5M/yr lower.</w:t>
      </w:r>
      <w:r>
        <w:t xml:space="preserve"> </w:t>
      </w:r>
      <w:r>
        <w:rPr>
          <w:b/>
          <w:bCs/>
        </w:rPr>
        <w:t xml:space="preserve">Action: commission an independent fleet age/condition assessment and a maintenance-vs-growth capex split; build a normalized capex assumption into our model.</w:t>
      </w:r>
    </w:p>
    <w:p>
      <w:pPr>
        <w:pStyle w:val="BodyText"/>
      </w:pPr>
      <w:r>
        <w:rPr>
          <w:b/>
          <w:bCs/>
        </w:rPr>
        <w:t xml:space="preserve">4. Regulatory/compliance history and cost run-rate.</w:t>
      </w:r>
      <w:r>
        <w:t xml:space="preserve"> </w:t>
      </w:r>
      <w:r>
        <w:t xml:space="preserve">The DEQ matter (improper contaminated-soil storage at CES’s own yard) is a core-competency red flag, and FY2023 also carried a $200K</w:t>
      </w:r>
      <w:r>
        <w:t xml:space="preserve"> </w:t>
      </w:r>
      <w:r>
        <w:t xml:space="preserve">“</w:t>
      </w:r>
      <w:r>
        <w:t xml:space="preserve">one-time</w:t>
      </w:r>
      <w:r>
        <w:t xml:space="preserve">”</w:t>
      </w:r>
      <w:r>
        <w:t xml:space="preserve"> </w:t>
      </w:r>
      <w:r>
        <w:t xml:space="preserve">regulatory charge. The full $1.2M add-back is likely overstated by $300K–$500K.</w:t>
      </w:r>
      <w:r>
        <w:t xml:space="preserve"> </w:t>
      </w:r>
      <w:r>
        <w:rPr>
          <w:b/>
          <w:bCs/>
        </w:rPr>
        <w:t xml:space="preserve">Action: obtain 10-year enforcement history, the consent decree, ongoing obligations, the compliance program, and insurance/claims history; set a normalized regulatory run-rate in our QoE.</w:t>
      </w:r>
    </w:p>
    <w:p>
      <w:pPr>
        <w:pStyle w:val="BodyText"/>
      </w:pPr>
      <w:r>
        <w:rPr>
          <w:b/>
          <w:bCs/>
        </w:rPr>
        <w:t xml:space="preserve">5. Owner compensation and key-person risk.</w:t>
      </w:r>
      <w:r>
        <w:t xml:space="preserve"> </w:t>
      </w:r>
      <w:r>
        <w:t xml:space="preserve">The $1.9M add-back assumes a $500K replacement CEO — below market and declining over time. Oakes (61, 68% owner) plans to exit in 18–24 months; there is no CFO, no COO, and no named successor. VP Operations Prewitt (18 yrs) holds key remediation client relationships.</w:t>
      </w:r>
      <w:r>
        <w:t xml:space="preserve"> </w:t>
      </w:r>
      <w:r>
        <w:rPr>
          <w:b/>
          <w:bCs/>
        </w:rPr>
        <w:t xml:space="preserve">Action: QoE the owner-comp detail (salary, bonus, benefits,</w:t>
      </w:r>
      <w:r>
        <w:rPr>
          <w:b/>
          <w:bCs/>
        </w:rPr>
        <w:t xml:space="preserve"> </w:t>
      </w:r>
      <w:r>
        <w:rPr>
          <w:b/>
          <w:bCs/>
        </w:rPr>
        <w:t xml:space="preserve">“</w:t>
      </w:r>
      <w:r>
        <w:rPr>
          <w:b/>
          <w:bCs/>
        </w:rPr>
        <w:t xml:space="preserve">personal expenses</w:t>
      </w:r>
      <w:r>
        <w:rPr>
          <w:b/>
          <w:bCs/>
        </w:rPr>
        <w:t xml:space="preserve">”</w:t>
      </w:r>
      <w:r>
        <w:rPr>
          <w:b/>
          <w:bCs/>
        </w:rPr>
        <w:t xml:space="preserve">); benchmark a real replacement package; require retention agreements for Prewitt, Cahill, Stovall, and Fontaine as closing conditions; require a CEO succession plan.</w:t>
      </w:r>
    </w:p>
    <w:p>
      <w:pPr>
        <w:pStyle w:val="BodyText"/>
      </w:pPr>
      <w:r>
        <w:rPr>
          <w:b/>
          <w:bCs/>
        </w:rPr>
        <w:t xml:space="preserve">6. Related-party lease and real estate.</w:t>
      </w:r>
      <w:r>
        <w:t xml:space="preserve"> </w:t>
      </w:r>
      <w:r>
        <w:t xml:space="preserve">The $0.8M add-back uses a $600K market rent that contradicts the CIM’s own $1.0M–$1.2M specialized-facility statement; the true above-market component is likely $200K–$400K. The HQ is owned by Oakes and is operationally critical and hard to replicate, giving the seller leverage.</w:t>
      </w:r>
      <w:r>
        <w:t xml:space="preserve"> </w:t>
      </w:r>
      <w:r>
        <w:rPr>
          <w:b/>
          <w:bCs/>
        </w:rPr>
        <w:t xml:space="preserve">Action: obtain an independent appraisal and Phase I/II on the HQ; decide acquire-vs-lease; re-underwrite the lease normalization to the appropriate comparable.</w:t>
      </w:r>
    </w:p>
    <w:p>
      <w:pPr>
        <w:pStyle w:val="BodyText"/>
      </w:pPr>
      <w:r>
        <w:rPr>
          <w:b/>
          <w:bCs/>
        </w:rPr>
        <w:t xml:space="preserve">7. PE capacity and licensing.</w:t>
      </w:r>
      <w:r>
        <w:t xml:space="preserve"> </w:t>
      </w:r>
      <w:r>
        <w:t xml:space="preserve">Down to 2 PEs from 3; PE sign-off is required for site assessments, remediation work plans, and closure reports across the largest segment (55% of revenue) and the PFAS growth engine.</w:t>
      </w:r>
      <w:r>
        <w:t xml:space="preserve"> </w:t>
      </w:r>
      <w:r>
        <w:rPr>
          <w:b/>
          <w:bCs/>
        </w:rPr>
        <w:t xml:space="preserve">Action: assess PE capacity vs. projected workload; validate the hiring plan; confirm no PE-licensed-personnel concentration risk.</w:t>
      </w:r>
    </w:p>
    <w:p>
      <w:pPr>
        <w:pStyle w:val="BodyText"/>
      </w:pPr>
      <w:r>
        <w:rPr>
          <w:b/>
          <w:bCs/>
        </w:rPr>
        <w:t xml:space="preserve">8. Financial-statement reconciliation (see Section 6.3).</w:t>
      </w:r>
      <w:r>
        <w:t xml:space="preserve"> </w:t>
      </w:r>
      <w:r>
        <w:t xml:space="preserve">CIM vs. exhibits discrepancies in gross profit, operating income, net income, cash, PP&amp;E, total assets, debt, and equity; internal model EBIT/EBITDA inconsistency; unexplained $2.5M goodwill.</w:t>
      </w:r>
      <w:r>
        <w:t xml:space="preserve"> </w:t>
      </w:r>
      <w:r>
        <w:rPr>
          <w:b/>
          <w:bCs/>
        </w:rPr>
        <w:t xml:space="preserve">Action: full QoE reconciliation to audited financials; monthly financials FY24–FY25 YTD.</w:t>
      </w:r>
    </w:p>
    <w:p>
      <w:pPr>
        <w:pStyle w:val="BodyText"/>
      </w:pPr>
      <w:r>
        <w:rPr>
          <w:b/>
          <w:bCs/>
        </w:rPr>
        <w:t xml:space="preserve">9. Working capital and DSO (see Section 5.4).</w:t>
      </w:r>
      <w:r>
        <w:t xml:space="preserve"> </w:t>
      </w:r>
      <w:r>
        <w:t xml:space="preserve">Stated 52-day DSO vs. ~71-day balance-sheet-implied (or ~82 days including unbilled); ~$4.5M–$7.2M heavier WC than represented.</w:t>
      </w:r>
      <w:r>
        <w:t xml:space="preserve"> </w:t>
      </w:r>
      <w:r>
        <w:rPr>
          <w:b/>
          <w:bCs/>
        </w:rPr>
        <w:t xml:space="preserve">Action: AR aging, unbilled-revenue detail, revenue-recognition review; set a defensible working-capital peg.</w:t>
      </w:r>
    </w:p>
    <w:p>
      <w:pPr>
        <w:pStyle w:val="BodyText"/>
      </w:pPr>
      <w:r>
        <w:rPr>
          <w:b/>
          <w:bCs/>
        </w:rPr>
        <w:t xml:space="preserve">10. Phantom equity cash settlement.</w:t>
      </w:r>
      <w:r>
        <w:t xml:space="preserve"> </w:t>
      </w:r>
      <w:r>
        <w:t xml:space="preserve">Phantom units settle in cash at closing — a cash obligation outside EV. Total payout unquantified.</w:t>
      </w:r>
      <w:r>
        <w:t xml:space="preserve"> </w:t>
      </w:r>
      <w:r>
        <w:rPr>
          <w:b/>
          <w:bCs/>
        </w:rPr>
        <w:t xml:space="preserve">Action: obtain the phantom plan (unit counts, vesting, payout formula) and size the closing cash payment; treat as a deduction in the equity bridge.</w:t>
      </w:r>
    </w:p>
    <w:p>
      <w:pPr>
        <w:pStyle w:val="BodyText"/>
      </w:pPr>
      <w:r>
        <w:rPr>
          <w:b/>
          <w:bCs/>
        </w:rPr>
        <w:t xml:space="preserve">11. Debt and refinancing.</w:t>
      </w:r>
      <w:r>
        <w:t xml:space="preserve"> </w:t>
      </w:r>
      <w:r>
        <w:t xml:space="preserve">Term loan matures August 31, 2026 (shortly after a Q4 2025 close); total debt $17.3M (CIM) vs. ~$19.1M (exhibits) — reconcile.</w:t>
      </w:r>
      <w:r>
        <w:t xml:space="preserve"> </w:t>
      </w:r>
      <w:r>
        <w:rPr>
          <w:b/>
          <w:bCs/>
        </w:rPr>
        <w:t xml:space="preserve">Action: obtain loan agreements, covenants, payoff statements; confirm refinancing path.</w:t>
      </w:r>
    </w:p>
    <w:p>
      <w:pPr>
        <w:pStyle w:val="BodyText"/>
      </w:pPr>
      <w:r>
        <w:rPr>
          <w:b/>
          <w:bCs/>
        </w:rPr>
        <w:t xml:space="preserve">12. Emergency-response variability.</w:t>
      </w:r>
      <w:r>
        <w:t xml:space="preserve"> </w:t>
      </w:r>
      <w:r>
        <w:t xml:space="preserve">12.9% of revenue is event-driven; ER backlog is only $4.4M (retainer/standby). The</w:t>
      </w:r>
      <w:r>
        <w:t xml:space="preserve"> </w:t>
      </w:r>
      <w:r>
        <w:t xml:space="preserve">“</w:t>
      </w:r>
      <w:r>
        <w:t xml:space="preserve">recurring revenue</w:t>
      </w:r>
      <w:r>
        <w:t xml:space="preserve">”</w:t>
      </w:r>
      <w:r>
        <w:t xml:space="preserve"> </w:t>
      </w:r>
      <w:r>
        <w:t xml:space="preserve">narrative is weakest here.</w:t>
      </w:r>
      <w:r>
        <w:t xml:space="preserve"> </w:t>
      </w:r>
      <w:r>
        <w:rPr>
          <w:b/>
          <w:bCs/>
        </w:rPr>
        <w:t xml:space="preserve">Action: stress-test ER revenue under downside scenarios; understand retainer vs. call-out economics.</w:t>
      </w:r>
    </w:p>
    <w:p>
      <w:pPr>
        <w:pStyle w:val="BodyText"/>
      </w:pPr>
      <w:r>
        <w:rPr>
          <w:b/>
          <w:bCs/>
        </w:rPr>
        <w:t xml:space="preserve">13. Geographic and cyclical concentration.</w:t>
      </w:r>
      <w:r>
        <w:t xml:space="preserve"> </w:t>
      </w:r>
      <w:r>
        <w:t xml:space="preserve">Oregon alone is 54.5% of revenue; OR+WA = 82.3%. Oil &amp; gas/refining is 25.7% of revenue (cyclical, turnaround-driven); manufacturing 16.7%; forest products/metals exposed to cyclicality. PNR and Willamette Steel are both Portland-area.</w:t>
      </w:r>
      <w:r>
        <w:t xml:space="preserve"> </w:t>
      </w:r>
      <w:r>
        <w:rPr>
          <w:b/>
          <w:bCs/>
        </w:rPr>
        <w:t xml:space="preserve">Action: downside stress test on refining/manufacturing volumes; single-region risk assessment.</w:t>
      </w:r>
    </w:p>
    <w:p>
      <w:pPr>
        <w:pStyle w:val="BodyText"/>
      </w:pPr>
      <w:r>
        <w:rPr>
          <w:b/>
          <w:bCs/>
        </w:rPr>
        <w:t xml:space="preserve">14. Fund mandate / sizing.</w:t>
      </w:r>
      <w:r>
        <w:t xml:space="preserve"> </w:t>
      </w:r>
      <w:r>
        <w:t xml:space="preserve">CES’s EV (~$130M–$150M on our numbers; $137M–$171M sell-side) is at/above the $30M–$100M platform EV target cited for Fund III. An ~$95M equity check is ~22% of the $425M fund.</w:t>
      </w:r>
      <w:r>
        <w:t xml:space="preserve"> </w:t>
      </w:r>
      <w:r>
        <w:rPr>
          <w:b/>
          <w:bCs/>
        </w:rPr>
        <w:t xml:space="preserve">Action: confirm with the IC whether the $30M–$100M figure refers to equity check vs. EV; obtain sizing authority, leverage approval, and any co-invest/LPAC requirements before the IOI.</w:t>
      </w:r>
    </w:p>
    <w:p>
      <w:r>
        <w:pict>
          <v:rect style="width:0;height:1.5pt" o:hralign="center" o:hrstd="t" o:hr="t"/>
        </w:pict>
      </w:r>
    </w:p>
    <w:bookmarkEnd w:id="34"/>
    <w:bookmarkStart w:id="40" w:name="valuation-analysis"/>
    <w:p>
      <w:pPr>
        <w:pStyle w:val="Heading2"/>
      </w:pPr>
      <w:r>
        <w:t xml:space="preserve">8. Valuation Analysis</w:t>
      </w:r>
    </w:p>
    <w:bookmarkStart w:id="35" w:name="multiple-framework"/>
    <w:p>
      <w:pPr>
        <w:pStyle w:val="Heading3"/>
      </w:pPr>
      <w:r>
        <w:t xml:space="preserve">8.1 Multiple framework</w:t>
      </w:r>
    </w:p>
    <w:p>
      <w:pPr>
        <w:pStyle w:val="FirstParagraph"/>
      </w:pPr>
      <w:r>
        <w:t xml:space="preserve">Greenleaf cites 8.0x–10.0x Adjusted EBITDA for environmental services comps. That range is reasonable for well-positioned platforms, but the</w:t>
      </w:r>
      <w:r>
        <w:t xml:space="preserve"> </w:t>
      </w:r>
      <w:r>
        <w:rPr>
          <w:i/>
          <w:iCs/>
        </w:rPr>
        <w:t xml:space="preserve">EBITDA base</w:t>
      </w:r>
      <w:r>
        <w:t xml:space="preserve"> </w:t>
      </w:r>
      <w:r>
        <w:t xml:space="preserve">and the</w:t>
      </w:r>
      <w:r>
        <w:t xml:space="preserve"> </w:t>
      </w:r>
      <w:r>
        <w:rPr>
          <w:i/>
          <w:iCs/>
        </w:rPr>
        <w:t xml:space="preserve">risk profile</w:t>
      </w:r>
      <w:r>
        <w:t xml:space="preserve"> </w:t>
      </w:r>
      <w:r>
        <w:t xml:space="preserve">drive the answer. We evaluate three EBITDA bases: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EBITDA basis</w:t>
            </w:r>
          </w:p>
        </w:tc>
        <w:tc>
          <w:tcPr/>
          <w:p>
            <w:pPr>
              <w:pStyle w:val="Compact"/>
              <w:jc w:val="left"/>
            </w:pPr>
            <w:r>
              <w:t xml:space="preserve">FY2024 (LTM)</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10.0x</w:t>
            </w:r>
          </w:p>
        </w:tc>
      </w:tr>
      <w:tr>
        <w:tc>
          <w:tcPr/>
          <w:p>
            <w:pPr>
              <w:pStyle w:val="Compact"/>
              <w:jc w:val="left"/>
            </w:pPr>
            <w:r>
              <w:t xml:space="preserve">Reported EBITDA</w:t>
            </w:r>
          </w:p>
        </w:tc>
        <w:tc>
          <w:tcPr/>
          <w:p>
            <w:pPr>
              <w:pStyle w:val="Compact"/>
              <w:jc w:val="left"/>
            </w:pPr>
            <w:r>
              <w:t xml:space="preserve">$12.1M</w:t>
            </w:r>
          </w:p>
        </w:tc>
        <w:tc>
          <w:tcPr/>
          <w:p>
            <w:pPr>
              <w:pStyle w:val="Compact"/>
              <w:jc w:val="left"/>
            </w:pPr>
            <w:r>
              <w:t xml:space="preserve">$96.8M</w:t>
            </w:r>
          </w:p>
        </w:tc>
        <w:tc>
          <w:tcPr/>
          <w:p>
            <w:pPr>
              <w:pStyle w:val="Compact"/>
              <w:jc w:val="left"/>
            </w:pPr>
            <w:r>
              <w:t xml:space="preserve">$108.9M</w:t>
            </w:r>
          </w:p>
        </w:tc>
        <w:tc>
          <w:tcPr/>
          <w:p>
            <w:pPr>
              <w:pStyle w:val="Compact"/>
              <w:jc w:val="left"/>
            </w:pPr>
            <w:r>
              <w:t xml:space="preserve">$121.0M</w:t>
            </w:r>
          </w:p>
        </w:tc>
      </w:tr>
      <w:tr>
        <w:tc>
          <w:tcPr/>
          <w:p>
            <w:pPr>
              <w:pStyle w:val="Compact"/>
              <w:jc w:val="left"/>
            </w:pPr>
            <w:r>
              <w:rPr>
                <w:b/>
                <w:bCs/>
              </w:rPr>
              <w:t xml:space="preserve">Buy-side normalized EBITDA (our base)</w:t>
            </w:r>
          </w:p>
        </w:tc>
        <w:tc>
          <w:tcPr/>
          <w:p>
            <w:pPr>
              <w:pStyle w:val="Compact"/>
              <w:jc w:val="left"/>
            </w:pPr>
            <w:r>
              <w:rPr>
                <w:b/>
                <w:bCs/>
              </w:rPr>
              <w:t xml:space="preserve">~$15.6M</w:t>
            </w:r>
          </w:p>
        </w:tc>
        <w:tc>
          <w:tcPr/>
          <w:p>
            <w:pPr>
              <w:pStyle w:val="Compact"/>
              <w:jc w:val="left"/>
            </w:pPr>
            <w:r>
              <w:rPr>
                <w:b/>
                <w:bCs/>
              </w:rPr>
              <w:t xml:space="preserve">$124.8M</w:t>
            </w:r>
          </w:p>
        </w:tc>
        <w:tc>
          <w:tcPr/>
          <w:p>
            <w:pPr>
              <w:pStyle w:val="Compact"/>
              <w:jc w:val="left"/>
            </w:pPr>
            <w:r>
              <w:rPr>
                <w:b/>
                <w:bCs/>
              </w:rPr>
              <w:t xml:space="preserve">$140.4M</w:t>
            </w:r>
          </w:p>
        </w:tc>
        <w:tc>
          <w:tcPr/>
          <w:p>
            <w:pPr>
              <w:pStyle w:val="Compact"/>
              <w:jc w:val="left"/>
            </w:pPr>
            <w:r>
              <w:rPr>
                <w:b/>
                <w:bCs/>
              </w:rPr>
              <w:t xml:space="preserve">$156.0M</w:t>
            </w:r>
          </w:p>
        </w:tc>
      </w:tr>
      <w:tr>
        <w:tc>
          <w:tcPr/>
          <w:p>
            <w:pPr>
              <w:pStyle w:val="Compact"/>
              <w:jc w:val="left"/>
            </w:pPr>
            <w:r>
              <w:t xml:space="preserve">Sell-side Adjusted EBITDA</w:t>
            </w:r>
          </w:p>
        </w:tc>
        <w:tc>
          <w:tcPr/>
          <w:p>
            <w:pPr>
              <w:pStyle w:val="Compact"/>
              <w:jc w:val="left"/>
            </w:pPr>
            <w:r>
              <w:t xml:space="preserve">$17.1M</w:t>
            </w:r>
          </w:p>
        </w:tc>
        <w:tc>
          <w:tcPr/>
          <w:p>
            <w:pPr>
              <w:pStyle w:val="Compact"/>
              <w:jc w:val="left"/>
            </w:pPr>
            <w:r>
              <w:t xml:space="preserve">$136.8M</w:t>
            </w:r>
          </w:p>
        </w:tc>
        <w:tc>
          <w:tcPr/>
          <w:p>
            <w:pPr>
              <w:pStyle w:val="Compact"/>
              <w:jc w:val="left"/>
            </w:pPr>
            <w:r>
              <w:t xml:space="preserve">$153.9M</w:t>
            </w:r>
          </w:p>
        </w:tc>
        <w:tc>
          <w:tcPr/>
          <w:p>
            <w:pPr>
              <w:pStyle w:val="Compact"/>
              <w:jc w:val="left"/>
            </w:pPr>
            <w:r>
              <w:t xml:space="preserve">$171.0M</w:t>
            </w:r>
          </w:p>
        </w:tc>
      </w:tr>
    </w:tbl>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EBITDA basis</w:t>
            </w:r>
          </w:p>
        </w:tc>
        <w:tc>
          <w:tcPr/>
          <w:p>
            <w:pPr>
              <w:pStyle w:val="Compact"/>
              <w:jc w:val="left"/>
            </w:pPr>
            <w:r>
              <w:t xml:space="preserve">FY2025E (forward)</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10.0x</w:t>
            </w:r>
          </w:p>
        </w:tc>
      </w:tr>
      <w:tr>
        <w:tc>
          <w:tcPr/>
          <w:p>
            <w:pPr>
              <w:pStyle w:val="Compact"/>
              <w:jc w:val="left"/>
            </w:pPr>
            <w:r>
              <w:t xml:space="preserve">Sell-side FY2025E Adj. EBITDA</w:t>
            </w:r>
          </w:p>
        </w:tc>
        <w:tc>
          <w:tcPr/>
          <w:p>
            <w:pPr>
              <w:pStyle w:val="Compact"/>
              <w:jc w:val="left"/>
            </w:pPr>
            <w:r>
              <w:t xml:space="preserve">$19.7M</w:t>
            </w:r>
          </w:p>
        </w:tc>
        <w:tc>
          <w:tcPr/>
          <w:p>
            <w:pPr>
              <w:pStyle w:val="Compact"/>
              <w:jc w:val="left"/>
            </w:pPr>
            <w:r>
              <w:t xml:space="preserve">$157.6M</w:t>
            </w:r>
          </w:p>
        </w:tc>
        <w:tc>
          <w:tcPr/>
          <w:p>
            <w:pPr>
              <w:pStyle w:val="Compact"/>
              <w:jc w:val="left"/>
            </w:pPr>
            <w:r>
              <w:t xml:space="preserve">$177.3M</w:t>
            </w:r>
          </w:p>
        </w:tc>
        <w:tc>
          <w:tcPr/>
          <w:p>
            <w:pPr>
              <w:pStyle w:val="Compact"/>
              <w:jc w:val="left"/>
            </w:pPr>
            <w:r>
              <w:t xml:space="preserve">$197.0M</w:t>
            </w:r>
          </w:p>
        </w:tc>
      </w:tr>
      <w:tr>
        <w:tc>
          <w:tcPr/>
          <w:p>
            <w:pPr>
              <w:pStyle w:val="Compact"/>
              <w:jc w:val="left"/>
            </w:pPr>
            <w:r>
              <w:t xml:space="preserve">Buy-side FY2025E Adj. EBITDA (est.)¹</w:t>
            </w:r>
          </w:p>
        </w:tc>
        <w:tc>
          <w:tcPr/>
          <w:p>
            <w:pPr>
              <w:pStyle w:val="Compact"/>
              <w:jc w:val="left"/>
            </w:pPr>
            <w:r>
              <w:t xml:space="preserve">~$17.0M–$18.2M</w:t>
            </w:r>
          </w:p>
        </w:tc>
        <w:tc>
          <w:tcPr/>
          <w:p>
            <w:pPr>
              <w:pStyle w:val="Compact"/>
              <w:jc w:val="left"/>
            </w:pPr>
            <w:r>
              <w:t xml:space="preserve">$136M–$146M</w:t>
            </w:r>
          </w:p>
        </w:tc>
        <w:tc>
          <w:tcPr/>
          <w:p>
            <w:pPr>
              <w:pStyle w:val="Compact"/>
              <w:jc w:val="left"/>
            </w:pPr>
            <w:r>
              <w:t xml:space="preserve">$153M–$164M</w:t>
            </w:r>
          </w:p>
        </w:tc>
        <w:tc>
          <w:tcPr/>
          <w:p>
            <w:pPr>
              <w:pStyle w:val="Compact"/>
              <w:jc w:val="left"/>
            </w:pPr>
            <w:r>
              <w:t xml:space="preserve">$170M–$182M</w:t>
            </w:r>
          </w:p>
        </w:tc>
      </w:tr>
    </w:tbl>
    <w:p>
      <w:pPr>
        <w:pStyle w:val="BodyText"/>
      </w:pPr>
      <w:r>
        <w:t xml:space="preserve">¹ Sell-side FY2025E of $19.7M less ~$1.5M of adjustment haircuts, further reduced if PFAS ramps at 30–50% rather than 126% (each ~$5M of PFAS revenue shortfall at ~25% incremental margin removes ~$1.25M of EBITDA, plus operating-leverage loss).</w:t>
      </w:r>
    </w:p>
    <w:bookmarkEnd w:id="35"/>
    <w:bookmarkStart w:id="36" w:name="pfas-sensitivity-fy2025e"/>
    <w:p>
      <w:pPr>
        <w:pStyle w:val="Heading3"/>
      </w:pPr>
      <w:r>
        <w:t xml:space="preserve">8.2 PFAS sensitivity (FY2025E)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PFAS FY2025E scenario</w:t>
            </w:r>
          </w:p>
        </w:tc>
        <w:tc>
          <w:tcPr/>
          <w:p>
            <w:pPr>
              <w:pStyle w:val="Compact"/>
              <w:jc w:val="left"/>
            </w:pPr>
            <w:r>
              <w:t xml:space="preserve">PFAS rev</w:t>
            </w:r>
          </w:p>
        </w:tc>
        <w:tc>
          <w:tcPr/>
          <w:p>
            <w:pPr>
              <w:pStyle w:val="Compact"/>
              <w:jc w:val="left"/>
            </w:pPr>
            <w:r>
              <w:t xml:space="preserve">Total rev (est.)</w:t>
            </w:r>
          </w:p>
        </w:tc>
        <w:tc>
          <w:tcPr/>
          <w:p>
            <w:pPr>
              <w:pStyle w:val="Compact"/>
              <w:jc w:val="left"/>
            </w:pPr>
            <w:r>
              <w:t xml:space="preserve">Buy-side EBITDA (est.)</w:t>
            </w:r>
          </w:p>
        </w:tc>
        <w:tc>
          <w:tcPr/>
          <w:p>
            <w:pPr>
              <w:pStyle w:val="Compact"/>
              <w:jc w:val="left"/>
            </w:pPr>
            <w:r>
              <w:t xml:space="preserve">At 9.0x</w:t>
            </w:r>
          </w:p>
        </w:tc>
      </w:tr>
      <w:tr>
        <w:tc>
          <w:tcPr/>
          <w:p>
            <w:pPr>
              <w:pStyle w:val="Compact"/>
              <w:jc w:val="left"/>
            </w:pPr>
            <w:r>
              <w:t xml:space="preserve">Sell-side plan</w:t>
            </w:r>
          </w:p>
        </w:tc>
        <w:tc>
          <w:tcPr/>
          <w:p>
            <w:pPr>
              <w:pStyle w:val="Compact"/>
              <w:jc w:val="left"/>
            </w:pPr>
            <w:r>
              <w:t xml:space="preserve">$14.0M</w:t>
            </w:r>
          </w:p>
        </w:tc>
        <w:tc>
          <w:tcPr/>
          <w:p>
            <w:pPr>
              <w:pStyle w:val="Compact"/>
              <w:jc w:val="left"/>
            </w:pPr>
            <w:r>
              <w:t xml:space="preserve">$98.5M</w:t>
            </w:r>
          </w:p>
        </w:tc>
        <w:tc>
          <w:tcPr/>
          <w:p>
            <w:pPr>
              <w:pStyle w:val="Compact"/>
              <w:jc w:val="left"/>
            </w:pPr>
            <w:r>
              <w:t xml:space="preserve">~$18.2M</w:t>
            </w:r>
          </w:p>
        </w:tc>
        <w:tc>
          <w:tcPr/>
          <w:p>
            <w:pPr>
              <w:pStyle w:val="Compact"/>
              <w:jc w:val="left"/>
            </w:pPr>
            <w:r>
              <w:t xml:space="preserve">~$164M</w:t>
            </w:r>
          </w:p>
        </w:tc>
      </w:tr>
      <w:tr>
        <w:tc>
          <w:tcPr/>
          <w:p>
            <w:pPr>
              <w:pStyle w:val="Compact"/>
              <w:jc w:val="left"/>
            </w:pPr>
            <w:r>
              <w:t xml:space="preserve">Thornfield realistic (45% growth)</w:t>
            </w:r>
          </w:p>
        </w:tc>
        <w:tc>
          <w:tcPr/>
          <w:p>
            <w:pPr>
              <w:pStyle w:val="Compact"/>
              <w:jc w:val="left"/>
            </w:pPr>
            <w:r>
              <w:t xml:space="preserve">~$9.0M</w:t>
            </w:r>
          </w:p>
        </w:tc>
        <w:tc>
          <w:tcPr/>
          <w:p>
            <w:pPr>
              <w:pStyle w:val="Compact"/>
              <w:jc w:val="left"/>
            </w:pPr>
            <w:r>
              <w:t xml:space="preserve">~$93.5M</w:t>
            </w:r>
          </w:p>
        </w:tc>
        <w:tc>
          <w:tcPr/>
          <w:p>
            <w:pPr>
              <w:pStyle w:val="Compact"/>
              <w:jc w:val="left"/>
            </w:pPr>
            <w:r>
              <w:t xml:space="preserve">~$17.0M</w:t>
            </w:r>
          </w:p>
        </w:tc>
        <w:tc>
          <w:tcPr/>
          <w:p>
            <w:pPr>
              <w:pStyle w:val="Compact"/>
              <w:jc w:val="left"/>
            </w:pPr>
            <w:r>
              <w:t xml:space="preserve">~$153M</w:t>
            </w:r>
          </w:p>
        </w:tc>
      </w:tr>
      <w:tr>
        <w:tc>
          <w:tcPr/>
          <w:p>
            <w:pPr>
              <w:pStyle w:val="Compact"/>
              <w:jc w:val="left"/>
            </w:pPr>
            <w:r>
              <w:t xml:space="preserve">Conservative (30% growth)</w:t>
            </w:r>
          </w:p>
        </w:tc>
        <w:tc>
          <w:tcPr/>
          <w:p>
            <w:pPr>
              <w:pStyle w:val="Compact"/>
              <w:jc w:val="left"/>
            </w:pPr>
            <w:r>
              <w:t xml:space="preserve">~$8.1M</w:t>
            </w:r>
          </w:p>
        </w:tc>
        <w:tc>
          <w:tcPr/>
          <w:p>
            <w:pPr>
              <w:pStyle w:val="Compact"/>
              <w:jc w:val="left"/>
            </w:pPr>
            <w:r>
              <w:t xml:space="preserve">~$92.6M</w:t>
            </w:r>
          </w:p>
        </w:tc>
        <w:tc>
          <w:tcPr/>
          <w:p>
            <w:pPr>
              <w:pStyle w:val="Compact"/>
              <w:jc w:val="left"/>
            </w:pPr>
            <w:r>
              <w:t xml:space="preserve">~$16.7M</w:t>
            </w:r>
          </w:p>
        </w:tc>
        <w:tc>
          <w:tcPr/>
          <w:p>
            <w:pPr>
              <w:pStyle w:val="Compact"/>
              <w:jc w:val="left"/>
            </w:pPr>
            <w:r>
              <w:t xml:space="preserve">~$150M</w:t>
            </w:r>
          </w:p>
        </w:tc>
      </w:tr>
    </w:tbl>
    <w:p>
      <w:pPr>
        <w:pStyle w:val="BodyText"/>
      </w:pPr>
      <w:r>
        <w:t xml:space="preserve">The PFAS assumption alone moves our central EV by ~$10M–$15M. This is precisely why an</w:t>
      </w:r>
      <w:r>
        <w:t xml:space="preserve"> </w:t>
      </w:r>
      <w:r>
        <w:rPr>
          <w:b/>
          <w:bCs/>
        </w:rPr>
        <w:t xml:space="preserve">earnout tied to PFAS revenue milestones</w:t>
      </w:r>
      <w:r>
        <w:t xml:space="preserve"> </w:t>
      </w:r>
      <w:r>
        <w:t xml:space="preserve">is the right structuring tool: it lets us pay for the growth if it materializes without paying for it upfront.</w:t>
      </w:r>
    </w:p>
    <w:bookmarkEnd w:id="36"/>
    <w:bookmarkStart w:id="37" w:name="recommended-ioi-valuation"/>
    <w:p>
      <w:pPr>
        <w:pStyle w:val="Heading3"/>
      </w:pPr>
      <w:r>
        <w:t xml:space="preserve">8.3 Recommended IOI valuation</w:t>
      </w:r>
    </w:p>
    <w:p>
      <w:pPr>
        <w:pStyle w:val="FirstParagraph"/>
      </w:pPr>
      <w:r>
        <w:t xml:space="preserve">Anchoring on</w:t>
      </w:r>
      <w:r>
        <w:t xml:space="preserve"> </w:t>
      </w:r>
      <w:r>
        <w:rPr>
          <w:b/>
          <w:bCs/>
        </w:rPr>
        <w:t xml:space="preserve">buy-side normalized LTM EBITDA of ~$15.6M</w:t>
      </w:r>
      <w:r>
        <w:t xml:space="preserve"> </w:t>
      </w:r>
      <w:r>
        <w:t xml:space="preserve">at</w:t>
      </w:r>
      <w:r>
        <w:t xml:space="preserve"> </w:t>
      </w:r>
      <w:r>
        <w:rPr>
          <w:b/>
          <w:bCs/>
        </w:rPr>
        <w:t xml:space="preserve">8.5x–9.5x</w:t>
      </w:r>
      <w:r>
        <w:t xml:space="preserve"> </w:t>
      </w:r>
      <w:r>
        <w:t xml:space="preserve">(reflecting the genuine platform strengths but discounting for concentration, key-person, capex, and PFAS execution risk):</w:t>
      </w:r>
    </w:p>
    <w:p>
      <w:pPr>
        <w:pStyle w:val="BlockText"/>
      </w:pPr>
      <w:r>
        <w:rPr>
          <w:b/>
          <w:bCs/>
        </w:rPr>
        <w:t xml:space="preserve">Recommended IOI enterprise-value range: ~$130M–$150M</w:t>
      </w:r>
      <w:r>
        <w:t xml:space="preserve"> </w:t>
      </w:r>
      <w:r>
        <w:t xml:space="preserve">(midpoint ~$140M), cash-free / debt-free, normalized working-capital peg, trailing (FY2024) buy-side adjusted EBITDA basis, with an earnout tied to PFAS revenue and/or PNR renewal.</w:t>
      </w:r>
    </w:p>
    <w:p>
      <w:pPr>
        <w:pStyle w:val="FirstParagraph"/>
      </w:pPr>
      <w:r>
        <w:t xml:space="preserve">This implies roughly</w:t>
      </w:r>
      <w:r>
        <w:t xml:space="preserve"> </w:t>
      </w:r>
      <w:r>
        <w:rPr>
          <w:b/>
          <w:bCs/>
        </w:rPr>
        <w:t xml:space="preserve">7.6x–8.8x sell-side LTM Adjusted EBITDA</w:t>
      </w:r>
      <w:r>
        <w:t xml:space="preserve"> </w:t>
      </w:r>
      <w:r>
        <w:t xml:space="preserve">($17.1M) and</w:t>
      </w:r>
      <w:r>
        <w:t xml:space="preserve"> </w:t>
      </w:r>
      <w:r>
        <w:rPr>
          <w:b/>
          <w:bCs/>
        </w:rPr>
        <w:t xml:space="preserve">~7.2x–8.3x sell-side FY2025E</w:t>
      </w:r>
      <w:r>
        <w:t xml:space="preserve"> </w:t>
      </w:r>
      <w:r>
        <w:t xml:space="preserve">($19.7M) — i.e., below the sell-side’s 8.0x–10.0x framing, with the gap explained by QoE haircuts and risk. We should be explicit in the IOI about the EBITDA basis and the adjustments we are not accepting in full.</w:t>
      </w:r>
    </w:p>
    <w:bookmarkEnd w:id="37"/>
    <w:bookmarkStart w:id="38" w:name="X1a166fc9f3908ce1b0d5caff49f1a5a62b00477"/>
    <w:p>
      <w:pPr>
        <w:pStyle w:val="Heading3"/>
      </w:pPr>
      <w:r>
        <w:t xml:space="preserve">8.4 Indicative equity bridge (midpoint EV ~$140M)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w:t>
            </w:r>
          </w:p>
        </w:tc>
      </w:tr>
      <w:tr>
        <w:tc>
          <w:tcPr/>
          <w:p>
            <w:pPr>
              <w:pStyle w:val="Compact"/>
              <w:jc w:val="left"/>
            </w:pPr>
            <w:r>
              <w:t xml:space="preserve">Enterprise value</w:t>
            </w:r>
          </w:p>
        </w:tc>
        <w:tc>
          <w:tcPr/>
          <w:p>
            <w:pPr>
              <w:pStyle w:val="Compact"/>
              <w:jc w:val="left"/>
            </w:pPr>
            <w:r>
              <w:t xml:space="preserve">140.0</w:t>
            </w:r>
          </w:p>
        </w:tc>
      </w:tr>
      <w:tr>
        <w:tc>
          <w:tcPr/>
          <w:p>
            <w:pPr>
              <w:pStyle w:val="Compact"/>
              <w:jc w:val="left"/>
            </w:pPr>
            <w:r>
              <w:t xml:space="preserve">Less: total debt (reconcile $17.3M–$19.1M)</w:t>
            </w:r>
          </w:p>
        </w:tc>
        <w:tc>
          <w:tcPr/>
          <w:p>
            <w:pPr>
              <w:pStyle w:val="Compact"/>
              <w:jc w:val="left"/>
            </w:pPr>
            <w:r>
              <w:t xml:space="preserve">(18.0)</w:t>
            </w:r>
          </w:p>
        </w:tc>
      </w:tr>
      <w:tr>
        <w:tc>
          <w:tcPr/>
          <w:p>
            <w:pPr>
              <w:pStyle w:val="Compact"/>
              <w:jc w:val="left"/>
            </w:pPr>
            <w:r>
              <w:t xml:space="preserve">Plus: cash (reconcile $2.3M–$4.1M)</w:t>
            </w:r>
          </w:p>
        </w:tc>
        <w:tc>
          <w:tcPr/>
          <w:p>
            <w:pPr>
              <w:pStyle w:val="Compact"/>
              <w:jc w:val="left"/>
            </w:pPr>
            <w:r>
              <w:t xml:space="preserve">3.0</w:t>
            </w:r>
          </w:p>
        </w:tc>
      </w:tr>
      <w:tr>
        <w:tc>
          <w:tcPr/>
          <w:p>
            <w:pPr>
              <w:pStyle w:val="Compact"/>
              <w:jc w:val="left"/>
            </w:pPr>
            <w:r>
              <w:t xml:space="preserve">Less: phantom-unit cash settlement at close (TBD)</w:t>
            </w:r>
          </w:p>
        </w:tc>
        <w:tc>
          <w:tcPr/>
          <w:p>
            <w:pPr>
              <w:pStyle w:val="Compact"/>
              <w:jc w:val="left"/>
            </w:pPr>
            <w:r>
              <w:t xml:space="preserve">(TBD)</w:t>
            </w:r>
          </w:p>
        </w:tc>
      </w:tr>
      <w:tr>
        <w:tc>
          <w:tcPr/>
          <w:p>
            <w:pPr>
              <w:pStyle w:val="Compact"/>
              <w:jc w:val="left"/>
            </w:pPr>
            <w:r>
              <w:t xml:space="preserve">Less: working-capital shortfall vs. peg (TBD)</w:t>
            </w:r>
          </w:p>
        </w:tc>
        <w:tc>
          <w:tcPr/>
          <w:p>
            <w:pPr>
              <w:pStyle w:val="Compact"/>
              <w:jc w:val="left"/>
            </w:pPr>
            <w:r>
              <w:t xml:space="preserve">(TBD)</w:t>
            </w:r>
          </w:p>
        </w:tc>
      </w:tr>
      <w:tr>
        <w:tc>
          <w:tcPr/>
          <w:p>
            <w:pPr>
              <w:pStyle w:val="Compact"/>
              <w:jc w:val="left"/>
            </w:pPr>
            <w:r>
              <w:rPr>
                <w:b/>
                <w:bCs/>
              </w:rPr>
              <w:t xml:space="preserve">Indicative equity value</w:t>
            </w:r>
          </w:p>
        </w:tc>
        <w:tc>
          <w:tcPr/>
          <w:p>
            <w:pPr>
              <w:pStyle w:val="Compact"/>
              <w:jc w:val="left"/>
            </w:pPr>
            <w:r>
              <w:rPr>
                <w:b/>
                <w:bCs/>
              </w:rPr>
              <w:t xml:space="preserve">~125.0 (pre-phantom/peg)</w:t>
            </w:r>
          </w:p>
        </w:tc>
      </w:tr>
      <w:tr>
        <w:tc>
          <w:tcPr/>
          <w:p>
            <w:pPr>
              <w:pStyle w:val="Compact"/>
              <w:jc w:val="left"/>
            </w:pPr>
            <w:r>
              <w:t xml:space="preserve">Memo: Oakes 68% share of equity</w:t>
            </w:r>
          </w:p>
        </w:tc>
        <w:tc>
          <w:tcPr/>
          <w:p>
            <w:pPr>
              <w:pStyle w:val="Compact"/>
              <w:jc w:val="left"/>
            </w:pPr>
            <w:r>
              <w:t xml:space="preserve">~85.0</w:t>
            </w:r>
          </w:p>
        </w:tc>
      </w:tr>
    </w:tbl>
    <w:p>
      <w:pPr>
        <w:pStyle w:val="BodyText"/>
      </w:pPr>
      <w:r>
        <w:t xml:space="preserve">The phantom payout and working-capital peg are the two largest unresolved items in the bridge and must be sized before final bid. Real estate, if acquired, is additive to total invested capital but eliminates rent and the related-party issue.</w:t>
      </w:r>
    </w:p>
    <w:bookmarkEnd w:id="38"/>
    <w:bookmarkStart w:id="39" w:name="financing-and-fund-sizing"/>
    <w:p>
      <w:pPr>
        <w:pStyle w:val="Heading3"/>
      </w:pPr>
      <w:r>
        <w:t xml:space="preserve">8.5 Financing and fund sizing</w:t>
      </w:r>
    </w:p>
    <w:p>
      <w:pPr>
        <w:pStyle w:val="FirstParagraph"/>
      </w:pPr>
      <w:r>
        <w:t xml:space="preserve">At EV ~$140M and buy-side EBITDA ~$15.6M, leverage of ~2.5x–3.0x EBITDA (~$39M–$47M of senior debt) implies an</w:t>
      </w:r>
      <w:r>
        <w:t xml:space="preserve"> </w:t>
      </w:r>
      <w:r>
        <w:rPr>
          <w:b/>
          <w:bCs/>
        </w:rPr>
        <w:t xml:space="preserve">equity check of ~$93M–$101M</w:t>
      </w:r>
      <w:r>
        <w:t xml:space="preserve"> </w:t>
      </w:r>
      <w:r>
        <w:t xml:space="preserve">— roughly</w:t>
      </w:r>
      <w:r>
        <w:t xml:space="preserve"> </w:t>
      </w:r>
      <w:r>
        <w:rPr>
          <w:b/>
          <w:bCs/>
        </w:rPr>
        <w:t xml:space="preserve">22–24% of Fund III’s $425M</w:t>
      </w:r>
      <w:r>
        <w:t xml:space="preserve">. This is a large single-platform check and exceeds the $30M–$100M platform EV target cited in the sector memo.</w:t>
      </w:r>
      <w:r>
        <w:t xml:space="preserve"> </w:t>
      </w:r>
      <w:r>
        <w:rPr>
          <w:b/>
          <w:bCs/>
        </w:rPr>
        <w:t xml:space="preserve">IC action required</w:t>
      </w:r>
      <w:r>
        <w:t xml:space="preserve"> </w:t>
      </w:r>
      <w:r>
        <w:t xml:space="preserve">on (i) sizing authority, (ii) leverage approval, and (iii) whether a co-invest or LPAC consent is needed. If the IC caps the equity check, an earnout and/or seller rollover can bridge the gap while reducing upfront cash.</w:t>
      </w:r>
    </w:p>
    <w:p>
      <w:r>
        <w:pict>
          <v:rect style="width:0;height:1.5pt" o:hralign="center" o:hrstd="t" o:hr="t"/>
        </w:pict>
      </w:r>
    </w:p>
    <w:bookmarkEnd w:id="39"/>
    <w:bookmarkEnd w:id="40"/>
    <w:bookmarkStart w:id="41" w:name="Xe885cdec114cf75a1e1f21144d1d324b89d7ada"/>
    <w:p>
      <w:pPr>
        <w:pStyle w:val="Heading2"/>
      </w:pPr>
      <w:r>
        <w:t xml:space="preserve">9. IOI Strategy and Structuring Recommendations</w:t>
      </w:r>
    </w:p>
    <w:p>
      <w:pPr>
        <w:pStyle w:val="FirstParagraph"/>
      </w:pPr>
      <w:r>
        <w:rPr>
          <w:b/>
          <w:bCs/>
        </w:rPr>
        <w:t xml:space="preserve">Value indication.</w:t>
      </w:r>
      <w:r>
        <w:t xml:space="preserve"> </w:t>
      </w:r>
      <w:r>
        <w:t xml:space="preserve">Submit ~$130M–$150M EV on a trailing buy-side adjusted EBITDA basis, explicitly noting the adjustments we accept in part (owner comp, lease, regulatory) and the basis for our normalized EBITDA. This is competitive enough to advance to Phase II while disciplined on QoE.</w:t>
      </w:r>
    </w:p>
    <w:p>
      <w:pPr>
        <w:pStyle w:val="BodyText"/>
      </w:pPr>
      <w:r>
        <w:rPr>
          <w:b/>
          <w:bCs/>
        </w:rPr>
        <w:t xml:space="preserve">Structure.</w:t>
      </w:r>
    </w:p>
    <w:p>
      <w:pPr>
        <w:pStyle w:val="Compact"/>
        <w:numPr>
          <w:ilvl w:val="0"/>
          <w:numId w:val="1005"/>
        </w:numPr>
      </w:pPr>
      <w:r>
        <w:rPr>
          <w:b/>
          <w:bCs/>
        </w:rPr>
        <w:t xml:space="preserve">Stock purchase</w:t>
      </w:r>
      <w:r>
        <w:t xml:space="preserve"> </w:t>
      </w:r>
      <w:r>
        <w:t xml:space="preserve">(per seller’s expected form), cash-free / debt-free, normalized WC peg.</w:t>
      </w:r>
    </w:p>
    <w:p>
      <w:pPr>
        <w:pStyle w:val="Compact"/>
        <w:numPr>
          <w:ilvl w:val="0"/>
          <w:numId w:val="1005"/>
        </w:numPr>
      </w:pPr>
      <w:r>
        <w:rPr>
          <w:b/>
          <w:bCs/>
        </w:rPr>
        <w:t xml:space="preserve">Earnout</w:t>
      </w:r>
      <w:r>
        <w:t xml:space="preserve"> </w:t>
      </w:r>
      <w:r>
        <w:t xml:space="preserve">(~$10M–$20M) tied to (a) PFAS revenue reaching agreed milestones in FY2025–FY2026 and/or (b) PNR contract renewal/retention — bridges the valuation gap and aligns seller to the growth thesis we are paying for.</w:t>
      </w:r>
    </w:p>
    <w:p>
      <w:pPr>
        <w:pStyle w:val="Compact"/>
        <w:numPr>
          <w:ilvl w:val="0"/>
          <w:numId w:val="1005"/>
        </w:numPr>
      </w:pPr>
      <w:r>
        <w:rPr>
          <w:b/>
          <w:bCs/>
        </w:rPr>
        <w:t xml:space="preserve">Seller rollover.</w:t>
      </w:r>
      <w:r>
        <w:t xml:space="preserve"> </w:t>
      </w:r>
      <w:r>
        <w:t xml:space="preserve">Offer Oakes a modest rollover (e.g., 5–10% of equity) to align him through the 18–24 month transition and the PFAS ramp, even though he seeks liquidity.</w:t>
      </w:r>
    </w:p>
    <w:p>
      <w:pPr>
        <w:pStyle w:val="Compact"/>
        <w:numPr>
          <w:ilvl w:val="0"/>
          <w:numId w:val="1005"/>
        </w:numPr>
      </w:pPr>
      <w:r>
        <w:rPr>
          <w:b/>
          <w:bCs/>
        </w:rPr>
        <w:t xml:space="preserve">Real estate.</w:t>
      </w:r>
      <w:r>
        <w:t xml:space="preserve"> </w:t>
      </w:r>
      <w:r>
        <w:t xml:space="preserve">Propose to acquire the HQ at fair market value (appraisal to be obtained) OR a new arm’s-length lease at market; either eliminates the related-party overhang. Price the lease normalization to the specialized-facility comparable.</w:t>
      </w:r>
    </w:p>
    <w:p>
      <w:pPr>
        <w:pStyle w:val="Compact"/>
        <w:numPr>
          <w:ilvl w:val="0"/>
          <w:numId w:val="1005"/>
        </w:numPr>
      </w:pPr>
      <w:r>
        <w:rPr>
          <w:b/>
          <w:bCs/>
        </w:rPr>
        <w:t xml:space="preserve">Phantom units.</w:t>
      </w:r>
      <w:r>
        <w:t xml:space="preserve"> </w:t>
      </w:r>
      <w:r>
        <w:t xml:space="preserve">Treat the cash settlement as a deduction in the equity bridge; confirm treatment under the SPA.</w:t>
      </w:r>
    </w:p>
    <w:p>
      <w:pPr>
        <w:pStyle w:val="Compact"/>
        <w:numPr>
          <w:ilvl w:val="0"/>
          <w:numId w:val="1005"/>
        </w:numPr>
      </w:pPr>
      <w:r>
        <w:rPr>
          <w:b/>
          <w:bCs/>
        </w:rPr>
        <w:t xml:space="preserve">Debt.</w:t>
      </w:r>
      <w:r>
        <w:t xml:space="preserve"> </w:t>
      </w:r>
      <w:r>
        <w:t xml:space="preserve">Refinance the Cascadia facility at close.</w:t>
      </w:r>
    </w:p>
    <w:p>
      <w:pPr>
        <w:pStyle w:val="Compact"/>
        <w:numPr>
          <w:ilvl w:val="0"/>
          <w:numId w:val="1005"/>
        </w:numPr>
      </w:pPr>
      <w:r>
        <w:rPr>
          <w:b/>
          <w:bCs/>
        </w:rPr>
        <w:t xml:space="preserve">Transition/retention.</w:t>
      </w:r>
      <w:r>
        <w:t xml:space="preserve"> </w:t>
      </w:r>
      <w:r>
        <w:t xml:space="preserve">Require a 12–18 month Oakes transition/consulting agreement and retention agreements (cash + equity) for Prewitt, Cahill, Stovall, and Fontaine as closing conditions.</w:t>
      </w:r>
    </w:p>
    <w:p>
      <w:pPr>
        <w:pStyle w:val="FirstParagraph"/>
      </w:pPr>
      <w:r>
        <w:rPr>
          <w:b/>
          <w:bCs/>
        </w:rPr>
        <w:t xml:space="preserve">Diligence conditions to advance.</w:t>
      </w:r>
      <w:r>
        <w:t xml:space="preserve"> </w:t>
      </w:r>
      <w:r>
        <w:t xml:space="preserve">Make Phase II advancement contingent on (i) written confirmation of PNR renewal status, (ii) a contracted-PFAS-backlog breakout, and (iii) a reconciled financial package (CIM ↔ exhibits ↔ audited financials).</w:t>
      </w:r>
    </w:p>
    <w:p>
      <w:r>
        <w:pict>
          <v:rect style="width:0;height:1.5pt" o:hralign="center" o:hrstd="t" o:hr="t"/>
        </w:pict>
      </w:r>
    </w:p>
    <w:bookmarkEnd w:id="41"/>
    <w:bookmarkStart w:id="42" w:name="Xb335b02d8446e7733f23c8dca73dfba5fafcd2d"/>
    <w:p>
      <w:pPr>
        <w:pStyle w:val="Heading2"/>
      </w:pPr>
      <w:r>
        <w:t xml:space="preserve">10. Confirmatory Diligence Request List (Phase II / VDR)</w:t>
      </w:r>
    </w:p>
    <w:p>
      <w:pPr>
        <w:pStyle w:val="FirstParagraph"/>
      </w:pPr>
      <w:r>
        <w:rPr>
          <w:b/>
          <w:bCs/>
        </w:rPr>
        <w:t xml:space="preserve">Financial / QoE</w:t>
      </w:r>
    </w:p>
    <w:p>
      <w:pPr>
        <w:pStyle w:val="Compact"/>
        <w:numPr>
          <w:ilvl w:val="0"/>
          <w:numId w:val="1006"/>
        </w:numPr>
      </w:pPr>
      <w:r>
        <w:t xml:space="preserve">Audited financial statements FY2022–FY2024 and unaudited FY2025 YTD monthly financials; reconciliation of CIM Appendix A to the Financial Exhibits to the audited statements.</w:t>
      </w:r>
    </w:p>
    <w:p>
      <w:pPr>
        <w:pStyle w:val="Compact"/>
        <w:numPr>
          <w:ilvl w:val="0"/>
          <w:numId w:val="1006"/>
        </w:numPr>
      </w:pPr>
      <w:r>
        <w:t xml:space="preserve">Quality-of-earnings analysis: revenue recognition policies, backlog-to-revenue bridge, unbilled receivables, contract assets.</w:t>
      </w:r>
    </w:p>
    <w:p>
      <w:pPr>
        <w:pStyle w:val="Compact"/>
        <w:numPr>
          <w:ilvl w:val="0"/>
          <w:numId w:val="1006"/>
        </w:numPr>
      </w:pPr>
      <w:r>
        <w:t xml:space="preserve">AR aging and a DSO reconciliation explaining the 52-day claim vs. the ~71-day balance-sheet figure.</w:t>
      </w:r>
    </w:p>
    <w:p>
      <w:pPr>
        <w:pStyle w:val="Compact"/>
        <w:numPr>
          <w:ilvl w:val="0"/>
          <w:numId w:val="1006"/>
        </w:numPr>
      </w:pPr>
      <w:r>
        <w:t xml:space="preserve">Owner-compensation detail (salary, bonus, benefits, personal expenses) and a full related-party transaction schedule.</w:t>
      </w:r>
    </w:p>
    <w:p>
      <w:pPr>
        <w:pStyle w:val="Compact"/>
        <w:numPr>
          <w:ilvl w:val="0"/>
          <w:numId w:val="1006"/>
        </w:numPr>
      </w:pPr>
      <w:r>
        <w:t xml:space="preserve">Capex detail with maintenance-vs-growth split; fleet age/condition assessment and replacement schedule.</w:t>
      </w:r>
    </w:p>
    <w:p>
      <w:pPr>
        <w:pStyle w:val="Compact"/>
        <w:numPr>
          <w:ilvl w:val="0"/>
          <w:numId w:val="1006"/>
        </w:numPr>
      </w:pPr>
      <w:r>
        <w:t xml:space="preserve">Debt: loan agreements, covenants, payoff statements, refinancing terms.</w:t>
      </w:r>
    </w:p>
    <w:p>
      <w:pPr>
        <w:pStyle w:val="Compact"/>
        <w:numPr>
          <w:ilvl w:val="0"/>
          <w:numId w:val="1006"/>
        </w:numPr>
      </w:pPr>
      <w:r>
        <w:t xml:space="preserve">Phantom equity plan: unit counts, vesting, payout formula, total cash settlement at close.</w:t>
      </w:r>
    </w:p>
    <w:p>
      <w:pPr>
        <w:pStyle w:val="Compact"/>
        <w:numPr>
          <w:ilvl w:val="0"/>
          <w:numId w:val="1006"/>
        </w:numPr>
      </w:pPr>
      <w:r>
        <w:t xml:space="preserve">Working-capital detail to support a peg; historical NWC by month.</w:t>
      </w:r>
    </w:p>
    <w:p>
      <w:pPr>
        <w:pStyle w:val="FirstParagraph"/>
      </w:pPr>
      <w:r>
        <w:rPr>
          <w:b/>
          <w:bCs/>
        </w:rPr>
        <w:t xml:space="preserve">Commercial</w:t>
      </w:r>
    </w:p>
    <w:p>
      <w:pPr>
        <w:pStyle w:val="Compact"/>
        <w:numPr>
          <w:ilvl w:val="0"/>
          <w:numId w:val="1007"/>
        </w:numPr>
      </w:pPr>
      <w:r>
        <w:t xml:space="preserve">All top-10 customer contracts/MSAs, renewal status (especially PNR), change-of-control and termination clauses, pricing.</w:t>
      </w:r>
    </w:p>
    <w:p>
      <w:pPr>
        <w:pStyle w:val="Compact"/>
        <w:numPr>
          <w:ilvl w:val="0"/>
          <w:numId w:val="1007"/>
        </w:numPr>
      </w:pPr>
      <w:r>
        <w:t xml:space="preserve">Backlog detail by project (signed vs. awarded vs. pipeline), by segment, with conversion timing; PFAS backlog breakout (signed vs. pipeline).</w:t>
      </w:r>
    </w:p>
    <w:p>
      <w:pPr>
        <w:pStyle w:val="Compact"/>
        <w:numPr>
          <w:ilvl w:val="0"/>
          <w:numId w:val="1007"/>
        </w:numPr>
      </w:pPr>
      <w:r>
        <w:t xml:space="preserve">PFAS pipeline: proposals, historical win rate, capacity assumptions (PEs, technicians, equipment), competitive landscape, regulatory-timing assumptions.</w:t>
      </w:r>
    </w:p>
    <w:p>
      <w:pPr>
        <w:pStyle w:val="Compact"/>
        <w:numPr>
          <w:ilvl w:val="0"/>
          <w:numId w:val="1007"/>
        </w:numPr>
      </w:pPr>
      <w:r>
        <w:t xml:space="preserve">Customer concentration trends and retention data; the reconciled top-customer list (resolve CIM vs. Customer Report naming differences).</w:t>
      </w:r>
    </w:p>
    <w:p>
      <w:pPr>
        <w:pStyle w:val="FirstParagraph"/>
      </w:pPr>
      <w:r>
        <w:rPr>
          <w:b/>
          <w:bCs/>
        </w:rPr>
        <w:t xml:space="preserve">Regulatory / Legal / Environmental</w:t>
      </w:r>
    </w:p>
    <w:p>
      <w:pPr>
        <w:pStyle w:val="Compact"/>
        <w:numPr>
          <w:ilvl w:val="0"/>
          <w:numId w:val="1008"/>
        </w:numPr>
      </w:pPr>
      <w:r>
        <w:t xml:space="preserve">10-year regulatory enforcement history; the August 2024 DEQ consent decree and any ongoing obligations/monitoring; compliance program and controls.</w:t>
      </w:r>
    </w:p>
    <w:p>
      <w:pPr>
        <w:pStyle w:val="Compact"/>
        <w:numPr>
          <w:ilvl w:val="0"/>
          <w:numId w:val="1008"/>
        </w:numPr>
      </w:pPr>
      <w:r>
        <w:t xml:space="preserve">All permits/licenses (status, renewal dates, conditions); EPA/DEQ correspondence.</w:t>
      </w:r>
    </w:p>
    <w:p>
      <w:pPr>
        <w:pStyle w:val="Compact"/>
        <w:numPr>
          <w:ilvl w:val="0"/>
          <w:numId w:val="1008"/>
        </w:numPr>
      </w:pPr>
      <w:r>
        <w:t xml:space="preserve">Litigation, claims, and environmental liability schedule; insurance policies (limits, coverage, claims history, ER/environmental liability).</w:t>
      </w:r>
    </w:p>
    <w:p>
      <w:pPr>
        <w:pStyle w:val="Compact"/>
        <w:numPr>
          <w:ilvl w:val="0"/>
          <w:numId w:val="1008"/>
        </w:numPr>
      </w:pPr>
      <w:r>
        <w:t xml:space="preserve">Corporate records, capitalization table, phantom-plan documents.</w:t>
      </w:r>
    </w:p>
    <w:p>
      <w:pPr>
        <w:pStyle w:val="FirstParagraph"/>
      </w:pPr>
      <w:r>
        <w:rPr>
          <w:b/>
          <w:bCs/>
        </w:rPr>
        <w:t xml:space="preserve">Operational / HR</w:t>
      </w:r>
    </w:p>
    <w:p>
      <w:pPr>
        <w:pStyle w:val="Compact"/>
        <w:numPr>
          <w:ilvl w:val="0"/>
          <w:numId w:val="1009"/>
        </w:numPr>
      </w:pPr>
      <w:r>
        <w:t xml:space="preserve">Management biographies, employment agreements, and retention; CEO succession plan; PE licensing status and hiring plan.</w:t>
      </w:r>
    </w:p>
    <w:p>
      <w:pPr>
        <w:pStyle w:val="Compact"/>
        <w:numPr>
          <w:ilvl w:val="0"/>
          <w:numId w:val="1009"/>
        </w:numPr>
      </w:pPr>
      <w:r>
        <w:t xml:space="preserve">Employee headcount, turnover, union status, benefits, key-person dependencies; HAZWOPER/training records.</w:t>
      </w:r>
    </w:p>
    <w:p>
      <w:pPr>
        <w:pStyle w:val="Compact"/>
        <w:numPr>
          <w:ilvl w:val="0"/>
          <w:numId w:val="1009"/>
        </w:numPr>
      </w:pPr>
      <w:r>
        <w:t xml:space="preserve">Fleet and equipment register (units, age, condition, replacement value, maintenance program).</w:t>
      </w:r>
    </w:p>
    <w:p>
      <w:pPr>
        <w:pStyle w:val="Compact"/>
        <w:numPr>
          <w:ilvl w:val="0"/>
          <w:numId w:val="1009"/>
        </w:numPr>
      </w:pPr>
      <w:r>
        <w:t xml:space="preserve">Real estate: HQ appraisal, Phase I/II environmental assessment, lease, and Oakes’s expectations on sale vs. lease.</w:t>
      </w:r>
    </w:p>
    <w:p>
      <w:r>
        <w:pict>
          <v:rect style="width:0;height:1.5pt" o:hralign="center" o:hrstd="t" o:hr="t"/>
        </w:pict>
      </w:r>
    </w:p>
    <w:bookmarkEnd w:id="42"/>
    <w:bookmarkStart w:id="43" w:name="next-steps-and-timeline"/>
    <w:p>
      <w:pPr>
        <w:pStyle w:val="Heading2"/>
      </w:pPr>
      <w:r>
        <w:t xml:space="preserve">11.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Jun 25–27</w:t>
            </w:r>
          </w:p>
        </w:tc>
        <w:tc>
          <w:tcPr/>
          <w:p>
            <w:pPr>
              <w:pStyle w:val="Compact"/>
              <w:jc w:val="left"/>
            </w:pPr>
            <w:r>
              <w:t xml:space="preserve">IC sizing/mandate check (EV vs. $30–$100M target; equity check ~22% of fund; leverage/co-invest)</w:t>
            </w:r>
          </w:p>
        </w:tc>
        <w:tc>
          <w:tcPr/>
          <w:p>
            <w:pPr>
              <w:pStyle w:val="Compact"/>
              <w:jc w:val="left"/>
            </w:pPr>
            <w:r>
              <w:t xml:space="preserve">Yuen / Holbrook</w:t>
            </w:r>
          </w:p>
        </w:tc>
      </w:tr>
      <w:tr>
        <w:tc>
          <w:tcPr/>
          <w:p>
            <w:pPr>
              <w:pStyle w:val="Compact"/>
              <w:jc w:val="left"/>
            </w:pPr>
            <w:r>
              <w:t xml:space="preserve">Jun 27–30</w:t>
            </w:r>
          </w:p>
        </w:tc>
        <w:tc>
          <w:tcPr/>
          <w:p>
            <w:pPr>
              <w:pStyle w:val="Compact"/>
              <w:jc w:val="left"/>
            </w:pPr>
            <w:r>
              <w:t xml:space="preserve">Finalize IOI valuation range and structure; draft IOI letter</w:t>
            </w:r>
          </w:p>
        </w:tc>
        <w:tc>
          <w:tcPr/>
          <w:p>
            <w:pPr>
              <w:pStyle w:val="Compact"/>
              <w:jc w:val="left"/>
            </w:pPr>
            <w:r>
              <w:t xml:space="preserve">Koh / Lindgren</w:t>
            </w:r>
          </w:p>
        </w:tc>
      </w:tr>
      <w:tr>
        <w:tc>
          <w:tcPr/>
          <w:p>
            <w:pPr>
              <w:pStyle w:val="Compact"/>
              <w:jc w:val="left"/>
            </w:pPr>
            <w:r>
              <w:t xml:space="preserve">Jun 30</w:t>
            </w:r>
          </w:p>
        </w:tc>
        <w:tc>
          <w:tcPr/>
          <w:p>
            <w:pPr>
              <w:pStyle w:val="Compact"/>
              <w:jc w:val="left"/>
            </w:pPr>
            <w:r>
              <w:t xml:space="preserve">Engage QoE provider and confirm buyer’s counsel (Calloway, Barrett &amp; Sims LLP) on retainer</w:t>
            </w:r>
          </w:p>
        </w:tc>
        <w:tc>
          <w:tcPr/>
          <w:p>
            <w:pPr>
              <w:pStyle w:val="Compact"/>
              <w:jc w:val="left"/>
            </w:pPr>
            <w:r>
              <w:t xml:space="preserve">Yuen</w:t>
            </w:r>
          </w:p>
        </w:tc>
      </w:tr>
      <w:tr>
        <w:tc>
          <w:tcPr/>
          <w:p>
            <w:pPr>
              <w:pStyle w:val="Compact"/>
              <w:jc w:val="left"/>
            </w:pPr>
            <w:r>
              <w:t xml:space="preserve">Jul 1–10</w:t>
            </w:r>
          </w:p>
        </w:tc>
        <w:tc>
          <w:tcPr/>
          <w:p>
            <w:pPr>
              <w:pStyle w:val="Compact"/>
              <w:jc w:val="left"/>
            </w:pPr>
            <w:r>
              <w:t xml:space="preserve">Submit written diligence questions to Greenleaf (PNR renewal; PFAS backlog; financial reconciliation)</w:t>
            </w:r>
          </w:p>
        </w:tc>
        <w:tc>
          <w:tcPr/>
          <w:p>
            <w:pPr>
              <w:pStyle w:val="Compact"/>
              <w:jc w:val="left"/>
            </w:pPr>
            <w:r>
              <w:t xml:space="preserve">Koh</w:t>
            </w:r>
          </w:p>
        </w:tc>
      </w:tr>
      <w:tr>
        <w:tc>
          <w:tcPr/>
          <w:p>
            <w:pPr>
              <w:pStyle w:val="Compact"/>
              <w:jc w:val="left"/>
            </w:pPr>
            <w:r>
              <w:rPr>
                <w:b/>
                <w:bCs/>
              </w:rPr>
              <w:t xml:space="preserve">Jul 14</w:t>
            </w:r>
          </w:p>
        </w:tc>
        <w:tc>
          <w:tcPr/>
          <w:p>
            <w:pPr>
              <w:pStyle w:val="Compact"/>
              <w:jc w:val="left"/>
            </w:pPr>
            <w:r>
              <w:rPr>
                <w:b/>
                <w:bCs/>
              </w:rPr>
              <w:t xml:space="preserve">Submit non-binding IOI ($130M–$150M EV, with earnout/structure)</w:t>
            </w:r>
          </w:p>
        </w:tc>
        <w:tc>
          <w:tcPr/>
          <w:p>
            <w:pPr>
              <w:pStyle w:val="Compact"/>
              <w:jc w:val="left"/>
            </w:pPr>
            <w:r>
              <w:t xml:space="preserve">Yuen</w:t>
            </w:r>
          </w:p>
        </w:tc>
      </w:tr>
      <w:tr>
        <w:tc>
          <w:tcPr/>
          <w:p>
            <w:pPr>
              <w:pStyle w:val="Compact"/>
              <w:jc w:val="left"/>
            </w:pPr>
            <w:r>
              <w:t xml:space="preserve">Aug 2025 (if selected)</w:t>
            </w:r>
          </w:p>
        </w:tc>
        <w:tc>
          <w:tcPr/>
          <w:p>
            <w:pPr>
              <w:pStyle w:val="Compact"/>
              <w:jc w:val="left"/>
            </w:pPr>
            <w:r>
              <w:t xml:space="preserve">Management presentation (Portland); VDR access; launch QoE, legal, environmental, commercial diligence</w:t>
            </w:r>
          </w:p>
        </w:tc>
        <w:tc>
          <w:tcPr/>
          <w:p>
            <w:pPr>
              <w:pStyle w:val="Compact"/>
              <w:jc w:val="left"/>
            </w:pPr>
            <w:r>
              <w:t xml:space="preserve">Deal team</w:t>
            </w:r>
          </w:p>
        </w:tc>
      </w:tr>
      <w:tr>
        <w:tc>
          <w:tcPr/>
          <w:p>
            <w:pPr>
              <w:pStyle w:val="Compact"/>
              <w:jc w:val="left"/>
            </w:pPr>
            <w:r>
              <w:t xml:space="preserve">Sep–Oct 2025</w:t>
            </w:r>
          </w:p>
        </w:tc>
        <w:tc>
          <w:tcPr/>
          <w:p>
            <w:pPr>
              <w:pStyle w:val="Compact"/>
              <w:jc w:val="left"/>
            </w:pPr>
            <w:r>
              <w:t xml:space="preserve">Final bid; SPA markup; financing commitment</w:t>
            </w:r>
          </w:p>
        </w:tc>
        <w:tc>
          <w:tcPr/>
          <w:p>
            <w:pPr>
              <w:pStyle w:val="Compact"/>
              <w:jc w:val="left"/>
            </w:pPr>
            <w:r>
              <w:t xml:space="preserve">Deal team</w:t>
            </w:r>
          </w:p>
        </w:tc>
      </w:tr>
    </w:tbl>
    <w:p>
      <w:r>
        <w:pict>
          <v:rect style="width:0;height:1.5pt" o:hralign="center" o:hrstd="t" o:hr="t"/>
        </w:pict>
      </w:r>
    </w:p>
    <w:bookmarkEnd w:id="43"/>
    <w:bookmarkStart w:id="44" w:name="X8b53808ffd4db81b01514c98f61524dbcb65571"/>
    <w:p>
      <w:pPr>
        <w:pStyle w:val="Heading2"/>
      </w:pPr>
      <w:r>
        <w:t xml:space="preserve">Appendix A: CIM vs. Financial Exhibits — Reconciliation Summary (FY2024)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CIM</w:t>
            </w:r>
          </w:p>
        </w:tc>
        <w:tc>
          <w:tcPr/>
          <w:p>
            <w:pPr>
              <w:pStyle w:val="Compact"/>
              <w:jc w:val="left"/>
            </w:pPr>
            <w:r>
              <w:t xml:space="preserve">Exhibits</w:t>
            </w:r>
          </w:p>
        </w:tc>
        <w:tc>
          <w:tcPr/>
          <w:p>
            <w:pPr>
              <w:pStyle w:val="Compact"/>
              <w:jc w:val="left"/>
            </w:pPr>
            <w:r>
              <w:t xml:space="preserve">Variance</w:t>
            </w:r>
          </w:p>
        </w:tc>
        <w:tc>
          <w:tcPr/>
          <w:p>
            <w:pPr>
              <w:pStyle w:val="Compact"/>
              <w:jc w:val="left"/>
            </w:pPr>
            <w:r>
              <w:t xml:space="preserve">Note</w:t>
            </w: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87.3</w:t>
            </w:r>
          </w:p>
        </w:tc>
        <w:tc>
          <w:tcPr/>
          <w:p>
            <w:pPr>
              <w:pStyle w:val="Compact"/>
              <w:jc w:val="left"/>
            </w:pPr>
            <w:r>
              <w:t xml:space="preserve">0.0</w:t>
            </w:r>
          </w:p>
        </w:tc>
        <w:tc>
          <w:tcPr/>
          <w:p>
            <w:pPr>
              <w:pStyle w:val="Compact"/>
              <w:jc w:val="left"/>
            </w:pPr>
            <w:r>
              <w:t xml:space="preserve">Ties</w:t>
            </w:r>
          </w:p>
        </w:tc>
      </w:tr>
      <w:tr>
        <w:tc>
          <w:tcPr/>
          <w:p>
            <w:pPr>
              <w:pStyle w:val="Compact"/>
              <w:jc w:val="left"/>
            </w:pPr>
            <w:r>
              <w:t xml:space="preserve">Cost of revenue</w:t>
            </w:r>
          </w:p>
        </w:tc>
        <w:tc>
          <w:tcPr/>
          <w:p>
            <w:pPr>
              <w:pStyle w:val="Compact"/>
              <w:jc w:val="left"/>
            </w:pPr>
            <w:r>
              <w:t xml:space="preserve">(57.8)</w:t>
            </w:r>
          </w:p>
        </w:tc>
        <w:tc>
          <w:tcPr/>
          <w:p>
            <w:pPr>
              <w:pStyle w:val="Compact"/>
              <w:jc w:val="left"/>
            </w:pPr>
            <w:r>
              <w:t xml:space="preserve">(58.5)</w:t>
            </w:r>
          </w:p>
        </w:tc>
        <w:tc>
          <w:tcPr/>
          <w:p>
            <w:pPr>
              <w:pStyle w:val="Compact"/>
              <w:jc w:val="left"/>
            </w:pPr>
            <w:r>
              <w:t xml:space="preserve">0.7</w:t>
            </w:r>
          </w:p>
        </w:tc>
        <w:tc>
          <w:tcPr/>
          <w:p>
            <w:pPr>
              <w:pStyle w:val="Compact"/>
              <w:jc w:val="left"/>
            </w:pPr>
            <w:r>
              <w:t xml:space="preserve">CIM lower COGS</w:t>
            </w:r>
          </w:p>
        </w:tc>
      </w:tr>
      <w:tr>
        <w:tc>
          <w:tcPr/>
          <w:p>
            <w:pPr>
              <w:pStyle w:val="Compact"/>
              <w:jc w:val="left"/>
            </w:pPr>
            <w:r>
              <w:t xml:space="preserve">Gross profit</w:t>
            </w:r>
          </w:p>
        </w:tc>
        <w:tc>
          <w:tcPr/>
          <w:p>
            <w:pPr>
              <w:pStyle w:val="Compact"/>
              <w:jc w:val="left"/>
            </w:pPr>
            <w:r>
              <w:t xml:space="preserve">29.5</w:t>
            </w:r>
          </w:p>
        </w:tc>
        <w:tc>
          <w:tcPr/>
          <w:p>
            <w:pPr>
              <w:pStyle w:val="Compact"/>
              <w:jc w:val="left"/>
            </w:pPr>
            <w:r>
              <w:t xml:space="preserve">28.8</w:t>
            </w:r>
          </w:p>
        </w:tc>
        <w:tc>
          <w:tcPr/>
          <w:p>
            <w:pPr>
              <w:pStyle w:val="Compact"/>
              <w:jc w:val="left"/>
            </w:pPr>
            <w:r>
              <w:t xml:space="preserve">0.7</w:t>
            </w:r>
          </w:p>
        </w:tc>
        <w:tc>
          <w:tcPr/>
          <w:p>
            <w:pPr>
              <w:pStyle w:val="Compact"/>
              <w:jc w:val="left"/>
            </w:pPr>
            <w:r>
              <w:t xml:space="preserve">CIM higher GP/margin</w:t>
            </w:r>
          </w:p>
        </w:tc>
      </w:tr>
      <w:tr>
        <w:tc>
          <w:tcPr/>
          <w:p>
            <w:pPr>
              <w:pStyle w:val="Compact"/>
              <w:jc w:val="left"/>
            </w:pPr>
            <w:r>
              <w:t xml:space="preserve">Operating income (EBIT)</w:t>
            </w:r>
          </w:p>
        </w:tc>
        <w:tc>
          <w:tcPr/>
          <w:p>
            <w:pPr>
              <w:pStyle w:val="Compact"/>
              <w:jc w:val="left"/>
            </w:pPr>
            <w:r>
              <w:t xml:space="preserve">7.8</w:t>
            </w:r>
          </w:p>
        </w:tc>
        <w:tc>
          <w:tcPr/>
          <w:p>
            <w:pPr>
              <w:pStyle w:val="Compact"/>
              <w:jc w:val="left"/>
            </w:pPr>
            <w:r>
              <w:t xml:space="preserve">11.1</w:t>
            </w:r>
          </w:p>
        </w:tc>
        <w:tc>
          <w:tcPr/>
          <w:p>
            <w:pPr>
              <w:pStyle w:val="Compact"/>
              <w:jc w:val="left"/>
            </w:pPr>
            <w:r>
              <w:t xml:space="preserve">3.3</w:t>
            </w:r>
          </w:p>
        </w:tc>
        <w:tc>
          <w:tcPr/>
          <w:p>
            <w:pPr>
              <w:pStyle w:val="Compact"/>
              <w:jc w:val="left"/>
            </w:pPr>
            <w:r>
              <w:t xml:space="preserve">Different basis</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0.0</w:t>
            </w:r>
          </w:p>
        </w:tc>
        <w:tc>
          <w:tcPr/>
          <w:p>
            <w:pPr>
              <w:pStyle w:val="Compact"/>
              <w:jc w:val="left"/>
            </w:pPr>
            <w:r>
              <w:t xml:space="preserve">Ties</w:t>
            </w:r>
          </w:p>
        </w:tc>
      </w:tr>
      <w:tr>
        <w:tc>
          <w:tcPr/>
          <w:p>
            <w:pPr>
              <w:pStyle w:val="Compact"/>
              <w:jc w:val="left"/>
            </w:pPr>
            <w:r>
              <w:t xml:space="preserve">Net income</w:t>
            </w:r>
          </w:p>
        </w:tc>
        <w:tc>
          <w:tcPr/>
          <w:p>
            <w:pPr>
              <w:pStyle w:val="Compact"/>
              <w:jc w:val="left"/>
            </w:pPr>
            <w:r>
              <w:t xml:space="preserve">5.0</w:t>
            </w:r>
          </w:p>
        </w:tc>
        <w:tc>
          <w:tcPr/>
          <w:p>
            <w:pPr>
              <w:pStyle w:val="Compact"/>
              <w:jc w:val="left"/>
            </w:pPr>
            <w:r>
              <w:t xml:space="preserve">6.7</w:t>
            </w:r>
          </w:p>
        </w:tc>
        <w:tc>
          <w:tcPr/>
          <w:p>
            <w:pPr>
              <w:pStyle w:val="Compact"/>
              <w:jc w:val="left"/>
            </w:pPr>
            <w:r>
              <w:t xml:space="preserve">1.7</w:t>
            </w:r>
          </w:p>
        </w:tc>
        <w:tc>
          <w:tcPr/>
          <w:p>
            <w:pPr>
              <w:pStyle w:val="Compact"/>
              <w:jc w:val="left"/>
            </w:pPr>
            <w:r>
              <w:t xml:space="preserve">DEQ treatment + basis</w:t>
            </w:r>
          </w:p>
        </w:tc>
      </w:tr>
      <w:tr>
        <w:tc>
          <w:tcPr/>
          <w:p>
            <w:pPr>
              <w:pStyle w:val="Compact"/>
              <w:jc w:val="left"/>
            </w:pPr>
            <w:r>
              <w:t xml:space="preserve">Cash</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c>
          <w:tcPr/>
          <w:p>
            <w:pPr>
              <w:pStyle w:val="Compact"/>
              <w:jc w:val="left"/>
            </w:pPr>
            <w:r>
              <w:t xml:space="preserve">Material</w:t>
            </w:r>
          </w:p>
        </w:tc>
      </w:tr>
      <w:tr>
        <w:tc>
          <w:tcPr/>
          <w:p>
            <w:pPr>
              <w:pStyle w:val="Compact"/>
              <w:jc w:val="left"/>
            </w:pPr>
            <w:r>
              <w:t xml:space="preserve">AR, net</w:t>
            </w:r>
          </w:p>
        </w:tc>
        <w:tc>
          <w:tcPr/>
          <w:p>
            <w:pPr>
              <w:pStyle w:val="Compact"/>
              <w:jc w:val="left"/>
            </w:pPr>
            <w:r>
              <w:t xml:space="preserve">16.9</w:t>
            </w:r>
          </w:p>
        </w:tc>
        <w:tc>
          <w:tcPr/>
          <w:p>
            <w:pPr>
              <w:pStyle w:val="Compact"/>
              <w:jc w:val="left"/>
            </w:pPr>
            <w:r>
              <w:t xml:space="preserve">16.9</w:t>
            </w:r>
          </w:p>
        </w:tc>
        <w:tc>
          <w:tcPr/>
          <w:p>
            <w:pPr>
              <w:pStyle w:val="Compact"/>
              <w:jc w:val="left"/>
            </w:pPr>
            <w:r>
              <w:t xml:space="preserve">0.0</w:t>
            </w:r>
          </w:p>
        </w:tc>
        <w:tc>
          <w:tcPr/>
          <w:p>
            <w:pPr>
              <w:pStyle w:val="Compact"/>
              <w:jc w:val="left"/>
            </w:pPr>
            <w:r>
              <w:t xml:space="preserve">Ties</w:t>
            </w:r>
          </w:p>
        </w:tc>
      </w:tr>
      <w:tr>
        <w:tc>
          <w:tcPr/>
          <w:p>
            <w:pPr>
              <w:pStyle w:val="Compact"/>
              <w:jc w:val="left"/>
            </w:pPr>
            <w:r>
              <w:t xml:space="preserve">PP&amp;E,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c>
          <w:tcPr/>
          <w:p>
            <w:pPr>
              <w:pStyle w:val="Compact"/>
              <w:jc w:val="left"/>
            </w:pPr>
            <w:r>
              <w:t xml:space="preserve">Material</w:t>
            </w:r>
          </w:p>
        </w:tc>
      </w:tr>
      <w:tr>
        <w:tc>
          <w:tcPr/>
          <w:p>
            <w:pPr>
              <w:pStyle w:val="Compact"/>
              <w:jc w:val="left"/>
            </w:pPr>
            <w:r>
              <w:t xml:space="preserve">Goodwill/intangibles</w:t>
            </w:r>
          </w:p>
        </w:tc>
        <w:tc>
          <w:tcPr/>
          <w:p>
            <w:pPr>
              <w:pStyle w:val="Compact"/>
              <w:jc w:val="left"/>
            </w:pPr>
            <w:r>
              <w:t xml:space="preserve">n/d</w:t>
            </w:r>
          </w:p>
        </w:tc>
        <w:tc>
          <w:tcPr/>
          <w:p>
            <w:pPr>
              <w:pStyle w:val="Compact"/>
              <w:jc w:val="left"/>
            </w:pPr>
            <w:r>
              <w:t xml:space="preserve">2.5</w:t>
            </w:r>
          </w:p>
        </w:tc>
        <w:tc>
          <w:tcPr/>
          <w:p>
            <w:pPr>
              <w:pStyle w:val="Compact"/>
              <w:jc w:val="left"/>
            </w:pPr>
            <w:r>
              <w:t xml:space="preserve">2.5</w:t>
            </w:r>
          </w:p>
        </w:tc>
        <w:tc>
          <w:tcPr/>
          <w:p>
            <w:pPr>
              <w:pStyle w:val="Compact"/>
              <w:jc w:val="left"/>
            </w:pPr>
            <w:r>
              <w:t xml:space="preserve">Unexplained in CIM</w:t>
            </w:r>
          </w:p>
        </w:tc>
      </w:tr>
      <w:tr>
        <w:tc>
          <w:tcPr/>
          <w:p>
            <w:pPr>
              <w:pStyle w:val="Compact"/>
              <w:jc w:val="left"/>
            </w:pPr>
            <w:r>
              <w:t xml:space="preserve">Total assets</w:t>
            </w:r>
          </w:p>
        </w:tc>
        <w:tc>
          <w:tcPr/>
          <w:p>
            <w:pPr>
              <w:pStyle w:val="Compact"/>
              <w:jc w:val="left"/>
            </w:pPr>
            <w:r>
              <w:t xml:space="preserve">46.1</w:t>
            </w:r>
          </w:p>
        </w:tc>
        <w:tc>
          <w:tcPr/>
          <w:p>
            <w:pPr>
              <w:pStyle w:val="Compact"/>
              <w:jc w:val="left"/>
            </w:pPr>
            <w:r>
              <w:t xml:space="preserve">50.0</w:t>
            </w:r>
          </w:p>
        </w:tc>
        <w:tc>
          <w:tcPr/>
          <w:p>
            <w:pPr>
              <w:pStyle w:val="Compact"/>
              <w:jc w:val="left"/>
            </w:pPr>
            <w:r>
              <w:t xml:space="preserve">3.9</w:t>
            </w:r>
          </w:p>
        </w:tc>
        <w:tc>
          <w:tcPr/>
          <w:p>
            <w:pPr>
              <w:pStyle w:val="Compact"/>
              <w:jc w:val="left"/>
            </w:pPr>
            <w:r>
              <w:t xml:space="preserve">Material</w:t>
            </w:r>
          </w:p>
        </w:tc>
      </w:tr>
      <w:tr>
        <w:tc>
          <w:tcPr/>
          <w:p>
            <w:pPr>
              <w:pStyle w:val="Compact"/>
              <w:jc w:val="left"/>
            </w:pPr>
            <w:r>
              <w:t xml:space="preserve">Total current liabilities</w:t>
            </w:r>
          </w:p>
        </w:tc>
        <w:tc>
          <w:tcPr/>
          <w:p>
            <w:pPr>
              <w:pStyle w:val="Compact"/>
              <w:jc w:val="left"/>
            </w:pPr>
            <w:r>
              <w:t xml:space="preserve">12.2</w:t>
            </w:r>
          </w:p>
        </w:tc>
        <w:tc>
          <w:tcPr/>
          <w:p>
            <w:pPr>
              <w:pStyle w:val="Compact"/>
              <w:jc w:val="left"/>
            </w:pPr>
            <w:r>
              <w:t xml:space="preserve">13.3</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Senior term loan</w:t>
            </w:r>
          </w:p>
        </w:tc>
        <w:tc>
          <w:tcPr/>
          <w:p>
            <w:pPr>
              <w:pStyle w:val="Compact"/>
              <w:jc w:val="left"/>
            </w:pPr>
            <w:r>
              <w:t xml:space="preserve">11.9</w:t>
            </w:r>
          </w:p>
        </w:tc>
        <w:tc>
          <w:tcPr/>
          <w:p>
            <w:pPr>
              <w:pStyle w:val="Compact"/>
              <w:jc w:val="left"/>
            </w:pPr>
            <w:r>
              <w:t xml:space="preserve">14.2</w:t>
            </w:r>
          </w:p>
        </w:tc>
        <w:tc>
          <w:tcPr/>
          <w:p>
            <w:pPr>
              <w:pStyle w:val="Compact"/>
              <w:jc w:val="left"/>
            </w:pPr>
            <w:r>
              <w:t xml:space="preserve">2.3</w:t>
            </w:r>
          </w:p>
        </w:tc>
        <w:tc>
          <w:tcPr/>
          <w:p>
            <w:pPr>
              <w:pStyle w:val="Compact"/>
              <w:jc w:val="left"/>
            </w:pPr>
            <w:r>
              <w:t xml:space="preserve">Debt ambiguity</w:t>
            </w:r>
          </w:p>
        </w:tc>
      </w:tr>
      <w:tr>
        <w:tc>
          <w:tcPr/>
          <w:p>
            <w:pPr>
              <w:pStyle w:val="Compact"/>
              <w:jc w:val="left"/>
            </w:pPr>
            <w:r>
              <w:t xml:space="preserve">Total debt (est.)</w:t>
            </w:r>
          </w:p>
        </w:tc>
        <w:tc>
          <w:tcPr/>
          <w:p>
            <w:pPr>
              <w:pStyle w:val="Compact"/>
              <w:jc w:val="left"/>
            </w:pPr>
            <w:r>
              <w:t xml:space="preserve">17.3</w:t>
            </w:r>
          </w:p>
        </w:tc>
        <w:tc>
          <w:tcPr/>
          <w:p>
            <w:pPr>
              <w:pStyle w:val="Compact"/>
              <w:jc w:val="left"/>
            </w:pPr>
            <w:r>
              <w:t xml:space="preserve">~19.1</w:t>
            </w:r>
          </w:p>
        </w:tc>
        <w:tc>
          <w:tcPr/>
          <w:p>
            <w:pPr>
              <w:pStyle w:val="Compact"/>
              <w:jc w:val="left"/>
            </w:pPr>
            <w:r>
              <w:t xml:space="preserve">~1.8</w:t>
            </w:r>
          </w:p>
        </w:tc>
        <w:tc>
          <w:tcPr/>
          <w:p>
            <w:pPr>
              <w:pStyle w:val="Compact"/>
              <w:jc w:val="left"/>
            </w:pPr>
            <w:r>
              <w:t xml:space="preserve">Reconcile</w:t>
            </w:r>
          </w:p>
        </w:tc>
      </w:tr>
      <w:tr>
        <w:tc>
          <w:tcPr/>
          <w:p>
            <w:pPr>
              <w:pStyle w:val="Compact"/>
              <w:jc w:val="left"/>
            </w:pPr>
            <w:r>
              <w:t xml:space="preserve">Total liabilities</w:t>
            </w:r>
          </w:p>
        </w:tc>
        <w:tc>
          <w:tcPr/>
          <w:p>
            <w:pPr>
              <w:pStyle w:val="Compact"/>
              <w:jc w:val="left"/>
            </w:pPr>
            <w:r>
              <w:t xml:space="preserve">29.0</w:t>
            </w:r>
          </w:p>
        </w:tc>
        <w:tc>
          <w:tcPr/>
          <w:p>
            <w:pPr>
              <w:pStyle w:val="Compact"/>
              <w:jc w:val="left"/>
            </w:pPr>
            <w:r>
              <w:t xml:space="preserve">31.2</w:t>
            </w:r>
          </w:p>
        </w:tc>
        <w:tc>
          <w:tcPr/>
          <w:p>
            <w:pPr>
              <w:pStyle w:val="Compact"/>
              <w:jc w:val="left"/>
            </w:pPr>
            <w:r>
              <w:t xml:space="preserve">2.2</w:t>
            </w:r>
          </w:p>
        </w:tc>
        <w:tc>
          <w:tcPr/>
          <w:p>
            <w:pPr>
              <w:pStyle w:val="Compact"/>
              <w:jc w:val="left"/>
            </w:pPr>
            <w:r>
              <w:t xml:space="preserve">—</w:t>
            </w:r>
          </w:p>
        </w:tc>
      </w:tr>
      <w:tr>
        <w:tc>
          <w:tcPr/>
          <w:p>
            <w:pPr>
              <w:pStyle w:val="Compact"/>
              <w:jc w:val="left"/>
            </w:pPr>
            <w:r>
              <w:t xml:space="preserve">Stockholders’ equity</w:t>
            </w:r>
          </w:p>
        </w:tc>
        <w:tc>
          <w:tcPr/>
          <w:p>
            <w:pPr>
              <w:pStyle w:val="Compact"/>
              <w:jc w:val="left"/>
            </w:pPr>
            <w:r>
              <w:t xml:space="preserve">17.1</w:t>
            </w:r>
          </w:p>
        </w:tc>
        <w:tc>
          <w:tcPr/>
          <w:p>
            <w:pPr>
              <w:pStyle w:val="Compact"/>
              <w:jc w:val="left"/>
            </w:pPr>
            <w:r>
              <w:t xml:space="preserve">18.8</w:t>
            </w:r>
          </w:p>
        </w:tc>
        <w:tc>
          <w:tcPr/>
          <w:p>
            <w:pPr>
              <w:pStyle w:val="Compact"/>
              <w:jc w:val="left"/>
            </w:pPr>
            <w:r>
              <w:t xml:space="preserve">1.7</w:t>
            </w:r>
          </w:p>
        </w:tc>
        <w:tc>
          <w:tcPr/>
          <w:p>
            <w:pPr>
              <w:pStyle w:val="Compact"/>
              <w:jc w:val="left"/>
            </w:pPr>
            <w:r>
              <w:t xml:space="preserve">—</w:t>
            </w:r>
          </w:p>
        </w:tc>
      </w:tr>
      <w:tr>
        <w:tc>
          <w:tcPr/>
          <w:p>
            <w:pPr>
              <w:pStyle w:val="Compact"/>
              <w:jc w:val="left"/>
            </w:pPr>
            <w:r>
              <w:t xml:space="preserve">Operating cash flow</w:t>
            </w:r>
          </w:p>
        </w:tc>
        <w:tc>
          <w:tcPr/>
          <w:p>
            <w:pPr>
              <w:pStyle w:val="Compact"/>
              <w:jc w:val="left"/>
            </w:pPr>
            <w:r>
              <w:t xml:space="preserve">9.2</w:t>
            </w:r>
          </w:p>
        </w:tc>
        <w:tc>
          <w:tcPr/>
          <w:p>
            <w:pPr>
              <w:pStyle w:val="Compact"/>
              <w:jc w:val="left"/>
            </w:pPr>
            <w:r>
              <w:t xml:space="preserve">10.0</w:t>
            </w:r>
          </w:p>
        </w:tc>
        <w:tc>
          <w:tcPr/>
          <w:p>
            <w:pPr>
              <w:pStyle w:val="Compact"/>
              <w:jc w:val="left"/>
            </w:pPr>
            <w:r>
              <w:t xml:space="preserve">0.8</w:t>
            </w:r>
          </w:p>
        </w:tc>
        <w:tc>
          <w:tcPr/>
          <w:p>
            <w:pPr>
              <w:pStyle w:val="Compact"/>
              <w:jc w:val="left"/>
            </w:pPr>
            <w:r>
              <w:t xml:space="preserve">—</w:t>
            </w:r>
          </w:p>
        </w:tc>
      </w:tr>
      <w:tr>
        <w:tc>
          <w:tcPr/>
          <w:p>
            <w:pPr>
              <w:pStyle w:val="Compact"/>
              <w:jc w:val="left"/>
            </w:pPr>
            <w:r>
              <w:t xml:space="preserve">Free cash flow</w:t>
            </w:r>
          </w:p>
        </w:tc>
        <w:tc>
          <w:tcPr/>
          <w:p>
            <w:pPr>
              <w:pStyle w:val="Compact"/>
              <w:jc w:val="left"/>
            </w:pPr>
            <w:r>
              <w:t xml:space="preserve">2.0</w:t>
            </w:r>
          </w:p>
        </w:tc>
        <w:tc>
          <w:tcPr/>
          <w:p>
            <w:pPr>
              <w:pStyle w:val="Compact"/>
              <w:jc w:val="left"/>
            </w:pPr>
            <w:r>
              <w:t xml:space="preserve">2.8</w:t>
            </w:r>
          </w:p>
        </w:tc>
        <w:tc>
          <w:tcPr/>
          <w:p>
            <w:pPr>
              <w:pStyle w:val="Compact"/>
              <w:jc w:val="left"/>
            </w:pPr>
            <w:r>
              <w:t xml:space="preserve">0.8</w:t>
            </w:r>
          </w:p>
        </w:tc>
        <w:tc>
          <w:tcPr/>
          <w:p>
            <w:pPr>
              <w:pStyle w:val="Compact"/>
              <w:jc w:val="left"/>
            </w:pPr>
            <w:r>
              <w:t xml:space="preserve">—</w:t>
            </w:r>
          </w:p>
        </w:tc>
      </w:tr>
    </w:tbl>
    <w:p>
      <w:pPr>
        <w:pStyle w:val="BodyText"/>
      </w:pPr>
      <w:r>
        <w:rPr>
          <w:i/>
          <w:iCs/>
        </w:rPr>
        <w:t xml:space="preserve">n/d = not disclosed in CIM.</w:t>
      </w:r>
    </w:p>
    <w:p>
      <w:r>
        <w:pict>
          <v:rect style="width:0;height:1.5pt" o:hralign="center" o:hrstd="t" o:hr="t"/>
        </w:pict>
      </w:r>
    </w:p>
    <w:bookmarkEnd w:id="44"/>
    <w:bookmarkStart w:id="45" w:name="Xc14b00d84fccd30131cd13a3a775dd3c2bc09c5"/>
    <w:p>
      <w:pPr>
        <w:pStyle w:val="Heading2"/>
      </w:pPr>
      <w:r>
        <w:t xml:space="preserve">Appendix B: Buy-Side Normalized EBITDA Bridge (FY2024 LTM)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Sell-side</w:t>
            </w:r>
          </w:p>
        </w:tc>
        <w:tc>
          <w:tcPr/>
          <w:p>
            <w:pPr>
              <w:pStyle w:val="Compact"/>
              <w:jc w:val="left"/>
            </w:pPr>
            <w:r>
              <w:t xml:space="preserve">Buy-side (prelim.)</w:t>
            </w:r>
          </w:p>
        </w:tc>
        <w:tc>
          <w:tcPr/>
          <w:p>
            <w:pPr>
              <w:pStyle w:val="Compact"/>
              <w:jc w:val="left"/>
            </w:pPr>
            <w:r>
              <w:t xml:space="preserve">Haircut</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w:t>
            </w:r>
          </w:p>
        </w:tc>
      </w:tr>
      <w:tr>
        <w:tc>
          <w:tcPr/>
          <w:p>
            <w:pPr>
              <w:pStyle w:val="Compact"/>
              <w:jc w:val="left"/>
            </w:pPr>
            <w:r>
              <w:t xml:space="preserve">(+) Owner comp normalization</w:t>
            </w:r>
          </w:p>
        </w:tc>
        <w:tc>
          <w:tcPr/>
          <w:p>
            <w:pPr>
              <w:pStyle w:val="Compact"/>
              <w:jc w:val="left"/>
            </w:pPr>
            <w:r>
              <w:t xml:space="preserve">1.9</w:t>
            </w:r>
          </w:p>
        </w:tc>
        <w:tc>
          <w:tcPr/>
          <w:p>
            <w:pPr>
              <w:pStyle w:val="Compact"/>
              <w:jc w:val="left"/>
            </w:pPr>
            <w:r>
              <w:t xml:space="preserve">1.55</w:t>
            </w:r>
          </w:p>
        </w:tc>
        <w:tc>
          <w:tcPr/>
          <w:p>
            <w:pPr>
              <w:pStyle w:val="Compact"/>
              <w:jc w:val="left"/>
            </w:pPr>
            <w:r>
              <w:t xml:space="preserve">(0.35)</w:t>
            </w:r>
          </w:p>
        </w:tc>
      </w:tr>
      <w:tr>
        <w:tc>
          <w:tcPr/>
          <w:p>
            <w:pPr>
              <w:pStyle w:val="Compact"/>
              <w:jc w:val="left"/>
            </w:pPr>
            <w:r>
              <w:t xml:space="preserve">(+) Related-party lease normalization</w:t>
            </w:r>
          </w:p>
        </w:tc>
        <w:tc>
          <w:tcPr/>
          <w:p>
            <w:pPr>
              <w:pStyle w:val="Compact"/>
              <w:jc w:val="left"/>
            </w:pPr>
            <w:r>
              <w:t xml:space="preserve">0.8</w:t>
            </w:r>
          </w:p>
        </w:tc>
        <w:tc>
          <w:tcPr/>
          <w:p>
            <w:pPr>
              <w:pStyle w:val="Compact"/>
              <w:jc w:val="left"/>
            </w:pPr>
            <w:r>
              <w:t xml:space="preserve">0.3</w:t>
            </w:r>
          </w:p>
        </w:tc>
        <w:tc>
          <w:tcPr/>
          <w:p>
            <w:pPr>
              <w:pStyle w:val="Compact"/>
              <w:jc w:val="left"/>
            </w:pPr>
            <w:r>
              <w:t xml:space="preserve">(0.50)</w:t>
            </w:r>
          </w:p>
        </w:tc>
      </w:tr>
      <w:tr>
        <w:tc>
          <w:tcPr/>
          <w:p>
            <w:pPr>
              <w:pStyle w:val="Compact"/>
              <w:jc w:val="left"/>
            </w:pPr>
            <w:r>
              <w:t xml:space="preserve">(+) One-time legal/regulatory</w:t>
            </w:r>
          </w:p>
        </w:tc>
        <w:tc>
          <w:tcPr/>
          <w:p>
            <w:pPr>
              <w:pStyle w:val="Compact"/>
              <w:jc w:val="left"/>
            </w:pPr>
            <w:r>
              <w:t xml:space="preserve">1.2</w:t>
            </w:r>
          </w:p>
        </w:tc>
        <w:tc>
          <w:tcPr/>
          <w:p>
            <w:pPr>
              <w:pStyle w:val="Compact"/>
              <w:jc w:val="left"/>
            </w:pPr>
            <w:r>
              <w:t xml:space="preserve">0.9</w:t>
            </w:r>
          </w:p>
        </w:tc>
        <w:tc>
          <w:tcPr/>
          <w:p>
            <w:pPr>
              <w:pStyle w:val="Compact"/>
              <w:jc w:val="left"/>
            </w:pPr>
            <w:r>
              <w:t xml:space="preserve">(0.30)</w:t>
            </w:r>
          </w:p>
        </w:tc>
      </w:tr>
      <w:tr>
        <w:tc>
          <w:tcPr/>
          <w:p>
            <w:pPr>
              <w:pStyle w:val="Compact"/>
              <w:jc w:val="left"/>
            </w:pPr>
            <w:r>
              <w:t xml:space="preserve">(+) Non-recurring equipment relocation</w:t>
            </w:r>
          </w:p>
        </w:tc>
        <w:tc>
          <w:tcPr/>
          <w:p>
            <w:pPr>
              <w:pStyle w:val="Compact"/>
              <w:jc w:val="left"/>
            </w:pPr>
            <w:r>
              <w:t xml:space="preserve">0.4</w:t>
            </w:r>
          </w:p>
        </w:tc>
        <w:tc>
          <w:tcPr/>
          <w:p>
            <w:pPr>
              <w:pStyle w:val="Compact"/>
              <w:jc w:val="left"/>
            </w:pPr>
            <w:r>
              <w:t xml:space="preserve">0.4</w:t>
            </w:r>
          </w:p>
        </w:tc>
        <w:tc>
          <w:tcPr/>
          <w:p>
            <w:pPr>
              <w:pStyle w:val="Compact"/>
              <w:jc w:val="left"/>
            </w:pPr>
            <w:r>
              <w:t xml:space="preserve">—</w:t>
            </w:r>
          </w:p>
        </w:tc>
      </w:tr>
      <w:tr>
        <w:tc>
          <w:tcPr/>
          <w:p>
            <w:pPr>
              <w:pStyle w:val="Compact"/>
              <w:jc w:val="left"/>
            </w:pPr>
            <w:r>
              <w:t xml:space="preserve">(+) Stock-based comp (phantom)</w:t>
            </w:r>
          </w:p>
        </w:tc>
        <w:tc>
          <w:tcPr/>
          <w:p>
            <w:pPr>
              <w:pStyle w:val="Compact"/>
              <w:jc w:val="left"/>
            </w:pPr>
            <w:r>
              <w:t xml:space="preserve">0.3</w:t>
            </w:r>
          </w:p>
        </w:tc>
        <w:tc>
          <w:tcPr/>
          <w:p>
            <w:pPr>
              <w:pStyle w:val="Compact"/>
              <w:jc w:val="left"/>
            </w:pPr>
            <w:r>
              <w:t xml:space="preserve">0.3</w:t>
            </w:r>
          </w:p>
        </w:tc>
        <w:tc>
          <w:tcPr/>
          <w:p>
            <w:pPr>
              <w:pStyle w:val="Compact"/>
              <w:jc w:val="left"/>
            </w:pPr>
            <w:r>
              <w:t xml:space="preserve">—</w:t>
            </w:r>
          </w:p>
        </w:tc>
      </w:tr>
      <w:tr>
        <w:tc>
          <w:tcPr/>
          <w:p>
            <w:pPr>
              <w:pStyle w:val="Compact"/>
              <w:jc w:val="left"/>
            </w:pPr>
            <w:r>
              <w:t xml:space="preserve">(+) One-time IT</w:t>
            </w:r>
          </w:p>
        </w:tc>
        <w:tc>
          <w:tcPr/>
          <w:p>
            <w:pPr>
              <w:pStyle w:val="Compact"/>
              <w:jc w:val="left"/>
            </w:pPr>
            <w:r>
              <w:t xml:space="preserve">0.1</w:t>
            </w:r>
          </w:p>
        </w:tc>
        <w:tc>
          <w:tcPr/>
          <w:p>
            <w:pPr>
              <w:pStyle w:val="Compact"/>
              <w:jc w:val="left"/>
            </w:pPr>
            <w:r>
              <w:t xml:space="preserve">0.1</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jc w:val="left"/>
            </w:pPr>
            <w:r>
              <w:rPr>
                <w:b/>
                <w:bCs/>
              </w:rPr>
              <w:t xml:space="preserve">~15.6</w:t>
            </w:r>
          </w:p>
        </w:tc>
        <w:tc>
          <w:tcPr/>
          <w:p>
            <w:pPr>
              <w:pStyle w:val="Compact"/>
              <w:jc w:val="left"/>
            </w:pPr>
            <w:r>
              <w:rPr>
                <w:b/>
                <w:bCs/>
              </w:rPr>
              <w:t xml:space="preserve">(~1.5)</w:t>
            </w:r>
          </w:p>
        </w:tc>
      </w:tr>
      <w:tr>
        <w:tc>
          <w:tcPr/>
          <w:p>
            <w:pPr>
              <w:pStyle w:val="Compact"/>
              <w:jc w:val="left"/>
            </w:pPr>
            <w:r>
              <w:t xml:space="preserve">Adjusted EBITDA margin</w:t>
            </w:r>
          </w:p>
        </w:tc>
        <w:tc>
          <w:tcPr/>
          <w:p>
            <w:pPr>
              <w:pStyle w:val="Compact"/>
              <w:jc w:val="left"/>
            </w:pPr>
            <w:r>
              <w:t xml:space="preserve">19.6%</w:t>
            </w:r>
          </w:p>
        </w:tc>
        <w:tc>
          <w:tcPr/>
          <w:p>
            <w:pPr>
              <w:pStyle w:val="Compact"/>
              <w:jc w:val="left"/>
            </w:pPr>
            <w:r>
              <w:t xml:space="preserve">~17.9%</w:t>
            </w:r>
          </w:p>
        </w:tc>
        <w:tc>
          <w:tcPr/>
          <w:p>
            <w:pPr>
              <w:pStyle w:val="Compact"/>
              <w:jc w:val="left"/>
            </w:pPr>
            <w:r>
              <w:t xml:space="preserve">—</w:t>
            </w:r>
          </w:p>
        </w:tc>
      </w:tr>
    </w:tbl>
    <w:p>
      <w:pPr>
        <w:pStyle w:val="BodyText"/>
      </w:pPr>
      <w:r>
        <w:t xml:space="preserve">Buy-side range ~$15.0M–$16.0M depending on replacement-CEO ($750K–$1.0M), market-rent ($1.0M–$1.2M), and regulatory run-rate ($200K–$500K) assumptions, and whether the Boise relocation is reclassified to growth capex (would reduce by a further $0.4M).</w:t>
      </w:r>
    </w:p>
    <w:p>
      <w:r>
        <w:pict>
          <v:rect style="width:0;height:1.5pt" o:hralign="center" o:hrstd="t" o:hr="t"/>
        </w:pict>
      </w:r>
    </w:p>
    <w:p>
      <w:pPr>
        <w:pStyle w:val="FirstParagraph"/>
      </w:pPr>
      <w:r>
        <w:rPr>
          <w:i/>
          <w:iCs/>
        </w:rPr>
        <w:t xml:space="preserve">Prepared by David Koh, Associate, Thornfield Capital Partners. This memorandum is confidential, prepared for internal investment evaluation purposes, and constitutes attorney work product. It is based solely on sell-side materials furnished by Greenleaf Advisory Group, which have not been independently verified. No reliance should be placed on these materials outside of a full confirmatory due diligence process. Do not distribute outside the deal team.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2026-06-28T18:19:10Z</dcterms:created>
  <dcterms:modified xsi:type="dcterms:W3CDTF">2026-06-28T18:19:10Z</dcterms:modified>
</cp:coreProperties>
</file>

<file path=docProps/custom.xml><?xml version="1.0" encoding="utf-8"?>
<Properties xmlns="http://schemas.openxmlformats.org/officeDocument/2006/custom-properties" xmlns:vt="http://schemas.openxmlformats.org/officeDocument/2006/docPropsVTypes"/>
</file>