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internal-use-only"/>
    <w:p>
      <w:pPr>
        <w:pStyle w:val="Heading1"/>
      </w:pPr>
      <w:r>
        <w:t xml:space="preserve">CONFIDENTIAL — INTERNAL USE ONLY</w:t>
      </w:r>
    </w:p>
    <w:bookmarkEnd w:id="20"/>
    <w:bookmarkStart w:id="51" w:name="buy-side-cim-analysis-memorandum"/>
    <w:p>
      <w:pPr>
        <w:pStyle w:val="Heading1"/>
      </w:pPr>
      <w:r>
        <w:t xml:space="preserve">Buy-Side CIM Analysis Memorandum</w:t>
      </w:r>
    </w:p>
    <w:bookmarkStart w:id="21" w:name="Xcd1de3a595725357b38b3747ba7e5f73e974710"/>
    <w:p>
      <w:pPr>
        <w:pStyle w:val="Heading2"/>
      </w:pPr>
      <w:r>
        <w:t xml:space="preserve">Project Cascade — Cascade Environmental Solutions, Inc.</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Yuen, Partner (Deal Lead); Diane Holbrook, Managing Partner; Investment Committee</w:t>
            </w:r>
          </w:p>
        </w:tc>
      </w:tr>
      <w:tr>
        <w:tc>
          <w:tcPr/>
          <w:p>
            <w:pPr>
              <w:pStyle w:val="Compact"/>
              <w:jc w:val="left"/>
            </w:pPr>
            <w:r>
              <w:rPr>
                <w:b/>
                <w:bCs/>
              </w:rPr>
              <w:t xml:space="preserve">From:</w:t>
            </w:r>
          </w:p>
        </w:tc>
        <w:tc>
          <w:tcPr/>
          <w:p>
            <w:pPr>
              <w:pStyle w:val="Compact"/>
              <w:jc w:val="left"/>
            </w:pPr>
            <w:r>
              <w:t xml:space="preserve">David Koh, Associate</w:t>
            </w:r>
          </w:p>
        </w:tc>
      </w:tr>
      <w:tr>
        <w:tc>
          <w:tcPr/>
          <w:p>
            <w:pPr>
              <w:pStyle w:val="Compact"/>
              <w:jc w:val="left"/>
            </w:pPr>
            <w:r>
              <w:rPr>
                <w:b/>
                <w:bCs/>
              </w:rPr>
              <w:t xml:space="preserve">CC:</w:t>
            </w:r>
          </w:p>
        </w:tc>
        <w:tc>
          <w:tcPr/>
          <w:p>
            <w:pPr>
              <w:pStyle w:val="Compact"/>
              <w:jc w:val="left"/>
            </w:pPr>
            <w:r>
              <w:t xml:space="preserve">Sarah Lindgren, Vice President</w:t>
            </w:r>
          </w:p>
        </w:tc>
      </w:tr>
      <w:tr>
        <w:tc>
          <w:tcPr/>
          <w:p>
            <w:pPr>
              <w:pStyle w:val="Compact"/>
              <w:jc w:val="left"/>
            </w:pPr>
            <w:r>
              <w:rPr>
                <w:b/>
                <w:bCs/>
              </w:rPr>
              <w:t xml:space="preserve">Date:</w:t>
            </w:r>
          </w:p>
        </w:tc>
        <w:tc>
          <w:tcPr/>
          <w:p>
            <w:pPr>
              <w:pStyle w:val="Compact"/>
              <w:jc w:val="left"/>
            </w:pPr>
            <w:r>
              <w:t xml:space="preserve">June 25, 2025</w:t>
            </w:r>
          </w:p>
        </w:tc>
      </w:tr>
      <w:tr>
        <w:tc>
          <w:tcPr/>
          <w:p>
            <w:pPr>
              <w:pStyle w:val="Compact"/>
              <w:jc w:val="left"/>
            </w:pPr>
            <w:r>
              <w:rPr>
                <w:b/>
                <w:bCs/>
              </w:rPr>
              <w:t xml:space="preserve">Re:</w:t>
            </w:r>
          </w:p>
        </w:tc>
        <w:tc>
          <w:tcPr/>
          <w:p>
            <w:pPr>
              <w:pStyle w:val="Compact"/>
              <w:jc w:val="left"/>
            </w:pPr>
            <w:r>
              <w:t xml:space="preserve">Buy-Side Analysis of 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 Review of Confidential Information Memorandum and Supporting Materials</w:t>
            </w:r>
          </w:p>
        </w:tc>
      </w:tr>
      <w:tr>
        <w:tc>
          <w:tcPr/>
          <w:p>
            <w:pPr>
              <w:pStyle w:val="Compact"/>
              <w:jc w:val="left"/>
            </w:pPr>
            <w:r>
              <w:rPr>
                <w:b/>
                <w:bCs/>
              </w:rPr>
              <w:t xml:space="preserve">Process:</w:t>
            </w:r>
          </w:p>
        </w:tc>
        <w:tc>
          <w:tcPr/>
          <w:p>
            <w:pPr>
              <w:pStyle w:val="Compact"/>
              <w:jc w:val="left"/>
            </w:pPr>
            <w:r>
              <w:t xml:space="preserve">Sale of 100% equity; IOI due July 14, 2025; targeted close Q4 2025</w:t>
            </w:r>
          </w:p>
        </w:tc>
      </w:tr>
      <w:tr>
        <w:tc>
          <w:tcPr/>
          <w:p>
            <w:pPr>
              <w:pStyle w:val="Compact"/>
              <w:jc w:val="left"/>
            </w:pPr>
            <w:r>
              <w:rPr>
                <w:b/>
                <w:bCs/>
              </w:rPr>
              <w:t xml:space="preserve">Seller’s Advisor:</w:t>
            </w:r>
          </w:p>
        </w:tc>
        <w:tc>
          <w:tcPr/>
          <w:p>
            <w:pPr>
              <w:pStyle w:val="Compact"/>
              <w:jc w:val="left"/>
            </w:pPr>
            <w:r>
              <w:t xml:space="preserve">Greenleaf Advisory Group, LLC (Philip Tran, Managing Director)</w:t>
            </w:r>
          </w:p>
        </w:tc>
      </w:tr>
      <w:tr>
        <w:tc>
          <w:tcPr/>
          <w:p>
            <w:pPr>
              <w:pStyle w:val="Compact"/>
              <w:jc w:val="left"/>
            </w:pPr>
            <w:r>
              <w:rPr>
                <w:b/>
                <w:bCs/>
              </w:rPr>
              <w:t xml:space="preserve">Buyer:</w:t>
            </w:r>
          </w:p>
        </w:tc>
        <w:tc>
          <w:tcPr/>
          <w:p>
            <w:pPr>
              <w:pStyle w:val="Compact"/>
              <w:jc w:val="left"/>
            </w:pPr>
            <w:r>
              <w:t xml:space="preserve">Thornfield Capital Partners Fund III, LP</w:t>
            </w:r>
          </w:p>
        </w:tc>
      </w:tr>
    </w:tbl>
    <w:p>
      <w:pPr>
        <w:pStyle w:val="BodyText"/>
      </w:pPr>
      <w:r>
        <w:rPr>
          <w:i/>
          <w:iCs/>
        </w:rPr>
        <w:t xml:space="preserve">Prepared in connection with the Confidential Information Memorandum dated June 9, 2025, the accompanying Financial Exhibits, the Customer Summary and Backlog Report, and the Process Letter, each prepared by Greenleaf Advisory Group, LLC. This memorandum is intended solely for internal use by Thornfield Capital Partners investment professionals and is privileged and confidential. It should not be shared with any external party, including Greenleaf, CES, or its management.</w:t>
      </w:r>
    </w:p>
    <w:p>
      <w:r>
        <w:pict>
          <v:rect style="width:0;height:1.5pt" o:hralign="center" o:hrstd="t" o:hr="t"/>
        </w:pict>
      </w:r>
    </w:p>
    <w:bookmarkEnd w:id="21"/>
    <w:bookmarkStart w:id="22" w:name="executive-summary-and-recommendation"/>
    <w:p>
      <w:pPr>
        <w:pStyle w:val="Heading2"/>
      </w:pPr>
      <w:r>
        <w:t xml:space="preserve">1. Executive Summary and Recommendation</w:t>
      </w:r>
    </w:p>
    <w:p>
      <w:pPr>
        <w:pStyle w:val="FirstParagraph"/>
      </w:pPr>
      <w:r>
        <w:rPr>
          <w:b/>
          <w:bCs/>
        </w:rPr>
        <w:t xml:space="preserve">Recommendation: Proceed to a non-binding Indication of Interest, but at a valuation meaningfully below the seller’s ask and structured to bridge the principal value gaps.</w:t>
      </w:r>
      <w:r>
        <w:t xml:space="preserve"> </w:t>
      </w:r>
      <w:r>
        <w:t xml:space="preserve">CES is a genuinely attractive environmental services platform that fits Fund III’s sector and geographic mandate, and the core (ex-PFAS) business is sound and growing in line with sector norms. However, the CIM and supporting materials contain a pattern of financial presentation issues — including an Adjusted EBITDA figure that does not foot to its own stated components, customer disclosures that conflict across documents, balance-sheet and income-statement figures that do not reconcile between the CIM and the financial exhibits, a days-sales-outstanding metric that does not tie to the balance sheet, and EBITDA adjustments that are aggressive relative to sector benchmarks and Thornfield’s own portfolio experience. These must be resolved through quality-of-earnings (</w:t>
      </w:r>
      <w:r>
        <w:t xml:space="preserve">“</w:t>
      </w:r>
      <w:r>
        <w:t xml:space="preserve">QoE</w:t>
      </w:r>
      <w:r>
        <w:t xml:space="preserve">”</w:t>
      </w:r>
      <w:r>
        <w:t xml:space="preserve">) and confirmatory diligence before any value can be committed with confidence.</w:t>
      </w:r>
    </w:p>
    <w:p>
      <w:pPr>
        <w:pStyle w:val="BodyText"/>
      </w:pPr>
      <w:r>
        <w:rPr>
          <w:b/>
          <w:bCs/>
        </w:rPr>
        <w:t xml:space="preserve">Key conclusions:</w:t>
      </w:r>
    </w:p>
    <w:p>
      <w:pPr>
        <w:pStyle w:val="Compact"/>
        <w:numPr>
          <w:ilvl w:val="0"/>
          <w:numId w:val="1001"/>
        </w:numPr>
      </w:pPr>
      <w:r>
        <w:rPr>
          <w:b/>
          <w:bCs/>
        </w:rPr>
        <w:t xml:space="preserve">The headline Adjusted EBITDA of $17.1M does not reconcile.</w:t>
      </w:r>
      <w:r>
        <w:t xml:space="preserve"> </w:t>
      </w:r>
      <w:r>
        <w:t xml:space="preserve">The six stated adjustments sum to $4.7M; $12.1M reported + $4.7M = $16.8M, not $17.1M — a $0.3M unexplained gap. Notably, the FY2021–FY2023 bridges foot exactly; only FY2024 does not. At an 8.0x–10.0x multiple, $0.3M equates to $2.4M–$3.0M of enterprise value.</w:t>
      </w:r>
    </w:p>
    <w:p>
      <w:pPr>
        <w:pStyle w:val="Compact"/>
        <w:numPr>
          <w:ilvl w:val="0"/>
          <w:numId w:val="1001"/>
        </w:numPr>
      </w:pPr>
      <w:r>
        <w:rPr>
          <w:b/>
          <w:bCs/>
        </w:rPr>
        <w:t xml:space="preserve">A defensible buy-side Adjusted EBITDA is approximately $14.9M–$15.9M</w:t>
      </w:r>
      <w:r>
        <w:t xml:space="preserve"> </w:t>
      </w:r>
      <w:r>
        <w:t xml:space="preserve">(midpoint ~$15.4M), versus the CIM’s $17.1M, after scrutinizing the owner-compensation, related-party lease, and regulatory add-backs against sector benchmarks and Thornfield’s GreenWorks/Allied Waste experience.</w:t>
      </w:r>
    </w:p>
    <w:p>
      <w:pPr>
        <w:pStyle w:val="Compact"/>
        <w:numPr>
          <w:ilvl w:val="0"/>
          <w:numId w:val="1001"/>
        </w:numPr>
      </w:pPr>
      <w:r>
        <w:rPr>
          <w:b/>
          <w:bCs/>
        </w:rPr>
        <w:t xml:space="preserve">The growth story is almost entirely a PFAS story.</w:t>
      </w:r>
      <w:r>
        <w:t xml:space="preserve"> </w:t>
      </w:r>
      <w:r>
        <w:t xml:space="preserve">Ex-PFAS, revenue grows at only ~5.3% CAGR (FY2024–FY2026E) — within the sector norm of 5–10% — while PFAS is asked to grow 125.8% in FY2025E and 57.1% in FY2026E, supplying 64% of incremental revenue. Company-level PFAS growth of 30–50% is far more realistic based on sector data and Thornfield’s vapor-intrusion analog.</w:t>
      </w:r>
    </w:p>
    <w:p>
      <w:pPr>
        <w:pStyle w:val="Compact"/>
        <w:numPr>
          <w:ilvl w:val="0"/>
          <w:numId w:val="1001"/>
        </w:numPr>
      </w:pPr>
      <w:r>
        <w:rPr>
          <w:b/>
          <w:bCs/>
        </w:rPr>
        <w:t xml:space="preserve">Maintenance capex is likely understated by ~$2.5M annually</w:t>
      </w:r>
      <w:r>
        <w:t xml:space="preserve"> </w:t>
      </w:r>
      <w:r>
        <w:t xml:space="preserve">(3.4% of revenue stated vs. a 5–7% sector norm confirmed by two Thornfield portfolio companies). This is the single largest free-cash-flow risk and directly impairs the equity story.</w:t>
      </w:r>
    </w:p>
    <w:p>
      <w:pPr>
        <w:pStyle w:val="Compact"/>
        <w:numPr>
          <w:ilvl w:val="0"/>
          <w:numId w:val="1001"/>
        </w:numPr>
      </w:pPr>
      <w:r>
        <w:rPr>
          <w:b/>
          <w:bCs/>
        </w:rPr>
        <w:t xml:space="preserve">Preliminary IOI valuation guidance: ~$120M–$145M enterprise value</w:t>
      </w:r>
      <w:r>
        <w:t xml:space="preserve"> </w:t>
      </w:r>
      <w:r>
        <w:t xml:space="preserve">(approximately 8.0x–9.0x buy-side adjusted LTM EBITDA), versus the CIM’s implied $136.8M–$171.0M (LTM) / $157.6M–$197.0M (forward). We recommend an earnout tied to PFAS revenue milestones to bridge the projection gap, plus explicit treatment of the headquarters real estate, management retention, and a working-capital peg based on verified (not stated) DSO.</w:t>
      </w:r>
    </w:p>
    <w:p>
      <w:pPr>
        <w:pStyle w:val="FirstParagraph"/>
      </w:pPr>
      <w:r>
        <w:t xml:space="preserve">The remainder of this memorandum details the transaction, the business, the financial analysis (including a full reconciliation of the discrepancies noted above), the risk register, the valuation framework, and the recommended diligence and IOI approach.</w:t>
      </w:r>
    </w:p>
    <w:p>
      <w:r>
        <w:pict>
          <v:rect style="width:0;height:1.5pt" o:hralign="center" o:hrstd="t" o:hr="t"/>
        </w:pict>
      </w:r>
    </w:p>
    <w:bookmarkEnd w:id="22"/>
    <w:bookmarkStart w:id="23" w:name="transaction-overview"/>
    <w:p>
      <w:pPr>
        <w:pStyle w:val="Heading2"/>
      </w:pPr>
      <w:r>
        <w:t xml:space="preserve">2. Transaction Overview</w:t>
      </w:r>
    </w:p>
    <w:p>
      <w:pPr>
        <w:pStyle w:val="FirstParagraph"/>
      </w:pPr>
      <w:r>
        <w:t xml:space="preserve">Greenleaf Advisory Group has been engaged on an exclusive basis by Randall Oakes (founder, CEO, and 68% shareholder) and the other equity holders to sell 100% of CES. The process is a competitive three-phase auction: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Timing</w:t>
            </w:r>
          </w:p>
        </w:tc>
      </w:tr>
      <w:tr>
        <w:tc>
          <w:tcPr/>
          <w:p>
            <w:pPr>
              <w:pStyle w:val="Compact"/>
              <w:jc w:val="left"/>
            </w:pPr>
            <w:r>
              <w:t xml:space="preserve">I</w:t>
            </w:r>
          </w:p>
        </w:tc>
        <w:tc>
          <w:tcPr/>
          <w:p>
            <w:pPr>
              <w:pStyle w:val="Compact"/>
              <w:jc w:val="left"/>
            </w:pPr>
            <w:r>
              <w:t xml:space="preserve">CIM and financial exhibits distributed; non-binding IOIs</w:t>
            </w:r>
          </w:p>
        </w:tc>
        <w:tc>
          <w:tcPr/>
          <w:p>
            <w:pPr>
              <w:pStyle w:val="Compact"/>
              <w:jc w:val="left"/>
            </w:pPr>
            <w:r>
              <w:t xml:space="preserve">Distributed June 9, 2025;</w:t>
            </w:r>
            <w:r>
              <w:t xml:space="preserve"> </w:t>
            </w:r>
            <w:r>
              <w:rPr>
                <w:b/>
                <w:bCs/>
              </w:rPr>
              <w:t xml:space="preserve">IOI due July 14, 2025</w:t>
            </w:r>
          </w:p>
        </w:tc>
      </w:tr>
      <w:tr>
        <w:tc>
          <w:tcPr/>
          <w:p>
            <w:pPr>
              <w:pStyle w:val="Compact"/>
              <w:jc w:val="left"/>
            </w:pPr>
            <w:r>
              <w:t xml:space="preserve">II</w:t>
            </w:r>
          </w:p>
        </w:tc>
        <w:tc>
          <w:tcPr/>
          <w:p>
            <w:pPr>
              <w:pStyle w:val="Compact"/>
              <w:jc w:val="left"/>
            </w:pPr>
            <w:r>
              <w:t xml:space="preserve">Management presentations (Portland HQ); VDR access; confirmatory diligence</w:t>
            </w:r>
          </w:p>
        </w:tc>
        <w:tc>
          <w:tcPr/>
          <w:p>
            <w:pPr>
              <w:pStyle w:val="Compact"/>
              <w:jc w:val="left"/>
            </w:pPr>
            <w:r>
              <w:t xml:space="preserve">August 2025</w:t>
            </w:r>
          </w:p>
        </w:tc>
      </w:tr>
      <w:tr>
        <w:tc>
          <w:tcPr/>
          <w:p>
            <w:pPr>
              <w:pStyle w:val="Compact"/>
              <w:jc w:val="left"/>
            </w:pPr>
            <w:r>
              <w:t xml:space="preserve">III</w:t>
            </w:r>
          </w:p>
        </w:tc>
        <w:tc>
          <w:tcPr/>
          <w:p>
            <w:pPr>
              <w:pStyle w:val="Compact"/>
              <w:jc w:val="left"/>
            </w:pPr>
            <w:r>
              <w:t xml:space="preserve">Final binding bids; draft stock purchase agreement markups; signing</w:t>
            </w:r>
          </w:p>
        </w:tc>
        <w:tc>
          <w:tcPr/>
          <w:p>
            <w:pPr>
              <w:pStyle w:val="Compact"/>
              <w:jc w:val="left"/>
            </w:pPr>
            <w:r>
              <w:t xml:space="preserve">Q4 2025 (targeted)</w:t>
            </w:r>
          </w:p>
        </w:tc>
      </w:tr>
    </w:tbl>
    <w:p>
      <w:pPr>
        <w:pStyle w:val="BodyText"/>
      </w:pPr>
      <w:r>
        <w:rPr>
          <w:b/>
          <w:bCs/>
        </w:rPr>
        <w:t xml:space="preserve">Structure.</w:t>
      </w:r>
      <w:r>
        <w:t xml:space="preserve"> </w:t>
      </w:r>
      <w:r>
        <w:t xml:space="preserve">The seller contemplates a stock purchase of 100% of the equity on a cash-free, debt-free basis with a normalized level of net working capital. Existing indebtedness (Cascadia Commercial Bank senior term loan and revolver) is expected to be refinanced or repaid at closing. The process letter expressly asks bidders to address three structurally sensitive items: (i) the headquarters real estate, which is owned personally by Mr. Oakes and leased to the Company; (ii) any proposed rollover equity or earnout; and (iii) accommodation of Mr. Oakes’s desired 18–24 month transition period. Because CES is a Delaware C-corporation and the deal is structured as a stock purchase,</w:t>
      </w:r>
      <w:r>
        <w:t xml:space="preserve"> </w:t>
      </w:r>
      <w:r>
        <w:rPr>
          <w:b/>
          <w:bCs/>
        </w:rPr>
        <w:t xml:space="preserve">no asset-basis step-up is available absent a §338(h)(10) election</w:t>
      </w:r>
      <w:r>
        <w:t xml:space="preserve"> </w:t>
      </w:r>
      <w:r>
        <w:t xml:space="preserve">— a tax-structure point to evaluate with buyer’s counsel (Calloway, Barrett &amp; Sims LLP) and tax advisors.</w:t>
      </w:r>
    </w:p>
    <w:p>
      <w:pPr>
        <w:pStyle w:val="BodyText"/>
      </w:pPr>
      <w:r>
        <w:rPr>
          <w:b/>
          <w:bCs/>
        </w:rPr>
        <w:t xml:space="preserve">Seller motivation.</w:t>
      </w:r>
      <w:r>
        <w:t xml:space="preserve"> </w:t>
      </w:r>
      <w:r>
        <w:t xml:space="preserve">Mr. Oakes (age 61) seeks a liquidity event and intends to exit day-to-day operations within 18–24 months post-close, remaining available in an advisory capacity. There are no institutional investors; the remaining 32% of equity is held by early investors and key employees. A phantom equity incentive plan for senior managers is expected to be</w:t>
      </w:r>
      <w:r>
        <w:t xml:space="preserve"> </w:t>
      </w:r>
      <w:r>
        <w:rPr>
          <w:b/>
          <w:bCs/>
        </w:rPr>
        <w:t xml:space="preserve">settled in cash at closing</w:t>
      </w:r>
      <w:r>
        <w:t xml:space="preserve"> </w:t>
      </w:r>
      <w:r>
        <w:t xml:space="preserve">(amount not disclosed) — a real cash cost at close and a retention risk once the incentive is monetized.</w:t>
      </w:r>
    </w:p>
    <w:p>
      <w:r>
        <w:pict>
          <v:rect style="width:0;height:1.5pt" o:hralign="center" o:hrstd="t" o:hr="t"/>
        </w:pict>
      </w:r>
    </w:p>
    <w:bookmarkEnd w:id="23"/>
    <w:bookmarkStart w:id="24" w:name="company-overview"/>
    <w:p>
      <w:pPr>
        <w:pStyle w:val="Heading2"/>
      </w:pPr>
      <w:r>
        <w:t xml:space="preserve">3. Company Overview</w:t>
      </w:r>
    </w:p>
    <w:p>
      <w:pPr>
        <w:pStyle w:val="FirstParagraph"/>
      </w:pPr>
      <w:r>
        <w:t xml:space="preserve">CES is a Portland-headquartered environmental services platform founded in 2009, operating across Oregon, Washington, Idaho, and Northern California from three facilities (Portland HQ/yard, Seattle office, Boise depot). The Company holds hazardous waste transporter permits in all four states and an Oregon DEQ Contractor License, employs 412 people, and serves 150+ active customers. FY2024 revenue was $87.3M (12.5% CAGR, FY2021–FY2024).</w:t>
      </w:r>
    </w:p>
    <w:p>
      <w:pPr>
        <w:pStyle w:val="BodyText"/>
      </w:pPr>
      <w:r>
        <w:rPr>
          <w:b/>
          <w:bCs/>
        </w:rPr>
        <w:t xml:space="preserve">Three operating segments (FY2024):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Character</w:t>
            </w:r>
          </w:p>
        </w:tc>
      </w:tr>
      <w:tr>
        <w:tc>
          <w:tcPr/>
          <w:p>
            <w:pPr>
              <w:pStyle w:val="Compact"/>
              <w:jc w:val="left"/>
            </w:pPr>
            <w:r>
              <w:t xml:space="preserve">Environmental Remediation</w:t>
            </w:r>
          </w:p>
        </w:tc>
        <w:tc>
          <w:tcPr/>
          <w:p>
            <w:pPr>
              <w:pStyle w:val="Compact"/>
              <w:jc w:val="left"/>
            </w:pPr>
            <w:r>
              <w:t xml:space="preserve">$48.2M</w:t>
            </w:r>
          </w:p>
        </w:tc>
        <w:tc>
          <w:tcPr/>
          <w:p>
            <w:pPr>
              <w:pStyle w:val="Compact"/>
              <w:jc w:val="left"/>
            </w:pPr>
            <w:r>
              <w:t xml:space="preserve">55.2%</w:t>
            </w:r>
          </w:p>
        </w:tc>
        <w:tc>
          <w:tcPr/>
          <w:p>
            <w:pPr>
              <w:pStyle w:val="Compact"/>
              <w:jc w:val="left"/>
            </w:pPr>
            <w:r>
              <w:t xml:space="preserve">Largest segment; multi-year project lifecycles; PE sign-off required; includes PFAS</w:t>
            </w:r>
          </w:p>
        </w:tc>
      </w:tr>
      <w:tr>
        <w:tc>
          <w:tcPr/>
          <w:p>
            <w:pPr>
              <w:pStyle w:val="Compact"/>
              <w:jc w:val="left"/>
            </w:pPr>
            <w:r>
              <w:t xml:space="preserve">Industrial Cleaning</w:t>
            </w:r>
          </w:p>
        </w:tc>
        <w:tc>
          <w:tcPr/>
          <w:p>
            <w:pPr>
              <w:pStyle w:val="Compact"/>
              <w:jc w:val="left"/>
            </w:pPr>
            <w:r>
              <w:t xml:space="preserve">$27.8M</w:t>
            </w:r>
          </w:p>
        </w:tc>
        <w:tc>
          <w:tcPr/>
          <w:p>
            <w:pPr>
              <w:pStyle w:val="Compact"/>
              <w:jc w:val="left"/>
            </w:pPr>
            <w:r>
              <w:t xml:space="preserve">31.8%</w:t>
            </w:r>
          </w:p>
        </w:tc>
        <w:tc>
          <w:tcPr/>
          <w:p>
            <w:pPr>
              <w:pStyle w:val="Compact"/>
              <w:jc w:val="left"/>
            </w:pPr>
            <w:r>
              <w:t xml:space="preserve">Recurring turnaround/maintenance work under MSAs; capital-intensive fleet</w:t>
            </w:r>
          </w:p>
        </w:tc>
      </w:tr>
      <w:tr>
        <w:tc>
          <w:tcPr/>
          <w:p>
            <w:pPr>
              <w:pStyle w:val="Compact"/>
              <w:jc w:val="left"/>
            </w:pPr>
            <w:r>
              <w:t xml:space="preserve">Emergency Response</w:t>
            </w:r>
          </w:p>
        </w:tc>
        <w:tc>
          <w:tcPr/>
          <w:p>
            <w:pPr>
              <w:pStyle w:val="Compact"/>
              <w:jc w:val="left"/>
            </w:pPr>
            <w:r>
              <w:t xml:space="preserve">$11.3M</w:t>
            </w:r>
          </w:p>
        </w:tc>
        <w:tc>
          <w:tcPr/>
          <w:p>
            <w:pPr>
              <w:pStyle w:val="Compact"/>
              <w:jc w:val="left"/>
            </w:pPr>
            <w:r>
              <w:t xml:space="preserve">12.9%</w:t>
            </w:r>
          </w:p>
        </w:tc>
        <w:tc>
          <w:tcPr/>
          <w:p>
            <w:pPr>
              <w:pStyle w:val="Compact"/>
              <w:jc w:val="left"/>
            </w:pPr>
            <w:r>
              <w:t xml:space="preserve">24/7 hazmat response; premium-priced but inherently lumpy/event-driven</w:t>
            </w:r>
          </w:p>
        </w:tc>
      </w:tr>
      <w:tr>
        <w:tc>
          <w:tcPr/>
          <w:p>
            <w:pPr>
              <w:pStyle w:val="Compact"/>
              <w:jc w:val="left"/>
            </w:pPr>
            <w:r>
              <w:rPr>
                <w:b/>
                <w:bCs/>
              </w:rPr>
              <w:t xml:space="preserve">Total</w:t>
            </w:r>
          </w:p>
        </w:tc>
        <w:tc>
          <w:tcPr/>
          <w:p>
            <w:pPr>
              <w:pStyle w:val="Compact"/>
              <w:jc w:val="left"/>
            </w:pPr>
            <w:r>
              <w:rPr>
                <w:b/>
                <w:bCs/>
              </w:rPr>
              <w:t xml:space="preserve">$87.3M</w:t>
            </w:r>
          </w:p>
        </w:tc>
        <w:tc>
          <w:tcPr/>
          <w:p>
            <w:pPr>
              <w:pStyle w:val="Compact"/>
              <w:jc w:val="left"/>
            </w:pPr>
            <w:r>
              <w:rPr>
                <w:b/>
                <w:bCs/>
              </w:rPr>
              <w:t xml:space="preserve">100%</w:t>
            </w:r>
          </w:p>
        </w:tc>
        <w:tc>
          <w:tcPr/>
          <w:p>
            <w:pPr>
              <w:pStyle w:val="Compact"/>
            </w:pPr>
          </w:p>
        </w:tc>
      </w:tr>
    </w:tbl>
    <w:p>
      <w:pPr>
        <w:pStyle w:val="BodyText"/>
      </w:pPr>
      <w:r>
        <w:rPr>
          <w:b/>
          <w:bCs/>
        </w:rPr>
        <w:t xml:space="preserve">Management.</w:t>
      </w:r>
      <w:r>
        <w:t xml:space="preserve"> </w:t>
      </w:r>
      <w:r>
        <w:t xml:space="preserve">Randall Oakes (CEO/Founder, 61, 68% equity) leads strategy and all major decisions. Janet Prewitt (VP Operations, 18-year tenure) owns the remediation field operations and key client relationships — a critical, non-equity-aligned key person. Derek Cahill (VP Sales, since 2014), Lisa Fontaine (Controller, since 2016), and Mark Stovall (Safety Director, since 2012; EMR 0.87) round out the team. The Company employs two licensed Professional Engineers, down from three following an unreplaced retirement in January 2025.</w:t>
      </w:r>
    </w:p>
    <w:p>
      <w:pPr>
        <w:pStyle w:val="BodyText"/>
      </w:pPr>
      <w:r>
        <w:rPr>
          <w:b/>
          <w:bCs/>
        </w:rPr>
        <w:t xml:space="preserve">Real estate.</w:t>
      </w:r>
      <w:r>
        <w:t xml:space="preserve"> </w:t>
      </w:r>
      <w:r>
        <w:t xml:space="preserve">The 8.5-acre Portland HQ/yard is owned by Mr. Oakes personally and leased to CES at $1.4M/year through 2029. Boise (third-party, ~$180K/yr through 2028) and Seattle (third-party, ~$85K/yr through 2027) are leased at arm’s length.</w:t>
      </w:r>
    </w:p>
    <w:p>
      <w:r>
        <w:pict>
          <v:rect style="width:0;height:1.5pt" o:hralign="center" o:hrstd="t" o:hr="t"/>
        </w:pict>
      </w:r>
    </w:p>
    <w:bookmarkEnd w:id="24"/>
    <w:bookmarkStart w:id="25" w:name="investment-thesis-genuine-strengths"/>
    <w:p>
      <w:pPr>
        <w:pStyle w:val="Heading2"/>
      </w:pPr>
      <w:r>
        <w:t xml:space="preserve">4. Investment Thesis (Genuine Strengths)</w:t>
      </w:r>
    </w:p>
    <w:p>
      <w:pPr>
        <w:pStyle w:val="FirstParagraph"/>
      </w:pPr>
      <w:r>
        <w:t xml:space="preserve">The following attributes are real and support proceeding, provided valuation and structure reflect the risks in Section 6:</w:t>
      </w:r>
    </w:p>
    <w:p>
      <w:pPr>
        <w:pStyle w:val="Compact"/>
        <w:numPr>
          <w:ilvl w:val="0"/>
          <w:numId w:val="1002"/>
        </w:numPr>
      </w:pPr>
      <w:r>
        <w:rPr>
          <w:b/>
          <w:bCs/>
        </w:rPr>
        <w:t xml:space="preserve">Integrated, regulated platform with durable moats.</w:t>
      </w:r>
      <w:r>
        <w:t xml:space="preserve"> </w:t>
      </w:r>
      <w:r>
        <w:t xml:space="preserve">A 16-year operator with hard-to-replicate credentials (four-state hazmat transporter permits, Oregon DEQ license, PE-stamped remediation capability). Permitting and licensing create multi-year barriers to entry.</w:t>
      </w:r>
    </w:p>
    <w:p>
      <w:pPr>
        <w:pStyle w:val="Compact"/>
        <w:numPr>
          <w:ilvl w:val="0"/>
          <w:numId w:val="1002"/>
        </w:numPr>
      </w:pPr>
      <w:r>
        <w:rPr>
          <w:b/>
          <w:bCs/>
        </w:rPr>
        <w:t xml:space="preserve">Recurring revenue characteristics.</w:t>
      </w:r>
      <w:r>
        <w:t xml:space="preserve"> </w:t>
      </w:r>
      <w:r>
        <w:t xml:space="preserve">~60% of revenue under MSAs with ~90% historical renewal rates; no top-10 customer lost in five years; contracted backlog of $42.6M (77% convertible within 12 months) plus $31.4M pipeline.</w:t>
      </w:r>
    </w:p>
    <w:p>
      <w:pPr>
        <w:pStyle w:val="Compact"/>
        <w:numPr>
          <w:ilvl w:val="0"/>
          <w:numId w:val="1002"/>
        </w:numPr>
      </w:pPr>
      <w:r>
        <w:rPr>
          <w:b/>
          <w:bCs/>
        </w:rPr>
        <w:t xml:space="preserve">Genuine regulatory tailwinds.</w:t>
      </w:r>
      <w:r>
        <w:t xml:space="preserve"> </w:t>
      </w:r>
      <w:r>
        <w:t xml:space="preserve">EPA PFAS drinking-water rules (April 2024) and accelerating Oregon/Washington state enforcement underpin multi-decade demand for investigation and remediation.</w:t>
      </w:r>
    </w:p>
    <w:p>
      <w:pPr>
        <w:pStyle w:val="Compact"/>
        <w:numPr>
          <w:ilvl w:val="0"/>
          <w:numId w:val="1002"/>
        </w:numPr>
      </w:pPr>
      <w:r>
        <w:rPr>
          <w:b/>
          <w:bCs/>
        </w:rPr>
        <w:t xml:space="preserve">Early-mover PFAS position.</w:t>
      </w:r>
      <w:r>
        <w:t xml:space="preserve"> </w:t>
      </w:r>
      <w:r>
        <w:t xml:space="preserve">$6.2M of FY2024 PFAS revenue from a 2022 launch, with specialized sampling/treatment equipment and a growing track record — a credible (if smaller-than-projected) growth vector.</w:t>
      </w:r>
    </w:p>
    <w:p>
      <w:pPr>
        <w:pStyle w:val="Compact"/>
        <w:numPr>
          <w:ilvl w:val="0"/>
          <w:numId w:val="1002"/>
        </w:numPr>
      </w:pPr>
      <w:r>
        <w:rPr>
          <w:b/>
          <w:bCs/>
        </w:rPr>
        <w:t xml:space="preserve">Cross-selling leverage.</w:t>
      </w:r>
      <w:r>
        <w:t xml:space="preserve"> </w:t>
      </w:r>
      <w:r>
        <w:t xml:space="preserve">Integrated remediation/cleaning/emergency-response model deepens accounts; emergency response is a documented gateway to longer-term remediation and cleaning relationships.</w:t>
      </w:r>
    </w:p>
    <w:p>
      <w:pPr>
        <w:pStyle w:val="Compact"/>
        <w:numPr>
          <w:ilvl w:val="0"/>
          <w:numId w:val="1002"/>
        </w:numPr>
      </w:pPr>
      <w:r>
        <w:rPr>
          <w:b/>
          <w:bCs/>
        </w:rPr>
        <w:t xml:space="preserve">Diversified end markets.</w:t>
      </w:r>
      <w:r>
        <w:t xml:space="preserve"> </w:t>
      </w:r>
      <w:r>
        <w:t xml:space="preserve">Six sectors (refining 25.7%, government 19.2%, manufacturing 16.7%, utilities 13.9%, real estate/development 10.2%, other 14.3%) reduce single-sector dependence.</w:t>
      </w:r>
    </w:p>
    <w:p>
      <w:pPr>
        <w:pStyle w:val="Compact"/>
        <w:numPr>
          <w:ilvl w:val="0"/>
          <w:numId w:val="1002"/>
        </w:numPr>
      </w:pPr>
      <w:r>
        <w:rPr>
          <w:b/>
          <w:bCs/>
        </w:rPr>
        <w:t xml:space="preserve">Platform for consolidation.</w:t>
      </w:r>
      <w:r>
        <w:t xml:space="preserve"> </w:t>
      </w:r>
      <w:r>
        <w:t xml:space="preserve">A fragmented Pacific Northwest market with 5–7 identified tuck-in targets supports a buy-and-build thesis onto an established regional platform.</w:t>
      </w:r>
    </w:p>
    <w:p>
      <w:pPr>
        <w:pStyle w:val="Compact"/>
        <w:numPr>
          <w:ilvl w:val="0"/>
          <w:numId w:val="1002"/>
        </w:numPr>
      </w:pPr>
      <w:r>
        <w:rPr>
          <w:b/>
          <w:bCs/>
        </w:rPr>
        <w:t xml:space="preserve">Fit with Fund III.</w:t>
      </w:r>
      <w:r>
        <w:t xml:space="preserve"> </w:t>
      </w:r>
      <w:r>
        <w:t xml:space="preserve">Sector, geography, and (with ~3.0x leverage) equity-check size align with Fund III’s industrial/environmental services mandate.</w:t>
      </w:r>
    </w:p>
    <w:p>
      <w:r>
        <w:pict>
          <v:rect style="width:0;height:1.5pt" o:hralign="center" o:hrstd="t" o:hr="t"/>
        </w:pict>
      </w:r>
    </w:p>
    <w:bookmarkEnd w:id="25"/>
    <w:bookmarkStart w:id="31" w:name="financial-analysis"/>
    <w:p>
      <w:pPr>
        <w:pStyle w:val="Heading2"/>
      </w:pPr>
      <w:r>
        <w:t xml:space="preserve">5. Financial Analysis</w:t>
      </w:r>
    </w:p>
    <w:bookmarkStart w:id="26" w:name="X5312ee661583051a475caa3a3a3ca457d9a6715"/>
    <w:p>
      <w:pPr>
        <w:pStyle w:val="Heading3"/>
      </w:pPr>
      <w:r>
        <w:t xml:space="preserve">5.1 Historical Performance and the Quality of the Growth Story</w:t>
      </w:r>
    </w:p>
    <w:p>
      <w:pPr>
        <w:pStyle w:val="FirstParagraph"/>
      </w:pPr>
      <w:r>
        <w:t xml:space="preserve">Reported financials show consistent growth and modest margin expansion: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Revenue</w:t>
            </w:r>
          </w:p>
        </w:tc>
        <w:tc>
          <w:tcPr/>
          <w:p>
            <w:pPr>
              <w:pStyle w:val="Compact"/>
              <w:jc w:val="left"/>
            </w:pPr>
            <w:r>
              <w:t xml:space="preserve">61.4</w:t>
            </w:r>
          </w:p>
        </w:tc>
        <w:tc>
          <w:tcPr/>
          <w:p>
            <w:pPr>
              <w:pStyle w:val="Compact"/>
              <w:jc w:val="left"/>
            </w:pPr>
            <w:r>
              <w:t xml:space="preserve">68.9</w:t>
            </w:r>
          </w:p>
        </w:tc>
        <w:tc>
          <w:tcPr/>
          <w:p>
            <w:pPr>
              <w:pStyle w:val="Compact"/>
              <w:jc w:val="left"/>
            </w:pPr>
            <w:r>
              <w:t xml:space="preserve">76.1</w:t>
            </w:r>
          </w:p>
        </w:tc>
        <w:tc>
          <w:tcPr/>
          <w:p>
            <w:pPr>
              <w:pStyle w:val="Compact"/>
              <w:jc w:val="left"/>
            </w:pPr>
            <w:r>
              <w:t xml:space="preserve">87.3</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12.2%</w:t>
            </w:r>
          </w:p>
        </w:tc>
        <w:tc>
          <w:tcPr/>
          <w:p>
            <w:pPr>
              <w:pStyle w:val="Compact"/>
              <w:jc w:val="left"/>
            </w:pPr>
            <w:r>
              <w:t xml:space="preserve">10.4%</w:t>
            </w:r>
          </w:p>
        </w:tc>
        <w:tc>
          <w:tcPr/>
          <w:p>
            <w:pPr>
              <w:pStyle w:val="Compact"/>
              <w:jc w:val="left"/>
            </w:pPr>
            <w:r>
              <w:t xml:space="preserve">14.7%</w:t>
            </w:r>
          </w:p>
        </w:tc>
      </w:tr>
      <w:tr>
        <w:tc>
          <w:tcPr/>
          <w:p>
            <w:pPr>
              <w:pStyle w:val="Compact"/>
              <w:jc w:val="left"/>
            </w:pPr>
            <w:r>
              <w:t xml:space="preserve">Reported EBITDA</w:t>
            </w:r>
          </w:p>
        </w:tc>
        <w:tc>
          <w:tcPr/>
          <w:p>
            <w:pPr>
              <w:pStyle w:val="Compact"/>
              <w:jc w:val="left"/>
            </w:pPr>
            <w:r>
              <w:t xml:space="preserve">7.4</w:t>
            </w:r>
          </w:p>
        </w:tc>
        <w:tc>
          <w:tcPr/>
          <w:p>
            <w:pPr>
              <w:pStyle w:val="Compact"/>
              <w:jc w:val="left"/>
            </w:pPr>
            <w:r>
              <w:t xml:space="preserve">8.6</w:t>
            </w:r>
          </w:p>
        </w:tc>
        <w:tc>
          <w:tcPr/>
          <w:p>
            <w:pPr>
              <w:pStyle w:val="Compact"/>
              <w:jc w:val="left"/>
            </w:pPr>
            <w:r>
              <w:t xml:space="preserve">10.3</w:t>
            </w:r>
          </w:p>
        </w:tc>
        <w:tc>
          <w:tcPr/>
          <w:p>
            <w:pPr>
              <w:pStyle w:val="Compact"/>
              <w:jc w:val="left"/>
            </w:pPr>
            <w:r>
              <w:t xml:space="preserve">12.1</w:t>
            </w:r>
          </w:p>
        </w:tc>
      </w:tr>
      <w:tr>
        <w:tc>
          <w:tcPr/>
          <w:p>
            <w:pPr>
              <w:pStyle w:val="Compact"/>
              <w:jc w:val="left"/>
            </w:pPr>
            <w:r>
              <w:t xml:space="preserve">Reported EBITDA margin</w:t>
            </w:r>
          </w:p>
        </w:tc>
        <w:tc>
          <w:tcPr/>
          <w:p>
            <w:pPr>
              <w:pStyle w:val="Compact"/>
              <w:jc w:val="left"/>
            </w:pPr>
            <w:r>
              <w:t xml:space="preserve">12.1%</w:t>
            </w:r>
          </w:p>
        </w:tc>
        <w:tc>
          <w:tcPr/>
          <w:p>
            <w:pPr>
              <w:pStyle w:val="Compact"/>
              <w:jc w:val="left"/>
            </w:pPr>
            <w:r>
              <w:t xml:space="preserve">12.5%</w:t>
            </w:r>
          </w:p>
        </w:tc>
        <w:tc>
          <w:tcPr/>
          <w:p>
            <w:pPr>
              <w:pStyle w:val="Compact"/>
              <w:jc w:val="left"/>
            </w:pPr>
            <w:r>
              <w:t xml:space="preserve">13.5%</w:t>
            </w:r>
          </w:p>
        </w:tc>
        <w:tc>
          <w:tcPr/>
          <w:p>
            <w:pPr>
              <w:pStyle w:val="Compact"/>
              <w:jc w:val="left"/>
            </w:pPr>
            <w:r>
              <w:t xml:space="preserve">13.9%</w:t>
            </w:r>
          </w:p>
        </w:tc>
      </w:tr>
      <w:tr>
        <w:tc>
          <w:tcPr/>
          <w:p>
            <w:pPr>
              <w:pStyle w:val="Compact"/>
              <w:jc w:val="left"/>
            </w:pPr>
            <w:r>
              <w:t xml:space="preserve">CIM Adjusted EBITDA</w:t>
            </w:r>
          </w:p>
        </w:tc>
        <w:tc>
          <w:tcPr/>
          <w:p>
            <w:pPr>
              <w:pStyle w:val="Compact"/>
              <w:jc w:val="left"/>
            </w:pPr>
            <w:r>
              <w:t xml:space="preserve">9.7</w:t>
            </w:r>
          </w:p>
        </w:tc>
        <w:tc>
          <w:tcPr/>
          <w:p>
            <w:pPr>
              <w:pStyle w:val="Compact"/>
              <w:jc w:val="left"/>
            </w:pPr>
            <w:r>
              <w:t xml:space="preserve">11.1</w:t>
            </w:r>
          </w:p>
        </w:tc>
        <w:tc>
          <w:tcPr/>
          <w:p>
            <w:pPr>
              <w:pStyle w:val="Compact"/>
              <w:jc w:val="left"/>
            </w:pPr>
            <w:r>
              <w:t xml:space="preserve">13.4</w:t>
            </w:r>
          </w:p>
        </w:tc>
        <w:tc>
          <w:tcPr/>
          <w:p>
            <w:pPr>
              <w:pStyle w:val="Compact"/>
              <w:jc w:val="left"/>
            </w:pPr>
            <w:r>
              <w:t xml:space="preserve">17.1</w:t>
            </w:r>
          </w:p>
        </w:tc>
      </w:tr>
      <w:tr>
        <w:tc>
          <w:tcPr/>
          <w:p>
            <w:pPr>
              <w:pStyle w:val="Compact"/>
              <w:jc w:val="left"/>
            </w:pPr>
            <w:r>
              <w:t xml:space="preserve">CIM Adj. EBITDA margin</w:t>
            </w:r>
          </w:p>
        </w:tc>
        <w:tc>
          <w:tcPr/>
          <w:p>
            <w:pPr>
              <w:pStyle w:val="Compact"/>
              <w:jc w:val="left"/>
            </w:pPr>
            <w:r>
              <w:t xml:space="preserve">15.8%</w:t>
            </w:r>
          </w:p>
        </w:tc>
        <w:tc>
          <w:tcPr/>
          <w:p>
            <w:pPr>
              <w:pStyle w:val="Compact"/>
              <w:jc w:val="left"/>
            </w:pPr>
            <w:r>
              <w:t xml:space="preserve">16.1%</w:t>
            </w:r>
          </w:p>
        </w:tc>
        <w:tc>
          <w:tcPr/>
          <w:p>
            <w:pPr>
              <w:pStyle w:val="Compact"/>
              <w:jc w:val="left"/>
            </w:pPr>
            <w:r>
              <w:t xml:space="preserve">17.6%</w:t>
            </w:r>
          </w:p>
        </w:tc>
        <w:tc>
          <w:tcPr/>
          <w:p>
            <w:pPr>
              <w:pStyle w:val="Compact"/>
              <w:jc w:val="left"/>
            </w:pPr>
            <w:r>
              <w:t xml:space="preserve">19.6%</w:t>
            </w:r>
          </w:p>
        </w:tc>
      </w:tr>
    </w:tbl>
    <w:p>
      <w:pPr>
        <w:pStyle w:val="BodyText"/>
      </w:pPr>
      <w:r>
        <w:t xml:space="preserve">Reported EBITDA margin (13.9%) sits comfortably within the 10–15% sector range for lower-middle-market environmental services companies, indicating a reasonably well-managed operation.</w:t>
      </w:r>
      <w:r>
        <w:t xml:space="preserve"> </w:t>
      </w:r>
      <w:r>
        <w:rPr>
          <w:b/>
          <w:bCs/>
        </w:rPr>
        <w:t xml:space="preserve">The growth narrative, however, is far more PFAS-dependent than the headline suggests.</w:t>
      </w:r>
      <w:r>
        <w:t xml:space="preserve"> </w:t>
      </w:r>
      <w:r>
        <w:t xml:space="preserve">Decomposing the exhibits’ segment detail: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FY2026E</w:t>
            </w:r>
          </w:p>
        </w:tc>
        <w:tc>
          <w:tcPr/>
          <w:p>
            <w:pPr>
              <w:pStyle w:val="Compact"/>
              <w:jc w:val="left"/>
            </w:pPr>
            <w:r>
              <w:t xml:space="preserve">FY2027E</w:t>
            </w:r>
          </w:p>
        </w:tc>
      </w:tr>
      <w:tr>
        <w:tc>
          <w:tcPr/>
          <w:p>
            <w:pPr>
              <w:pStyle w:val="Compact"/>
              <w:jc w:val="left"/>
            </w:pPr>
            <w:r>
              <w:t xml:space="preserve">Traditional Remediation (ex-PFAS)</w:t>
            </w:r>
          </w:p>
        </w:tc>
        <w:tc>
          <w:tcPr/>
          <w:p>
            <w:pPr>
              <w:pStyle w:val="Compact"/>
              <w:jc w:val="left"/>
            </w:pPr>
            <w:r>
              <w:t xml:space="preserve">42.0</w:t>
            </w:r>
          </w:p>
        </w:tc>
        <w:tc>
          <w:tcPr/>
          <w:p>
            <w:pPr>
              <w:pStyle w:val="Compact"/>
              <w:jc w:val="left"/>
            </w:pPr>
            <w:r>
              <w:t xml:space="preserve">42.5</w:t>
            </w:r>
          </w:p>
        </w:tc>
        <w:tc>
          <w:tcPr/>
          <w:p>
            <w:pPr>
              <w:pStyle w:val="Compact"/>
              <w:jc w:val="left"/>
            </w:pPr>
            <w:r>
              <w:t xml:space="preserve">44.0</w:t>
            </w:r>
          </w:p>
        </w:tc>
        <w:tc>
          <w:tcPr/>
          <w:p>
            <w:pPr>
              <w:pStyle w:val="Compact"/>
              <w:jc w:val="left"/>
            </w:pPr>
            <w:r>
              <w:t xml:space="preserve">46.5</w:t>
            </w:r>
          </w:p>
        </w:tc>
      </w:tr>
      <w:tr>
        <w:tc>
          <w:tcPr/>
          <w:p>
            <w:pPr>
              <w:pStyle w:val="Compact"/>
              <w:jc w:val="left"/>
            </w:pPr>
            <w:r>
              <w:t xml:space="preserve">PFAS Remediation</w:t>
            </w:r>
          </w:p>
        </w:tc>
        <w:tc>
          <w:tcPr/>
          <w:p>
            <w:pPr>
              <w:pStyle w:val="Compact"/>
              <w:jc w:val="left"/>
            </w:pPr>
            <w:r>
              <w:t xml:space="preserve">6.2</w:t>
            </w:r>
          </w:p>
        </w:tc>
        <w:tc>
          <w:tcPr/>
          <w:p>
            <w:pPr>
              <w:pStyle w:val="Compact"/>
              <w:jc w:val="left"/>
            </w:pPr>
            <w:r>
              <w:t xml:space="preserve">14.0</w:t>
            </w:r>
          </w:p>
        </w:tc>
        <w:tc>
          <w:tcPr/>
          <w:p>
            <w:pPr>
              <w:pStyle w:val="Compact"/>
              <w:jc w:val="left"/>
            </w:pPr>
            <w:r>
              <w:t xml:space="preserve">22.0</w:t>
            </w:r>
          </w:p>
        </w:tc>
        <w:tc>
          <w:tcPr/>
          <w:p>
            <w:pPr>
              <w:pStyle w:val="Compact"/>
              <w:jc w:val="left"/>
            </w:pPr>
            <w:r>
              <w:t xml:space="preserve">27.0</w:t>
            </w:r>
          </w:p>
        </w:tc>
      </w:tr>
      <w:tr>
        <w:tc>
          <w:tcPr/>
          <w:p>
            <w:pPr>
              <w:pStyle w:val="Compact"/>
              <w:jc w:val="left"/>
            </w:pPr>
            <w:r>
              <w:t xml:space="preserve">Industrial Cleaning</w:t>
            </w:r>
          </w:p>
        </w:tc>
        <w:tc>
          <w:tcPr/>
          <w:p>
            <w:pPr>
              <w:pStyle w:val="Compact"/>
              <w:jc w:val="left"/>
            </w:pPr>
            <w:r>
              <w:t xml:space="preserve">27.8</w:t>
            </w:r>
          </w:p>
        </w:tc>
        <w:tc>
          <w:tcPr/>
          <w:p>
            <w:pPr>
              <w:pStyle w:val="Compact"/>
              <w:jc w:val="left"/>
            </w:pPr>
            <w:r>
              <w:t xml:space="preserve">30.2</w:t>
            </w:r>
          </w:p>
        </w:tc>
        <w:tc>
          <w:tcPr/>
          <w:p>
            <w:pPr>
              <w:pStyle w:val="Compact"/>
              <w:jc w:val="left"/>
            </w:pPr>
            <w:r>
              <w:t xml:space="preserve">33.0</w:t>
            </w:r>
          </w:p>
        </w:tc>
        <w:tc>
          <w:tcPr/>
          <w:p>
            <w:pPr>
              <w:pStyle w:val="Compact"/>
              <w:jc w:val="left"/>
            </w:pPr>
            <w:r>
              <w:t xml:space="preserve">35.5</w:t>
            </w:r>
          </w:p>
        </w:tc>
      </w:tr>
      <w:tr>
        <w:tc>
          <w:tcPr/>
          <w:p>
            <w:pPr>
              <w:pStyle w:val="Compact"/>
              <w:jc w:val="left"/>
            </w:pPr>
            <w:r>
              <w:t xml:space="preserve">Emergency Response</w:t>
            </w:r>
          </w:p>
        </w:tc>
        <w:tc>
          <w:tcPr/>
          <w:p>
            <w:pPr>
              <w:pStyle w:val="Compact"/>
              <w:jc w:val="left"/>
            </w:pPr>
            <w:r>
              <w:t xml:space="preserve">11.3</w:t>
            </w:r>
          </w:p>
        </w:tc>
        <w:tc>
          <w:tcPr/>
          <w:p>
            <w:pPr>
              <w:pStyle w:val="Compact"/>
              <w:jc w:val="left"/>
            </w:pPr>
            <w:r>
              <w:t xml:space="preserve">11.8</w:t>
            </w:r>
          </w:p>
        </w:tc>
        <w:tc>
          <w:tcPr/>
          <w:p>
            <w:pPr>
              <w:pStyle w:val="Compact"/>
              <w:jc w:val="left"/>
            </w:pPr>
            <w:r>
              <w:t xml:space="preserve">13.0</w:t>
            </w:r>
          </w:p>
        </w:tc>
        <w:tc>
          <w:tcPr/>
          <w:p>
            <w:pPr>
              <w:pStyle w:val="Compact"/>
              <w:jc w:val="left"/>
            </w:pPr>
            <w:r>
              <w:t xml:space="preserve">15.0</w:t>
            </w:r>
          </w:p>
        </w:tc>
      </w:tr>
      <w:tr>
        <w:tc>
          <w:tcPr/>
          <w:p>
            <w:pPr>
              <w:pStyle w:val="Compact"/>
              <w:jc w:val="left"/>
            </w:pPr>
            <w:r>
              <w:rPr>
                <w:b/>
                <w:bCs/>
              </w:rPr>
              <w:t xml:space="preserve">Total</w:t>
            </w:r>
          </w:p>
        </w:tc>
        <w:tc>
          <w:tcPr/>
          <w:p>
            <w:pPr>
              <w:pStyle w:val="Compact"/>
              <w:jc w:val="left"/>
            </w:pPr>
            <w:r>
              <w:rPr>
                <w:b/>
                <w:bCs/>
              </w:rPr>
              <w:t xml:space="preserve">87.3</w:t>
            </w:r>
          </w:p>
        </w:tc>
        <w:tc>
          <w:tcPr/>
          <w:p>
            <w:pPr>
              <w:pStyle w:val="Compact"/>
              <w:jc w:val="left"/>
            </w:pPr>
            <w:r>
              <w:rPr>
                <w:b/>
                <w:bCs/>
              </w:rPr>
              <w:t xml:space="preserve">98.5</w:t>
            </w:r>
          </w:p>
        </w:tc>
        <w:tc>
          <w:tcPr/>
          <w:p>
            <w:pPr>
              <w:pStyle w:val="Compact"/>
              <w:jc w:val="left"/>
            </w:pPr>
            <w:r>
              <w:rPr>
                <w:b/>
                <w:bCs/>
              </w:rPr>
              <w:t xml:space="preserve">112.0</w:t>
            </w:r>
          </w:p>
        </w:tc>
        <w:tc>
          <w:tcPr/>
          <w:p>
            <w:pPr>
              <w:pStyle w:val="Compact"/>
              <w:jc w:val="left"/>
            </w:pPr>
            <w:r>
              <w:rPr>
                <w:b/>
                <w:bCs/>
              </w:rPr>
              <w:t xml:space="preserve">124.0</w:t>
            </w:r>
          </w:p>
        </w:tc>
      </w:tr>
    </w:tbl>
    <w:p>
      <w:pPr>
        <w:pStyle w:val="Compact"/>
        <w:numPr>
          <w:ilvl w:val="0"/>
          <w:numId w:val="1003"/>
        </w:numPr>
      </w:pPr>
      <w:r>
        <w:rPr>
          <w:b/>
          <w:bCs/>
        </w:rPr>
        <w:t xml:space="preserve">Traditional remediation grows at only ~3.5% CAGR</w:t>
      </w:r>
      <w:r>
        <w:t xml:space="preserve"> </w:t>
      </w:r>
      <w:r>
        <w:t xml:space="preserve">(FY2024–FY2027E) and is essentially flat in FY2025E (+$0.5M).</w:t>
      </w:r>
    </w:p>
    <w:p>
      <w:pPr>
        <w:pStyle w:val="Compact"/>
        <w:numPr>
          <w:ilvl w:val="0"/>
          <w:numId w:val="1003"/>
        </w:numPr>
      </w:pPr>
      <w:r>
        <w:rPr>
          <w:b/>
          <w:bCs/>
        </w:rPr>
        <w:t xml:space="preserve">Ex-PFAS, total revenue grows at only ~5.3% CAGR</w:t>
      </w:r>
      <w:r>
        <w:t xml:space="preserve"> </w:t>
      </w:r>
      <w:r>
        <w:t xml:space="preserve">(FY2024–FY2026E) — squarely within the 5–10% sector norm. The entire premium-growth narrative rests on PFAS, which supplies</w:t>
      </w:r>
      <w:r>
        <w:t xml:space="preserve"> </w:t>
      </w:r>
      <w:r>
        <w:rPr>
          <w:b/>
          <w:bCs/>
        </w:rPr>
        <w:t xml:space="preserve">64% of incremental revenue</w:t>
      </w:r>
      <w:r>
        <w:t xml:space="preserve"> </w:t>
      </w:r>
      <w:r>
        <w:t xml:space="preserve">(FY2024→FY2026E).</w:t>
      </w:r>
    </w:p>
    <w:p>
      <w:pPr>
        <w:pStyle w:val="Compact"/>
        <w:numPr>
          <w:ilvl w:val="0"/>
          <w:numId w:val="1003"/>
        </w:numPr>
      </w:pPr>
      <w:r>
        <w:t xml:space="preserve">Industrial cleaning and emergency response grow at high-single to low-double digits, with emergency response inherently lumpy (it grew 22.8% in FY2024, likely reflecting event-driven volume that should not be straight-lined).</w:t>
      </w:r>
    </w:p>
    <w:p>
      <w:pPr>
        <w:pStyle w:val="FirstParagraph"/>
      </w:pPr>
      <w:r>
        <w:rPr>
          <w:b/>
          <w:bCs/>
        </w:rPr>
        <w:t xml:space="preserve">Implication:</w:t>
      </w:r>
      <w:r>
        <w:t xml:space="preserve"> </w:t>
      </w:r>
      <w:r>
        <w:t xml:space="preserve">Stripped of PFAS, CES is an average-growth, well-run regional environmental services company — attractive, but not a double-digit-growth platform. The valuation premium the CIM seeks is entirely a wager on PFAS execution, which is the single most aggressive assumption in the materials (see Section 6.1).</w:t>
      </w:r>
    </w:p>
    <w:bookmarkEnd w:id="26"/>
    <w:bookmarkStart w:id="27" w:name="X60af3ca3d62dabaa08202d993834168ac9e933c"/>
    <w:p>
      <w:pPr>
        <w:pStyle w:val="Heading3"/>
      </w:pPr>
      <w:r>
        <w:t xml:space="preserve">5.2 The Adjusted EBITDA Bridge Does Not Reconcile</w:t>
      </w:r>
    </w:p>
    <w:p>
      <w:pPr>
        <w:pStyle w:val="FirstParagraph"/>
      </w:pPr>
      <w:r>
        <w:t xml:space="preserve">The CIM’s headline FY2024 Adjusted EBITDA of $17.1M is the foundation of the entire valuation.</w:t>
      </w:r>
      <w:r>
        <w:t xml:space="preserve"> </w:t>
      </w:r>
      <w:r>
        <w:rPr>
          <w:b/>
          <w:bCs/>
        </w:rPr>
        <w:t xml:space="preserve">It does not foot to its own stated components: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FY2024 EBITDA Bridge ($M)</w:t>
            </w:r>
          </w:p>
        </w:tc>
        <w:tc>
          <w:tcPr/>
          <w:p>
            <w:pPr>
              <w:pStyle w:val="Compact"/>
              <w:jc w:val="left"/>
            </w:pPr>
            <w:r>
              <w:t xml:space="preserve">CIM / Exhibits</w:t>
            </w:r>
          </w:p>
        </w:tc>
      </w:tr>
      <w:tr>
        <w:tc>
          <w:tcPr/>
          <w:p>
            <w:pPr>
              <w:pStyle w:val="Compact"/>
              <w:jc w:val="left"/>
            </w:pPr>
            <w:r>
              <w:t xml:space="preserve">Reported EBITDA</w:t>
            </w:r>
          </w:p>
        </w:tc>
        <w:tc>
          <w:tcPr/>
          <w:p>
            <w:pPr>
              <w:pStyle w:val="Compact"/>
              <w:jc w:val="left"/>
            </w:pPr>
            <w:r>
              <w:t xml:space="preserve">12.1</w:t>
            </w:r>
          </w:p>
        </w:tc>
      </w:tr>
      <w:tr>
        <w:tc>
          <w:tcPr/>
          <w:p>
            <w:pPr>
              <w:pStyle w:val="Compact"/>
              <w:jc w:val="left"/>
            </w:pPr>
            <w:r>
              <w:t xml:space="preserve">(+) Owner compensation normalization</w:t>
            </w:r>
          </w:p>
        </w:tc>
        <w:tc>
          <w:tcPr/>
          <w:p>
            <w:pPr>
              <w:pStyle w:val="Compact"/>
              <w:jc w:val="left"/>
            </w:pPr>
            <w:r>
              <w:t xml:space="preserve">1.9</w:t>
            </w:r>
          </w:p>
        </w:tc>
      </w:tr>
      <w:tr>
        <w:tc>
          <w:tcPr/>
          <w:p>
            <w:pPr>
              <w:pStyle w:val="Compact"/>
              <w:jc w:val="left"/>
            </w:pPr>
            <w:r>
              <w:t xml:space="preserve">(+) Related-party lease normalization</w:t>
            </w:r>
          </w:p>
        </w:tc>
        <w:tc>
          <w:tcPr/>
          <w:p>
            <w:pPr>
              <w:pStyle w:val="Compact"/>
              <w:jc w:val="left"/>
            </w:pPr>
            <w:r>
              <w:t xml:space="preserve">0.8</w:t>
            </w:r>
          </w:p>
        </w:tc>
      </w:tr>
      <w:tr>
        <w:tc>
          <w:tcPr/>
          <w:p>
            <w:pPr>
              <w:pStyle w:val="Compact"/>
              <w:jc w:val="left"/>
            </w:pPr>
            <w:r>
              <w:t xml:space="preserve">(+) One-time legal/regulatory costs</w:t>
            </w:r>
          </w:p>
        </w:tc>
        <w:tc>
          <w:tcPr/>
          <w:p>
            <w:pPr>
              <w:pStyle w:val="Compact"/>
              <w:jc w:val="left"/>
            </w:pPr>
            <w:r>
              <w:t xml:space="preserve">1.2</w:t>
            </w:r>
          </w:p>
        </w:tc>
      </w:tr>
      <w:tr>
        <w:tc>
          <w:tcPr/>
          <w:p>
            <w:pPr>
              <w:pStyle w:val="Compact"/>
              <w:jc w:val="left"/>
            </w:pPr>
            <w:r>
              <w:t xml:space="preserve">(+) Non-recurring equipment relocation</w:t>
            </w:r>
          </w:p>
        </w:tc>
        <w:tc>
          <w:tcPr/>
          <w:p>
            <w:pPr>
              <w:pStyle w:val="Compact"/>
              <w:jc w:val="left"/>
            </w:pPr>
            <w:r>
              <w:t xml:space="preserve">0.4</w:t>
            </w:r>
          </w:p>
        </w:tc>
      </w:tr>
      <w:tr>
        <w:tc>
          <w:tcPr/>
          <w:p>
            <w:pPr>
              <w:pStyle w:val="Compact"/>
              <w:jc w:val="left"/>
            </w:pPr>
            <w:r>
              <w:t xml:space="preserve">(+) Stock-based compensation (phantom units)</w:t>
            </w:r>
          </w:p>
        </w:tc>
        <w:tc>
          <w:tcPr/>
          <w:p>
            <w:pPr>
              <w:pStyle w:val="Compact"/>
              <w:jc w:val="left"/>
            </w:pPr>
            <w:r>
              <w:t xml:space="preserve">0.3</w:t>
            </w:r>
          </w:p>
        </w:tc>
      </w:tr>
      <w:tr>
        <w:tc>
          <w:tcPr/>
          <w:p>
            <w:pPr>
              <w:pStyle w:val="Compact"/>
              <w:jc w:val="left"/>
            </w:pPr>
            <w:r>
              <w:t xml:space="preserve">(+) One-time IT system implementation</w:t>
            </w:r>
          </w:p>
        </w:tc>
        <w:tc>
          <w:tcPr/>
          <w:p>
            <w:pPr>
              <w:pStyle w:val="Compact"/>
              <w:jc w:val="left"/>
            </w:pPr>
            <w:r>
              <w:t xml:space="preserve">0.1</w:t>
            </w:r>
          </w:p>
        </w:tc>
      </w:tr>
      <w:tr>
        <w:tc>
          <w:tcPr/>
          <w:p>
            <w:pPr>
              <w:pStyle w:val="Compact"/>
              <w:jc w:val="left"/>
            </w:pPr>
            <w:r>
              <w:rPr>
                <w:b/>
                <w:bCs/>
              </w:rPr>
              <w:t xml:space="preserve">Sum of stated adjustments</w:t>
            </w:r>
          </w:p>
        </w:tc>
        <w:tc>
          <w:tcPr/>
          <w:p>
            <w:pPr>
              <w:pStyle w:val="Compact"/>
              <w:jc w:val="left"/>
            </w:pPr>
            <w:r>
              <w:rPr>
                <w:b/>
                <w:bCs/>
              </w:rPr>
              <w:t xml:space="preserve">4.7</w:t>
            </w:r>
          </w:p>
        </w:tc>
      </w:tr>
      <w:tr>
        <w:tc>
          <w:tcPr/>
          <w:p>
            <w:pPr>
              <w:pStyle w:val="Compact"/>
              <w:jc w:val="left"/>
            </w:pPr>
            <w:r>
              <w:rPr>
                <w:b/>
                <w:bCs/>
              </w:rPr>
              <w:t xml:space="preserve">Implied Adjusted EBITDA (12.1 + 4.7)</w:t>
            </w:r>
          </w:p>
        </w:tc>
        <w:tc>
          <w:tcPr/>
          <w:p>
            <w:pPr>
              <w:pStyle w:val="Compact"/>
              <w:jc w:val="left"/>
            </w:pPr>
            <w:r>
              <w:rPr>
                <w:b/>
                <w:bCs/>
              </w:rPr>
              <w:t xml:space="preserve">16.8</w:t>
            </w:r>
          </w:p>
        </w:tc>
      </w:tr>
      <w:tr>
        <w:tc>
          <w:tcPr/>
          <w:p>
            <w:pPr>
              <w:pStyle w:val="Compact"/>
              <w:jc w:val="left"/>
            </w:pPr>
            <w:r>
              <w:rPr>
                <w:b/>
                <w:bCs/>
              </w:rPr>
              <w:t xml:space="preserve">CIM / Exhibits stated Adjusted EBITDA</w:t>
            </w:r>
          </w:p>
        </w:tc>
        <w:tc>
          <w:tcPr/>
          <w:p>
            <w:pPr>
              <w:pStyle w:val="Compact"/>
              <w:jc w:val="left"/>
            </w:pPr>
            <w:r>
              <w:rPr>
                <w:b/>
                <w:bCs/>
              </w:rPr>
              <w:t xml:space="preserve">17.1</w:t>
            </w:r>
          </w:p>
        </w:tc>
      </w:tr>
      <w:tr>
        <w:tc>
          <w:tcPr/>
          <w:p>
            <w:pPr>
              <w:pStyle w:val="Compact"/>
              <w:jc w:val="left"/>
            </w:pPr>
            <w:r>
              <w:rPr>
                <w:b/>
                <w:bCs/>
              </w:rPr>
              <w:t xml:space="preserve">Unexplained gap</w:t>
            </w:r>
          </w:p>
        </w:tc>
        <w:tc>
          <w:tcPr/>
          <w:p>
            <w:pPr>
              <w:pStyle w:val="Compact"/>
              <w:jc w:val="left"/>
            </w:pPr>
            <w:r>
              <w:rPr>
                <w:b/>
                <w:bCs/>
              </w:rPr>
              <w:t xml:space="preserve">0.3</w:t>
            </w:r>
          </w:p>
        </w:tc>
      </w:tr>
    </w:tbl>
    <w:p>
      <w:pPr>
        <w:pStyle w:val="BodyText"/>
      </w:pPr>
      <w:r>
        <w:t xml:space="preserve">The FY2021, FY2022, and FY2023 bridges (Appendix B) each foot exactly to their stated totals.</w:t>
      </w:r>
      <w:r>
        <w:t xml:space="preserve"> </w:t>
      </w:r>
      <w:r>
        <w:rPr>
          <w:b/>
          <w:bCs/>
        </w:rPr>
        <w:t xml:space="preserve">Only FY2024 — the valuation-relevant year — is off by $0.3M.</w:t>
      </w:r>
      <w:r>
        <w:t xml:space="preserve"> </w:t>
      </w:r>
      <w:r>
        <w:t xml:space="preserve">This is not a rounding artifact (all figures are stated to $0.1M). Either an adjustment is missing/understated, reported EBITDA is actually $12.4M, or the $17.1M headline is overstated. The 20.8% Adjusted EBITDA CAGR cited in the CIM depends on the $17.1M figure; using the arithmetically implied $16.8M, the CAGR is ~20.1%. This must be the first item reconciled in QoE.</w:t>
      </w:r>
    </w:p>
    <w:bookmarkEnd w:id="27"/>
    <w:bookmarkStart w:id="28" w:name="buy-side-view-of-the-adjustments"/>
    <w:p>
      <w:pPr>
        <w:pStyle w:val="Heading3"/>
      </w:pPr>
      <w:r>
        <w:t xml:space="preserve">5.3 Buy-Side View of the Adjustments</w:t>
      </w:r>
    </w:p>
    <w:p>
      <w:pPr>
        <w:pStyle w:val="FirstParagraph"/>
      </w:pPr>
      <w:r>
        <w:t xml:space="preserve">Applying sector benchmarks (Section 7 of the Thornfield sector memo) and Thornfield’s GreenWorks/Allied Waste portfolio experience, the adjustments warrant the following treatment: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Adjustment</w:t>
            </w:r>
          </w:p>
        </w:tc>
        <w:tc>
          <w:tcPr/>
          <w:p>
            <w:pPr>
              <w:pStyle w:val="Compact"/>
              <w:jc w:val="left"/>
            </w:pPr>
            <w:r>
              <w:t xml:space="preserve">CIM</w:t>
            </w:r>
          </w:p>
        </w:tc>
        <w:tc>
          <w:tcPr/>
          <w:p>
            <w:pPr>
              <w:pStyle w:val="Compact"/>
              <w:jc w:val="left"/>
            </w:pPr>
            <w:r>
              <w:t xml:space="preserve">Buy-side defensible</w:t>
            </w:r>
          </w:p>
        </w:tc>
        <w:tc>
          <w:tcPr/>
          <w:p>
            <w:pPr>
              <w:pStyle w:val="Compact"/>
              <w:jc w:val="left"/>
            </w:pPr>
            <w:r>
              <w:t xml:space="preserve">Basis</w:t>
            </w:r>
          </w:p>
        </w:tc>
      </w:tr>
      <w:tr>
        <w:tc>
          <w:tcPr/>
          <w:p>
            <w:pPr>
              <w:pStyle w:val="Compact"/>
              <w:jc w:val="left"/>
            </w:pPr>
            <w:r>
              <w:t xml:space="preserve">Owner compensation normalization</w:t>
            </w:r>
          </w:p>
        </w:tc>
        <w:tc>
          <w:tcPr/>
          <w:p>
            <w:pPr>
              <w:pStyle w:val="Compact"/>
              <w:jc w:val="left"/>
            </w:pPr>
            <w:r>
              <w:t xml:space="preserve">$1.9M</w:t>
            </w:r>
          </w:p>
        </w:tc>
        <w:tc>
          <w:tcPr/>
          <w:p>
            <w:pPr>
              <w:pStyle w:val="Compact"/>
              <w:jc w:val="left"/>
            </w:pPr>
            <w:r>
              <w:t xml:space="preserve">$1.4M–$1.9M</w:t>
            </w:r>
          </w:p>
        </w:tc>
        <w:tc>
          <w:tcPr/>
          <w:p>
            <w:pPr>
              <w:pStyle w:val="Compact"/>
              <w:jc w:val="left"/>
            </w:pPr>
            <w:r>
              <w:t xml:space="preserve">$2.4M total comp (incl. </w:t>
            </w:r>
            <w:r>
              <w:t xml:space="preserve">“</w:t>
            </w:r>
            <w:r>
              <w:t xml:space="preserve">personal expenses allocated to the Company</w:t>
            </w:r>
            <w:r>
              <w:t xml:space="preserve">”</w:t>
            </w:r>
            <w:r>
              <w:t xml:space="preserve">) must be substantiated; $500K replacement-CEO assumption is at the low end for an $87M+ growth platform (likely $500K–$750K). Net add-back ~$1.65M–$1.9M.</w:t>
            </w:r>
          </w:p>
        </w:tc>
      </w:tr>
      <w:tr>
        <w:tc>
          <w:tcPr/>
          <w:p>
            <w:pPr>
              <w:pStyle w:val="Compact"/>
              <w:jc w:val="left"/>
            </w:pPr>
            <w:r>
              <w:t xml:space="preserve">Related-party lease normalization</w:t>
            </w:r>
          </w:p>
        </w:tc>
        <w:tc>
          <w:tcPr/>
          <w:p>
            <w:pPr>
              <w:pStyle w:val="Compact"/>
              <w:jc w:val="left"/>
            </w:pPr>
            <w:r>
              <w:t xml:space="preserve">$0.8M</w:t>
            </w:r>
          </w:p>
        </w:tc>
        <w:tc>
          <w:tcPr/>
          <w:p>
            <w:pPr>
              <w:pStyle w:val="Compact"/>
              <w:jc w:val="left"/>
            </w:pPr>
            <w:r>
              <w:t xml:space="preserve">$0.2M–$0.4M</w:t>
            </w:r>
          </w:p>
        </w:tc>
        <w:tc>
          <w:tcPr/>
          <w:p>
            <w:pPr>
              <w:pStyle w:val="Compact"/>
              <w:jc w:val="left"/>
            </w:pPr>
            <w:r>
              <w:t xml:space="preserve">The CIM’s own Section IV.C states comparable</w:t>
            </w:r>
            <w:r>
              <w:t xml:space="preserve"> </w:t>
            </w:r>
            <w:r>
              <w:rPr>
                <w:i/>
                <w:iCs/>
              </w:rPr>
              <w:t xml:space="preserve">specialized</w:t>
            </w:r>
            <w:r>
              <w:t xml:space="preserve"> </w:t>
            </w:r>
            <w:r>
              <w:t xml:space="preserve">environmental staging facilities command</w:t>
            </w:r>
            <w:r>
              <w:t xml:space="preserve"> </w:t>
            </w:r>
            <w:r>
              <w:rPr>
                <w:b/>
                <w:bCs/>
              </w:rPr>
              <w:t xml:space="preserve">$1.0M–$1.2M/yr</w:t>
            </w:r>
            <w:r>
              <w:t xml:space="preserve"> </w:t>
            </w:r>
            <w:r>
              <w:t xml:space="preserve">— directly contradicting the $600K</w:t>
            </w:r>
            <w:r>
              <w:t xml:space="preserve"> </w:t>
            </w:r>
            <w:r>
              <w:t xml:space="preserve">“</w:t>
            </w:r>
            <w:r>
              <w:t xml:space="preserve">market</w:t>
            </w:r>
            <w:r>
              <w:t xml:space="preserve">”</w:t>
            </w:r>
            <w:r>
              <w:t xml:space="preserve"> </w:t>
            </w:r>
            <w:r>
              <w:t xml:space="preserve">rate used to justify the $0.8M add-back. On the CIM’s own evidence, above-market rent is only $0.2M–$0.4M. Post-close the buyer pays market rent or buys the property, so the</w:t>
            </w:r>
            <w:r>
              <w:t xml:space="preserve"> </w:t>
            </w:r>
            <w:r>
              <w:t xml:space="preserve">“</w:t>
            </w:r>
            <w:r>
              <w:t xml:space="preserve">savings</w:t>
            </w:r>
            <w:r>
              <w:t xml:space="preserve">”</w:t>
            </w:r>
            <w:r>
              <w:t xml:space="preserve"> </w:t>
            </w:r>
            <w:r>
              <w:t xml:space="preserve">may not fully materialize.</w:t>
            </w:r>
          </w:p>
        </w:tc>
      </w:tr>
      <w:tr>
        <w:tc>
          <w:tcPr/>
          <w:p>
            <w:pPr>
              <w:pStyle w:val="Compact"/>
              <w:jc w:val="left"/>
            </w:pPr>
            <w:r>
              <w:t xml:space="preserve">One-time legal/regulatory</w:t>
            </w:r>
          </w:p>
        </w:tc>
        <w:tc>
          <w:tcPr/>
          <w:p>
            <w:pPr>
              <w:pStyle w:val="Compact"/>
              <w:jc w:val="left"/>
            </w:pPr>
            <w:r>
              <w:t xml:space="preserve">$1.2M</w:t>
            </w:r>
          </w:p>
        </w:tc>
        <w:tc>
          <w:tcPr/>
          <w:p>
            <w:pPr>
              <w:pStyle w:val="Compact"/>
              <w:jc w:val="left"/>
            </w:pPr>
            <w:r>
              <w:t xml:space="preserve">$0.7M–$0.9M</w:t>
            </w:r>
          </w:p>
        </w:tc>
        <w:tc>
          <w:tcPr/>
          <w:p>
            <w:pPr>
              <w:pStyle w:val="Compact"/>
              <w:jc w:val="left"/>
            </w:pPr>
            <w:r>
              <w:t xml:space="preserve">Sector run-rate for recurring regulatory/compliance cost is $200K–$500K/yr; GreenWorks ($275K/yr) and Allied ($310K/yr avg) confirm a baseline. Best practice: add back only the excess over run-rate. At a $300K run-rate, defensible add-back ≈ $0.9M; at $500K, ≈ $0.7M.</w:t>
            </w:r>
          </w:p>
        </w:tc>
      </w:tr>
      <w:tr>
        <w:tc>
          <w:tcPr/>
          <w:p>
            <w:pPr>
              <w:pStyle w:val="Compact"/>
              <w:jc w:val="left"/>
            </w:pPr>
            <w:r>
              <w:t xml:space="preserve">Non-recurring equipment relocation</w:t>
            </w:r>
          </w:p>
        </w:tc>
        <w:tc>
          <w:tcPr/>
          <w:p>
            <w:pPr>
              <w:pStyle w:val="Compact"/>
              <w:jc w:val="left"/>
            </w:pPr>
            <w:r>
              <w:t xml:space="preserve">$0.4M</w:t>
            </w:r>
          </w:p>
        </w:tc>
        <w:tc>
          <w:tcPr/>
          <w:p>
            <w:pPr>
              <w:pStyle w:val="Compact"/>
              <w:jc w:val="left"/>
            </w:pPr>
            <w:r>
              <w:t xml:space="preserve">$0.4M</w:t>
            </w:r>
          </w:p>
        </w:tc>
        <w:tc>
          <w:tcPr/>
          <w:p>
            <w:pPr>
              <w:pStyle w:val="Compact"/>
              <w:jc w:val="left"/>
            </w:pPr>
            <w:r>
              <w:t xml:space="preserve">Genuinely one-time (Boise depot); defensible, subject to verification.</w:t>
            </w:r>
          </w:p>
        </w:tc>
      </w:tr>
      <w:tr>
        <w:tc>
          <w:tcPr/>
          <w:p>
            <w:pPr>
              <w:pStyle w:val="Compact"/>
              <w:jc w:val="left"/>
            </w:pPr>
            <w:r>
              <w:t xml:space="preserve">Stock-based compensation (phantom)</w:t>
            </w:r>
          </w:p>
        </w:tc>
        <w:tc>
          <w:tcPr/>
          <w:p>
            <w:pPr>
              <w:pStyle w:val="Compact"/>
              <w:jc w:val="left"/>
            </w:pPr>
            <w:r>
              <w:t xml:space="preserve">$0.3M</w:t>
            </w:r>
          </w:p>
        </w:tc>
        <w:tc>
          <w:tcPr/>
          <w:p>
            <w:pPr>
              <w:pStyle w:val="Compact"/>
              <w:jc w:val="left"/>
            </w:pPr>
            <w:r>
              <w:t xml:space="preserve">$0.0M–$0.1M</w:t>
            </w:r>
          </w:p>
        </w:tc>
        <w:tc>
          <w:tcPr/>
          <w:p>
            <w:pPr>
              <w:pStyle w:val="Compact"/>
              <w:jc w:val="left"/>
            </w:pPr>
            <w:r>
              <w:t xml:space="preserve">Non-cash annually, but</w:t>
            </w:r>
            <w:r>
              <w:t xml:space="preserve"> </w:t>
            </w:r>
            <w:r>
              <w:rPr>
                <w:b/>
                <w:bCs/>
              </w:rPr>
              <w:t xml:space="preserve">cash-settled at closing</w:t>
            </w:r>
            <w:r>
              <w:t xml:space="preserve"> </w:t>
            </w:r>
            <w:r>
              <w:t xml:space="preserve">— a real cost to the buyer. Largely indefensible as a recurring add-back.</w:t>
            </w:r>
          </w:p>
        </w:tc>
      </w:tr>
      <w:tr>
        <w:tc>
          <w:tcPr/>
          <w:p>
            <w:pPr>
              <w:pStyle w:val="Compact"/>
              <w:jc w:val="left"/>
            </w:pPr>
            <w:r>
              <w:t xml:space="preserve">One-time IT implementation</w:t>
            </w:r>
          </w:p>
        </w:tc>
        <w:tc>
          <w:tcPr/>
          <w:p>
            <w:pPr>
              <w:pStyle w:val="Compact"/>
              <w:jc w:val="left"/>
            </w:pPr>
            <w:r>
              <w:t xml:space="preserve">$0.1M</w:t>
            </w:r>
          </w:p>
        </w:tc>
        <w:tc>
          <w:tcPr/>
          <w:p>
            <w:pPr>
              <w:pStyle w:val="Compact"/>
              <w:jc w:val="left"/>
            </w:pPr>
            <w:r>
              <w:t xml:space="preserve">$0.1M</w:t>
            </w:r>
          </w:p>
        </w:tc>
        <w:tc>
          <w:tcPr/>
          <w:p>
            <w:pPr>
              <w:pStyle w:val="Compact"/>
              <w:jc w:val="left"/>
            </w:pPr>
            <w:r>
              <w:t xml:space="preserve">Genuinely one-time.</w:t>
            </w:r>
          </w:p>
        </w:tc>
      </w:tr>
      <w:tr>
        <w:tc>
          <w:tcPr/>
          <w:p>
            <w:pPr>
              <w:pStyle w:val="Compact"/>
              <w:jc w:val="left"/>
            </w:pPr>
            <w:r>
              <w:rPr>
                <w:b/>
                <w:bCs/>
              </w:rPr>
              <w:t xml:space="preserve">Total adjustments</w:t>
            </w:r>
          </w:p>
        </w:tc>
        <w:tc>
          <w:tcPr/>
          <w:p>
            <w:pPr>
              <w:pStyle w:val="Compact"/>
              <w:jc w:val="left"/>
            </w:pPr>
            <w:r>
              <w:rPr>
                <w:b/>
                <w:bCs/>
              </w:rPr>
              <w:t xml:space="preserve">$4.7M</w:t>
            </w:r>
          </w:p>
        </w:tc>
        <w:tc>
          <w:tcPr/>
          <w:p>
            <w:pPr>
              <w:pStyle w:val="Compact"/>
              <w:jc w:val="left"/>
            </w:pPr>
            <w:r>
              <w:rPr>
                <w:b/>
                <w:bCs/>
              </w:rPr>
              <w:t xml:space="preserve">$2.8M–$3.8M</w:t>
            </w:r>
          </w:p>
        </w:tc>
        <w:tc>
          <w:tcPr/>
          <w:p>
            <w:pPr>
              <w:pStyle w:val="Compact"/>
            </w:pPr>
          </w:p>
        </w:tc>
      </w:tr>
      <w:tr>
        <w:tc>
          <w:tcPr/>
          <w:p>
            <w:pPr>
              <w:pStyle w:val="Compact"/>
              <w:jc w:val="left"/>
            </w:pPr>
            <w:r>
              <w:rPr>
                <w:b/>
                <w:bCs/>
              </w:rPr>
              <w:t xml:space="preserve">Buy-side Adjusted EBITDA</w:t>
            </w:r>
          </w:p>
        </w:tc>
        <w:tc>
          <w:tcPr/>
          <w:p>
            <w:pPr>
              <w:pStyle w:val="Compact"/>
              <w:jc w:val="left"/>
            </w:pPr>
            <w:r>
              <w:rPr>
                <w:b/>
                <w:bCs/>
              </w:rPr>
              <w:t xml:space="preserve">$17.1M</w:t>
            </w:r>
          </w:p>
        </w:tc>
        <w:tc>
          <w:tcPr/>
          <w:p>
            <w:pPr>
              <w:pStyle w:val="Compact"/>
              <w:jc w:val="left"/>
            </w:pPr>
            <w:r>
              <w:rPr>
                <w:b/>
                <w:bCs/>
              </w:rPr>
              <w:t xml:space="preserve">~$14.9M–$15.9M</w:t>
            </w:r>
          </w:p>
        </w:tc>
        <w:tc>
          <w:tcPr/>
          <w:p>
            <w:pPr>
              <w:pStyle w:val="Compact"/>
              <w:jc w:val="left"/>
            </w:pPr>
            <w:r>
              <w:t xml:space="preserve">Midpoint ~$15.4M</w:t>
            </w:r>
          </w:p>
        </w:tc>
      </w:tr>
    </w:tbl>
    <w:p>
      <w:pPr>
        <w:pStyle w:val="BodyText"/>
      </w:pPr>
      <w:r>
        <w:t xml:space="preserve">The two largest adjustments (owner compensation and the related-party lease) and the regulatory add-back are the principal points of contention. Combined, the CIM’s treatment overstates defensible Adjusted EBITDA by roughly</w:t>
      </w:r>
      <w:r>
        <w:t xml:space="preserve"> </w:t>
      </w:r>
      <w:r>
        <w:rPr>
          <w:b/>
          <w:bCs/>
        </w:rPr>
        <w:t xml:space="preserve">$1.2M–$2.2M</w:t>
      </w:r>
      <w:r>
        <w:t xml:space="preserve"> </w:t>
      </w:r>
      <w:r>
        <w:t xml:space="preserve">before considering the $0.3M bridge gap.</w:t>
      </w:r>
    </w:p>
    <w:bookmarkEnd w:id="28"/>
    <w:bookmarkStart w:id="29" w:name="free-cash-flow-and-the-capex-question"/>
    <w:p>
      <w:pPr>
        <w:pStyle w:val="Heading3"/>
      </w:pPr>
      <w:r>
        <w:t xml:space="preserve">5.4 Free Cash Flow and the Capex Question</w:t>
      </w:r>
    </w:p>
    <w:p>
      <w:pPr>
        <w:pStyle w:val="FirstParagraph"/>
      </w:pPr>
      <w:r>
        <w:t xml:space="preserve">Free cash flow is thin and has not grown with revenue — a critical issue for a capital-intensive, leveraged transaction: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Cash from operations (per exhibits)</w:t>
            </w:r>
          </w:p>
        </w:tc>
        <w:tc>
          <w:tcPr/>
          <w:p>
            <w:pPr>
              <w:pStyle w:val="Compact"/>
              <w:jc w:val="left"/>
            </w:pPr>
            <w:r>
              <w:t xml:space="preserve">6.4</w:t>
            </w:r>
          </w:p>
        </w:tc>
        <w:tc>
          <w:tcPr/>
          <w:p>
            <w:pPr>
              <w:pStyle w:val="Compact"/>
              <w:jc w:val="left"/>
            </w:pPr>
            <w:r>
              <w:t xml:space="preserve">7.0</w:t>
            </w:r>
          </w:p>
        </w:tc>
        <w:tc>
          <w:tcPr/>
          <w:p>
            <w:pPr>
              <w:pStyle w:val="Compact"/>
              <w:jc w:val="left"/>
            </w:pPr>
            <w:r>
              <w:t xml:space="preserve">9.1</w:t>
            </w:r>
          </w:p>
        </w:tc>
        <w:tc>
          <w:tcPr/>
          <w:p>
            <w:pPr>
              <w:pStyle w:val="Compact"/>
              <w:jc w:val="left"/>
            </w:pPr>
            <w:r>
              <w:t xml:space="preserve">10.0</w:t>
            </w:r>
          </w:p>
        </w:tc>
      </w:tr>
      <w:tr>
        <w:tc>
          <w:tcPr/>
          <w:p>
            <w:pPr>
              <w:pStyle w:val="Compact"/>
              <w:jc w:val="left"/>
            </w:pPr>
            <w:r>
              <w:t xml:space="preserve">Total capex</w:t>
            </w:r>
          </w:p>
        </w:tc>
        <w:tc>
          <w:tcPr/>
          <w:p>
            <w:pPr>
              <w:pStyle w:val="Compact"/>
              <w:jc w:val="left"/>
            </w:pPr>
            <w:r>
              <w:t xml:space="preserve">(3.6)</w:t>
            </w:r>
          </w:p>
        </w:tc>
        <w:tc>
          <w:tcPr/>
          <w:p>
            <w:pPr>
              <w:pStyle w:val="Compact"/>
              <w:jc w:val="left"/>
            </w:pPr>
            <w:r>
              <w:t xml:space="preserve">(4.1)</w:t>
            </w:r>
          </w:p>
        </w:tc>
        <w:tc>
          <w:tcPr/>
          <w:p>
            <w:pPr>
              <w:pStyle w:val="Compact"/>
              <w:jc w:val="left"/>
            </w:pPr>
            <w:r>
              <w:t xml:space="preserve">(5.8)</w:t>
            </w:r>
          </w:p>
        </w:tc>
        <w:tc>
          <w:tcPr/>
          <w:p>
            <w:pPr>
              <w:pStyle w:val="Compact"/>
              <w:jc w:val="left"/>
            </w:pPr>
            <w:r>
              <w:t xml:space="preserve">(7.2)</w:t>
            </w:r>
          </w:p>
        </w:tc>
      </w:tr>
      <w:tr>
        <w:tc>
          <w:tcPr/>
          <w:p>
            <w:pPr>
              <w:pStyle w:val="Compact"/>
              <w:jc w:val="left"/>
            </w:pPr>
            <w:r>
              <w:rPr>
                <w:b/>
                <w:bCs/>
              </w:rPr>
              <w:t xml:space="preserve">Free cash flow</w:t>
            </w:r>
          </w:p>
        </w:tc>
        <w:tc>
          <w:tcPr/>
          <w:p>
            <w:pPr>
              <w:pStyle w:val="Compact"/>
              <w:jc w:val="left"/>
            </w:pPr>
            <w:r>
              <w:rPr>
                <w:b/>
                <w:bCs/>
              </w:rPr>
              <w:t xml:space="preserve">2.8</w:t>
            </w:r>
          </w:p>
        </w:tc>
        <w:tc>
          <w:tcPr/>
          <w:p>
            <w:pPr>
              <w:pStyle w:val="Compact"/>
              <w:jc w:val="left"/>
            </w:pPr>
            <w:r>
              <w:rPr>
                <w:b/>
                <w:bCs/>
              </w:rPr>
              <w:t xml:space="preserve">2.9</w:t>
            </w:r>
          </w:p>
        </w:tc>
        <w:tc>
          <w:tcPr/>
          <w:p>
            <w:pPr>
              <w:pStyle w:val="Compact"/>
              <w:jc w:val="left"/>
            </w:pPr>
            <w:r>
              <w:rPr>
                <w:b/>
                <w:bCs/>
              </w:rPr>
              <w:t xml:space="preserve">3.3</w:t>
            </w:r>
          </w:p>
        </w:tc>
        <w:tc>
          <w:tcPr/>
          <w:p>
            <w:pPr>
              <w:pStyle w:val="Compact"/>
              <w:jc w:val="left"/>
            </w:pPr>
            <w:r>
              <w:rPr>
                <w:b/>
                <w:bCs/>
              </w:rPr>
              <w:t xml:space="preserve">2.8</w:t>
            </w:r>
          </w:p>
        </w:tc>
      </w:tr>
    </w:tbl>
    <w:p>
      <w:pPr>
        <w:pStyle w:val="BodyText"/>
      </w:pPr>
      <w:r>
        <w:t xml:space="preserve">FCF has been flat at ~$2.8–$3.3M for four years despite revenue growing 42%, because capex has outpaced operating cash flow. The CIM projects FCF expansion in FY2025E by cutting total capex to $4.5M (from $7.2M), but this relies on (a) growth capex normalizing to $1.5M and (b)</w:t>
      </w:r>
      <w:r>
        <w:t xml:space="preserve"> </w:t>
      </w:r>
      <w:r>
        <w:rPr>
          <w:b/>
          <w:bCs/>
        </w:rPr>
        <w:t xml:space="preserve">maintenance capex remaining at $3.0M (3.4% of revenue)</w:t>
      </w:r>
      <w:r>
        <w:t xml:space="preserve">.</w:t>
      </w:r>
    </w:p>
    <w:p>
      <w:pPr>
        <w:pStyle w:val="BodyText"/>
      </w:pPr>
      <w:r>
        <w:rPr>
          <w:b/>
          <w:bCs/>
        </w:rPr>
        <w:t xml:space="preserve">Maintenance capex is the single most important FCF risk.</w:t>
      </w:r>
      <w:r>
        <w:t xml:space="preserve"> </w:t>
      </w:r>
      <w:r>
        <w:t xml:space="preserve">The sector norm for environmental services companies of CES’s size and asset mix is</w:t>
      </w:r>
      <w:r>
        <w:t xml:space="preserve"> </w:t>
      </w:r>
      <w:r>
        <w:rPr>
          <w:b/>
          <w:bCs/>
        </w:rPr>
        <w:t xml:space="preserve">5–7% of revenue</w:t>
      </w:r>
      <w:r>
        <w:t xml:space="preserve"> </w:t>
      </w:r>
      <w:r>
        <w:t xml:space="preserve">($4.4M–$6.1M for CES), confirmed by Thornfield’s own portfolio: GreenWorks ran ~6.2% (after a pre-sale period that understated it to ~3.5%, with deferred maintenance surfacing post-close) and Allied Waste ~5.8%. CES’s stated 3.4% is 150–200 basis points below the sector floor and mirrors the GreenWorks pre-sale pattern exactly. The fleet is 82+ major units, ~4.5 years average age, with &gt;$22M replacement value.</w:t>
      </w:r>
    </w:p>
    <w:p>
      <w:pPr>
        <w:pStyle w:val="BodyText"/>
      </w:pPr>
      <w:r>
        <w:rPr>
          <w:b/>
          <w:bCs/>
        </w:rPr>
        <w:t xml:space="preserve">FCF sensitivity to maintenance capex (FY2024, holding growth capex at $4.2M):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Maintenance capex assumption</w:t>
            </w:r>
          </w:p>
        </w:tc>
        <w:tc>
          <w:tcPr/>
          <w:p>
            <w:pPr>
              <w:pStyle w:val="Compact"/>
              <w:jc w:val="left"/>
            </w:pPr>
            <w:r>
              <w:t xml:space="preserve">% of revenue</w:t>
            </w:r>
          </w:p>
        </w:tc>
        <w:tc>
          <w:tcPr/>
          <w:p>
            <w:pPr>
              <w:pStyle w:val="Compact"/>
              <w:jc w:val="left"/>
            </w:pPr>
            <w:r>
              <w:t xml:space="preserve">Total capex</w:t>
            </w:r>
          </w:p>
        </w:tc>
        <w:tc>
          <w:tcPr/>
          <w:p>
            <w:pPr>
              <w:pStyle w:val="Compact"/>
              <w:jc w:val="left"/>
            </w:pPr>
            <w:r>
              <w:t xml:space="preserve">FCF</w:t>
            </w:r>
          </w:p>
        </w:tc>
      </w:tr>
      <w:tr>
        <w:tc>
          <w:tcPr/>
          <w:p>
            <w:pPr>
              <w:pStyle w:val="Compact"/>
              <w:jc w:val="left"/>
            </w:pPr>
            <w:r>
              <w:t xml:space="preserve">CIM stated ($3.0M)</w:t>
            </w:r>
          </w:p>
        </w:tc>
        <w:tc>
          <w:tcPr/>
          <w:p>
            <w:pPr>
              <w:pStyle w:val="Compact"/>
              <w:jc w:val="left"/>
            </w:pPr>
            <w:r>
              <w:t xml:space="preserve">3.4%</w:t>
            </w:r>
          </w:p>
        </w:tc>
        <w:tc>
          <w:tcPr/>
          <w:p>
            <w:pPr>
              <w:pStyle w:val="Compact"/>
              <w:jc w:val="left"/>
            </w:pPr>
            <w:r>
              <w:t xml:space="preserve">$7.2M</w:t>
            </w:r>
          </w:p>
        </w:tc>
        <w:tc>
          <w:tcPr/>
          <w:p>
            <w:pPr>
              <w:pStyle w:val="Compact"/>
              <w:jc w:val="left"/>
            </w:pPr>
            <w:r>
              <w:t xml:space="preserve">$2.8M</w:t>
            </w:r>
          </w:p>
        </w:tc>
      </w:tr>
      <w:tr>
        <w:tc>
          <w:tcPr/>
          <w:p>
            <w:pPr>
              <w:pStyle w:val="Compact"/>
              <w:jc w:val="left"/>
            </w:pPr>
            <w:r>
              <w:t xml:space="preserve">Sector low ($4.4M)</w:t>
            </w:r>
          </w:p>
        </w:tc>
        <w:tc>
          <w:tcPr/>
          <w:p>
            <w:pPr>
              <w:pStyle w:val="Compact"/>
              <w:jc w:val="left"/>
            </w:pPr>
            <w:r>
              <w:t xml:space="preserve">5.0%</w:t>
            </w:r>
          </w:p>
        </w:tc>
        <w:tc>
          <w:tcPr/>
          <w:p>
            <w:pPr>
              <w:pStyle w:val="Compact"/>
              <w:jc w:val="left"/>
            </w:pPr>
            <w:r>
              <w:t xml:space="preserve">$8.6M</w:t>
            </w:r>
          </w:p>
        </w:tc>
        <w:tc>
          <w:tcPr/>
          <w:p>
            <w:pPr>
              <w:pStyle w:val="Compact"/>
              <w:jc w:val="left"/>
            </w:pPr>
            <w:r>
              <w:t xml:space="preserve">$1.4M</w:t>
            </w:r>
          </w:p>
        </w:tc>
      </w:tr>
      <w:tr>
        <w:tc>
          <w:tcPr/>
          <w:p>
            <w:pPr>
              <w:pStyle w:val="Compact"/>
              <w:jc w:val="left"/>
            </w:pPr>
            <w:r>
              <w:t xml:space="preserve">Sector midpoint ($5.5M)</w:t>
            </w:r>
          </w:p>
        </w:tc>
        <w:tc>
          <w:tcPr/>
          <w:p>
            <w:pPr>
              <w:pStyle w:val="Compact"/>
              <w:jc w:val="left"/>
            </w:pPr>
            <w:r>
              <w:t xml:space="preserve">6.3%</w:t>
            </w:r>
          </w:p>
        </w:tc>
        <w:tc>
          <w:tcPr/>
          <w:p>
            <w:pPr>
              <w:pStyle w:val="Compact"/>
              <w:jc w:val="left"/>
            </w:pPr>
            <w:r>
              <w:t xml:space="preserve">$9.7M</w:t>
            </w:r>
          </w:p>
        </w:tc>
        <w:tc>
          <w:tcPr/>
          <w:p>
            <w:pPr>
              <w:pStyle w:val="Compact"/>
              <w:jc w:val="left"/>
            </w:pPr>
            <w:r>
              <w:t xml:space="preserve">$0.3M</w:t>
            </w:r>
          </w:p>
        </w:tc>
      </w:tr>
      <w:tr>
        <w:tc>
          <w:tcPr/>
          <w:p>
            <w:pPr>
              <w:pStyle w:val="Compact"/>
              <w:jc w:val="left"/>
            </w:pPr>
            <w:r>
              <w:t xml:space="preserve">Sector high ($6.1M)</w:t>
            </w:r>
          </w:p>
        </w:tc>
        <w:tc>
          <w:tcPr/>
          <w:p>
            <w:pPr>
              <w:pStyle w:val="Compact"/>
              <w:jc w:val="left"/>
            </w:pPr>
            <w:r>
              <w:t xml:space="preserve">7.0%</w:t>
            </w:r>
          </w:p>
        </w:tc>
        <w:tc>
          <w:tcPr/>
          <w:p>
            <w:pPr>
              <w:pStyle w:val="Compact"/>
              <w:jc w:val="left"/>
            </w:pPr>
            <w:r>
              <w:t xml:space="preserve">$10.3M</w:t>
            </w:r>
          </w:p>
        </w:tc>
        <w:tc>
          <w:tcPr/>
          <w:p>
            <w:pPr>
              <w:pStyle w:val="Compact"/>
              <w:jc w:val="left"/>
            </w:pPr>
            <w:r>
              <w:t xml:space="preserve">$(0.3)M</w:t>
            </w:r>
          </w:p>
        </w:tc>
      </w:tr>
    </w:tbl>
    <w:p>
      <w:pPr>
        <w:pStyle w:val="BodyText"/>
      </w:pPr>
      <w:r>
        <w:t xml:space="preserve">If true maintenance capex is ~$5.5M,</w:t>
      </w:r>
      <w:r>
        <w:t xml:space="preserve"> </w:t>
      </w:r>
      <w:r>
        <w:rPr>
          <w:b/>
          <w:bCs/>
        </w:rPr>
        <w:t xml:space="preserve">~$2.5M of annual FCF evaporates</w:t>
      </w:r>
      <w:r>
        <w:t xml:space="preserve"> </w:t>
      </w:r>
      <w:r>
        <w:t xml:space="preserve">— more than the entire buy-side EBITDA adjustment debate combined. Over a five-year hold this is the dominant value driver and the most important item to nail down in early diligence (fleet age/condition assessment). It also constrains leverage: thin FCF limits debt service and therefore the leverage available to keep the equity check within Fund III’s target range.</w:t>
      </w:r>
    </w:p>
    <w:bookmarkEnd w:id="29"/>
    <w:bookmarkStart w:id="30" w:name="working-capital-and-dso"/>
    <w:p>
      <w:pPr>
        <w:pStyle w:val="Heading3"/>
      </w:pPr>
      <w:r>
        <w:t xml:space="preserve">5.5 Working Capital and DSO</w:t>
      </w:r>
    </w:p>
    <w:p>
      <w:pPr>
        <w:pStyle w:val="FirstParagraph"/>
      </w:pPr>
      <w:r>
        <w:t xml:space="preserve">Net working capital of $11.8M (13.5% of revenue) is within the 10–14% sector range.</w:t>
      </w:r>
      <w:r>
        <w:t xml:space="preserve"> </w:t>
      </w:r>
      <w:r>
        <w:rPr>
          <w:b/>
          <w:bCs/>
        </w:rPr>
        <w:t xml:space="preserve">However, the stated DSO of 52 days does not reconcile to the balance sheet: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DSO basis</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t xml:space="preserve">CIM stated</w:t>
            </w:r>
          </w:p>
        </w:tc>
        <w:tc>
          <w:tcPr/>
          <w:p>
            <w:pPr>
              <w:pStyle w:val="Compact"/>
              <w:jc w:val="left"/>
            </w:pPr>
            <w:r>
              <w:t xml:space="preserve">—</w:t>
            </w:r>
          </w:p>
        </w:tc>
        <w:tc>
          <w:tcPr/>
          <w:p>
            <w:pPr>
              <w:pStyle w:val="Compact"/>
              <w:jc w:val="left"/>
            </w:pPr>
            <w:r>
              <w:t xml:space="preserve">52 days</w:t>
            </w:r>
          </w:p>
        </w:tc>
      </w:tr>
      <w:tr>
        <w:tc>
          <w:tcPr/>
          <w:p>
            <w:pPr>
              <w:pStyle w:val="Compact"/>
              <w:jc w:val="left"/>
            </w:pPr>
            <w:r>
              <w:t xml:space="preserve">Balance-sheet AR / trailing revenue</w:t>
            </w:r>
          </w:p>
        </w:tc>
        <w:tc>
          <w:tcPr/>
          <w:p>
            <w:pPr>
              <w:pStyle w:val="Compact"/>
              <w:jc w:val="left"/>
            </w:pPr>
            <w:r>
              <w:t xml:space="preserve">$16.9M ÷ ($87.3M/365)</w:t>
            </w:r>
          </w:p>
        </w:tc>
        <w:tc>
          <w:tcPr/>
          <w:p>
            <w:pPr>
              <w:pStyle w:val="Compact"/>
              <w:jc w:val="left"/>
            </w:pPr>
            <w:r>
              <w:rPr>
                <w:b/>
                <w:bCs/>
              </w:rPr>
              <w:t xml:space="preserve">70.7 days</w:t>
            </w:r>
          </w:p>
        </w:tc>
      </w:tr>
      <w:tr>
        <w:tc>
          <w:tcPr/>
          <w:p>
            <w:pPr>
              <w:pStyle w:val="Compact"/>
              <w:jc w:val="left"/>
            </w:pPr>
            <w:r>
              <w:t xml:space="preserve">AR + unbilled revenue (per exhibits)</w:t>
            </w:r>
          </w:p>
        </w:tc>
        <w:tc>
          <w:tcPr/>
          <w:p>
            <w:pPr>
              <w:pStyle w:val="Compact"/>
              <w:jc w:val="left"/>
            </w:pPr>
            <w:r>
              <w:t xml:space="preserve">$19.6M ÷ ($87.3M/365)</w:t>
            </w:r>
          </w:p>
        </w:tc>
        <w:tc>
          <w:tcPr/>
          <w:p>
            <w:pPr>
              <w:pStyle w:val="Compact"/>
              <w:jc w:val="left"/>
            </w:pPr>
            <w:r>
              <w:rPr>
                <w:b/>
                <w:bCs/>
              </w:rPr>
              <w:t xml:space="preserve">81.9 days</w:t>
            </w:r>
          </w:p>
        </w:tc>
      </w:tr>
    </w:tbl>
    <w:p>
      <w:pPr>
        <w:pStyle w:val="BodyText"/>
      </w:pPr>
      <w:r>
        <w:t xml:space="preserve">The implied DSO is ~19–30 days longer than stated and</w:t>
      </w:r>
      <w:r>
        <w:t xml:space="preserve"> </w:t>
      </w:r>
      <w:r>
        <w:rPr>
          <w:b/>
          <w:bCs/>
        </w:rPr>
        <w:t xml:space="preserve">above</w:t>
      </w:r>
      <w:r>
        <w:t xml:space="preserve"> </w:t>
      </w:r>
      <w:r>
        <w:t xml:space="preserve">the 45–55 day sector norm — the opposite of the CIM’s</w:t>
      </w:r>
      <w:r>
        <w:t xml:space="preserve"> </w:t>
      </w:r>
      <w:r>
        <w:t xml:space="preserve">“</w:t>
      </w:r>
      <w:r>
        <w:t xml:space="preserve">industry-leading</w:t>
      </w:r>
      <w:r>
        <w:t xml:space="preserve">”</w:t>
      </w:r>
      <w:r>
        <w:t xml:space="preserve"> </w:t>
      </w:r>
      <w:r>
        <w:t xml:space="preserve">characterization. This is precisely the discrepancy the sector memo flagged (CIM-stated metrics sometimes reflect management’s</w:t>
      </w:r>
      <w:r>
        <w:t xml:space="preserve"> </w:t>
      </w:r>
      <w:r>
        <w:t xml:space="preserve">“</w:t>
      </w:r>
      <w:r>
        <w:t xml:space="preserve">normalized</w:t>
      </w:r>
      <w:r>
        <w:t xml:space="preserve">”</w:t>
      </w:r>
      <w:r>
        <w:t xml:space="preserve"> </w:t>
      </w:r>
      <w:r>
        <w:t xml:space="preserve">rather than actual period-end figures). It must be independently verified in QoE and will drive the working-capital peg at closing; a 19-day swing on $87.3M of revenue is ~$4.5M of working capital — material to the equity purchase price.</w:t>
      </w:r>
    </w:p>
    <w:p>
      <w:r>
        <w:pict>
          <v:rect style="width:0;height:1.5pt" o:hralign="center" o:hrstd="t" o:hr="t"/>
        </w:pict>
      </w:r>
    </w:p>
    <w:bookmarkEnd w:id="30"/>
    <w:bookmarkEnd w:id="31"/>
    <w:bookmarkStart w:id="42" w:name="risk-register-and-diligence-priorities"/>
    <w:p>
      <w:pPr>
        <w:pStyle w:val="Heading2"/>
      </w:pPr>
      <w:r>
        <w:t xml:space="preserve">6. Risk Register and Diligence Priorities</w:t>
      </w:r>
    </w:p>
    <w:p>
      <w:pPr>
        <w:pStyle w:val="FirstParagraph"/>
      </w:pPr>
      <w:r>
        <w:t xml:space="preserve">The risks below are ordered by materiality to value. Each maps to a specific diligence request (consolidated in Section 9).</w:t>
      </w:r>
    </w:p>
    <w:bookmarkStart w:id="32" w:name="pfas-projection-aggressiveness-high"/>
    <w:p>
      <w:pPr>
        <w:pStyle w:val="Heading3"/>
      </w:pPr>
      <w:r>
        <w:t xml:space="preserve">6.1 PFAS Projection Aggressiveness (HIGH)</w:t>
      </w:r>
    </w:p>
    <w:p>
      <w:pPr>
        <w:pStyle w:val="FirstParagraph"/>
      </w:pPr>
      <w:r>
        <w:t xml:space="preserve">The CIM projects PFAS revenue of $14.0M in FY2025E (+125.8%) and $22.0M in FY2026E (+57.1%). Sector analysts project 25–35%</w:t>
      </w:r>
      <w:r>
        <w:t xml:space="preserve"> </w:t>
      </w:r>
      <w:r>
        <w:rPr>
          <w:i/>
          <w:iCs/>
        </w:rPr>
        <w:t xml:space="preserve">market</w:t>
      </w:r>
      <w:r>
        <w:t xml:space="preserve"> </w:t>
      </w:r>
      <w:r>
        <w:t xml:space="preserve">growth, but company-level growth is constrained by licensed-engineer availability, specialized equipment capital, national-firm competition, and the pace at which regulation triggers</w:t>
      </w:r>
      <w:r>
        <w:t xml:space="preserve"> </w:t>
      </w:r>
      <w:r>
        <w:rPr>
          <w:i/>
          <w:iCs/>
        </w:rPr>
        <w:t xml:space="preserve">funded</w:t>
      </w:r>
      <w:r>
        <w:t xml:space="preserve"> </w:t>
      </w:r>
      <w:r>
        <w:t xml:space="preserve">remediation (versus investigation only). Thornfield’s direct analog — GreenWorks’ vapor-intrusion practice — moderated to ~35% annual growth once it crossed $5M, versus sell-side projections of 80%+. On that basis,</w:t>
      </w:r>
      <w:r>
        <w:t xml:space="preserve"> </w:t>
      </w:r>
      <w:r>
        <w:rPr>
          <w:b/>
          <w:bCs/>
        </w:rPr>
        <w:t xml:space="preserve">30–50% company-level growth is the realistic range</w:t>
      </w:r>
      <w:r>
        <w:t xml:space="preserve">, implying FY2025E PFAS of ~$8M–$9M, not $14.0M.</w:t>
      </w:r>
    </w:p>
    <w:p>
      <w:pPr>
        <w:pStyle w:val="BodyText"/>
      </w:pPr>
      <w:r>
        <w:t xml:space="preserve">Because PFAS is presented as carrying above-average margins and supplies 64% of incremental revenue, a shortfall cascades into both the revenue trajectory and the projected margin expansion from 19.6% to 21.5%.</w:t>
      </w:r>
      <w:r>
        <w:t xml:space="preserve"> </w:t>
      </w:r>
      <w:r>
        <w:rPr>
          <w:b/>
          <w:bCs/>
        </w:rPr>
        <w:t xml:space="preserve">The CIM does not disclose how much of the $14.0M FY2025E PFAS figure is contracted backlog versus pipeline assumption</w:t>
      </w:r>
      <w:r>
        <w:t xml:space="preserve"> </w:t>
      </w:r>
      <w:r>
        <w:t xml:space="preserve">— this breakout is the single most important commercial diligence request. A related capacity constraint: PE headcount fell from three to two in January 2025 (unreplaced), PFAS work requires PE oversight, and the environmental PE labor market runs 6–12 month recruitment cycles. Management’s PE hiring plan must be credible.</w:t>
      </w:r>
    </w:p>
    <w:bookmarkEnd w:id="32"/>
    <w:bookmarkStart w:id="33" w:name="maintenance-capex-fleet-condition-high"/>
    <w:p>
      <w:pPr>
        <w:pStyle w:val="Heading3"/>
      </w:pPr>
      <w:r>
        <w:t xml:space="preserve">6.2 Maintenance Capex / Fleet Condition (HIGH)</w:t>
      </w:r>
    </w:p>
    <w:p>
      <w:pPr>
        <w:pStyle w:val="FirstParagraph"/>
      </w:pPr>
      <w:r>
        <w:t xml:space="preserve">As detailed in Section 5.4, stated maintenance capex of 3.4% of revenue is materially below the 5–7% sector floor and replicates the GreenWorks pre-sale understatement pattern. A detailed fleet age, condition, and remaining-useful-life assessment is essential. If deferred maintenance is embedded in the fleet, the buyer inherits both elevated near-term capex and a working-capital-like cash drain that the CIM’s FCF projections do not reflect.</w:t>
      </w:r>
    </w:p>
    <w:bookmarkEnd w:id="33"/>
    <w:bookmarkStart w:id="34" w:name="ebitda-adjustment-defensibility-high"/>
    <w:p>
      <w:pPr>
        <w:pStyle w:val="Heading3"/>
      </w:pPr>
      <w:r>
        <w:t xml:space="preserve">6.3 EBITDA Adjustment Defensibility (HIGH)</w:t>
      </w:r>
    </w:p>
    <w:p>
      <w:pPr>
        <w:pStyle w:val="FirstParagraph"/>
      </w:pPr>
      <w:r>
        <w:t xml:space="preserve">The $4.7M of adjustments (28% of reported EBITDA) plus the $0.3M bridge gap (Section 5.2) mean the seller’s $17.1M headline is not reliable. The owner-compensation, related-party-lease, and regulatory add-backs each have specific weaknesses (Section 5.3). The related-party lease add-back is internally contradicted by the CIM’s own comparable-rent statement ($1.0M–$1.2M for specialized facilities vs. the $600K used for the add-back). The regulatory add-back treats a $1.2M DEQ matter as fully non-recurring when sector and portfolio evidence indicate a $200K–$500K recurring compliance run-rate. A full QoE by an independent provider is required.</w:t>
      </w:r>
    </w:p>
    <w:bookmarkEnd w:id="34"/>
    <w:bookmarkStart w:id="35" w:name="X23b2acd4288ef03ee37468d99f2ef6c4d89ee58"/>
    <w:p>
      <w:pPr>
        <w:pStyle w:val="Heading3"/>
      </w:pPr>
      <w:r>
        <w:t xml:space="preserve">6.4 Customer Concentration and Contract Renewal (MEDIUM-HIGH)</w:t>
      </w:r>
    </w:p>
    <w:p>
      <w:pPr>
        <w:pStyle w:val="FirstParagraph"/>
      </w:pPr>
      <w:r>
        <w:t xml:space="preserve">Top-10 customers = 71.0% of revenue; top-5 = 52.5%;</w:t>
      </w:r>
      <w:r>
        <w:t xml:space="preserve"> </w:t>
      </w:r>
      <w:r>
        <w:rPr>
          <w:b/>
          <w:bCs/>
        </w:rPr>
        <w:t xml:space="preserve">Pacific Northwest Refining Co. (PNR) alone = 21.4%</w:t>
      </w:r>
      <w:r>
        <w:t xml:space="preserve">. Concentration is declining (top-10: 74.3% → 71.0% over FY2021–FY2024), which is favorable, but two specific items demand attention:</w:t>
      </w:r>
    </w:p>
    <w:p>
      <w:pPr>
        <w:pStyle w:val="Compact"/>
        <w:numPr>
          <w:ilvl w:val="0"/>
          <w:numId w:val="1004"/>
        </w:numPr>
      </w:pPr>
      <w:r>
        <w:rPr>
          <w:b/>
          <w:bCs/>
        </w:rPr>
        <w:t xml:space="preserve">The PNR master service agreement expires March 31, 2025 — before the IOI deadline and roughly six months before a Q4 close.</w:t>
      </w:r>
      <w:r>
        <w:t xml:space="preserve"> </w:t>
      </w:r>
      <w:r>
        <w:t xml:space="preserve">Renewal status is a near-term, binary revenue risk on the single largest customer and must be confirmed before bidding. PNR is also the dominant contributor to the 25.7% oil &amp; gas/refining sector exposure, which is cyclical.</w:t>
      </w:r>
    </w:p>
    <w:p>
      <w:pPr>
        <w:pStyle w:val="Compact"/>
        <w:numPr>
          <w:ilvl w:val="0"/>
          <w:numId w:val="1004"/>
        </w:numPr>
      </w:pPr>
      <w:r>
        <w:rPr>
          <w:b/>
          <w:bCs/>
        </w:rPr>
        <w:t xml:space="preserve">Willamette Steel (5.6% of revenue) is on a month-to-month arrangement</w:t>
      </w:r>
      <w:r>
        <w:t xml:space="preserve">, adding variability.</w:t>
      </w:r>
    </w:p>
    <w:bookmarkEnd w:id="35"/>
    <w:bookmarkStart w:id="36" w:name="X327906bcf5bfe8c63b46d6d00e8fedd3fe88d87"/>
    <w:p>
      <w:pPr>
        <w:pStyle w:val="Heading3"/>
      </w:pPr>
      <w:r>
        <w:t xml:space="preserve">6.5 Data Integrity Across Documents (MEDIUM-HIGH)</w:t>
      </w:r>
    </w:p>
    <w:p>
      <w:pPr>
        <w:pStyle w:val="FirstParagraph"/>
      </w:pPr>
      <w:r>
        <w:t xml:space="preserve">Several disclosures conflict between the CIM and the Customer Summary and Backlog Report (both prepared by Greenleaf for the same transaction), and between the CIM’s summary financials and the Financial Exhibits. These are not cosmetic:</w:t>
      </w:r>
    </w:p>
    <w:p>
      <w:pPr>
        <w:pStyle w:val="BodyText"/>
      </w:pPr>
      <w:r>
        <w:rPr>
          <w:b/>
          <w:bCs/>
        </w:rPr>
        <w:t xml:space="preserve">(a) Customer names conflict.</w:t>
      </w:r>
      <w:r>
        <w:t xml:space="preserve"> </w:t>
      </w:r>
      <w:r>
        <w:t xml:space="preserve">The top-5 customers match, but</w:t>
      </w:r>
      <w:r>
        <w:t xml:space="preserve"> </w:t>
      </w:r>
      <w:r>
        <w:rPr>
          <w:b/>
          <w:bCs/>
        </w:rPr>
        <w:t xml:space="preserve">customers #6–#10 have entirely different names</w:t>
      </w:r>
      <w:r>
        <w:t xml:space="preserve"> </w:t>
      </w:r>
      <w:r>
        <w:t xml:space="preserve">in the two documents despite identical revenue and percentage figures: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CIM (Section V.B)</w:t>
            </w:r>
          </w:p>
        </w:tc>
        <w:tc>
          <w:tcPr/>
          <w:p>
            <w:pPr>
              <w:pStyle w:val="Compact"/>
              <w:jc w:val="left"/>
            </w:pPr>
            <w:r>
              <w:t xml:space="preserve">Backlog Report (Section 3.2)</w:t>
            </w:r>
          </w:p>
        </w:tc>
        <w:tc>
          <w:tcPr/>
          <w:p>
            <w:pPr>
              <w:pStyle w:val="Compact"/>
              <w:jc w:val="left"/>
            </w:pPr>
            <w:r>
              <w:t xml:space="preserve">$M / %</w:t>
            </w:r>
          </w:p>
        </w:tc>
      </w:tr>
      <w:tr>
        <w:tc>
          <w:tcPr/>
          <w:p>
            <w:pPr>
              <w:pStyle w:val="Compact"/>
              <w:jc w:val="left"/>
            </w:pPr>
            <w:r>
              <w:t xml:space="preserve">6</w:t>
            </w:r>
          </w:p>
        </w:tc>
        <w:tc>
          <w:tcPr/>
          <w:p>
            <w:pPr>
              <w:pStyle w:val="Compact"/>
              <w:jc w:val="left"/>
            </w:pPr>
            <w:r>
              <w:t xml:space="preserve">Cascade Terminals, Inc.</w:t>
            </w:r>
          </w:p>
        </w:tc>
        <w:tc>
          <w:tcPr/>
          <w:p>
            <w:pPr>
              <w:pStyle w:val="Compact"/>
              <w:jc w:val="left"/>
            </w:pPr>
            <w:r>
              <w:t xml:space="preserve">Clearwater Municipal Utility District</w:t>
            </w:r>
          </w:p>
        </w:tc>
        <w:tc>
          <w:tcPr/>
          <w:p>
            <w:pPr>
              <w:pStyle w:val="Compact"/>
              <w:jc w:val="left"/>
            </w:pPr>
            <w:r>
              <w:t xml:space="preserve">$3.8M / 4.4%</w:t>
            </w:r>
          </w:p>
        </w:tc>
      </w:tr>
      <w:tr>
        <w:tc>
          <w:tcPr/>
          <w:p>
            <w:pPr>
              <w:pStyle w:val="Compact"/>
              <w:jc w:val="left"/>
            </w:pPr>
            <w:r>
              <w:t xml:space="preserve">7</w:t>
            </w:r>
          </w:p>
        </w:tc>
        <w:tc>
          <w:tcPr/>
          <w:p>
            <w:pPr>
              <w:pStyle w:val="Compact"/>
              <w:jc w:val="left"/>
            </w:pPr>
            <w:r>
              <w:t xml:space="preserve">Puget Sound Utilities Group</w:t>
            </w:r>
          </w:p>
        </w:tc>
        <w:tc>
          <w:tcPr/>
          <w:p>
            <w:pPr>
              <w:pStyle w:val="Compact"/>
              <w:jc w:val="left"/>
            </w:pPr>
            <w:r>
              <w:t xml:space="preserve">Northshore Industrial Park</w:t>
            </w:r>
          </w:p>
        </w:tc>
        <w:tc>
          <w:tcPr/>
          <w:p>
            <w:pPr>
              <w:pStyle w:val="Compact"/>
              <w:jc w:val="left"/>
            </w:pPr>
            <w:r>
              <w:t xml:space="preserve">$3.6M / 4.1%</w:t>
            </w:r>
          </w:p>
        </w:tc>
      </w:tr>
      <w:tr>
        <w:tc>
          <w:tcPr/>
          <w:p>
            <w:pPr>
              <w:pStyle w:val="Compact"/>
              <w:jc w:val="left"/>
            </w:pPr>
            <w:r>
              <w:t xml:space="preserve">8</w:t>
            </w:r>
          </w:p>
        </w:tc>
        <w:tc>
          <w:tcPr/>
          <w:p>
            <w:pPr>
              <w:pStyle w:val="Compact"/>
              <w:jc w:val="left"/>
            </w:pPr>
            <w:r>
              <w:t xml:space="preserve">City of Portland — BES</w:t>
            </w:r>
          </w:p>
        </w:tc>
        <w:tc>
          <w:tcPr/>
          <w:p>
            <w:pPr>
              <w:pStyle w:val="Compact"/>
              <w:jc w:val="left"/>
            </w:pPr>
            <w:r>
              <w:t xml:space="preserve">Summit Materials Processing</w:t>
            </w:r>
          </w:p>
        </w:tc>
        <w:tc>
          <w:tcPr/>
          <w:p>
            <w:pPr>
              <w:pStyle w:val="Compact"/>
              <w:jc w:val="left"/>
            </w:pPr>
            <w:r>
              <w:t xml:space="preserve">$3.2M / 3.7%</w:t>
            </w:r>
          </w:p>
        </w:tc>
      </w:tr>
      <w:tr>
        <w:tc>
          <w:tcPr/>
          <w:p>
            <w:pPr>
              <w:pStyle w:val="Compact"/>
              <w:jc w:val="left"/>
            </w:pPr>
            <w:r>
              <w:t xml:space="preserve">9</w:t>
            </w:r>
          </w:p>
        </w:tc>
        <w:tc>
          <w:tcPr/>
          <w:p>
            <w:pPr>
              <w:pStyle w:val="Compact"/>
              <w:jc w:val="left"/>
            </w:pPr>
            <w:r>
              <w:t xml:space="preserve">Northern Pacific Rail Systems</w:t>
            </w:r>
          </w:p>
        </w:tc>
        <w:tc>
          <w:tcPr/>
          <w:p>
            <w:pPr>
              <w:pStyle w:val="Compact"/>
              <w:jc w:val="left"/>
            </w:pPr>
            <w:r>
              <w:t xml:space="preserve">Timberline Construction Group</w:t>
            </w:r>
          </w:p>
        </w:tc>
        <w:tc>
          <w:tcPr/>
          <w:p>
            <w:pPr>
              <w:pStyle w:val="Compact"/>
              <w:jc w:val="left"/>
            </w:pPr>
            <w:r>
              <w:t xml:space="preserve">$2.9M / 3.3%</w:t>
            </w:r>
          </w:p>
        </w:tc>
      </w:tr>
      <w:tr>
        <w:tc>
          <w:tcPr/>
          <w:p>
            <w:pPr>
              <w:pStyle w:val="Compact"/>
              <w:jc w:val="left"/>
            </w:pPr>
            <w:r>
              <w:t xml:space="preserve">10</w:t>
            </w:r>
          </w:p>
        </w:tc>
        <w:tc>
          <w:tcPr/>
          <w:p>
            <w:pPr>
              <w:pStyle w:val="Compact"/>
              <w:jc w:val="left"/>
            </w:pPr>
            <w:r>
              <w:t xml:space="preserve">Tidewater Chemical Corp.</w:t>
            </w:r>
          </w:p>
        </w:tc>
        <w:tc>
          <w:tcPr/>
          <w:p>
            <w:pPr>
              <w:pStyle w:val="Compact"/>
              <w:jc w:val="left"/>
            </w:pPr>
            <w:r>
              <w:t xml:space="preserve">Harborview Port Authority</w:t>
            </w:r>
          </w:p>
        </w:tc>
        <w:tc>
          <w:tcPr/>
          <w:p>
            <w:pPr>
              <w:pStyle w:val="Compact"/>
              <w:jc w:val="left"/>
            </w:pPr>
            <w:r>
              <w:t xml:space="preserve">$2.7M / 3.1%</w:t>
            </w:r>
          </w:p>
        </w:tc>
      </w:tr>
    </w:tbl>
    <w:p>
      <w:pPr>
        <w:pStyle w:val="BodyText"/>
      </w:pPr>
      <w:r>
        <w:t xml:space="preserve">Relationship start dates also conflict (e.g., PNR: CIM</w:t>
      </w:r>
      <w:r>
        <w:t xml:space="preserve"> </w:t>
      </w:r>
      <w:r>
        <w:t xml:space="preserve">“</w:t>
      </w:r>
      <w:r>
        <w:t xml:space="preserve">dating back to 2011</w:t>
      </w:r>
      <w:r>
        <w:t xml:space="preserve">”</w:t>
      </w:r>
      <w:r>
        <w:t xml:space="preserve"> </w:t>
      </w:r>
      <w:r>
        <w:t xml:space="preserve">vs. Backlog Report</w:t>
      </w:r>
      <w:r>
        <w:t xml:space="preserve"> </w:t>
      </w:r>
      <w:r>
        <w:t xml:space="preserve">“</w:t>
      </w:r>
      <w:r>
        <w:t xml:space="preserve">2012</w:t>
      </w:r>
      <w:r>
        <w:t xml:space="preserve">”</w:t>
      </w:r>
      <w:r>
        <w:t xml:space="preserve">; ODOT:</w:t>
      </w:r>
      <w:r>
        <w:t xml:space="preserve"> </w:t>
      </w:r>
      <w:r>
        <w:t xml:space="preserve">“</w:t>
      </w:r>
      <w:r>
        <w:t xml:space="preserve">2013</w:t>
      </w:r>
      <w:r>
        <w:t xml:space="preserve">”</w:t>
      </w:r>
      <w:r>
        <w:t xml:space="preserve"> </w:t>
      </w:r>
      <w:r>
        <w:t xml:space="preserve">vs. </w:t>
      </w:r>
      <w:r>
        <w:t xml:space="preserve">“</w:t>
      </w:r>
      <w:r>
        <w:t xml:space="preserve">2014</w:t>
      </w:r>
      <w:r>
        <w:t xml:space="preserve">”</w:t>
      </w:r>
      <w:r>
        <w:t xml:space="preserve">; Columbia Basin:</w:t>
      </w:r>
      <w:r>
        <w:t xml:space="preserve"> </w:t>
      </w:r>
      <w:r>
        <w:t xml:space="preserve">“</w:t>
      </w:r>
      <w:r>
        <w:t xml:space="preserve">2017</w:t>
      </w:r>
      <w:r>
        <w:t xml:space="preserve">”</w:t>
      </w:r>
      <w:r>
        <w:t xml:space="preserve"> </w:t>
      </w:r>
      <w:r>
        <w:t xml:space="preserve">vs. </w:t>
      </w:r>
      <w:r>
        <w:t xml:space="preserve">“</w:t>
      </w:r>
      <w:r>
        <w:t xml:space="preserve">2016</w:t>
      </w:r>
      <w:r>
        <w:t xml:space="preserve">”</w:t>
      </w:r>
      <w:r>
        <w:t xml:space="preserve">; Meridian:</w:t>
      </w:r>
      <w:r>
        <w:t xml:space="preserve"> </w:t>
      </w:r>
      <w:r>
        <w:t xml:space="preserve">“</w:t>
      </w:r>
      <w:r>
        <w:t xml:space="preserve">2014</w:t>
      </w:r>
      <w:r>
        <w:t xml:space="preserve">”</w:t>
      </w:r>
      <w:r>
        <w:t xml:space="preserve"> </w:t>
      </w:r>
      <w:r>
        <w:t xml:space="preserve">vs. </w:t>
      </w:r>
      <w:r>
        <w:t xml:space="preserve">“</w:t>
      </w:r>
      <w:r>
        <w:t xml:space="preserve">2017</w:t>
      </w:r>
      <w:r>
        <w:t xml:space="preserve">”</w:t>
      </w:r>
      <w:r>
        <w:t xml:space="preserve">), and the segments served for PNR differ (CIM:</w:t>
      </w:r>
      <w:r>
        <w:t xml:space="preserve"> </w:t>
      </w:r>
      <w:r>
        <w:t xml:space="preserve">“</w:t>
      </w:r>
      <w:r>
        <w:t xml:space="preserve">Industrial Cleaning, Remediation</w:t>
      </w:r>
      <w:r>
        <w:t xml:space="preserve">”</w:t>
      </w:r>
      <w:r>
        <w:t xml:space="preserve"> </w:t>
      </w:r>
      <w:r>
        <w:t xml:space="preserve">vs. Backlog:</w:t>
      </w:r>
      <w:r>
        <w:t xml:space="preserve"> </w:t>
      </w:r>
      <w:r>
        <w:t xml:space="preserve">“</w:t>
      </w:r>
      <w:r>
        <w:t xml:space="preserve">IC, ER</w:t>
      </w:r>
      <w:r>
        <w:t xml:space="preserve">”</w:t>
      </w:r>
      <w:r>
        <w:t xml:space="preserve">). Either set of names may be placeholder or erroneous; either way, the reliability of customer-level disclosure is in question and must be reconciled against the VDR contract list.</w:t>
      </w:r>
    </w:p>
    <w:p>
      <w:pPr>
        <w:pStyle w:val="BodyText"/>
      </w:pPr>
      <w:r>
        <w:rPr>
          <w:b/>
          <w:bCs/>
        </w:rPr>
        <w:t xml:space="preserve">(b) Financial statements do not reconcile.</w:t>
      </w:r>
      <w:r>
        <w:t xml:space="preserve"> </w:t>
      </w:r>
      <w:r>
        <w:t xml:space="preserve">The CIM’s summary financials (Appendix A / Section VI.D) differ materially from the Financial Exhibits: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FY2024 line item</w:t>
            </w:r>
          </w:p>
        </w:tc>
        <w:tc>
          <w:tcPr/>
          <w:p>
            <w:pPr>
              <w:pStyle w:val="Compact"/>
              <w:jc w:val="left"/>
            </w:pPr>
            <w:r>
              <w:t xml:space="preserve">CIM</w:t>
            </w:r>
          </w:p>
        </w:tc>
        <w:tc>
          <w:tcPr/>
          <w:p>
            <w:pPr>
              <w:pStyle w:val="Compact"/>
              <w:jc w:val="left"/>
            </w:pPr>
            <w:r>
              <w:t xml:space="preserve">Exhibits (xlsx)</w:t>
            </w:r>
          </w:p>
        </w:tc>
        <w:tc>
          <w:tcPr/>
          <w:p>
            <w:pPr>
              <w:pStyle w:val="Compact"/>
              <w:jc w:val="left"/>
            </w:pPr>
            <w:r>
              <w:t xml:space="preserve">Variance</w:t>
            </w:r>
          </w:p>
        </w:tc>
      </w:tr>
      <w:tr>
        <w:tc>
          <w:tcPr/>
          <w:p>
            <w:pPr>
              <w:pStyle w:val="Compact"/>
              <w:jc w:val="left"/>
            </w:pPr>
            <w:r>
              <w:t xml:space="preserve">Cost of revenue</w:t>
            </w:r>
          </w:p>
        </w:tc>
        <w:tc>
          <w:tcPr/>
          <w:p>
            <w:pPr>
              <w:pStyle w:val="Compact"/>
              <w:jc w:val="left"/>
            </w:pPr>
            <w:r>
              <w:t xml:space="preserve">($57.8M)</w:t>
            </w:r>
          </w:p>
        </w:tc>
        <w:tc>
          <w:tcPr/>
          <w:p>
            <w:pPr>
              <w:pStyle w:val="Compact"/>
              <w:jc w:val="left"/>
            </w:pPr>
            <w:r>
              <w:t xml:space="preserve">($58.5M)</w:t>
            </w:r>
          </w:p>
        </w:tc>
        <w:tc>
          <w:tcPr/>
          <w:p>
            <w:pPr>
              <w:pStyle w:val="Compact"/>
              <w:jc w:val="left"/>
            </w:pPr>
            <w:r>
              <w:t xml:space="preserve">$0.7M</w:t>
            </w:r>
          </w:p>
        </w:tc>
      </w:tr>
      <w:tr>
        <w:tc>
          <w:tcPr/>
          <w:p>
            <w:pPr>
              <w:pStyle w:val="Compact"/>
              <w:jc w:val="left"/>
            </w:pPr>
            <w:r>
              <w:t xml:space="preserve">Gross profit / margin</w:t>
            </w:r>
          </w:p>
        </w:tc>
        <w:tc>
          <w:tcPr/>
          <w:p>
            <w:pPr>
              <w:pStyle w:val="Compact"/>
              <w:jc w:val="left"/>
            </w:pPr>
            <w:r>
              <w:t xml:space="preserve">$29.5M / 33.8%</w:t>
            </w:r>
          </w:p>
        </w:tc>
        <w:tc>
          <w:tcPr/>
          <w:p>
            <w:pPr>
              <w:pStyle w:val="Compact"/>
              <w:jc w:val="left"/>
            </w:pPr>
            <w:r>
              <w:t xml:space="preserve">$28.8M / 33.0%</w:t>
            </w:r>
          </w:p>
        </w:tc>
        <w:tc>
          <w:tcPr/>
          <w:p>
            <w:pPr>
              <w:pStyle w:val="Compact"/>
              <w:jc w:val="left"/>
            </w:pPr>
            <w:r>
              <w:t xml:space="preserve">$0.7M / 0.8pp</w:t>
            </w:r>
          </w:p>
        </w:tc>
      </w:tr>
      <w:tr>
        <w:tc>
          <w:tcPr/>
          <w:p>
            <w:pPr>
              <w:pStyle w:val="Compact"/>
              <w:jc w:val="left"/>
            </w:pPr>
            <w:r>
              <w:t xml:space="preserve">Operating income</w:t>
            </w:r>
          </w:p>
        </w:tc>
        <w:tc>
          <w:tcPr/>
          <w:p>
            <w:pPr>
              <w:pStyle w:val="Compact"/>
              <w:jc w:val="left"/>
            </w:pPr>
            <w:r>
              <w:t xml:space="preserve">$7.8M</w:t>
            </w:r>
          </w:p>
        </w:tc>
        <w:tc>
          <w:tcPr/>
          <w:p>
            <w:pPr>
              <w:pStyle w:val="Compact"/>
              <w:jc w:val="left"/>
            </w:pPr>
            <w:r>
              <w:t xml:space="preserve">$11.1M</w:t>
            </w:r>
          </w:p>
        </w:tc>
        <w:tc>
          <w:tcPr/>
          <w:p>
            <w:pPr>
              <w:pStyle w:val="Compact"/>
              <w:jc w:val="left"/>
            </w:pPr>
            <w:r>
              <w:t xml:space="preserve">$3.3M</w:t>
            </w:r>
          </w:p>
        </w:tc>
      </w:tr>
      <w:tr>
        <w:tc>
          <w:tcPr/>
          <w:p>
            <w:pPr>
              <w:pStyle w:val="Compact"/>
              <w:jc w:val="left"/>
            </w:pPr>
            <w:r>
              <w:t xml:space="preserve">Net income</w:t>
            </w:r>
          </w:p>
        </w:tc>
        <w:tc>
          <w:tcPr/>
          <w:p>
            <w:pPr>
              <w:pStyle w:val="Compact"/>
              <w:jc w:val="left"/>
            </w:pPr>
            <w:r>
              <w:t xml:space="preserve">$5.0M</w:t>
            </w:r>
          </w:p>
        </w:tc>
        <w:tc>
          <w:tcPr/>
          <w:p>
            <w:pPr>
              <w:pStyle w:val="Compact"/>
              <w:jc w:val="left"/>
            </w:pPr>
            <w:r>
              <w:t xml:space="preserve">$6.7M</w:t>
            </w:r>
          </w:p>
        </w:tc>
        <w:tc>
          <w:tcPr/>
          <w:p>
            <w:pPr>
              <w:pStyle w:val="Compact"/>
              <w:jc w:val="left"/>
            </w:pPr>
            <w:r>
              <w:t xml:space="preserve">$1.7M (34%)</w:t>
            </w:r>
          </w:p>
        </w:tc>
      </w:tr>
      <w:tr>
        <w:tc>
          <w:tcPr/>
          <w:p>
            <w:pPr>
              <w:pStyle w:val="Compact"/>
              <w:jc w:val="left"/>
            </w:pPr>
            <w:r>
              <w:t xml:space="preserve">Cash</w:t>
            </w:r>
          </w:p>
        </w:tc>
        <w:tc>
          <w:tcPr/>
          <w:p>
            <w:pPr>
              <w:pStyle w:val="Compact"/>
              <w:jc w:val="left"/>
            </w:pPr>
            <w:r>
              <w:t xml:space="preserve">$2.3M</w:t>
            </w:r>
          </w:p>
        </w:tc>
        <w:tc>
          <w:tcPr/>
          <w:p>
            <w:pPr>
              <w:pStyle w:val="Compact"/>
              <w:jc w:val="left"/>
            </w:pPr>
            <w:r>
              <w:t xml:space="preserve">$4.1M</w:t>
            </w:r>
          </w:p>
        </w:tc>
        <w:tc>
          <w:tcPr/>
          <w:p>
            <w:pPr>
              <w:pStyle w:val="Compact"/>
              <w:jc w:val="left"/>
            </w:pPr>
            <w:r>
              <w:t xml:space="preserve">$1.8M</w:t>
            </w:r>
          </w:p>
        </w:tc>
      </w:tr>
      <w:tr>
        <w:tc>
          <w:tcPr/>
          <w:p>
            <w:pPr>
              <w:pStyle w:val="Compact"/>
              <w:jc w:val="left"/>
            </w:pPr>
            <w:r>
              <w:t xml:space="preserve">PP&amp;E, net</w:t>
            </w:r>
          </w:p>
        </w:tc>
        <w:tc>
          <w:tcPr/>
          <w:p>
            <w:pPr>
              <w:pStyle w:val="Compact"/>
              <w:jc w:val="left"/>
            </w:pPr>
            <w:r>
              <w:t xml:space="preserve">$18.7M</w:t>
            </w:r>
          </w:p>
        </w:tc>
        <w:tc>
          <w:tcPr/>
          <w:p>
            <w:pPr>
              <w:pStyle w:val="Compact"/>
              <w:jc w:val="left"/>
            </w:pPr>
            <w:r>
              <w:t xml:space="preserve">$21.3M</w:t>
            </w:r>
          </w:p>
        </w:tc>
        <w:tc>
          <w:tcPr/>
          <w:p>
            <w:pPr>
              <w:pStyle w:val="Compact"/>
              <w:jc w:val="left"/>
            </w:pPr>
            <w:r>
              <w:t xml:space="preserve">$2.6M</w:t>
            </w:r>
          </w:p>
        </w:tc>
      </w:tr>
      <w:tr>
        <w:tc>
          <w:tcPr/>
          <w:p>
            <w:pPr>
              <w:pStyle w:val="Compact"/>
              <w:jc w:val="left"/>
            </w:pPr>
            <w:r>
              <w:t xml:space="preserve">Goodwill &amp; intangibles</w:t>
            </w:r>
          </w:p>
        </w:tc>
        <w:tc>
          <w:tcPr/>
          <w:p>
            <w:pPr>
              <w:pStyle w:val="Compact"/>
              <w:jc w:val="left"/>
            </w:pPr>
            <w:r>
              <w:t xml:space="preserve">not presented</w:t>
            </w:r>
          </w:p>
        </w:tc>
        <w:tc>
          <w:tcPr/>
          <w:p>
            <w:pPr>
              <w:pStyle w:val="Compact"/>
              <w:jc w:val="left"/>
            </w:pPr>
            <w:r>
              <w:t xml:space="preserve">$2.5M</w:t>
            </w:r>
          </w:p>
        </w:tc>
        <w:tc>
          <w:tcPr/>
          <w:p>
            <w:pPr>
              <w:pStyle w:val="Compact"/>
              <w:jc w:val="left"/>
            </w:pPr>
            <w:r>
              <w:t xml:space="preserve">$2.5M (omitted)</w:t>
            </w:r>
          </w:p>
        </w:tc>
      </w:tr>
      <w:tr>
        <w:tc>
          <w:tcPr/>
          <w:p>
            <w:pPr>
              <w:pStyle w:val="Compact"/>
              <w:jc w:val="left"/>
            </w:pPr>
            <w:r>
              <w:t xml:space="preserve">Total assets</w:t>
            </w:r>
          </w:p>
        </w:tc>
        <w:tc>
          <w:tcPr/>
          <w:p>
            <w:pPr>
              <w:pStyle w:val="Compact"/>
              <w:jc w:val="left"/>
            </w:pPr>
            <w:r>
              <w:t xml:space="preserve">$46.1M</w:t>
            </w:r>
          </w:p>
        </w:tc>
        <w:tc>
          <w:tcPr/>
          <w:p>
            <w:pPr>
              <w:pStyle w:val="Compact"/>
              <w:jc w:val="left"/>
            </w:pPr>
            <w:r>
              <w:t xml:space="preserve">$50.0M</w:t>
            </w:r>
          </w:p>
        </w:tc>
        <w:tc>
          <w:tcPr/>
          <w:p>
            <w:pPr>
              <w:pStyle w:val="Compact"/>
              <w:jc w:val="left"/>
            </w:pPr>
            <w:r>
              <w:t xml:space="preserve">$3.9M</w:t>
            </w:r>
          </w:p>
        </w:tc>
      </w:tr>
      <w:tr>
        <w:tc>
          <w:tcPr/>
          <w:p>
            <w:pPr>
              <w:pStyle w:val="Compact"/>
              <w:jc w:val="left"/>
            </w:pPr>
            <w:r>
              <w:t xml:space="preserve">Total liabilities</w:t>
            </w:r>
          </w:p>
        </w:tc>
        <w:tc>
          <w:tcPr/>
          <w:p>
            <w:pPr>
              <w:pStyle w:val="Compact"/>
              <w:jc w:val="left"/>
            </w:pPr>
            <w:r>
              <w:t xml:space="preserve">$29.0M</w:t>
            </w:r>
          </w:p>
        </w:tc>
        <w:tc>
          <w:tcPr/>
          <w:p>
            <w:pPr>
              <w:pStyle w:val="Compact"/>
              <w:jc w:val="left"/>
            </w:pPr>
            <w:r>
              <w:t xml:space="preserve">$31.2M</w:t>
            </w:r>
          </w:p>
        </w:tc>
        <w:tc>
          <w:tcPr/>
          <w:p>
            <w:pPr>
              <w:pStyle w:val="Compact"/>
              <w:jc w:val="left"/>
            </w:pPr>
            <w:r>
              <w:t xml:space="preserve">$2.2M</w:t>
            </w:r>
          </w:p>
        </w:tc>
      </w:tr>
      <w:tr>
        <w:tc>
          <w:tcPr/>
          <w:p>
            <w:pPr>
              <w:pStyle w:val="Compact"/>
              <w:jc w:val="left"/>
            </w:pPr>
            <w:r>
              <w:t xml:space="preserve">Stockholders’ equity</w:t>
            </w:r>
          </w:p>
        </w:tc>
        <w:tc>
          <w:tcPr/>
          <w:p>
            <w:pPr>
              <w:pStyle w:val="Compact"/>
              <w:jc w:val="left"/>
            </w:pPr>
            <w:r>
              <w:t xml:space="preserve">$17.1M</w:t>
            </w:r>
          </w:p>
        </w:tc>
        <w:tc>
          <w:tcPr/>
          <w:p>
            <w:pPr>
              <w:pStyle w:val="Compact"/>
              <w:jc w:val="left"/>
            </w:pPr>
            <w:r>
              <w:t xml:space="preserve">$18.8M</w:t>
            </w:r>
          </w:p>
        </w:tc>
        <w:tc>
          <w:tcPr/>
          <w:p>
            <w:pPr>
              <w:pStyle w:val="Compact"/>
              <w:jc w:val="left"/>
            </w:pPr>
            <w:r>
              <w:t xml:space="preserve">$1.7M</w:t>
            </w:r>
          </w:p>
        </w:tc>
      </w:tr>
      <w:tr>
        <w:tc>
          <w:tcPr/>
          <w:p>
            <w:pPr>
              <w:pStyle w:val="Compact"/>
              <w:jc w:val="left"/>
            </w:pPr>
            <w:r>
              <w:t xml:space="preserve">Term loan (total)</w:t>
            </w:r>
          </w:p>
        </w:tc>
        <w:tc>
          <w:tcPr/>
          <w:p>
            <w:pPr>
              <w:pStyle w:val="Compact"/>
              <w:jc w:val="left"/>
            </w:pPr>
            <w:r>
              <w:t xml:space="preserve">$14.2M</w:t>
            </w:r>
          </w:p>
        </w:tc>
        <w:tc>
          <w:tcPr/>
          <w:p>
            <w:pPr>
              <w:pStyle w:val="Compact"/>
              <w:jc w:val="left"/>
            </w:pPr>
            <w:r>
              <w:t xml:space="preserve">$16.0M ($1.8M current + $14.2M LT)</w:t>
            </w:r>
          </w:p>
        </w:tc>
        <w:tc>
          <w:tcPr/>
          <w:p>
            <w:pPr>
              <w:pStyle w:val="Compact"/>
              <w:jc w:val="left"/>
            </w:pPr>
            <w:r>
              <w:t xml:space="preserve">$1.8M</w:t>
            </w:r>
          </w:p>
        </w:tc>
      </w:tr>
      <w:tr>
        <w:tc>
          <w:tcPr/>
          <w:p>
            <w:pPr>
              <w:pStyle w:val="Compact"/>
              <w:jc w:val="left"/>
            </w:pPr>
            <w:r>
              <w:t xml:space="preserve">Operating cash flow</w:t>
            </w:r>
          </w:p>
        </w:tc>
        <w:tc>
          <w:tcPr/>
          <w:p>
            <w:pPr>
              <w:pStyle w:val="Compact"/>
              <w:jc w:val="left"/>
            </w:pPr>
            <w:r>
              <w:t xml:space="preserve">$9.2M</w:t>
            </w:r>
          </w:p>
        </w:tc>
        <w:tc>
          <w:tcPr/>
          <w:p>
            <w:pPr>
              <w:pStyle w:val="Compact"/>
              <w:jc w:val="left"/>
            </w:pPr>
            <w:r>
              <w:t xml:space="preserve">$10.0M</w:t>
            </w:r>
          </w:p>
        </w:tc>
        <w:tc>
          <w:tcPr/>
          <w:p>
            <w:pPr>
              <w:pStyle w:val="Compact"/>
              <w:jc w:val="left"/>
            </w:pPr>
            <w:r>
              <w:t xml:space="preserve">$0.8M</w:t>
            </w:r>
          </w:p>
        </w:tc>
      </w:tr>
      <w:tr>
        <w:tc>
          <w:tcPr/>
          <w:p>
            <w:pPr>
              <w:pStyle w:val="Compact"/>
              <w:jc w:val="left"/>
            </w:pPr>
            <w:r>
              <w:t xml:space="preserve">Free cash flow</w:t>
            </w:r>
          </w:p>
        </w:tc>
        <w:tc>
          <w:tcPr/>
          <w:p>
            <w:pPr>
              <w:pStyle w:val="Compact"/>
              <w:jc w:val="left"/>
            </w:pPr>
            <w:r>
              <w:t xml:space="preserve">$2.0M</w:t>
            </w:r>
          </w:p>
        </w:tc>
        <w:tc>
          <w:tcPr/>
          <w:p>
            <w:pPr>
              <w:pStyle w:val="Compact"/>
              <w:jc w:val="left"/>
            </w:pPr>
            <w:r>
              <w:t xml:space="preserve">$2.8M</w:t>
            </w:r>
          </w:p>
        </w:tc>
        <w:tc>
          <w:tcPr/>
          <w:p>
            <w:pPr>
              <w:pStyle w:val="Compact"/>
              <w:jc w:val="left"/>
            </w:pPr>
            <w:r>
              <w:t xml:space="preserve">$0.8M</w:t>
            </w:r>
          </w:p>
        </w:tc>
      </w:tr>
    </w:tbl>
    <w:p>
      <w:pPr>
        <w:pStyle w:val="BodyText"/>
      </w:pPr>
      <w:r>
        <w:t xml:space="preserve">The exhibits also contain an</w:t>
      </w:r>
      <w:r>
        <w:t xml:space="preserve"> </w:t>
      </w:r>
      <w:r>
        <w:rPr>
          <w:b/>
          <w:bCs/>
        </w:rPr>
        <w:t xml:space="preserve">internal inconsistency</w:t>
      </w:r>
      <w:r>
        <w:t xml:space="preserve">: Operating Income ($11.1M) + D&amp;A ($4.2M) = $15.3M, which does not equal the stated Reported EBITDA of $12.1M — suggesting the EBITDA line was hardcoded from the audited summary without reconciling to the model’s own P&amp;L build. The CIM’s gross margins are systematically ~0.8–1.0pp higher than the exhibits across all historical years. Segment-level history also differs (e.g., FY2021 remediation: CIM $34.1M vs. exhibits $34.8M), though segment totals tie to revenue.</w:t>
      </w:r>
      <w:r>
        <w:t xml:space="preserve"> </w:t>
      </w:r>
      <w:r>
        <w:rPr>
          <w:b/>
          <w:bCs/>
        </w:rPr>
        <w:t xml:space="preserve">All of these must be reconciled to the audited financials in QoE.</w:t>
      </w:r>
      <w:r>
        <w:t xml:space="preserve"> </w:t>
      </w:r>
      <w:r>
        <w:t xml:space="preserve">The net-income/equity discrepancy ($1.7M) is particularly concerning as it flows into retained earnings and the equity bridge.</w:t>
      </w:r>
    </w:p>
    <w:p>
      <w:pPr>
        <w:pStyle w:val="BodyText"/>
      </w:pPr>
      <w:r>
        <w:rPr>
          <w:b/>
          <w:bCs/>
        </w:rPr>
        <w:t xml:space="preserve">(c) Geographic mix.</w:t>
      </w:r>
      <w:r>
        <w:t xml:space="preserve"> </w:t>
      </w:r>
      <w:r>
        <w:t xml:space="preserve">The CIM states</w:t>
      </w:r>
      <w:r>
        <w:t xml:space="preserve"> </w:t>
      </w:r>
      <w:r>
        <w:t xml:space="preserve">“</w:t>
      </w:r>
      <w:r>
        <w:t xml:space="preserve">~75% of revenue in Oregon and Washington</w:t>
      </w:r>
      <w:r>
        <w:t xml:space="preserve">”</w:t>
      </w:r>
      <w:r>
        <w:t xml:space="preserve">; the Backlog Report’s state detail shows</w:t>
      </w:r>
      <w:r>
        <w:t xml:space="preserve"> </w:t>
      </w:r>
      <w:r>
        <w:rPr>
          <w:b/>
          <w:bCs/>
        </w:rPr>
        <w:t xml:space="preserve">82.3%</w:t>
      </w:r>
      <w:r>
        <w:t xml:space="preserve"> </w:t>
      </w:r>
      <w:r>
        <w:t xml:space="preserve">(OR 54.5% + WA 27.8%). The CIM understates Oregon/Washington concentration by ~7 points, which bears on geographic risk and the PNR/Willamette concentration in Portland.</w:t>
      </w:r>
    </w:p>
    <w:bookmarkEnd w:id="36"/>
    <w:bookmarkStart w:id="37" w:name="X1f1ad1440ccda2c99971706ae85837724ce6c34"/>
    <w:p>
      <w:pPr>
        <w:pStyle w:val="Heading3"/>
      </w:pPr>
      <w:r>
        <w:t xml:space="preserve">6.6 Key-Person and Management-Transition Risk (MEDIUM)</w:t>
      </w:r>
    </w:p>
    <w:p>
      <w:pPr>
        <w:pStyle w:val="FirstParagraph"/>
      </w:pPr>
      <w:r>
        <w:t xml:space="preserve">Mr. Oakes (68% equity, all strategic/financial/operational decisions) exits within 18–24 months. Janet Prewitt (18-year tenure, owns remediation operations and key client relationships) is the operational keystone and is not equity-aligned beyond the phantom plan — which</w:t>
      </w:r>
      <w:r>
        <w:t xml:space="preserve"> </w:t>
      </w:r>
      <w:r>
        <w:rPr>
          <w:b/>
          <w:bCs/>
        </w:rPr>
        <w:t xml:space="preserve">cashes out at closing</w:t>
      </w:r>
      <w:r>
        <w:t xml:space="preserve">, eliminating its retention effect for her and the other senior managers. Thornfield’s GreenWorks experience is directly on point: the lead project manager departed within six months of close, and retention agreements should have been a closing condition. Retention packages (cash and/or new equity) for Prewitt, Cahill, Fontaine, and Stovall should be a condition of closing, and the phantom-plan payout amount and recipient list must be quantified.</w:t>
      </w:r>
    </w:p>
    <w:bookmarkEnd w:id="37"/>
    <w:bookmarkStart w:id="38" w:name="X9cc1fe122722f77fe2fd0d7b44c7edcf77a9a41"/>
    <w:p>
      <w:pPr>
        <w:pStyle w:val="Heading3"/>
      </w:pPr>
      <w:r>
        <w:t xml:space="preserve">6.7 Real Estate / Related-Party Continuation (MEDIUM)</w:t>
      </w:r>
    </w:p>
    <w:p>
      <w:pPr>
        <w:pStyle w:val="FirstParagraph"/>
      </w:pPr>
      <w:r>
        <w:t xml:space="preserve">The HQ is owned by Mr. Oakes and leased at $1.4M through 2029. Post-close the buyer must either (i) continue leasing from the seller-landlord at a to-be-negotiated rate, (ii) purchase the property at fair market value (additional capital), or (iii) relocate (disruptive and costly for a purpose-built environmental yard). The CIM’s $0.8M lease add-back assumes $600K market rent, but its own Section IV.C cites $1.0M–$1.2M for comparable specialized facilities — so the buyer’s likely ongoing occupancy cost is higher than the</w:t>
      </w:r>
      <w:r>
        <w:t xml:space="preserve"> </w:t>
      </w:r>
      <w:r>
        <w:t xml:space="preserve">“</w:t>
      </w:r>
      <w:r>
        <w:t xml:space="preserve">normalized</w:t>
      </w:r>
      <w:r>
        <w:t xml:space="preserve">”</w:t>
      </w:r>
      <w:r>
        <w:t xml:space="preserve"> </w:t>
      </w:r>
      <w:r>
        <w:t xml:space="preserve">figure used to inflate EBITDA. An independent market-rent appraisal and a clear real-estate decision are required before final bid.</w:t>
      </w:r>
    </w:p>
    <w:bookmarkEnd w:id="38"/>
    <w:bookmarkStart w:id="39" w:name="regulatorycompliance-history-medium"/>
    <w:p>
      <w:pPr>
        <w:pStyle w:val="Heading3"/>
      </w:pPr>
      <w:r>
        <w:t xml:space="preserve">6.8 Regulatory/Compliance History (MEDIUM)</w:t>
      </w:r>
    </w:p>
    <w:p>
      <w:pPr>
        <w:pStyle w:val="FirstParagraph"/>
      </w:pPr>
      <w:r>
        <w:t xml:space="preserve">The August 2024 Oregon DEQ enforcement action ($875K settlement + $325K legal) is presented as fully isolated and resolved. Oregon DEQ enforcement has been increasing sector-wide. A full ten-year regulatory enforcement history is required to assess whether this is truly isolated or symptomatic, and to set the appropriate recurring compliance run-rate (Section 5.3). The DEQ matter did not affect the contractor license, which is favorable, but the underlying issue (improper storage of contaminated soils at the Portland facility) relates directly to core operations.</w:t>
      </w:r>
    </w:p>
    <w:bookmarkEnd w:id="39"/>
    <w:bookmarkStart w:id="40" w:name="cyclical-end-market-exposure-medium"/>
    <w:p>
      <w:pPr>
        <w:pStyle w:val="Heading3"/>
      </w:pPr>
      <w:r>
        <w:t xml:space="preserve">6.9 Cyclical End-Market Exposure (MEDIUM)</w:t>
      </w:r>
    </w:p>
    <w:p>
      <w:pPr>
        <w:pStyle w:val="FirstParagraph"/>
      </w:pPr>
      <w:r>
        <w:t xml:space="preserve">Oil &amp; gas/refining (25.7%), manufacturing (16.7%), and forest products/metals exposure introduce cyclicality. Refining turnaround cleaning is recurring but volume-correlated to refinery utilization; steel and lumber exposure (Willamette Steel, Meridian Lumber &amp; Paper) is cyclical. These should be stress-tested under a downside scenario, particularly given PNR concentration.</w:t>
      </w:r>
    </w:p>
    <w:bookmarkEnd w:id="40"/>
    <w:bookmarkStart w:id="41" w:name="fund-mandate-check-size-low-medium"/>
    <w:p>
      <w:pPr>
        <w:pStyle w:val="Heading3"/>
      </w:pPr>
      <w:r>
        <w:t xml:space="preserve">6.10 Fund Mandate / Check Size (LOW-MEDIUM)</w:t>
      </w:r>
    </w:p>
    <w:p>
      <w:pPr>
        <w:pStyle w:val="FirstParagraph"/>
      </w:pPr>
      <w:r>
        <w:t xml:space="preserve">The sector memo characterizes CES as fitting Fund III’s parameters. At the buy-side adjusted valuation (~$120M–$145M EV), and assuming ~3.0x leverage on ~$15.4M EBITDA (~$46M debt), the equity check is ~$74M–$99M — within a $30M–$100M equity-check range. At the CIM’s ask ($137M–$171M+), the equity check rises to ~$90M–$125M+, potentially requiring co-investment or syndication. The deal team should confirm IC appetite and whether a single platform of this size is consistent with Fund III’s concentration limits. Thin FCF may also cap leverage below 3.0x, pushing the equity check up.</w:t>
      </w:r>
    </w:p>
    <w:p>
      <w:r>
        <w:pict>
          <v:rect style="width:0;height:1.5pt" o:hralign="center" o:hrstd="t" o:hr="t"/>
        </w:pict>
      </w:r>
    </w:p>
    <w:bookmarkEnd w:id="41"/>
    <w:bookmarkEnd w:id="42"/>
    <w:bookmarkStart w:id="47" w:name="valuation-analysis"/>
    <w:p>
      <w:pPr>
        <w:pStyle w:val="Heading2"/>
      </w:pPr>
      <w:r>
        <w:t xml:space="preserve">7. Valuation Analysis</w:t>
      </w:r>
    </w:p>
    <w:bookmarkStart w:id="43" w:name="multiple-benchmark"/>
    <w:p>
      <w:pPr>
        <w:pStyle w:val="Heading3"/>
      </w:pPr>
      <w:r>
        <w:t xml:space="preserve">7.1 Multiple Benchmark</w:t>
      </w:r>
    </w:p>
    <w:p>
      <w:pPr>
        <w:pStyle w:val="FirstParagraph"/>
      </w:pPr>
      <w:r>
        <w:t xml:space="preserve">The 8.0x–10.0x Adjusted EBITDA range cited by Greenleaf is corroborated by the Thornfield sector memo for well-positioned environmental services platforms and is reasonable as a sector range.</w:t>
      </w:r>
      <w:r>
        <w:t xml:space="preserve"> </w:t>
      </w:r>
      <w:r>
        <w:rPr>
          <w:b/>
          <w:bCs/>
        </w:rPr>
        <w:t xml:space="preserve">However, the appropriate multiple for CES should reflect its risk profile</w:t>
      </w:r>
      <w:r>
        <w:t xml:space="preserve"> </w:t>
      </w:r>
      <w:r>
        <w:t xml:space="preserve">(single-customer concentration, key-person transition, capex quality uncertainty, PFAS execution risk, and adjustment defensibility), which argues for the</w:t>
      </w:r>
      <w:r>
        <w:t xml:space="preserve"> </w:t>
      </w:r>
      <w:r>
        <w:rPr>
          <w:b/>
          <w:bCs/>
        </w:rPr>
        <w:t xml:space="preserve">middle-to-lower end (8.0x–9.0x)</w:t>
      </w:r>
      <w:r>
        <w:t xml:space="preserve"> </w:t>
      </w:r>
      <w:r>
        <w:t xml:space="preserve">on a</w:t>
      </w:r>
      <w:r>
        <w:t xml:space="preserve"> </w:t>
      </w:r>
      <w:r>
        <w:rPr>
          <w:i/>
          <w:iCs/>
        </w:rPr>
        <w:t xml:space="preserve">quality-adjusted</w:t>
      </w:r>
      <w:r>
        <w:t xml:space="preserve"> </w:t>
      </w:r>
      <w:r>
        <w:t xml:space="preserve">EBITDA base — not the top end on the seller’s adjusted base that the CIM advocates.</w:t>
      </w:r>
    </w:p>
    <w:bookmarkEnd w:id="43"/>
    <w:bookmarkStart w:id="44" w:name="valuation-matrix"/>
    <w:p>
      <w:pPr>
        <w:pStyle w:val="Heading3"/>
      </w:pPr>
      <w:r>
        <w:t xml:space="preserve">7.2 Valuation Matrix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EBITDA basis</w:t>
            </w:r>
          </w:p>
        </w:tc>
        <w:tc>
          <w:tcPr/>
          <w:p>
            <w:pPr>
              <w:pStyle w:val="Compact"/>
              <w:jc w:val="left"/>
            </w:pPr>
            <w:r>
              <w:t xml:space="preserve">EBITDA ($M)</w:t>
            </w:r>
          </w:p>
        </w:tc>
        <w:tc>
          <w:tcPr/>
          <w:p>
            <w:pPr>
              <w:pStyle w:val="Compact"/>
              <w:jc w:val="left"/>
            </w:pPr>
            <w:r>
              <w:t xml:space="preserve">8.0x</w:t>
            </w:r>
          </w:p>
        </w:tc>
        <w:tc>
          <w:tcPr/>
          <w:p>
            <w:pPr>
              <w:pStyle w:val="Compact"/>
              <w:jc w:val="left"/>
            </w:pPr>
            <w:r>
              <w:t xml:space="preserve">9.0x</w:t>
            </w:r>
          </w:p>
        </w:tc>
        <w:tc>
          <w:tcPr/>
          <w:p>
            <w:pPr>
              <w:pStyle w:val="Compact"/>
              <w:jc w:val="left"/>
            </w:pPr>
            <w:r>
              <w:t xml:space="preserve">10.0x</w:t>
            </w:r>
          </w:p>
        </w:tc>
      </w:tr>
      <w:tr>
        <w:tc>
          <w:tcPr/>
          <w:p>
            <w:pPr>
              <w:pStyle w:val="Compact"/>
              <w:jc w:val="left"/>
            </w:pPr>
            <w:r>
              <w:t xml:space="preserve">Reported (no add-backs)</w:t>
            </w:r>
          </w:p>
        </w:tc>
        <w:tc>
          <w:tcPr/>
          <w:p>
            <w:pPr>
              <w:pStyle w:val="Compact"/>
              <w:jc w:val="left"/>
            </w:pPr>
            <w:r>
              <w:t xml:space="preserve">12.1</w:t>
            </w:r>
          </w:p>
        </w:tc>
        <w:tc>
          <w:tcPr/>
          <w:p>
            <w:pPr>
              <w:pStyle w:val="Compact"/>
              <w:jc w:val="left"/>
            </w:pPr>
            <w:r>
              <w:t xml:space="preserve">$96.8M</w:t>
            </w:r>
          </w:p>
        </w:tc>
        <w:tc>
          <w:tcPr/>
          <w:p>
            <w:pPr>
              <w:pStyle w:val="Compact"/>
              <w:jc w:val="left"/>
            </w:pPr>
            <w:r>
              <w:t xml:space="preserve">$108.9M</w:t>
            </w:r>
          </w:p>
        </w:tc>
        <w:tc>
          <w:tcPr/>
          <w:p>
            <w:pPr>
              <w:pStyle w:val="Compact"/>
              <w:jc w:val="left"/>
            </w:pPr>
            <w:r>
              <w:t xml:space="preserve">$121.0M</w:t>
            </w:r>
          </w:p>
        </w:tc>
      </w:tr>
      <w:tr>
        <w:tc>
          <w:tcPr/>
          <w:p>
            <w:pPr>
              <w:pStyle w:val="Compact"/>
              <w:jc w:val="left"/>
            </w:pPr>
            <w:r>
              <w:t xml:space="preserve">Buy-side adjusted (low)</w:t>
            </w:r>
          </w:p>
        </w:tc>
        <w:tc>
          <w:tcPr/>
          <w:p>
            <w:pPr>
              <w:pStyle w:val="Compact"/>
              <w:jc w:val="left"/>
            </w:pPr>
            <w:r>
              <w:t xml:space="preserve">14.9</w:t>
            </w:r>
          </w:p>
        </w:tc>
        <w:tc>
          <w:tcPr/>
          <w:p>
            <w:pPr>
              <w:pStyle w:val="Compact"/>
              <w:jc w:val="left"/>
            </w:pPr>
            <w:r>
              <w:t xml:space="preserve">$119.2M</w:t>
            </w:r>
          </w:p>
        </w:tc>
        <w:tc>
          <w:tcPr/>
          <w:p>
            <w:pPr>
              <w:pStyle w:val="Compact"/>
              <w:jc w:val="left"/>
            </w:pPr>
            <w:r>
              <w:t xml:space="preserve">$134.1M</w:t>
            </w:r>
          </w:p>
        </w:tc>
        <w:tc>
          <w:tcPr/>
          <w:p>
            <w:pPr>
              <w:pStyle w:val="Compact"/>
              <w:jc w:val="left"/>
            </w:pPr>
            <w:r>
              <w:t xml:space="preserve">$149.0M</w:t>
            </w:r>
          </w:p>
        </w:tc>
      </w:tr>
      <w:tr>
        <w:tc>
          <w:tcPr/>
          <w:p>
            <w:pPr>
              <w:pStyle w:val="Compact"/>
              <w:jc w:val="left"/>
            </w:pPr>
            <w:r>
              <w:t xml:space="preserve">Buy-side adjusted (mid)</w:t>
            </w:r>
          </w:p>
        </w:tc>
        <w:tc>
          <w:tcPr/>
          <w:p>
            <w:pPr>
              <w:pStyle w:val="Compact"/>
              <w:jc w:val="left"/>
            </w:pPr>
            <w:r>
              <w:t xml:space="preserve">15.4</w:t>
            </w:r>
          </w:p>
        </w:tc>
        <w:tc>
          <w:tcPr/>
          <w:p>
            <w:pPr>
              <w:pStyle w:val="Compact"/>
              <w:jc w:val="left"/>
            </w:pPr>
            <w:r>
              <w:t xml:space="preserve">$123.2M</w:t>
            </w:r>
          </w:p>
        </w:tc>
        <w:tc>
          <w:tcPr/>
          <w:p>
            <w:pPr>
              <w:pStyle w:val="Compact"/>
              <w:jc w:val="left"/>
            </w:pPr>
            <w:r>
              <w:t xml:space="preserve">$138.6M</w:t>
            </w:r>
          </w:p>
        </w:tc>
        <w:tc>
          <w:tcPr/>
          <w:p>
            <w:pPr>
              <w:pStyle w:val="Compact"/>
              <w:jc w:val="left"/>
            </w:pPr>
            <w:r>
              <w:t xml:space="preserve">$154.0M</w:t>
            </w:r>
          </w:p>
        </w:tc>
      </w:tr>
      <w:tr>
        <w:tc>
          <w:tcPr/>
          <w:p>
            <w:pPr>
              <w:pStyle w:val="Compact"/>
              <w:jc w:val="left"/>
            </w:pPr>
            <w:r>
              <w:t xml:space="preserve">Buy-side adjusted (high)</w:t>
            </w:r>
          </w:p>
        </w:tc>
        <w:tc>
          <w:tcPr/>
          <w:p>
            <w:pPr>
              <w:pStyle w:val="Compact"/>
              <w:jc w:val="left"/>
            </w:pPr>
            <w:r>
              <w:t xml:space="preserve">15.9</w:t>
            </w:r>
          </w:p>
        </w:tc>
        <w:tc>
          <w:tcPr/>
          <w:p>
            <w:pPr>
              <w:pStyle w:val="Compact"/>
              <w:jc w:val="left"/>
            </w:pPr>
            <w:r>
              <w:t xml:space="preserve">$127.2M</w:t>
            </w:r>
          </w:p>
        </w:tc>
        <w:tc>
          <w:tcPr/>
          <w:p>
            <w:pPr>
              <w:pStyle w:val="Compact"/>
              <w:jc w:val="left"/>
            </w:pPr>
            <w:r>
              <w:t xml:space="preserve">$143.1M</w:t>
            </w:r>
          </w:p>
        </w:tc>
        <w:tc>
          <w:tcPr/>
          <w:p>
            <w:pPr>
              <w:pStyle w:val="Compact"/>
              <w:jc w:val="left"/>
            </w:pPr>
            <w:r>
              <w:t xml:space="preserve">$159.0M</w:t>
            </w:r>
          </w:p>
        </w:tc>
      </w:tr>
      <w:tr>
        <w:tc>
          <w:tcPr/>
          <w:p>
            <w:pPr>
              <w:pStyle w:val="Compact"/>
              <w:jc w:val="left"/>
            </w:pPr>
            <w:r>
              <w:t xml:space="preserve">CIM adjusted (LTM)</w:t>
            </w:r>
          </w:p>
        </w:tc>
        <w:tc>
          <w:tcPr/>
          <w:p>
            <w:pPr>
              <w:pStyle w:val="Compact"/>
              <w:jc w:val="left"/>
            </w:pPr>
            <w:r>
              <w:t xml:space="preserve">17.1</w:t>
            </w:r>
          </w:p>
        </w:tc>
        <w:tc>
          <w:tcPr/>
          <w:p>
            <w:pPr>
              <w:pStyle w:val="Compact"/>
              <w:jc w:val="left"/>
            </w:pPr>
            <w:r>
              <w:t xml:space="preserve">$136.8M</w:t>
            </w:r>
          </w:p>
        </w:tc>
        <w:tc>
          <w:tcPr/>
          <w:p>
            <w:pPr>
              <w:pStyle w:val="Compact"/>
              <w:jc w:val="left"/>
            </w:pPr>
            <w:r>
              <w:t xml:space="preserve">$153.9M</w:t>
            </w:r>
          </w:p>
        </w:tc>
        <w:tc>
          <w:tcPr/>
          <w:p>
            <w:pPr>
              <w:pStyle w:val="Compact"/>
              <w:jc w:val="left"/>
            </w:pPr>
            <w:r>
              <w:t xml:space="preserve">$171.0M</w:t>
            </w:r>
          </w:p>
        </w:tc>
      </w:tr>
      <w:tr>
        <w:tc>
          <w:tcPr/>
          <w:p>
            <w:pPr>
              <w:pStyle w:val="Compact"/>
              <w:jc w:val="left"/>
            </w:pPr>
            <w:r>
              <w:t xml:space="preserve">CIM adjusted (FY2025E)</w:t>
            </w:r>
          </w:p>
        </w:tc>
        <w:tc>
          <w:tcPr/>
          <w:p>
            <w:pPr>
              <w:pStyle w:val="Compact"/>
              <w:jc w:val="left"/>
            </w:pPr>
            <w:r>
              <w:t xml:space="preserve">19.7</w:t>
            </w:r>
          </w:p>
        </w:tc>
        <w:tc>
          <w:tcPr/>
          <w:p>
            <w:pPr>
              <w:pStyle w:val="Compact"/>
              <w:jc w:val="left"/>
            </w:pPr>
            <w:r>
              <w:t xml:space="preserve">$157.6M</w:t>
            </w:r>
          </w:p>
        </w:tc>
        <w:tc>
          <w:tcPr/>
          <w:p>
            <w:pPr>
              <w:pStyle w:val="Compact"/>
              <w:jc w:val="left"/>
            </w:pPr>
            <w:r>
              <w:t xml:space="preserve">$177.3M</w:t>
            </w:r>
          </w:p>
        </w:tc>
        <w:tc>
          <w:tcPr/>
          <w:p>
            <w:pPr>
              <w:pStyle w:val="Compact"/>
              <w:jc w:val="left"/>
            </w:pPr>
            <w:r>
              <w:t xml:space="preserve">$197.0M</w:t>
            </w:r>
          </w:p>
        </w:tc>
      </w:tr>
    </w:tbl>
    <w:p>
      <w:pPr>
        <w:pStyle w:val="BodyText"/>
      </w:pPr>
      <w:r>
        <w:t xml:space="preserve">The spread is wide: from ~$97M (reported, 8.0x) to ~$197M (CIM forward, 10.0x).</w:t>
      </w:r>
      <w:r>
        <w:t xml:space="preserve"> </w:t>
      </w:r>
      <w:r>
        <w:rPr>
          <w:b/>
          <w:bCs/>
        </w:rPr>
        <w:t xml:space="preserve">Our preliminary bid zone is ~$120M–$145M EV</w:t>
      </w:r>
      <w:r>
        <w:t xml:space="preserve"> </w:t>
      </w:r>
      <w:r>
        <w:t xml:space="preserve">(8.0x–9.0x on buy-side adjusted LTM EBITDA of ~$15.0M–$15.5M), with the expectation that QoE outcomes (capex, adjustments, DSO/working capital, PFAS backlog) will refine this. We do</w:t>
      </w:r>
      <w:r>
        <w:t xml:space="preserve"> </w:t>
      </w:r>
      <w:r>
        <w:rPr>
          <w:b/>
          <w:bCs/>
        </w:rPr>
        <w:t xml:space="preserve">not</w:t>
      </w:r>
      <w:r>
        <w:t xml:space="preserve"> </w:t>
      </w:r>
      <w:r>
        <w:t xml:space="preserve">recommend anchoring to the CIM’s LTM ($136.8M–$171.0M) or forward ($157.6M–$197.0M) ranges.</w:t>
      </w:r>
    </w:p>
    <w:bookmarkEnd w:id="44"/>
    <w:bookmarkStart w:id="45" w:name="downside-pfas-scenario"/>
    <w:p>
      <w:pPr>
        <w:pStyle w:val="Heading3"/>
      </w:pPr>
      <w:r>
        <w:t xml:space="preserve">7.3 Downside PFAS Scenario</w:t>
      </w:r>
    </w:p>
    <w:p>
      <w:pPr>
        <w:pStyle w:val="FirstParagraph"/>
      </w:pPr>
      <w:r>
        <w:t xml:space="preserve">If PFAS reaches ~$9M in FY2025E (versus $14.0M projected) — a $5M revenue miss at above-average margins — FY2025E Adjusted EBITDA could fall to ~$18.2M–$18.7M (versus $19.7M), with compounding effects in outer years as the practice scales more slowly. At 8.0x–9.0x, the forward valuation falls by ~$8M–$13M, and the margin-expansion thesis (to 21.5%) becomes difficult to achieve. This scenario underscores the value of an earnout tied to PFAS revenue milestones rather than paying upfront for projected PFAS growth.</w:t>
      </w:r>
    </w:p>
    <w:bookmarkEnd w:id="45"/>
    <w:bookmarkStart w:id="46" w:name="equity-check-and-leverage"/>
    <w:p>
      <w:pPr>
        <w:pStyle w:val="Heading3"/>
      </w:pPr>
      <w:r>
        <w:t xml:space="preserve">7.4 Equity Check and Leverage</w:t>
      </w:r>
    </w:p>
    <w:p>
      <w:pPr>
        <w:pStyle w:val="FirstParagraph"/>
      </w:pPr>
      <w:r>
        <w:t xml:space="preserve">On a cash-free, debt-free basis with ~$15.0M net debt (the CIM and exhibits, despite component differences, both imply ~$15.0M net debt), the equity purchase price approximates EV − $15.0M (before working-capital peg, phantom payout, and transaction costs). At ~3.0x leverage on ~$15.4M buy-side EBITDA (~$46M debt), the equity check at a $130M–$140M EV is ~$84M–$94M — consistent with Fund III’s target. If thin FCF caps leverage at ~2.5x, debt falls to ~$38M and the equity check rises to ~$92M–$102M, pressuring the upper end of the target range and potentially requiring co-investment.</w:t>
      </w:r>
    </w:p>
    <w:p>
      <w:r>
        <w:pict>
          <v:rect style="width:0;height:1.5pt" o:hralign="center" o:hrstd="t" o:hr="t"/>
        </w:pict>
      </w:r>
    </w:p>
    <w:bookmarkEnd w:id="46"/>
    <w:bookmarkEnd w:id="47"/>
    <w:bookmarkStart w:id="48" w:name="X8d6a1c1d178ab78b8444baa526d0ea6d1cc588f"/>
    <w:p>
      <w:pPr>
        <w:pStyle w:val="Heading2"/>
      </w:pPr>
      <w:r>
        <w:t xml:space="preserve">8. Recommended IOI Posture and Deal Structure</w:t>
      </w:r>
    </w:p>
    <w:p>
      <w:pPr>
        <w:pStyle w:val="FirstParagraph"/>
      </w:pPr>
      <w:r>
        <w:rPr>
          <w:b/>
          <w:bCs/>
        </w:rPr>
        <w:t xml:space="preserve">Indication of value.</w:t>
      </w:r>
      <w:r>
        <w:t xml:space="preserve"> </w:t>
      </w:r>
      <w:r>
        <w:t xml:space="preserve">Submit a preliminary enterprise-value range of</w:t>
      </w:r>
      <w:r>
        <w:t xml:space="preserve"> </w:t>
      </w:r>
      <w:r>
        <w:rPr>
          <w:b/>
          <w:bCs/>
        </w:rPr>
        <w:t xml:space="preserve">~$120M–$145M</w:t>
      </w:r>
      <w:r>
        <w:t xml:space="preserve"> </w:t>
      </w:r>
      <w:r>
        <w:t xml:space="preserve">on a cash-free, debt-free basis with normalized net working capital, stated as ~8.0x–9.0x buy-side adjusted LTM (FY2024) EBITDA. Explicitly note that the range is preliminary and contingent on QoE, and that we have not adopted the seller’s $17.1M Adjusted EBITDA figure pending reconciliation of the $0.3M bridge gap and validation of adjustments.</w:t>
      </w:r>
    </w:p>
    <w:p>
      <w:pPr>
        <w:pStyle w:val="BodyText"/>
      </w:pPr>
      <w:r>
        <w:rPr>
          <w:b/>
          <w:bCs/>
        </w:rPr>
        <w:t xml:space="preserve">Structure recommendations to include in the IOI:</w:t>
      </w:r>
    </w:p>
    <w:p>
      <w:pPr>
        <w:pStyle w:val="Compact"/>
        <w:numPr>
          <w:ilvl w:val="0"/>
          <w:numId w:val="1005"/>
        </w:numPr>
      </w:pPr>
      <w:r>
        <w:rPr>
          <w:b/>
          <w:bCs/>
        </w:rPr>
        <w:t xml:space="preserve">Earnout tied to PFAS revenue milestones</w:t>
      </w:r>
      <w:r>
        <w:t xml:space="preserve"> </w:t>
      </w:r>
      <w:r>
        <w:t xml:space="preserve">(e.g., FY2025 and FY2026 PFAS revenue targets), to bridge the projection gap without paying upfront for unverified growth. This directly addresses the principal value disagreement.</w:t>
      </w:r>
    </w:p>
    <w:p>
      <w:pPr>
        <w:pStyle w:val="Compact"/>
        <w:numPr>
          <w:ilvl w:val="0"/>
          <w:numId w:val="1005"/>
        </w:numPr>
      </w:pPr>
      <w:r>
        <w:rPr>
          <w:b/>
          <w:bCs/>
        </w:rPr>
        <w:t xml:space="preserve">Real estate.</w:t>
      </w:r>
      <w:r>
        <w:t xml:space="preserve"> </w:t>
      </w:r>
      <w:r>
        <w:t xml:space="preserve">Propose either (a) purchase of the HQ at independently appraised fair market value, or (b) a new arm’s-length lease at independently appraised market rent — explicitly rejecting the $600K</w:t>
      </w:r>
      <w:r>
        <w:t xml:space="preserve"> </w:t>
      </w:r>
      <w:r>
        <w:t xml:space="preserve">“</w:t>
      </w:r>
      <w:r>
        <w:t xml:space="preserve">normalized</w:t>
      </w:r>
      <w:r>
        <w:t xml:space="preserve">”</w:t>
      </w:r>
      <w:r>
        <w:t xml:space="preserve"> </w:t>
      </w:r>
      <w:r>
        <w:t xml:space="preserve">figure in favor of the $1.0M–$1.2M specialized-facility comparable cited in the CIM itself.</w:t>
      </w:r>
    </w:p>
    <w:p>
      <w:pPr>
        <w:pStyle w:val="Compact"/>
        <w:numPr>
          <w:ilvl w:val="0"/>
          <w:numId w:val="1005"/>
        </w:numPr>
      </w:pPr>
      <w:r>
        <w:rPr>
          <w:b/>
          <w:bCs/>
        </w:rPr>
        <w:t xml:space="preserve">Management transition and retention.</w:t>
      </w:r>
      <w:r>
        <w:t xml:space="preserve"> </w:t>
      </w:r>
      <w:r>
        <w:t xml:space="preserve">Accommodate Mr. Oakes’s 18–24 month advisory transition, conditioned on retention agreements (cash and/or rollover equity) for Prewitt, Cahill, Fontaine, and Stovall as a closing condition, given the phantom-plan cash-out.</w:t>
      </w:r>
    </w:p>
    <w:p>
      <w:pPr>
        <w:pStyle w:val="Compact"/>
        <w:numPr>
          <w:ilvl w:val="0"/>
          <w:numId w:val="1005"/>
        </w:numPr>
      </w:pPr>
      <w:r>
        <w:rPr>
          <w:b/>
          <w:bCs/>
        </w:rPr>
        <w:t xml:space="preserve">Working-capital peg</w:t>
      </w:r>
      <w:r>
        <w:t xml:space="preserve"> </w:t>
      </w:r>
      <w:r>
        <w:t xml:space="preserve">based on verified (balance-sheet-derived) DSO and NWC, not the CIM’s stated 52-day figure.</w:t>
      </w:r>
    </w:p>
    <w:p>
      <w:pPr>
        <w:pStyle w:val="Compact"/>
        <w:numPr>
          <w:ilvl w:val="0"/>
          <w:numId w:val="1005"/>
        </w:numPr>
      </w:pPr>
      <w:r>
        <w:rPr>
          <w:b/>
          <w:bCs/>
        </w:rPr>
        <w:t xml:space="preserve">Rollover equity.</w:t>
      </w:r>
      <w:r>
        <w:t xml:space="preserve"> </w:t>
      </w:r>
      <w:r>
        <w:t xml:space="preserve">Offer Mr. Oakes (and optionally Prewitt) a meaningful rollover to align incentives through the transition and the PFAS build-out.</w:t>
      </w:r>
    </w:p>
    <w:p>
      <w:pPr>
        <w:pStyle w:val="Compact"/>
        <w:numPr>
          <w:ilvl w:val="0"/>
          <w:numId w:val="1005"/>
        </w:numPr>
      </w:pPr>
      <w:r>
        <w:rPr>
          <w:b/>
          <w:bCs/>
        </w:rPr>
        <w:t xml:space="preserve">Financing.</w:t>
      </w:r>
      <w:r>
        <w:t xml:space="preserve"> </w:t>
      </w:r>
      <w:r>
        <w:t xml:space="preserve">Indicate committed equity from Fund III and anticipated senior debt at ~2.5x–3.0x EBITDA from a lender to be identified, subject to QoE; flag that leverage sizing is contingent on verified FCF/capex.</w:t>
      </w:r>
    </w:p>
    <w:p>
      <w:r>
        <w:pict>
          <v:rect style="width:0;height:1.5pt" o:hralign="center" o:hrstd="t" o:hr="t"/>
        </w:pict>
      </w:r>
    </w:p>
    <w:bookmarkEnd w:id="48"/>
    <w:bookmarkStart w:id="49" w:name="X83e5a846cbfc71e36a4fa143c1b6cd0f3883fef"/>
    <w:p>
      <w:pPr>
        <w:pStyle w:val="Heading2"/>
      </w:pPr>
      <w:r>
        <w:t xml:space="preserve">9. Diligence Priorities and Information Requests</w:t>
      </w:r>
    </w:p>
    <w:p>
      <w:pPr>
        <w:pStyle w:val="FirstParagraph"/>
      </w:pPr>
      <w:r>
        <w:t xml:space="preserve">The following should be submitted to Greenleaf at the outset of Phase II (and the most critical requested bilaterally during Phase I where permitted):</w:t>
      </w:r>
    </w:p>
    <w:p>
      <w:pPr>
        <w:pStyle w:val="BodyText"/>
      </w:pPr>
      <w:r>
        <w:rPr>
          <w:b/>
          <w:bCs/>
        </w:rPr>
        <w:t xml:space="preserve">Financial / QoE (engage independent QoE provider):</w:t>
      </w:r>
      <w:r>
        <w:t xml:space="preserve"> </w:t>
      </w:r>
      <w:r>
        <w:t xml:space="preserve">1. Reconcile the CIM summary financials (Appendix A, Section VI.D) to the audited financials and to the Financial Exhibits; explain every line-item variance in Section 6.5(b).</w:t>
      </w:r>
      <w:r>
        <w:t xml:space="preserve"> </w:t>
      </w:r>
      <w:r>
        <w:t xml:space="preserve">2. Explain the $0.3M FY2024 EBITDA bridge gap and confirm the arithmetically correct Adjusted EBITDA.</w:t>
      </w:r>
      <w:r>
        <w:t xml:space="preserve"> </w:t>
      </w:r>
      <w:r>
        <w:t xml:space="preserve">3. Substantiate the $2.4M owner compensation (including</w:t>
      </w:r>
      <w:r>
        <w:t xml:space="preserve"> </w:t>
      </w:r>
      <w:r>
        <w:t xml:space="preserve">“</w:t>
      </w:r>
      <w:r>
        <w:t xml:space="preserve">personal expenses allocated to the Company</w:t>
      </w:r>
      <w:r>
        <w:t xml:space="preserve">”</w:t>
      </w:r>
      <w:r>
        <w:t xml:space="preserve">) and provide replacement-CEO benchmarking.</w:t>
      </w:r>
      <w:r>
        <w:t xml:space="preserve"> </w:t>
      </w:r>
      <w:r>
        <w:t xml:space="preserve">4. Independent market-rent appraisal for the HQ; reconcile the $600K add-back figure with the $1.0M–$1.2M comparable in CIM Section IV.C.</w:t>
      </w:r>
      <w:r>
        <w:t xml:space="preserve"> </w:t>
      </w:r>
      <w:r>
        <w:t xml:space="preserve">5. Detailed fleet age, condition, and remaining-useful-life assessment; historical capex by category (maintenance vs. growth); deferred-maintenance analysis.</w:t>
      </w:r>
      <w:r>
        <w:t xml:space="preserve"> </w:t>
      </w:r>
      <w:r>
        <w:t xml:space="preserve">6. DSO reconciliation: stated 52 days vs. balance-sheet-implied ~71 days; unbilled-revenue analysis; revenue-recognition policy.</w:t>
      </w:r>
      <w:r>
        <w:t xml:space="preserve"> </w:t>
      </w:r>
      <w:r>
        <w:t xml:space="preserve">7. Phantom equity plan: payout amount, recipients, and vesting/settlement mechanics.</w:t>
      </w:r>
    </w:p>
    <w:p>
      <w:pPr>
        <w:pStyle w:val="BodyText"/>
      </w:pPr>
      <w:r>
        <w:rPr>
          <w:b/>
          <w:bCs/>
        </w:rPr>
        <w:t xml:space="preserve">Commercial:</w:t>
      </w:r>
      <w:r>
        <w:t xml:space="preserve"> </w:t>
      </w:r>
      <w:r>
        <w:t xml:space="preserve">8. PFAS: contracted backlog breakout (signed contracts vs. pipeline) supporting the $14.0M FY2025E figure; customer-level PFAS revenue detail; margin profile of PFAS vs. traditional remediation.</w:t>
      </w:r>
      <w:r>
        <w:t xml:space="preserve"> </w:t>
      </w:r>
      <w:r>
        <w:t xml:space="preserve">9. Reconcile the CIM and Backlog Report top-10 customer lists (names #6–#10, relationship dates, segments served) against the VDR contract list.</w:t>
      </w:r>
      <w:r>
        <w:t xml:space="preserve"> </w:t>
      </w:r>
      <w:r>
        <w:t xml:space="preserve">10. PNR MSA renewal status (expires March 31, 2025) and Willamette Steel month-to-month arrangement.</w:t>
      </w:r>
      <w:r>
        <w:t xml:space="preserve"> </w:t>
      </w:r>
      <w:r>
        <w:t xml:space="preserve">11. Win-rate and pipeline conversion detail; backlog burn-down history.</w:t>
      </w:r>
    </w:p>
    <w:p>
      <w:pPr>
        <w:pStyle w:val="BodyText"/>
      </w:pPr>
      <w:r>
        <w:rPr>
          <w:b/>
          <w:bCs/>
        </w:rPr>
        <w:t xml:space="preserve">Regulatory / Legal (buyer’s counsel Calloway, Barrett &amp; Sims LLP):</w:t>
      </w:r>
      <w:r>
        <w:t xml:space="preserve"> </w:t>
      </w:r>
      <w:r>
        <w:t xml:space="preserve">12. Complete ten-year regulatory enforcement history across all four states; details of the August 2024 DEQ matter; ongoing compliance cost run-rate.</w:t>
      </w:r>
      <w:r>
        <w:t xml:space="preserve"> </w:t>
      </w:r>
      <w:r>
        <w:t xml:space="preserve">13. All material contracts (MSAs, government contracts, service agreements), with renewal dates and change-of-control provisions.</w:t>
      </w:r>
      <w:r>
        <w:t xml:space="preserve"> </w:t>
      </w:r>
      <w:r>
        <w:t xml:space="preserve">14. Real estate documentation (HQ lease, property condition, environmental site status of the yard itself).</w:t>
      </w:r>
      <w:r>
        <w:t xml:space="preserve"> </w:t>
      </w:r>
      <w:r>
        <w:t xml:space="preserve">15. Insurance policies and claims history (given hazmat operations and the DEQ matter).</w:t>
      </w:r>
    </w:p>
    <w:p>
      <w:pPr>
        <w:pStyle w:val="BodyText"/>
      </w:pPr>
      <w:r>
        <w:rPr>
          <w:b/>
          <w:bCs/>
        </w:rPr>
        <w:t xml:space="preserve">Management / HR:</w:t>
      </w:r>
      <w:r>
        <w:t xml:space="preserve"> </w:t>
      </w:r>
      <w:r>
        <w:t xml:space="preserve">16. PE hiring plan and timeline; impact of the January 2025 PE retirement on capacity.</w:t>
      </w:r>
      <w:r>
        <w:t xml:space="preserve"> </w:t>
      </w:r>
      <w:r>
        <w:t xml:space="preserve">17. Retention risk assessment for senior managers post-phantom-settlement; proposed retention structure.</w:t>
      </w:r>
      <w:r>
        <w:t xml:space="preserve"> </w:t>
      </w:r>
      <w:r>
        <w:t xml:space="preserve">18. Employee turnover detail by segment; HAZWOPER certification compliance.</w:t>
      </w:r>
    </w:p>
    <w:p>
      <w:r>
        <w:pict>
          <v:rect style="width:0;height:1.5pt" o:hralign="center" o:hrstd="t" o:hr="t"/>
        </w:pict>
      </w:r>
    </w:p>
    <w:bookmarkEnd w:id="49"/>
    <w:bookmarkStart w:id="50" w:name="conclusion"/>
    <w:p>
      <w:pPr>
        <w:pStyle w:val="Heading2"/>
      </w:pPr>
      <w:r>
        <w:t xml:space="preserve">10. Conclusion</w:t>
      </w:r>
    </w:p>
    <w:p>
      <w:pPr>
        <w:pStyle w:val="FirstParagraph"/>
      </w:pPr>
      <w:r>
        <w:t xml:space="preserve">CES is a legitimate, well-positioned Pacific Northwest environmental services platform with real regulatory tailwinds, recurring revenue, and a credible (if smaller-than-projected) PFAS growth vector. It fits Fund III’s mandate and warrants proceeding to an IOI.</w:t>
      </w:r>
      <w:r>
        <w:t xml:space="preserve"> </w:t>
      </w:r>
      <w:r>
        <w:rPr>
          <w:b/>
          <w:bCs/>
        </w:rPr>
        <w:t xml:space="preserve">However, the seller’s materials exhibit a consistent pattern of optimistic presentation</w:t>
      </w:r>
      <w:r>
        <w:t xml:space="preserve"> </w:t>
      </w:r>
      <w:r>
        <w:t xml:space="preserve">— an Adjusted EBITDA that does not foot, customer disclosures that conflict across documents, financials that do not reconcile between the CIM and the exhibits, a DSO that does not tie to the balance sheet, maintenance capex well below sector norms, and EBITDA adjustments that are aggressive by sector and portfolio benchmarks. The growth premium being priced is almost entirely dependent on PFAS projections that are roughly 2–3x the achievable company-level rate suggested by sector data and Thornfield’s own experience.</w:t>
      </w:r>
    </w:p>
    <w:p>
      <w:pPr>
        <w:pStyle w:val="BodyText"/>
      </w:pPr>
      <w:r>
        <w:rPr>
          <w:b/>
          <w:bCs/>
        </w:rPr>
        <w:t xml:space="preserve">We recommend submitting an IOI at ~$120M–$145M enterprise value (8.0x–9.0x buy-side adjusted LTM EBITDA), structured with a PFAS-revenue earnout, independent real-estate treatment, management retention conditions, and a verified working-capital peg — and making the QoE and diligence items in Section 9 conditions to advancing to a final bid.</w:t>
      </w:r>
      <w:r>
        <w:t xml:space="preserve"> </w:t>
      </w:r>
      <w:r>
        <w:t xml:space="preserve">Target completion of QoE and the items above ahead of final bids in Phase III, with an IC pre-read before the July 14, 2025 IOI submission.</w:t>
      </w:r>
    </w:p>
    <w:p>
      <w:r>
        <w:pict>
          <v:rect style="width:0;height:1.5pt" o:hralign="center" o:hrstd="t" o:hr="t"/>
        </w:pict>
      </w:r>
    </w:p>
    <w:p>
      <w:pPr>
        <w:pStyle w:val="FirstParagraph"/>
      </w:pPr>
      <w:r>
        <w:rPr>
          <w:i/>
          <w:iCs/>
        </w:rPr>
        <w:t xml:space="preserve">Prepared by David Koh, Associate, Thornfield Capital Partners. Relies on the Confidential Information Memorandum, Financial Exhibits, Customer Summary and Backlog Report, and Process Letter prepared by Greenleaf Advisory Group, LLC, and on the sector context memorandum prepared by Sarah Lindgren, VP. All figures are preliminary and subject to independent verification. Nothing herein constitutes a representation or warranty.</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2026-06-28T21:45:59Z</dcterms:created>
  <dcterms:modified xsi:type="dcterms:W3CDTF">2026-06-28T21:45:59Z</dcterms:modified>
</cp:coreProperties>
</file>

<file path=docProps/custom.xml><?xml version="1.0" encoding="utf-8"?>
<Properties xmlns="http://schemas.openxmlformats.org/officeDocument/2006/custom-properties" xmlns:vt="http://schemas.openxmlformats.org/officeDocument/2006/docPropsVTypes"/>
</file>