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874ca48905a914b5ed2fd835bbb8c1af2b43c1"/>
    <w:p>
      <w:pPr>
        <w:pStyle w:val="Heading1"/>
      </w:pPr>
      <w:r>
        <w:t xml:space="preserve">PRIVILEGED &amp; CONFIDENTIAL — PREPARED AT THE DIRECTION OF COUNSEL</w:t>
      </w:r>
    </w:p>
    <w:bookmarkStart w:id="20" w:name="buy-side-cim-analysis-memorandum"/>
    <w:p>
      <w:pPr>
        <w:pStyle w:val="Heading2"/>
      </w:pPr>
      <w:r>
        <w:t xml:space="preserve">Buy-Side CIM Analysis Memorandum</w:t>
      </w:r>
    </w:p>
    <w:p>
      <w:pPr>
        <w:pStyle w:val="FirstParagraph"/>
      </w:pPr>
      <w:r>
        <w:rPr>
          <w:b/>
          <w:bCs/>
        </w:rPr>
        <w:t xml:space="preserve">Project Cascade — Cascade Environmental Solutions, Inc.</w:t>
      </w:r>
    </w:p>
    <w:p>
      <w:r>
        <w:pict>
          <v:rect style="width:0;height:1.5pt" o:hralign="center" o:hrstd="t" o:hr="t"/>
        </w:pict>
      </w:r>
    </w:p>
    <w:p>
      <w:pPr>
        <w:pStyle w:val="FirstParagraph"/>
      </w:pPr>
      <w:r>
        <w:rPr>
          <w:b/>
          <w:bCs/>
        </w:rPr>
        <w:t xml:space="preserve">To:</w:t>
      </w:r>
      <w:r>
        <w:t xml:space="preserve"> </w:t>
      </w:r>
      <w:r>
        <w:t xml:space="preserve">Marcus Yuen, Partner (Deal Lead); Diane Holbrook, Managing Partner; Sarah Lindgren, Vice President</w:t>
      </w:r>
      <w:r>
        <w:t xml:space="preserve"> </w:t>
      </w:r>
      <w:r>
        <w:rPr>
          <w:b/>
          <w:bCs/>
        </w:rPr>
        <w:t xml:space="preserve">From:</w:t>
      </w:r>
      <w:r>
        <w:t xml:space="preserve"> </w:t>
      </w:r>
      <w:r>
        <w:t xml:space="preserve">David Koh, Associate</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Buy-side analysis of the Confidential Information Memorandum and supporting materials for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preliminary valuation view and diligence framework ahead of the July 14, 2025 IOI deadline</w:t>
      </w:r>
      <w:r>
        <w:t xml:space="preserve"> </w:t>
      </w:r>
      <w:r>
        <w:rPr>
          <w:b/>
          <w:bCs/>
        </w:rPr>
        <w:t xml:space="preserve">Fund:</w:t>
      </w:r>
      <w:r>
        <w:t xml:space="preserve"> </w:t>
      </w:r>
      <w:r>
        <w:t xml:space="preserve">Thornfield Capital Partners Fund III, LP (</w:t>
      </w:r>
      <w:r>
        <w:t xml:space="preserve">“</w:t>
      </w:r>
      <w:r>
        <w:t xml:space="preserve">Fund III</w:t>
      </w:r>
      <w:r>
        <w:t xml:space="preserve">”</w:t>
      </w:r>
      <w:r>
        <w:t xml:space="preserve">)</w:t>
      </w:r>
    </w:p>
    <w:p>
      <w:r>
        <w:pict>
          <v:rect style="width:0;height:1.5pt" o:hralign="center" o:hrstd="t" o:hr="t"/>
        </w:pict>
      </w:r>
    </w:p>
    <w:bookmarkEnd w:id="20"/>
    <w:bookmarkStart w:id="26" w:name="executive-summary-and-recommendation"/>
    <w:p>
      <w:pPr>
        <w:pStyle w:val="Heading2"/>
      </w:pPr>
      <w:r>
        <w:t xml:space="preserve">1. Executive Summary and Recommendation</w:t>
      </w:r>
    </w:p>
    <w:bookmarkStart w:id="21" w:name="recommendation"/>
    <w:p>
      <w:pPr>
        <w:pStyle w:val="Heading3"/>
      </w:pPr>
      <w:r>
        <w:t xml:space="preserve">1.1 Recommendation</w:t>
      </w:r>
    </w:p>
    <w:p>
      <w:pPr>
        <w:pStyle w:val="FirstParagraph"/>
      </w:pPr>
      <w:r>
        <w:rPr>
          <w:b/>
          <w:bCs/>
        </w:rPr>
        <w:t xml:space="preserve">Proceed to submit a preliminary indication of interest, with valuation discipline and a clearly defined set of confirmatory-diligence conditions.</w:t>
      </w:r>
      <w:r>
        <w:t xml:space="preserve"> </w:t>
      </w:r>
      <w:r>
        <w:t xml:space="preserve">CES is a genuinely attractive lower-middle-market environmental services platform that fits Thornfield’s sector thesis and Fund III’s industrial/environmental services mandate. The Company has a real operating history, defensible competitive positioning, and credible regulatory tailwinds (notably PFAS). However, the CIM and supporting materials contain a pattern of financial inconsistencies, aggressive adjustments, and concentration/execution risks that, in our view, materially compress the gap between the seller’s implied valuation and a defensible buy-side value. We recommend an IOI enterprise-value range of</w:t>
      </w:r>
      <w:r>
        <w:t xml:space="preserve"> </w:t>
      </w:r>
      <w:r>
        <w:rPr>
          <w:b/>
          <w:bCs/>
        </w:rPr>
        <w:t xml:space="preserve">~$135–155 million</w:t>
      </w:r>
      <w:r>
        <w:t xml:space="preserve">, structured to keep Thornfield credible and competitive while preserving room to re-underwrite during Phase II.</w:t>
      </w:r>
    </w:p>
    <w:bookmarkEnd w:id="21"/>
    <w:bookmarkStart w:id="22" w:name="deal-snapshot"/>
    <w:p>
      <w:pPr>
        <w:pStyle w:val="Heading3"/>
      </w:pPr>
      <w:r>
        <w:t xml:space="preserve">1.2 Deal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Target</w:t>
            </w:r>
          </w:p>
        </w:tc>
        <w:tc>
          <w:tcPr/>
          <w:p>
            <w:pPr>
              <w:pStyle w:val="Compact"/>
              <w:jc w:val="left"/>
            </w:pPr>
            <w:r>
              <w:t xml:space="preserve">Cascade Environmental Solutions, Inc. (Delaware C-corp; founded 2009)</w:t>
            </w:r>
          </w:p>
        </w:tc>
      </w:tr>
      <w:tr>
        <w:tc>
          <w:tcPr/>
          <w:p>
            <w:pPr>
              <w:pStyle w:val="Compact"/>
              <w:jc w:val="left"/>
            </w:pPr>
            <w:r>
              <w:t xml:space="preserve">Headquarters</w:t>
            </w:r>
          </w:p>
        </w:tc>
        <w:tc>
          <w:tcPr/>
          <w:p>
            <w:pPr>
              <w:pStyle w:val="Compact"/>
              <w:jc w:val="left"/>
            </w:pPr>
            <w:r>
              <w:t xml:space="preserve">4200 Industrial Way, Portland, OR (plus Seattle office; Boise depot)</w:t>
            </w:r>
          </w:p>
        </w:tc>
      </w:tr>
      <w:tr>
        <w:tc>
          <w:tcPr/>
          <w:p>
            <w:pPr>
              <w:pStyle w:val="Compact"/>
              <w:jc w:val="left"/>
            </w:pPr>
            <w:r>
              <w:t xml:space="preserve">Footprint</w:t>
            </w:r>
          </w:p>
        </w:tc>
        <w:tc>
          <w:tcPr/>
          <w:p>
            <w:pPr>
              <w:pStyle w:val="Compact"/>
              <w:jc w:val="left"/>
            </w:pPr>
            <w:r>
              <w:t xml:space="preserve">Oregon, Washington, Idaho, Northern California</w:t>
            </w:r>
          </w:p>
        </w:tc>
      </w:tr>
      <w:tr>
        <w:tc>
          <w:tcPr/>
          <w:p>
            <w:pPr>
              <w:pStyle w:val="Compact"/>
              <w:jc w:val="left"/>
            </w:pPr>
            <w:r>
              <w:t xml:space="preserve">Ownership</w:t>
            </w:r>
          </w:p>
        </w:tc>
        <w:tc>
          <w:tcPr/>
          <w:p>
            <w:pPr>
              <w:pStyle w:val="Compact"/>
              <w:jc w:val="left"/>
            </w:pPr>
            <w:r>
              <w:t xml:space="preserve">Randall Oakes (Founder/CEO), 68%; early investors/employees 32%; no institutional capital</w:t>
            </w:r>
          </w:p>
        </w:tc>
      </w:tr>
      <w:tr>
        <w:tc>
          <w:tcPr/>
          <w:p>
            <w:pPr>
              <w:pStyle w:val="Compact"/>
              <w:jc w:val="left"/>
            </w:pPr>
            <w:r>
              <w:t xml:space="preserve">FY2024 Revenue</w:t>
            </w:r>
          </w:p>
        </w:tc>
        <w:tc>
          <w:tcPr/>
          <w:p>
            <w:pPr>
              <w:pStyle w:val="Compact"/>
              <w:jc w:val="left"/>
            </w:pPr>
            <w:r>
              <w:t xml:space="preserve">$87.3M (12.5% CAGR FY21–FY24)</w:t>
            </w:r>
          </w:p>
        </w:tc>
      </w:tr>
      <w:tr>
        <w:tc>
          <w:tcPr/>
          <w:p>
            <w:pPr>
              <w:pStyle w:val="Compact"/>
              <w:jc w:val="left"/>
            </w:pPr>
            <w:r>
              <w:t xml:space="preserve">Reported EBITDA</w:t>
            </w:r>
          </w:p>
        </w:tc>
        <w:tc>
          <w:tcPr/>
          <w:p>
            <w:pPr>
              <w:pStyle w:val="Compact"/>
              <w:jc w:val="left"/>
            </w:pPr>
            <w:r>
              <w:t xml:space="preserve">$12.1M (13.9% margin)</w:t>
            </w:r>
          </w:p>
        </w:tc>
      </w:tr>
      <w:tr>
        <w:tc>
          <w:tcPr/>
          <w:p>
            <w:pPr>
              <w:pStyle w:val="Compact"/>
              <w:jc w:val="left"/>
            </w:pPr>
            <w:r>
              <w:t xml:space="preserve">CIM Adjusted EBITDA</w:t>
            </w:r>
          </w:p>
        </w:tc>
        <w:tc>
          <w:tcPr/>
          <w:p>
            <w:pPr>
              <w:pStyle w:val="Compact"/>
              <w:jc w:val="left"/>
            </w:pPr>
            <w:r>
              <w:t xml:space="preserve">$17.1M (19.6% margin) —</w:t>
            </w:r>
            <w:r>
              <w:t xml:space="preserve"> </w:t>
            </w:r>
            <w:r>
              <w:rPr>
                <w:b/>
                <w:bCs/>
              </w:rPr>
              <w:t xml:space="preserve">does not foot to listed adjustments (sum = $16.8M)</w:t>
            </w:r>
          </w:p>
        </w:tc>
      </w:tr>
      <w:tr>
        <w:tc>
          <w:tcPr/>
          <w:p>
            <w:pPr>
              <w:pStyle w:val="Compact"/>
              <w:jc w:val="left"/>
            </w:pPr>
            <w:r>
              <w:t xml:space="preserve">Backlog / Pipeline</w:t>
            </w:r>
          </w:p>
        </w:tc>
        <w:tc>
          <w:tcPr/>
          <w:p>
            <w:pPr>
              <w:pStyle w:val="Compact"/>
              <w:jc w:val="left"/>
            </w:pPr>
            <w:r>
              <w:t xml:space="preserve">$42.6M contracted / $31.4M proposed ($74.0M total visibility)</w:t>
            </w:r>
          </w:p>
        </w:tc>
      </w:tr>
      <w:tr>
        <w:tc>
          <w:tcPr/>
          <w:p>
            <w:pPr>
              <w:pStyle w:val="Compact"/>
              <w:jc w:val="left"/>
            </w:pPr>
            <w:r>
              <w:t xml:space="preserve">Total debt</w:t>
            </w:r>
          </w:p>
        </w:tc>
        <w:tc>
          <w:tcPr/>
          <w:p>
            <w:pPr>
              <w:pStyle w:val="Compact"/>
              <w:jc w:val="left"/>
            </w:pPr>
            <w:r>
              <w:t xml:space="preserve">$17.3M (term loan $14.2M + revolver $3.1M)</w:t>
            </w:r>
          </w:p>
        </w:tc>
      </w:tr>
      <w:tr>
        <w:tc>
          <w:tcPr/>
          <w:p>
            <w:pPr>
              <w:pStyle w:val="Compact"/>
              <w:jc w:val="left"/>
            </w:pPr>
            <w:r>
              <w:t xml:space="preserve">Sell-side advisor</w:t>
            </w:r>
          </w:p>
        </w:tc>
        <w:tc>
          <w:tcPr/>
          <w:p>
            <w:pPr>
              <w:pStyle w:val="Compact"/>
              <w:jc w:val="left"/>
            </w:pPr>
            <w:r>
              <w:t xml:space="preserve">Greenleaf Advisory Group, LLC (Philip Tran, MD)</w:t>
            </w:r>
          </w:p>
        </w:tc>
      </w:tr>
      <w:tr>
        <w:tc>
          <w:tcPr/>
          <w:p>
            <w:pPr>
              <w:pStyle w:val="Compact"/>
              <w:jc w:val="left"/>
            </w:pPr>
            <w:r>
              <w:t xml:space="preserve">Process</w:t>
            </w:r>
          </w:p>
        </w:tc>
        <w:tc>
          <w:tcPr/>
          <w:p>
            <w:pPr>
              <w:pStyle w:val="Compact"/>
              <w:jc w:val="left"/>
            </w:pPr>
            <w:r>
              <w:t xml:space="preserve">IOI due July 14, 2025; management presentations Aug 2025; target close Q4 2025</w:t>
            </w:r>
          </w:p>
        </w:tc>
      </w:tr>
      <w:tr>
        <w:tc>
          <w:tcPr/>
          <w:p>
            <w:pPr>
              <w:pStyle w:val="Compact"/>
              <w:jc w:val="left"/>
            </w:pPr>
            <w:r>
              <w:t xml:space="preserve">CIM implied EV</w:t>
            </w:r>
          </w:p>
        </w:tc>
        <w:tc>
          <w:tcPr/>
          <w:p>
            <w:pPr>
              <w:pStyle w:val="Compact"/>
              <w:jc w:val="left"/>
            </w:pPr>
            <w:r>
              <w:t xml:space="preserve">$136.8M–$171.0M (8.0x–10.0x FY24 Adj. EBITDA)</w:t>
            </w:r>
          </w:p>
        </w:tc>
      </w:tr>
    </w:tbl>
    <w:bookmarkEnd w:id="22"/>
    <w:bookmarkStart w:id="23" w:name="what-we-like-value-drivers"/>
    <w:p>
      <w:pPr>
        <w:pStyle w:val="Heading3"/>
      </w:pPr>
      <w:r>
        <w:t xml:space="preserve">1.3 What We Like (Value Drivers)</w:t>
      </w:r>
    </w:p>
    <w:p>
      <w:pPr>
        <w:pStyle w:val="Compact"/>
        <w:numPr>
          <w:ilvl w:val="0"/>
          <w:numId w:val="1001"/>
        </w:numPr>
      </w:pPr>
      <w:r>
        <w:rPr>
          <w:b/>
          <w:bCs/>
        </w:rPr>
        <w:t xml:space="preserve">Established, integrated platform.</w:t>
      </w:r>
      <w:r>
        <w:t xml:space="preserve"> </w:t>
      </w:r>
      <w:r>
        <w:t xml:space="preserve">16-year operating history with a genuine three-segment model (remediation, industrial cleaning, emergency response) that creates cross-selling and share-of-wallet dynamics. Hard-to-replicate permits (hazardous-waste transporter permits in four states; Oregon DEQ contractor license) and licensed PE oversight form a real moat.</w:t>
      </w:r>
    </w:p>
    <w:p>
      <w:pPr>
        <w:pStyle w:val="Compact"/>
        <w:numPr>
          <w:ilvl w:val="0"/>
          <w:numId w:val="1001"/>
        </w:numPr>
      </w:pPr>
      <w:r>
        <w:rPr>
          <w:b/>
          <w:bCs/>
        </w:rPr>
        <w:t xml:space="preserve">Regulatory tailwinds are real.</w:t>
      </w:r>
      <w:r>
        <w:t xml:space="preserve"> </w:t>
      </w:r>
      <w:r>
        <w:t xml:space="preserve">PFAS is a generational, multi-decade environmental challenge with federal and state mandates accelerating. CES is an early mover in the Pacific Northwest with dedicated equipment and a growing track record.</w:t>
      </w:r>
    </w:p>
    <w:p>
      <w:pPr>
        <w:pStyle w:val="Compact"/>
        <w:numPr>
          <w:ilvl w:val="0"/>
          <w:numId w:val="1001"/>
        </w:numPr>
      </w:pPr>
      <w:r>
        <w:rPr>
          <w:b/>
          <w:bCs/>
        </w:rPr>
        <w:t xml:space="preserve">Genuine growth track record.</w:t>
      </w:r>
      <w:r>
        <w:t xml:space="preserve"> </w:t>
      </w:r>
      <w:r>
        <w:t xml:space="preserve">Even after discounting the PFAS projections, the core business has grown at a high-single-digit to low-double-digit rate — above the 5–10% sector norm — supported by geographic expansion and a sticky, diversified customer base.</w:t>
      </w:r>
    </w:p>
    <w:p>
      <w:pPr>
        <w:pStyle w:val="Compact"/>
        <w:numPr>
          <w:ilvl w:val="0"/>
          <w:numId w:val="1001"/>
        </w:numPr>
      </w:pPr>
      <w:r>
        <w:rPr>
          <w:b/>
          <w:bCs/>
        </w:rPr>
        <w:t xml:space="preserve">Recurring revenue characteristics.</w:t>
      </w:r>
      <w:r>
        <w:t xml:space="preserve"> </w:t>
      </w:r>
      <w:r>
        <w:t xml:space="preserve">~60% of revenue under MSAs, 90% historical MSA renewal rate, no top-10 customer losses in five years, and a $42.6M contracted backlog.</w:t>
      </w:r>
    </w:p>
    <w:p>
      <w:pPr>
        <w:pStyle w:val="Compact"/>
        <w:numPr>
          <w:ilvl w:val="0"/>
          <w:numId w:val="1001"/>
        </w:numPr>
      </w:pPr>
      <w:r>
        <w:rPr>
          <w:b/>
          <w:bCs/>
        </w:rPr>
        <w:t xml:space="preserve">Platform/consolidation optionality.</w:t>
      </w:r>
      <w:r>
        <w:t xml:space="preserve"> </w:t>
      </w:r>
      <w:r>
        <w:t xml:space="preserve">A fragmented Pacific Northwest market with 5–7 identified tuck-in targets aligns with Thornfield’s proven buy-and-build playbook (GreenWorks, Allied Waste).</w:t>
      </w:r>
    </w:p>
    <w:bookmarkEnd w:id="23"/>
    <w:bookmarkStart w:id="24" w:name="what-concerns-us-key-risks-red-flags"/>
    <w:p>
      <w:pPr>
        <w:pStyle w:val="Heading3"/>
      </w:pPr>
      <w:r>
        <w:t xml:space="preserve">1.4 What Concerns Us (Key Risks / Red Flags)</w:t>
      </w:r>
    </w:p>
    <w:p>
      <w:pPr>
        <w:pStyle w:val="Compact"/>
        <w:numPr>
          <w:ilvl w:val="0"/>
          <w:numId w:val="1002"/>
        </w:numPr>
      </w:pPr>
      <w:r>
        <w:rPr>
          <w:b/>
          <w:bCs/>
        </w:rPr>
        <w:t xml:space="preserve">Adjusted EBITDA does not foot.</w:t>
      </w:r>
      <w:r>
        <w:t xml:space="preserve"> </w:t>
      </w:r>
      <w:r>
        <w:t xml:space="preserve">The headline $17.1M Adjusted EBITDA is $0.3M higher than the sum of reported EBITDA plus the six listed adjustments ($16.8M). The error is isolated to the FY2024 valuation year (FY21–FY23 reconcile).</w:t>
      </w:r>
    </w:p>
    <w:p>
      <w:pPr>
        <w:pStyle w:val="Compact"/>
        <w:numPr>
          <w:ilvl w:val="0"/>
          <w:numId w:val="1002"/>
        </w:numPr>
      </w:pPr>
      <w:r>
        <w:rPr>
          <w:b/>
          <w:bCs/>
        </w:rPr>
        <w:t xml:space="preserve">Adjustment quality is weak.</w:t>
      </w:r>
      <w:r>
        <w:t xml:space="preserve"> </w:t>
      </w:r>
      <w:r>
        <w:t xml:space="preserve">Multiple add-backs are overstated or recurring in substance: the regulatory/legal add-back recurs every year; the related-party lease normalization uses a market rate the CIM elsewhere contradicts; owner compensation includes undisclosed</w:t>
      </w:r>
      <w:r>
        <w:t xml:space="preserve"> </w:t>
      </w:r>
      <w:r>
        <w:t xml:space="preserve">“</w:t>
      </w:r>
      <w:r>
        <w:t xml:space="preserve">personal expenses</w:t>
      </w:r>
      <w:r>
        <w:t xml:space="preserve">”</w:t>
      </w:r>
      <w:r>
        <w:t xml:space="preserve">; and</w:t>
      </w:r>
      <w:r>
        <w:t xml:space="preserve"> </w:t>
      </w:r>
      <w:r>
        <w:t xml:space="preserve">“</w:t>
      </w:r>
      <w:r>
        <w:t xml:space="preserve">non-recurring</w:t>
      </w:r>
      <w:r>
        <w:t xml:space="preserve">”</w:t>
      </w:r>
      <w:r>
        <w:t xml:space="preserve"> </w:t>
      </w:r>
      <w:r>
        <w:t xml:space="preserve">items appear in every historical year.</w:t>
      </w:r>
    </w:p>
    <w:p>
      <w:pPr>
        <w:pStyle w:val="Compact"/>
        <w:numPr>
          <w:ilvl w:val="0"/>
          <w:numId w:val="1002"/>
        </w:numPr>
      </w:pPr>
      <w:r>
        <w:rPr>
          <w:b/>
          <w:bCs/>
        </w:rPr>
        <w:t xml:space="preserve">Customer concentration with an imminent contract cliff.</w:t>
      </w:r>
      <w:r>
        <w:t xml:space="preserve"> </w:t>
      </w:r>
      <w:r>
        <w:t xml:space="preserve">PNR (21.4% of revenue, $18.7M) operates under an MSA that</w:t>
      </w:r>
      <w:r>
        <w:t xml:space="preserve"> </w:t>
      </w:r>
      <w:r>
        <w:rPr>
          <w:b/>
          <w:bCs/>
        </w:rPr>
        <w:t xml:space="preserve">expired March 31, 2025</w:t>
      </w:r>
      <w:r>
        <w:t xml:space="preserve"> </w:t>
      </w:r>
      <w:r>
        <w:t xml:space="preserve">— before the CIM was distributed and before the IOI deadline. Renewal status is not disclosed.</w:t>
      </w:r>
    </w:p>
    <w:p>
      <w:pPr>
        <w:pStyle w:val="Compact"/>
        <w:numPr>
          <w:ilvl w:val="0"/>
          <w:numId w:val="1002"/>
        </w:numPr>
      </w:pPr>
      <w:r>
        <w:rPr>
          <w:b/>
          <w:bCs/>
        </w:rPr>
        <w:t xml:space="preserve">The growth story is almost entirely PFAS-dependent.</w:t>
      </w:r>
      <w:r>
        <w:t xml:space="preserve"> </w:t>
      </w:r>
      <w:r>
        <w:t xml:space="preserve">Traditional remediation (ex-PFAS) is projected to grow only ~1–3% annually; ~64% of FY24–FY26E incremental revenue relies on a two-year-old service line growing 126% then 57% — roughly 3x the company-level rate Thornfield’s portfolio experience supports.</w:t>
      </w:r>
    </w:p>
    <w:p>
      <w:pPr>
        <w:pStyle w:val="Compact"/>
        <w:numPr>
          <w:ilvl w:val="0"/>
          <w:numId w:val="1002"/>
        </w:numPr>
      </w:pPr>
      <w:r>
        <w:rPr>
          <w:b/>
          <w:bCs/>
        </w:rPr>
        <w:t xml:space="preserve">Maintenance capex appears understated.</w:t>
      </w:r>
      <w:r>
        <w:t xml:space="preserve"> </w:t>
      </w:r>
      <w:r>
        <w:t xml:space="preserve">3.4% of revenue vs. a 5–7% sector benchmark (and 5.8–6.2% in our own portfolio companies). If true maintenance capex is ~$5.5M, sustainable FCF is ~$2.5M/year lower.</w:t>
      </w:r>
    </w:p>
    <w:p>
      <w:pPr>
        <w:pStyle w:val="Compact"/>
        <w:numPr>
          <w:ilvl w:val="0"/>
          <w:numId w:val="1002"/>
        </w:numPr>
      </w:pPr>
      <w:r>
        <w:rPr>
          <w:b/>
          <w:bCs/>
        </w:rPr>
        <w:t xml:space="preserve">DSO does not reconcile.</w:t>
      </w:r>
      <w:r>
        <w:t xml:space="preserve"> </w:t>
      </w:r>
      <w:r>
        <w:t xml:space="preserve">Stated 52 days vs. ~71 days implied by the AR balance and trailing revenue — above the 45–55 day sector range and suggesting collection or revenue-recognition timing issues.</w:t>
      </w:r>
    </w:p>
    <w:p>
      <w:pPr>
        <w:pStyle w:val="Compact"/>
        <w:numPr>
          <w:ilvl w:val="0"/>
          <w:numId w:val="1002"/>
        </w:numPr>
      </w:pPr>
      <w:r>
        <w:rPr>
          <w:b/>
          <w:bCs/>
        </w:rPr>
        <w:t xml:space="preserve">Data integrity issues across the book.</w:t>
      </w:r>
      <w:r>
        <w:t xml:space="preserve"> </w:t>
      </w:r>
      <w:r>
        <w:t xml:space="preserve">The CIM and the financial exhibits disagree on the income statement (operating income, pre-tax, net income), the balance sheet (total assets, cash, PP&amp;E, equity), the top-10 customer names (ranks 6–10), customer-relationship tenure, and the geographic revenue split.</w:t>
      </w:r>
    </w:p>
    <w:p>
      <w:pPr>
        <w:pStyle w:val="Compact"/>
        <w:numPr>
          <w:ilvl w:val="0"/>
          <w:numId w:val="1002"/>
        </w:numPr>
      </w:pPr>
      <w:r>
        <w:rPr>
          <w:b/>
          <w:bCs/>
        </w:rPr>
        <w:t xml:space="preserve">Key-person and capacity risk.</w:t>
      </w:r>
      <w:r>
        <w:t xml:space="preserve"> </w:t>
      </w:r>
      <w:r>
        <w:t xml:space="preserve">Founder/CEO (68% owner) plans to exit within 18–24 months; PE headcount just fell from three to two (Jan 2025) with no replacement, creating a bottleneck for the PFAS growth that requires PE sign-off.</w:t>
      </w:r>
    </w:p>
    <w:bookmarkEnd w:id="24"/>
    <w:bookmarkStart w:id="25" w:name="preliminary-valuation-view"/>
    <w:p>
      <w:pPr>
        <w:pStyle w:val="Heading3"/>
      </w:pPr>
      <w:r>
        <w:t xml:space="preserve">1.5 Preliminary Valuation 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Basis</w:t>
            </w:r>
          </w:p>
        </w:tc>
        <w:tc>
          <w:tcPr/>
          <w:p>
            <w:pPr>
              <w:pStyle w:val="Compact"/>
              <w:jc w:val="left"/>
            </w:pPr>
            <w:r>
              <w:t xml:space="preserve">Adj. EBITDA</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10.0x</w:t>
            </w:r>
          </w:p>
        </w:tc>
      </w:tr>
      <w:tr>
        <w:tc>
          <w:tcPr/>
          <w:p>
            <w:pPr>
              <w:pStyle w:val="Compact"/>
              <w:jc w:val="left"/>
            </w:pPr>
            <w:r>
              <w:t xml:space="preserve">CIM as-stated</w:t>
            </w:r>
          </w:p>
        </w:tc>
        <w:tc>
          <w:tcPr/>
          <w:p>
            <w:pPr>
              <w:pStyle w:val="Compact"/>
              <w:jc w:val="left"/>
            </w:pPr>
            <w:r>
              <w:t xml:space="preserve">$17.1M</w:t>
            </w:r>
          </w:p>
        </w:tc>
        <w:tc>
          <w:tcPr/>
          <w:p>
            <w:pPr>
              <w:pStyle w:val="Compact"/>
              <w:jc w:val="left"/>
            </w:pPr>
            <w:r>
              <w:t xml:space="preserve">$136.8M</w:t>
            </w:r>
          </w:p>
        </w:tc>
        <w:tc>
          <w:tcPr/>
          <w:p>
            <w:pPr>
              <w:pStyle w:val="Compact"/>
              <w:jc w:val="left"/>
            </w:pPr>
            <w:r>
              <w:t xml:space="preserve">$153.9M</w:t>
            </w:r>
          </w:p>
        </w:tc>
        <w:tc>
          <w:tcPr/>
          <w:p>
            <w:pPr>
              <w:pStyle w:val="Compact"/>
              <w:jc w:val="left"/>
            </w:pPr>
            <w:r>
              <w:t xml:space="preserve">$171.0M</w:t>
            </w:r>
          </w:p>
        </w:tc>
      </w:tr>
      <w:tr>
        <w:tc>
          <w:tcPr/>
          <w:p>
            <w:pPr>
              <w:pStyle w:val="Compact"/>
              <w:jc w:val="left"/>
            </w:pPr>
            <w:r>
              <w:t xml:space="preserve">CIM as-footed (arith. corrected)</w:t>
            </w:r>
          </w:p>
        </w:tc>
        <w:tc>
          <w:tcPr/>
          <w:p>
            <w:pPr>
              <w:pStyle w:val="Compact"/>
              <w:jc w:val="left"/>
            </w:pPr>
            <w:r>
              <w:t xml:space="preserve">$16.8M</w:t>
            </w:r>
          </w:p>
        </w:tc>
        <w:tc>
          <w:tcPr/>
          <w:p>
            <w:pPr>
              <w:pStyle w:val="Compact"/>
              <w:jc w:val="left"/>
            </w:pPr>
            <w:r>
              <w:t xml:space="preserve">$134.4M</w:t>
            </w:r>
          </w:p>
        </w:tc>
        <w:tc>
          <w:tcPr/>
          <w:p>
            <w:pPr>
              <w:pStyle w:val="Compact"/>
              <w:jc w:val="left"/>
            </w:pPr>
            <w:r>
              <w:t xml:space="preserve">$151.2M</w:t>
            </w:r>
          </w:p>
        </w:tc>
        <w:tc>
          <w:tcPr/>
          <w:p>
            <w:pPr>
              <w:pStyle w:val="Compact"/>
              <w:jc w:val="left"/>
            </w:pPr>
            <w:r>
              <w:t xml:space="preserve">$168.0M</w:t>
            </w:r>
          </w:p>
        </w:tc>
      </w:tr>
      <w:tr>
        <w:tc>
          <w:tcPr/>
          <w:p>
            <w:pPr>
              <w:pStyle w:val="Compact"/>
              <w:jc w:val="left"/>
            </w:pPr>
            <w:r>
              <w:rPr>
                <w:b/>
                <w:bCs/>
              </w:rPr>
              <w:t xml:space="preserve">Buy-side normalized (our base)</w:t>
            </w:r>
          </w:p>
        </w:tc>
        <w:tc>
          <w:tcPr/>
          <w:p>
            <w:pPr>
              <w:pStyle w:val="Compact"/>
              <w:jc w:val="left"/>
            </w:pPr>
            <w:r>
              <w:rPr>
                <w:b/>
                <w:bCs/>
              </w:rPr>
              <w:t xml:space="preserve">~$15.9M</w:t>
            </w:r>
          </w:p>
        </w:tc>
        <w:tc>
          <w:tcPr/>
          <w:p>
            <w:pPr>
              <w:pStyle w:val="Compact"/>
              <w:jc w:val="left"/>
            </w:pPr>
            <w:r>
              <w:rPr>
                <w:b/>
                <w:bCs/>
              </w:rPr>
              <w:t xml:space="preserve">$126.8M</w:t>
            </w:r>
          </w:p>
        </w:tc>
        <w:tc>
          <w:tcPr/>
          <w:p>
            <w:pPr>
              <w:pStyle w:val="Compact"/>
              <w:jc w:val="left"/>
            </w:pPr>
            <w:r>
              <w:rPr>
                <w:b/>
                <w:bCs/>
              </w:rPr>
              <w:t xml:space="preserve">$142.7M</w:t>
            </w:r>
          </w:p>
        </w:tc>
        <w:tc>
          <w:tcPr/>
          <w:p>
            <w:pPr>
              <w:pStyle w:val="Compact"/>
              <w:jc w:val="left"/>
            </w:pPr>
            <w:r>
              <w:rPr>
                <w:b/>
                <w:bCs/>
              </w:rPr>
              <w:t xml:space="preserve">$158.5M</w:t>
            </w:r>
          </w:p>
        </w:tc>
      </w:tr>
      <w:tr>
        <w:tc>
          <w:tcPr/>
          <w:p>
            <w:pPr>
              <w:pStyle w:val="Compact"/>
              <w:jc w:val="left"/>
            </w:pPr>
            <w:r>
              <w:t xml:space="preserve">Buy-side conservative</w:t>
            </w:r>
          </w:p>
        </w:tc>
        <w:tc>
          <w:tcPr/>
          <w:p>
            <w:pPr>
              <w:pStyle w:val="Compact"/>
              <w:jc w:val="left"/>
            </w:pPr>
            <w:r>
              <w:t xml:space="preserve">~$15.3M</w:t>
            </w:r>
          </w:p>
        </w:tc>
        <w:tc>
          <w:tcPr/>
          <w:p>
            <w:pPr>
              <w:pStyle w:val="Compact"/>
              <w:jc w:val="left"/>
            </w:pPr>
            <w:r>
              <w:t xml:space="preserve">$122.4M</w:t>
            </w:r>
          </w:p>
        </w:tc>
        <w:tc>
          <w:tcPr/>
          <w:p>
            <w:pPr>
              <w:pStyle w:val="Compact"/>
              <w:jc w:val="left"/>
            </w:pPr>
            <w:r>
              <w:t xml:space="preserve">$137.7M</w:t>
            </w:r>
          </w:p>
        </w:tc>
        <w:tc>
          <w:tcPr/>
          <w:p>
            <w:pPr>
              <w:pStyle w:val="Compact"/>
              <w:jc w:val="left"/>
            </w:pPr>
            <w:r>
              <w:t xml:space="preserve">$153.0M</w:t>
            </w:r>
          </w:p>
        </w:tc>
      </w:tr>
    </w:tbl>
    <w:p>
      <w:pPr>
        <w:pStyle w:val="BodyText"/>
      </w:pPr>
      <w:r>
        <w:t xml:space="preserve">Our base-case buy-side normalized Adjusted EBITDA is</w:t>
      </w:r>
      <w:r>
        <w:t xml:space="preserve"> </w:t>
      </w:r>
      <w:r>
        <w:rPr>
          <w:b/>
          <w:bCs/>
        </w:rPr>
        <w:t xml:space="preserve">~$15.9M</w:t>
      </w:r>
      <w:r>
        <w:t xml:space="preserve">, roughly</w:t>
      </w:r>
      <w:r>
        <w:t xml:space="preserve"> </w:t>
      </w:r>
      <w:r>
        <w:rPr>
          <w:b/>
          <w:bCs/>
        </w:rPr>
        <w:t xml:space="preserve">$1.2M below the CIM’s stated $17.1M</w:t>
      </w:r>
      <w:r>
        <w:t xml:space="preserve"> </w:t>
      </w:r>
      <w:r>
        <w:t xml:space="preserve">(comprising a $0.3M arithmetic correction plus ~$0.95M of adjustment-quality haircuts). On that basis, an IOI EV range of</w:t>
      </w:r>
      <w:r>
        <w:t xml:space="preserve"> </w:t>
      </w:r>
      <w:r>
        <w:rPr>
          <w:b/>
          <w:bCs/>
        </w:rPr>
        <w:t xml:space="preserve">~$135–155M</w:t>
      </w:r>
      <w:r>
        <w:t xml:space="preserve"> </w:t>
      </w:r>
      <w:r>
        <w:t xml:space="preserve">(≈8.5x–9.8x buy-side normalized) is competitive with the lower-to-middle of the CIM’s ask while reflecting the identified risks. We would condition any move toward the top of the sector comp range (9.0x–10.0x) on Phase II validation of the PFAS backlog, PNR renewal, management retention, and true maintenance capex.</w:t>
      </w:r>
    </w:p>
    <w:p>
      <w:r>
        <w:pict>
          <v:rect style="width:0;height:1.5pt" o:hralign="center" o:hrstd="t" o:hr="t"/>
        </w:pict>
      </w:r>
    </w:p>
    <w:bookmarkEnd w:id="25"/>
    <w:bookmarkEnd w:id="26"/>
    <w:bookmarkStart w:id="27" w:name="company-and-transaction-overview"/>
    <w:p>
      <w:pPr>
        <w:pStyle w:val="Heading2"/>
      </w:pPr>
      <w:r>
        <w:t xml:space="preserve">2. Company and Transaction Overview</w:t>
      </w:r>
    </w:p>
    <w:p>
      <w:pPr>
        <w:pStyle w:val="FirstParagraph"/>
      </w:pPr>
      <w:r>
        <w:t xml:space="preserve">CES is a Portland-headquartered environmental services platform operating across Oregon, Washington, Idaho, and Northern California through three segments: Environmental Remediation (FY24 revenue $48.2M, 55.2%), Industrial Cleaning ($27.8M, 31.8%), and Emergency Response ($11.3M, 12.9%). The Company was founded in 2009 by Randall Oakes, who holds 68% of the equity; the remainder is held by early investors and employees, with no institutional ownership. CES employs 412 people across its Portland headquarters/operations yard, Seattle office, and Boise depot.</w:t>
      </w:r>
    </w:p>
    <w:p>
      <w:pPr>
        <w:pStyle w:val="BodyText"/>
      </w:pPr>
      <w:r>
        <w:t xml:space="preserve">The Company holds hazardous-waste transporter permits in all four states of operation and an Oregon DEQ contractor license, and performs PE-overseen remediation work. Its emerging PFAS practice (launched 2022) generated $6.2M in FY2024 and is the centerpiece of the growth narrative. Financial statements are audited by Ridgeline Accounting Group, PC; seller’s counsel is Wexford, Mallory &amp; Chen LLP.</w:t>
      </w:r>
    </w:p>
    <w:p>
      <w:pPr>
        <w:pStyle w:val="BodyText"/>
      </w:pPr>
      <w:r>
        <w:t xml:space="preserve">Greenleaf is running a three-phase competitive sale process: Phase I IOIs due</w:t>
      </w:r>
      <w:r>
        <w:t xml:space="preserve"> </w:t>
      </w:r>
      <w:r>
        <w:rPr>
          <w:b/>
          <w:bCs/>
        </w:rPr>
        <w:t xml:space="preserve">July 14, 2025</w:t>
      </w:r>
      <w:r>
        <w:t xml:space="preserve">; Phase II management presentations in</w:t>
      </w:r>
      <w:r>
        <w:t xml:space="preserve"> </w:t>
      </w:r>
      <w:r>
        <w:rPr>
          <w:b/>
          <w:bCs/>
        </w:rPr>
        <w:t xml:space="preserve">August 2025</w:t>
      </w:r>
      <w:r>
        <w:t xml:space="preserve"> </w:t>
      </w:r>
      <w:r>
        <w:t xml:space="preserve">with a virtual data room; Phase III final bids and definitive documentation (expected stock purchase agreement) with a target</w:t>
      </w:r>
      <w:r>
        <w:t xml:space="preserve"> </w:t>
      </w:r>
      <w:r>
        <w:rPr>
          <w:b/>
          <w:bCs/>
        </w:rPr>
        <w:t xml:space="preserve">Q4 2025</w:t>
      </w:r>
      <w:r>
        <w:t xml:space="preserve"> </w:t>
      </w:r>
      <w:r>
        <w:t xml:space="preserve">close. Existing indebtedness to Cascadia Commercial Bank ($17.3M) is expected to be refinanced or repaid at closing. Mr. Oakes intends to transition out of day-to-day operations within 18–24 months post-close and is willing to serve in a transitional advisory capacity.</w:t>
      </w:r>
    </w:p>
    <w:p>
      <w:r>
        <w:pict>
          <v:rect style="width:0;height:1.5pt" o:hralign="center" o:hrstd="t" o:hr="t"/>
        </w:pict>
      </w:r>
    </w:p>
    <w:bookmarkEnd w:id="27"/>
    <w:bookmarkStart w:id="36" w:name="financial-analysis"/>
    <w:p>
      <w:pPr>
        <w:pStyle w:val="Heading2"/>
      </w:pPr>
      <w:r>
        <w:t xml:space="preserve">3. Financial Analysis</w:t>
      </w:r>
    </w:p>
    <w:bookmarkStart w:id="28" w:name="historical-performance"/>
    <w:p>
      <w:pPr>
        <w:pStyle w:val="Heading3"/>
      </w:pPr>
      <w:r>
        <w:t xml:space="preserve">3.1 Historical Performance</w:t>
      </w:r>
    </w:p>
    <w:p>
      <w:pPr>
        <w:pStyle w:val="FirstParagraph"/>
      </w:pPr>
      <w:r>
        <w:t xml:space="preserve">Revenue grew from $61.4M (FY21) to $87.3M (FY24), a 12.5% CAGR, with growth accelerating to 14.7% in FY24. Reported EBITDA grew from $7.4M to $12.1M (margin 12.1% → 13.9%). On its face this is an attractive profile, and the reported EBITDA margin sits squarely within the 10–15% sector benchmark for companies of this size. The concerns arise not in the reported figures but in (a) the bridge to Adjusted EBITDA, (b) the consistency of the underlying statements, and (c) the sustainability of cash conversion.</w:t>
      </w:r>
    </w:p>
    <w:bookmarkEnd w:id="28"/>
    <w:bookmarkStart w:id="29" w:name="Xe4ea48808b23af389b175b6e840b63c0c4bfc82"/>
    <w:p>
      <w:pPr>
        <w:pStyle w:val="Heading3"/>
      </w:pPr>
      <w:r>
        <w:t xml:space="preserve">3.2 Adjusted EBITDA Bridge — The Headline Problem</w:t>
      </w:r>
    </w:p>
    <w:p>
      <w:pPr>
        <w:pStyle w:val="FirstParagraph"/>
      </w:pPr>
      <w:r>
        <w:t xml:space="preserve">The CIM’s FY2024 Adjusted EBITDA bridge does not foot. Reported EBITDA of $12.1M plus the six listed adjustments ($1.9 + $0.8 + $1.2 + $0.4 + $0.3 + $0.1 = $4.7M) equals</w:t>
      </w:r>
      <w:r>
        <w:t xml:space="preserve"> </w:t>
      </w:r>
      <w:r>
        <w:rPr>
          <w:b/>
          <w:bCs/>
        </w:rPr>
        <w:t xml:space="preserve">$16.8M</w:t>
      </w:r>
      <w:r>
        <w:t xml:space="preserve">, not the stated</w:t>
      </w:r>
      <w:r>
        <w:t xml:space="preserve"> </w:t>
      </w:r>
      <w:r>
        <w:rPr>
          <w:b/>
          <w:bCs/>
        </w:rPr>
        <w:t xml:space="preserve">$17.1M</w:t>
      </w:r>
      <w:r>
        <w:t xml:space="preserve">. The financial exhibits repeat the same error (Total Adjustments $4.7M; Adjusted EBITDA stated as $17.1M). Notably, the FY2021–FY2023 reconciliations in Appendix B foot correctly ($9.7M, $11.1M, $13.4M); the arithmetic break is isolated to the FY2024 valuation year — the year on which the entire implied EV range is built. This must be corrected before any multiple is applied.</w:t>
      </w:r>
    </w:p>
    <w:p>
      <w:pPr>
        <w:pStyle w:val="BodyText"/>
      </w:pPr>
      <w:r>
        <w:t xml:space="preserve">Beyond the arithmetic, the individual adjustments warrant scrutiny: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CIM</w:t>
            </w:r>
          </w:p>
        </w:tc>
        <w:tc>
          <w:tcPr/>
          <w:p>
            <w:pPr>
              <w:pStyle w:val="Compact"/>
              <w:jc w:val="left"/>
            </w:pPr>
            <w:r>
              <w:t xml:space="preserve">Buy-side view</w:t>
            </w:r>
          </w:p>
        </w:tc>
        <w:tc>
          <w:tcPr/>
          <w:p>
            <w:pPr>
              <w:pStyle w:val="Compact"/>
              <w:jc w:val="left"/>
            </w:pPr>
            <w:r>
              <w:t xml:space="preserve">Issue</w:t>
            </w:r>
          </w:p>
        </w:tc>
      </w:tr>
      <w:tr>
        <w:tc>
          <w:tcPr/>
          <w:p>
            <w:pPr>
              <w:pStyle w:val="Compact"/>
              <w:jc w:val="left"/>
            </w:pPr>
            <w:r>
              <w:t xml:space="preserve">Owner compensation normalization</w:t>
            </w:r>
          </w:p>
        </w:tc>
        <w:tc>
          <w:tcPr/>
          <w:p>
            <w:pPr>
              <w:pStyle w:val="Compact"/>
              <w:jc w:val="left"/>
            </w:pPr>
            <w:r>
              <w:t xml:space="preserve">$1.9M</w:t>
            </w:r>
          </w:p>
        </w:tc>
        <w:tc>
          <w:tcPr/>
          <w:p>
            <w:pPr>
              <w:pStyle w:val="Compact"/>
              <w:jc w:val="left"/>
            </w:pPr>
            <w:r>
              <w:t xml:space="preserve">~$1.65M</w:t>
            </w:r>
          </w:p>
        </w:tc>
        <w:tc>
          <w:tcPr/>
          <w:p>
            <w:pPr>
              <w:pStyle w:val="Compact"/>
              <w:jc w:val="left"/>
            </w:pPr>
            <w:r>
              <w:t xml:space="preserve">$2.4M total comp includes undisclosed</w:t>
            </w:r>
            <w:r>
              <w:t xml:space="preserve"> </w:t>
            </w:r>
            <w:r>
              <w:t xml:space="preserve">“</w:t>
            </w:r>
            <w:r>
              <w:t xml:space="preserve">personal expenses allocated to the Company</w:t>
            </w:r>
            <w:r>
              <w:t xml:space="preserve">”</w:t>
            </w:r>
            <w:r>
              <w:t xml:space="preserve">; $500K replacement-CEO assumption is aggressive (low) for an $87M→$124M revenue platform — market is likely $700K–$1.0M+</w:t>
            </w:r>
          </w:p>
        </w:tc>
      </w:tr>
      <w:tr>
        <w:tc>
          <w:tcPr/>
          <w:p>
            <w:pPr>
              <w:pStyle w:val="Compact"/>
              <w:jc w:val="left"/>
            </w:pPr>
            <w:r>
              <w:t xml:space="preserve">Related-party lease normalization</w:t>
            </w:r>
          </w:p>
        </w:tc>
        <w:tc>
          <w:tcPr/>
          <w:p>
            <w:pPr>
              <w:pStyle w:val="Compact"/>
              <w:jc w:val="left"/>
            </w:pPr>
            <w:r>
              <w:t xml:space="preserve">$0.8M</w:t>
            </w:r>
          </w:p>
        </w:tc>
        <w:tc>
          <w:tcPr/>
          <w:p>
            <w:pPr>
              <w:pStyle w:val="Compact"/>
              <w:jc w:val="left"/>
            </w:pPr>
            <w:r>
              <w:t xml:space="preserve">~$0.2–0.4M</w:t>
            </w:r>
          </w:p>
        </w:tc>
        <w:tc>
          <w:tcPr/>
          <w:p>
            <w:pPr>
              <w:pStyle w:val="Compact"/>
              <w:jc w:val="left"/>
            </w:pPr>
            <w:r>
              <w:t xml:space="preserve">CIM uses $600K market rent, but CIM §IV.C states comparable</w:t>
            </w:r>
            <w:r>
              <w:t xml:space="preserve"> </w:t>
            </w:r>
            <w:r>
              <w:rPr>
                <w:i/>
                <w:iCs/>
              </w:rPr>
              <w:t xml:space="preserve">specialized environmental staging facilities</w:t>
            </w:r>
            <w:r>
              <w:t xml:space="preserve"> </w:t>
            </w:r>
            <w:r>
              <w:t xml:space="preserve">command</w:t>
            </w:r>
            <w:r>
              <w:t xml:space="preserve"> </w:t>
            </w:r>
            <w:r>
              <w:rPr>
                <w:b/>
                <w:bCs/>
              </w:rPr>
              <w:t xml:space="preserve">$1.0M–$1.2M</w:t>
            </w:r>
            <w:r>
              <w:t xml:space="preserve"> </w:t>
            </w:r>
            <w:r>
              <w:t xml:space="preserve">— implying only $200K–$400K above market, not $800K (see §7)</w:t>
            </w:r>
          </w:p>
        </w:tc>
      </w:tr>
      <w:tr>
        <w:tc>
          <w:tcPr/>
          <w:p>
            <w:pPr>
              <w:pStyle w:val="Compact"/>
              <w:jc w:val="left"/>
            </w:pPr>
            <w:r>
              <w:t xml:space="preserve">One-time legal/regulatory (DEQ)</w:t>
            </w:r>
          </w:p>
        </w:tc>
        <w:tc>
          <w:tcPr/>
          <w:p>
            <w:pPr>
              <w:pStyle w:val="Compact"/>
              <w:jc w:val="left"/>
            </w:pPr>
            <w:r>
              <w:t xml:space="preserve">$1.2M</w:t>
            </w:r>
          </w:p>
        </w:tc>
        <w:tc>
          <w:tcPr/>
          <w:p>
            <w:pPr>
              <w:pStyle w:val="Compact"/>
              <w:jc w:val="left"/>
            </w:pPr>
            <w:r>
              <w:t xml:space="preserve">~$0.7–0.9M</w:t>
            </w:r>
          </w:p>
        </w:tc>
        <w:tc>
          <w:tcPr/>
          <w:p>
            <w:pPr>
              <w:pStyle w:val="Compact"/>
              <w:jc w:val="left"/>
            </w:pPr>
            <w:r>
              <w:t xml:space="preserve">Regulatory/compliance costs recur in this sector ($200K–$500K/yr run-rate per our portfolio data);</w:t>
            </w:r>
            <w:r>
              <w:t xml:space="preserve"> </w:t>
            </w:r>
            <w:r>
              <w:t xml:space="preserve">“</w:t>
            </w:r>
            <w:r>
              <w:t xml:space="preserve">non-recurring</w:t>
            </w:r>
            <w:r>
              <w:t xml:space="preserve">”</w:t>
            </w:r>
            <w:r>
              <w:t xml:space="preserve"> </w:t>
            </w:r>
            <w:r>
              <w:t xml:space="preserve">legal/regulatory add-backs appear in FY23 ($0.2M) and FY24 ($1.2M); classification also differs between CIM and exhibits (see §6)</w:t>
            </w:r>
          </w:p>
        </w:tc>
      </w:tr>
      <w:tr>
        <w:tc>
          <w:tcPr/>
          <w:p>
            <w:pPr>
              <w:pStyle w:val="Compact"/>
              <w:jc w:val="left"/>
            </w:pPr>
            <w:r>
              <w:t xml:space="preserve">Non-recurring equipment relocation</w:t>
            </w:r>
          </w:p>
        </w:tc>
        <w:tc>
          <w:tcPr/>
          <w:p>
            <w:pPr>
              <w:pStyle w:val="Compact"/>
              <w:jc w:val="left"/>
            </w:pPr>
            <w:r>
              <w:t xml:space="preserve">$0.4M</w:t>
            </w:r>
          </w:p>
        </w:tc>
        <w:tc>
          <w:tcPr/>
          <w:p>
            <w:pPr>
              <w:pStyle w:val="Compact"/>
              <w:jc w:val="left"/>
            </w:pPr>
            <w:r>
              <w:t xml:space="preserve">$0.4M</w:t>
            </w:r>
          </w:p>
        </w:tc>
        <w:tc>
          <w:tcPr/>
          <w:p>
            <w:pPr>
              <w:pStyle w:val="Compact"/>
              <w:jc w:val="left"/>
            </w:pPr>
            <w:r>
              <w:t xml:space="preserve">Appears legitimate (Boise depot move); but</w:t>
            </w:r>
            <w:r>
              <w:t xml:space="preserve"> </w:t>
            </w:r>
            <w:r>
              <w:t xml:space="preserve">“</w:t>
            </w:r>
            <w:r>
              <w:t xml:space="preserve">non-recurring</w:t>
            </w:r>
            <w:r>
              <w:t xml:space="preserve">”</w:t>
            </w:r>
            <w:r>
              <w:t xml:space="preserve"> </w:t>
            </w:r>
            <w:r>
              <w:t xml:space="preserve">items appear every year</w:t>
            </w:r>
          </w:p>
        </w:tc>
      </w:tr>
      <w:tr>
        <w:tc>
          <w:tcPr/>
          <w:p>
            <w:pPr>
              <w:pStyle w:val="Compact"/>
              <w:jc w:val="left"/>
            </w:pPr>
            <w:r>
              <w:t xml:space="preserve">Stock-based comp (phantom units)</w:t>
            </w:r>
          </w:p>
        </w:tc>
        <w:tc>
          <w:tcPr/>
          <w:p>
            <w:pPr>
              <w:pStyle w:val="Compact"/>
              <w:jc w:val="left"/>
            </w:pPr>
            <w:r>
              <w:t xml:space="preserve">$0.3M</w:t>
            </w:r>
          </w:p>
        </w:tc>
        <w:tc>
          <w:tcPr/>
          <w:p>
            <w:pPr>
              <w:pStyle w:val="Compact"/>
              <w:jc w:val="left"/>
            </w:pPr>
            <w:r>
              <w:t xml:space="preserve">$0.3M</w:t>
            </w:r>
          </w:p>
        </w:tc>
        <w:tc>
          <w:tcPr/>
          <w:p>
            <w:pPr>
              <w:pStyle w:val="Compact"/>
              <w:jc w:val="left"/>
            </w:pPr>
            <w:r>
              <w:t xml:space="preserve">Valid EBITDA add-back, but phantom units settle in</w:t>
            </w:r>
            <w:r>
              <w:t xml:space="preserve"> </w:t>
            </w:r>
            <w:r>
              <w:rPr>
                <w:b/>
                <w:bCs/>
              </w:rPr>
              <w:t xml:space="preserve">cash at closing</w:t>
            </w:r>
            <w:r>
              <w:t xml:space="preserve"> </w:t>
            </w:r>
            <w:r>
              <w:t xml:space="preserve">— a transaction/ net-debt-like outflow to be sized and deducted from equity proceeds, not just added back</w:t>
            </w:r>
          </w:p>
        </w:tc>
      </w:tr>
      <w:tr>
        <w:tc>
          <w:tcPr/>
          <w:p>
            <w:pPr>
              <w:pStyle w:val="Compact"/>
              <w:jc w:val="left"/>
            </w:pPr>
            <w:r>
              <w:t xml:space="preserve">One-time IT implementation</w:t>
            </w:r>
          </w:p>
        </w:tc>
        <w:tc>
          <w:tcPr/>
          <w:p>
            <w:pPr>
              <w:pStyle w:val="Compact"/>
              <w:jc w:val="left"/>
            </w:pPr>
            <w:r>
              <w:t xml:space="preserve">$0.1M</w:t>
            </w:r>
          </w:p>
        </w:tc>
        <w:tc>
          <w:tcPr/>
          <w:p>
            <w:pPr>
              <w:pStyle w:val="Compact"/>
              <w:jc w:val="left"/>
            </w:pPr>
            <w:r>
              <w:t xml:space="preserve">$0.1M</w:t>
            </w:r>
          </w:p>
        </w:tc>
        <w:tc>
          <w:tcPr/>
          <w:p>
            <w:pPr>
              <w:pStyle w:val="Compact"/>
              <w:jc w:val="left"/>
            </w:pPr>
            <w:r>
              <w:t xml:space="preserve">Minor</w:t>
            </w:r>
          </w:p>
        </w:tc>
      </w:tr>
      <w:tr>
        <w:tc>
          <w:tcPr/>
          <w:p>
            <w:pPr>
              <w:pStyle w:val="Compact"/>
              <w:jc w:val="left"/>
            </w:pPr>
            <w:r>
              <w:rPr>
                <w:b/>
                <w:bCs/>
              </w:rPr>
              <w:t xml:space="preserve">Total adjustments</w:t>
            </w:r>
          </w:p>
        </w:tc>
        <w:tc>
          <w:tcPr/>
          <w:p>
            <w:pPr>
              <w:pStyle w:val="Compact"/>
              <w:jc w:val="left"/>
            </w:pPr>
            <w:r>
              <w:rPr>
                <w:b/>
                <w:bCs/>
              </w:rPr>
              <w:t xml:space="preserve">$4.7M (stated $5.0M)</w:t>
            </w:r>
          </w:p>
        </w:tc>
        <w:tc>
          <w:tcPr/>
          <w:p>
            <w:pPr>
              <w:pStyle w:val="Compact"/>
              <w:jc w:val="left"/>
            </w:pPr>
            <w:r>
              <w:rPr>
                <w:b/>
                <w:bCs/>
              </w:rPr>
              <w:t xml:space="preserve">~$3.75M</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$17.1M (stated)</w:t>
            </w:r>
          </w:p>
        </w:tc>
        <w:tc>
          <w:tcPr/>
          <w:p>
            <w:pPr>
              <w:pStyle w:val="Compact"/>
              <w:jc w:val="left"/>
            </w:pPr>
            <w:r>
              <w:rPr>
                <w:b/>
                <w:bCs/>
              </w:rPr>
              <w:t xml:space="preserve">~$15.9M</w:t>
            </w:r>
          </w:p>
        </w:tc>
        <w:tc>
          <w:tcPr/>
          <w:p>
            <w:pPr>
              <w:pStyle w:val="Compact"/>
              <w:jc w:val="left"/>
            </w:pPr>
            <w:r>
              <w:t xml:space="preserve">~$1.2M lower than CIM</w:t>
            </w:r>
          </w:p>
        </w:tc>
      </w:tr>
    </w:tbl>
    <w:p>
      <w:pPr>
        <w:pStyle w:val="BodyText"/>
      </w:pPr>
      <w:r>
        <w:t xml:space="preserve">A secondary, structural concern: the CIM’s</w:t>
      </w:r>
      <w:r>
        <w:t xml:space="preserve"> </w:t>
      </w:r>
      <w:r>
        <w:t xml:space="preserve">“</w:t>
      </w:r>
      <w:r>
        <w:t xml:space="preserve">non-recurring</w:t>
      </w:r>
      <w:r>
        <w:t xml:space="preserve">”</w:t>
      </w:r>
      <w:r>
        <w:t xml:space="preserve"> </w:t>
      </w:r>
      <w:r>
        <w:t xml:space="preserve">add-backs (legal/regulatory + other non-recurring + IT) appear in</w:t>
      </w:r>
      <w:r>
        <w:t xml:space="preserve"> </w:t>
      </w:r>
      <w:r>
        <w:rPr>
          <w:b/>
          <w:bCs/>
        </w:rPr>
        <w:t xml:space="preserve">every historical year</w:t>
      </w:r>
      <w:r>
        <w:t xml:space="preserve"> </w:t>
      </w:r>
      <w:r>
        <w:t xml:space="preserve">— $0.1M (FY22), $0.4M (FY23), $1.7M (FY24). When an item recurs annually it is, by definition, part of the run-rate. QoE best practice (and our GreenWorks/Allied Waste experience) is to normalize to an ongoing run-rate and add back only the excess. This pattern is the single most reliable indicator that reported Adjusted EBITDA is overstated.</w:t>
      </w:r>
    </w:p>
    <w:bookmarkEnd w:id="29"/>
    <w:bookmarkStart w:id="30" w:name="X25e5c151e06c6e56bb385ff13b6186abd0c92a0"/>
    <w:p>
      <w:pPr>
        <w:pStyle w:val="Heading3"/>
      </w:pPr>
      <w:r>
        <w:t xml:space="preserve">3.3 Income Statement — CIM vs. Financial Exhibits Do Not Reconcile</w:t>
      </w:r>
    </w:p>
    <w:p>
      <w:pPr>
        <w:pStyle w:val="FirstParagraph"/>
      </w:pPr>
      <w:r>
        <w:t xml:space="preserve">The CIM’s Appendix A condensed income statement and the financial exhibits’ income statement agree on revenue and reported EBITDA but disagree on virtually every line in between, and the exhibits are internally inconsistent around EBIT/EBITDA/D&amp;A: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FY2024 line item ($M)</w:t>
            </w:r>
          </w:p>
        </w:tc>
        <w:tc>
          <w:tcPr/>
          <w:p>
            <w:pPr>
              <w:pStyle w:val="Compact"/>
              <w:jc w:val="left"/>
            </w:pPr>
            <w:r>
              <w:t xml:space="preserve">CIM Appendix A</w:t>
            </w:r>
          </w:p>
        </w:tc>
        <w:tc>
          <w:tcPr/>
          <w:p>
            <w:pPr>
              <w:pStyle w:val="Compact"/>
              <w:jc w:val="left"/>
            </w:pPr>
            <w:r>
              <w:t xml:space="preserve">Financial Exhibits</w:t>
            </w:r>
          </w:p>
        </w:tc>
        <w:tc>
          <w:tcPr/>
          <w:p>
            <w:pPr>
              <w:pStyle w:val="Compact"/>
              <w:jc w:val="left"/>
            </w:pPr>
            <w:r>
              <w:t xml:space="preserve">Δ</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87.3</w:t>
            </w:r>
          </w:p>
        </w:tc>
        <w:tc>
          <w:tcPr/>
          <w:p>
            <w:pPr>
              <w:pStyle w:val="Compact"/>
              <w:jc w:val="left"/>
            </w:pPr>
            <w:r>
              <w:t xml:space="preserve">—</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c>
          <w:tcPr/>
          <w:p>
            <w:pPr>
              <w:pStyle w:val="Compact"/>
              <w:jc w:val="left"/>
            </w:pPr>
            <w:r>
              <w:t xml:space="preserve">0.7</w:t>
            </w:r>
          </w:p>
        </w:tc>
      </w:tr>
      <w:tr>
        <w:tc>
          <w:tcPr/>
          <w:p>
            <w:pPr>
              <w:pStyle w:val="Compact"/>
              <w:jc w:val="left"/>
            </w:pPr>
            <w:r>
              <w:t xml:space="preserve">Gross profit</w:t>
            </w:r>
          </w:p>
        </w:tc>
        <w:tc>
          <w:tcPr/>
          <w:p>
            <w:pPr>
              <w:pStyle w:val="Compact"/>
              <w:jc w:val="left"/>
            </w:pPr>
            <w:r>
              <w:t xml:space="preserve">29.5</w:t>
            </w:r>
          </w:p>
        </w:tc>
        <w:tc>
          <w:tcPr/>
          <w:p>
            <w:pPr>
              <w:pStyle w:val="Compact"/>
              <w:jc w:val="left"/>
            </w:pPr>
            <w:r>
              <w:t xml:space="preserve">28.8</w:t>
            </w:r>
          </w:p>
        </w:tc>
        <w:tc>
          <w:tcPr/>
          <w:p>
            <w:pPr>
              <w:pStyle w:val="Compact"/>
              <w:jc w:val="left"/>
            </w:pPr>
            <w:r>
              <w:t xml:space="preserve">0.7</w:t>
            </w:r>
          </w:p>
        </w:tc>
      </w:tr>
      <w:tr>
        <w:tc>
          <w:tcPr/>
          <w:p>
            <w:pPr>
              <w:pStyle w:val="Compact"/>
              <w:jc w:val="left"/>
            </w:pPr>
            <w:r>
              <w:t xml:space="preserve">Gross margin</w:t>
            </w:r>
          </w:p>
        </w:tc>
        <w:tc>
          <w:tcPr/>
          <w:p>
            <w:pPr>
              <w:pStyle w:val="Compact"/>
              <w:jc w:val="left"/>
            </w:pPr>
            <w:r>
              <w:t xml:space="preserve">33.8%</w:t>
            </w:r>
          </w:p>
        </w:tc>
        <w:tc>
          <w:tcPr/>
          <w:p>
            <w:pPr>
              <w:pStyle w:val="Compact"/>
              <w:jc w:val="left"/>
            </w:pPr>
            <w:r>
              <w:t xml:space="preserve">33.0%</w:t>
            </w:r>
          </w:p>
        </w:tc>
        <w:tc>
          <w:tcPr/>
          <w:p>
            <w:pPr>
              <w:pStyle w:val="Compact"/>
              <w:jc w:val="left"/>
            </w:pPr>
            <w:r>
              <w:t xml:space="preserve">80 bps</w:t>
            </w:r>
          </w:p>
        </w:tc>
      </w:tr>
      <w:tr>
        <w:tc>
          <w:tcPr/>
          <w:p>
            <w:pPr>
              <w:pStyle w:val="Compact"/>
              <w:jc w:val="left"/>
            </w:pPr>
            <w:r>
              <w:t xml:space="preserve">Operating income (EBIT)</w:t>
            </w:r>
          </w:p>
        </w:tc>
        <w:tc>
          <w:tcPr/>
          <w:p>
            <w:pPr>
              <w:pStyle w:val="Compact"/>
              <w:jc w:val="left"/>
            </w:pPr>
            <w:r>
              <w:t xml:space="preserve">7.8</w:t>
            </w:r>
          </w:p>
        </w:tc>
        <w:tc>
          <w:tcPr/>
          <w:p>
            <w:pPr>
              <w:pStyle w:val="Compact"/>
              <w:jc w:val="left"/>
            </w:pPr>
            <w:r>
              <w:t xml:space="preserve">11.1</w:t>
            </w:r>
          </w:p>
        </w:tc>
        <w:tc>
          <w:tcPr/>
          <w:p>
            <w:pPr>
              <w:pStyle w:val="Compact"/>
              <w:jc w:val="left"/>
            </w:pPr>
            <w:r>
              <w:t xml:space="preserve">3.3</w:t>
            </w:r>
          </w:p>
        </w:tc>
      </w:tr>
      <w:tr>
        <w:tc>
          <w:tcPr/>
          <w:p>
            <w:pPr>
              <w:pStyle w:val="Compact"/>
              <w:jc w:val="left"/>
            </w:pPr>
            <w:r>
              <w:t xml:space="preserve">D&amp;A</w:t>
            </w:r>
          </w:p>
        </w:tc>
        <w:tc>
          <w:tcPr/>
          <w:p>
            <w:pPr>
              <w:pStyle w:val="Compact"/>
              <w:jc w:val="left"/>
            </w:pPr>
            <w:r>
              <w:t xml:space="preserve">(4.3)</w:t>
            </w:r>
          </w:p>
        </w:tc>
        <w:tc>
          <w:tcPr/>
          <w:p>
            <w:pPr>
              <w:pStyle w:val="Compact"/>
              <w:jc w:val="left"/>
            </w:pPr>
            <w:r>
              <w:t xml:space="preserve">(4.2)</w:t>
            </w:r>
          </w:p>
        </w:tc>
        <w:tc>
          <w:tcPr/>
          <w:p>
            <w:pPr>
              <w:pStyle w:val="Compact"/>
              <w:jc w:val="left"/>
            </w:pPr>
            <w:r>
              <w:t xml:space="preserve">0.1</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Pre-tax income</w:t>
            </w:r>
          </w:p>
        </w:tc>
        <w:tc>
          <w:tcPr/>
          <w:p>
            <w:pPr>
              <w:pStyle w:val="Compact"/>
              <w:jc w:val="left"/>
            </w:pPr>
            <w:r>
              <w:t xml:space="preserve">6.7</w:t>
            </w:r>
          </w:p>
        </w:tc>
        <w:tc>
          <w:tcPr/>
          <w:p>
            <w:pPr>
              <w:pStyle w:val="Compact"/>
              <w:jc w:val="left"/>
            </w:pPr>
            <w:r>
              <w:t xml:space="preserve">9.0</w:t>
            </w:r>
          </w:p>
        </w:tc>
        <w:tc>
          <w:tcPr/>
          <w:p>
            <w:pPr>
              <w:pStyle w:val="Compact"/>
              <w:jc w:val="left"/>
            </w:pPr>
            <w:r>
              <w:t xml:space="preserve">2.3</w:t>
            </w:r>
          </w:p>
        </w:tc>
      </w:tr>
      <w:tr>
        <w:tc>
          <w:tcPr/>
          <w:p>
            <w:pPr>
              <w:pStyle w:val="Compact"/>
              <w:jc w:val="left"/>
            </w:pPr>
            <w:r>
              <w:t xml:space="preserve">Net income</w:t>
            </w:r>
          </w:p>
        </w:tc>
        <w:tc>
          <w:tcPr/>
          <w:p>
            <w:pPr>
              <w:pStyle w:val="Compact"/>
              <w:jc w:val="left"/>
            </w:pPr>
            <w:r>
              <w:t xml:space="preserve">5.0</w:t>
            </w:r>
          </w:p>
        </w:tc>
        <w:tc>
          <w:tcPr/>
          <w:p>
            <w:pPr>
              <w:pStyle w:val="Compact"/>
              <w:jc w:val="left"/>
            </w:pPr>
            <w:r>
              <w:t xml:space="preserve">6.7</w:t>
            </w:r>
          </w:p>
        </w:tc>
        <w:tc>
          <w:tcPr/>
          <w:p>
            <w:pPr>
              <w:pStyle w:val="Compact"/>
              <w:jc w:val="left"/>
            </w:pPr>
            <w:r>
              <w:t xml:space="preserve">1.7</w:t>
            </w:r>
          </w:p>
        </w:tc>
      </w:tr>
    </w:tbl>
    <w:p>
      <w:pPr>
        <w:pStyle w:val="BodyText"/>
      </w:pPr>
      <w:r>
        <w:rPr>
          <w:b/>
          <w:bCs/>
        </w:rPr>
        <w:t xml:space="preserve">Internal inconsistency in the exhibits:</w:t>
      </w:r>
      <w:r>
        <w:t xml:space="preserve"> </w:t>
      </w:r>
      <w:r>
        <w:t xml:space="preserve">Operating Income (EBIT) of $11.1M plus D&amp;A of $4.2M equals</w:t>
      </w:r>
      <w:r>
        <w:t xml:space="preserve"> </w:t>
      </w:r>
      <w:r>
        <w:rPr>
          <w:b/>
          <w:bCs/>
        </w:rPr>
        <w:t xml:space="preserve">$15.3M</w:t>
      </w:r>
      <w:r>
        <w:t xml:space="preserve">, which does not equal the stated Reported EBITDA of $12.1M. Conversely, Reported EBITDA ($12.1M) less D&amp;A ($4.2M) = $7.9M, which approximates the CIM’s operating income ($7.8M) but not the exhibits’ own</w:t>
      </w:r>
      <w:r>
        <w:t xml:space="preserve"> </w:t>
      </w:r>
      <w:r>
        <w:t xml:space="preserve">“</w:t>
      </w:r>
      <w:r>
        <w:t xml:space="preserve">Operating Income (EBIT)</w:t>
      </w:r>
      <w:r>
        <w:t xml:space="preserve">”</w:t>
      </w:r>
      <w:r>
        <w:t xml:space="preserve"> </w:t>
      </w:r>
      <w:r>
        <w:t xml:space="preserve">of $11.1M. The exhibits’ pre-tax income ($9.0M) and net income ($6.7M) reconcile only if EBIT is treated as $11.1M (post-D&amp;A), which in turn implies EBITDA of $15.3M — not $12.1M. The same pattern holds for FY21–FY23 (exhibits EBIT + D&amp;A ≠ stated EBITDA every year). The net effect is that the exhibits overstate operating income, pre-tax income, and net income relative to the CIM.</w:t>
      </w:r>
      <w:r>
        <w:t xml:space="preserve"> </w:t>
      </w:r>
      <w:r>
        <w:rPr>
          <w:b/>
          <w:bCs/>
        </w:rPr>
        <w:t xml:space="preserve">The QoE must establish which statement is correct and reconcile the D&amp;A treatment.</w:t>
      </w:r>
    </w:p>
    <w:bookmarkEnd w:id="30"/>
    <w:bookmarkStart w:id="31" w:name="X1632cd2cf9c6a0f965d7c89ac917d7cc79946a2"/>
    <w:p>
      <w:pPr>
        <w:pStyle w:val="Heading3"/>
      </w:pPr>
      <w:r>
        <w:t xml:space="preserve">3.4 Balance Sheet — Two Different Balance Sheets</w:t>
      </w:r>
    </w:p>
    <w:p>
      <w:pPr>
        <w:pStyle w:val="FirstParagraph"/>
      </w:pPr>
      <w:r>
        <w:t xml:space="preserve">The CIM (§VI.D and Appendix A) and the financial exhibits present materially different balance sheets as of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FY2024 ($M)</w:t>
            </w:r>
          </w:p>
        </w:tc>
        <w:tc>
          <w:tcPr/>
          <w:p>
            <w:pPr>
              <w:pStyle w:val="Compact"/>
              <w:jc w:val="left"/>
            </w:pPr>
            <w:r>
              <w:t xml:space="preserve">CIM</w:t>
            </w:r>
          </w:p>
        </w:tc>
        <w:tc>
          <w:tcPr/>
          <w:p>
            <w:pPr>
              <w:pStyle w:val="Compact"/>
              <w:jc w:val="left"/>
            </w:pPr>
            <w:r>
              <w:t xml:space="preserve">Exhibits</w:t>
            </w:r>
          </w:p>
        </w:tc>
        <w:tc>
          <w:tcPr/>
          <w:p>
            <w:pPr>
              <w:pStyle w:val="Compact"/>
              <w:jc w:val="left"/>
            </w:pPr>
            <w:r>
              <w:t xml:space="preserve">Δ</w:t>
            </w:r>
          </w:p>
        </w:tc>
      </w:tr>
      <w:tr>
        <w:tc>
          <w:tcPr/>
          <w:p>
            <w:pPr>
              <w:pStyle w:val="Compact"/>
              <w:jc w:val="left"/>
            </w:pPr>
            <w:r>
              <w:t xml:space="preserve">Cash</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Total current assets</w:t>
            </w:r>
          </w:p>
        </w:tc>
        <w:tc>
          <w:tcPr/>
          <w:p>
            <w:pPr>
              <w:pStyle w:val="Compact"/>
              <w:jc w:val="left"/>
            </w:pPr>
            <w:r>
              <w:t xml:space="preserve">24.0</w:t>
            </w:r>
          </w:p>
        </w:tc>
        <w:tc>
          <w:tcPr/>
          <w:p>
            <w:pPr>
              <w:pStyle w:val="Compact"/>
              <w:jc w:val="left"/>
            </w:pPr>
            <w:r>
              <w:t xml:space="preserve">25.1</w:t>
            </w:r>
          </w:p>
        </w:tc>
        <w:tc>
          <w:tcPr/>
          <w:p>
            <w:pPr>
              <w:pStyle w:val="Compact"/>
              <w:jc w:val="left"/>
            </w:pPr>
            <w:r>
              <w:t xml:space="preserve">1.1</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Goodwill &amp; intangibles</w:t>
            </w:r>
          </w:p>
        </w:tc>
        <w:tc>
          <w:tcPr/>
          <w:p>
            <w:pPr>
              <w:pStyle w:val="Compact"/>
              <w:jc w:val="left"/>
            </w:pPr>
            <w:r>
              <w:t xml:space="preserve">(in other)</w:t>
            </w:r>
          </w:p>
        </w:tc>
        <w:tc>
          <w:tcPr/>
          <w:p>
            <w:pPr>
              <w:pStyle w:val="Compact"/>
              <w:jc w:val="left"/>
            </w:pPr>
            <w:r>
              <w:t xml:space="preserve">2.5</w:t>
            </w:r>
          </w:p>
        </w:tc>
        <w:tc>
          <w:tcPr/>
          <w:p>
            <w:pPr>
              <w:pStyle w:val="Compact"/>
              <w:jc w:val="left"/>
            </w:pPr>
            <w:r>
              <w:t xml:space="preserve">n/a</w:t>
            </w:r>
          </w:p>
        </w:tc>
      </w:tr>
      <w:tr>
        <w:tc>
          <w:tcPr/>
          <w:p>
            <w:pPr>
              <w:pStyle w:val="Compact"/>
              <w:jc w:val="left"/>
            </w:pPr>
            <w:r>
              <w:t xml:space="preserve">Total assets</w:t>
            </w:r>
          </w:p>
        </w:tc>
        <w:tc>
          <w:tcPr/>
          <w:p>
            <w:pPr>
              <w:pStyle w:val="Compact"/>
              <w:jc w:val="left"/>
            </w:pPr>
            <w:r>
              <w:t xml:space="preserve">46.1</w:t>
            </w:r>
          </w:p>
        </w:tc>
        <w:tc>
          <w:tcPr/>
          <w:p>
            <w:pPr>
              <w:pStyle w:val="Compact"/>
              <w:jc w:val="left"/>
            </w:pPr>
            <w:r>
              <w:t xml:space="preserve">50.0</w:t>
            </w:r>
          </w:p>
        </w:tc>
        <w:tc>
          <w:tcPr/>
          <w:p>
            <w:pPr>
              <w:pStyle w:val="Compact"/>
              <w:jc w:val="left"/>
            </w:pPr>
            <w:r>
              <w:t xml:space="preserve">3.9</w:t>
            </w:r>
          </w:p>
        </w:tc>
      </w:tr>
      <w:tr>
        <w:tc>
          <w:tcPr/>
          <w:p>
            <w:pPr>
              <w:pStyle w:val="Compact"/>
              <w:jc w:val="left"/>
            </w:pPr>
            <w:r>
              <w:t xml:space="preserve">Total current liabilities</w:t>
            </w:r>
          </w:p>
        </w:tc>
        <w:tc>
          <w:tcPr/>
          <w:p>
            <w:pPr>
              <w:pStyle w:val="Compact"/>
              <w:jc w:val="left"/>
            </w:pPr>
            <w:r>
              <w:t xml:space="preserve">12.2</w:t>
            </w:r>
          </w:p>
        </w:tc>
        <w:tc>
          <w:tcPr/>
          <w:p>
            <w:pPr>
              <w:pStyle w:val="Compact"/>
              <w:jc w:val="left"/>
            </w:pPr>
            <w:r>
              <w:t xml:space="preserve">13.3</w:t>
            </w:r>
          </w:p>
        </w:tc>
        <w:tc>
          <w:tcPr/>
          <w:p>
            <w:pPr>
              <w:pStyle w:val="Compact"/>
              <w:jc w:val="left"/>
            </w:pPr>
            <w:r>
              <w:t xml:space="preserve">1.1</w:t>
            </w:r>
          </w:p>
        </w:tc>
      </w:tr>
      <w:tr>
        <w:tc>
          <w:tcPr/>
          <w:p>
            <w:pPr>
              <w:pStyle w:val="Compact"/>
              <w:jc w:val="left"/>
            </w:pPr>
            <w:r>
              <w:t xml:space="preserve">Total debt (term + revolver)</w:t>
            </w:r>
          </w:p>
        </w:tc>
        <w:tc>
          <w:tcPr/>
          <w:p>
            <w:pPr>
              <w:pStyle w:val="Compact"/>
              <w:jc w:val="left"/>
            </w:pPr>
            <w:r>
              <w:t xml:space="preserve">17.3</w:t>
            </w:r>
          </w:p>
        </w:tc>
        <w:tc>
          <w:tcPr/>
          <w:p>
            <w:pPr>
              <w:pStyle w:val="Compact"/>
              <w:jc w:val="left"/>
            </w:pPr>
            <w:r>
              <w:t xml:space="preserve">17.3</w:t>
            </w:r>
          </w:p>
        </w:tc>
        <w:tc>
          <w:tcPr/>
          <w:p>
            <w:pPr>
              <w:pStyle w:val="Compact"/>
              <w:jc w:val="left"/>
            </w:pPr>
            <w:r>
              <w:t xml:space="preserve">—</w:t>
            </w:r>
          </w:p>
        </w:tc>
      </w:tr>
      <w:tr>
        <w:tc>
          <w:tcPr/>
          <w:p>
            <w:pPr>
              <w:pStyle w:val="Compact"/>
              <w:jc w:val="left"/>
            </w:pPr>
            <w:r>
              <w:t xml:space="preserve">Total liabilities</w:t>
            </w:r>
          </w:p>
        </w:tc>
        <w:tc>
          <w:tcPr/>
          <w:p>
            <w:pPr>
              <w:pStyle w:val="Compact"/>
              <w:jc w:val="left"/>
            </w:pPr>
            <w:r>
              <w:t xml:space="preserve">29.0</w:t>
            </w:r>
          </w:p>
        </w:tc>
        <w:tc>
          <w:tcPr/>
          <w:p>
            <w:pPr>
              <w:pStyle w:val="Compact"/>
              <w:jc w:val="left"/>
            </w:pPr>
            <w:r>
              <w:t xml:space="preserve">31.2</w:t>
            </w:r>
          </w:p>
        </w:tc>
        <w:tc>
          <w:tcPr/>
          <w:p>
            <w:pPr>
              <w:pStyle w:val="Compact"/>
              <w:jc w:val="left"/>
            </w:pPr>
            <w:r>
              <w:t xml:space="preserve">2.2</w:t>
            </w:r>
          </w:p>
        </w:tc>
      </w:tr>
      <w:tr>
        <w:tc>
          <w:tcPr/>
          <w:p>
            <w:pPr>
              <w:pStyle w:val="Compact"/>
              <w:jc w:val="left"/>
            </w:pPr>
            <w:r>
              <w:t xml:space="preserve">Stockholders’ equity</w:t>
            </w:r>
          </w:p>
        </w:tc>
        <w:tc>
          <w:tcPr/>
          <w:p>
            <w:pPr>
              <w:pStyle w:val="Compact"/>
              <w:jc w:val="left"/>
            </w:pPr>
            <w:r>
              <w:t xml:space="preserve">17.1</w:t>
            </w:r>
          </w:p>
        </w:tc>
        <w:tc>
          <w:tcPr/>
          <w:p>
            <w:pPr>
              <w:pStyle w:val="Compact"/>
              <w:jc w:val="left"/>
            </w:pPr>
            <w:r>
              <w:t xml:space="preserve">18.8</w:t>
            </w:r>
          </w:p>
        </w:tc>
        <w:tc>
          <w:tcPr/>
          <w:p>
            <w:pPr>
              <w:pStyle w:val="Compact"/>
              <w:jc w:val="left"/>
            </w:pPr>
            <w:r>
              <w:t xml:space="preserve">1.7</w:t>
            </w:r>
          </w:p>
        </w:tc>
      </w:tr>
    </w:tbl>
    <w:p>
      <w:pPr>
        <w:pStyle w:val="BodyText"/>
      </w:pPr>
      <w:r>
        <w:t xml:space="preserve">Debt reconciles ($17.3M in both), but cash, PP&amp;E, total assets, and equity differ by $1.7M–$3.9M. Two additional items: (i) the exhibits carry</w:t>
      </w:r>
      <w:r>
        <w:t xml:space="preserve"> </w:t>
      </w:r>
      <w:r>
        <w:rPr>
          <w:b/>
          <w:bCs/>
        </w:rPr>
        <w:t xml:space="preserve">$2.5M of goodwill &amp; intangible assets</w:t>
      </w:r>
      <w:r>
        <w:t xml:space="preserve"> </w:t>
      </w:r>
      <w:r>
        <w:t xml:space="preserve">despite the CIM describing CES as entirely organically grown with no acquisition history — the origin of this balance is unexplained and must be traced; and (ii) the exhibits include</w:t>
      </w:r>
      <w:r>
        <w:t xml:space="preserve"> </w:t>
      </w:r>
      <w:r>
        <w:rPr>
          <w:b/>
          <w:bCs/>
        </w:rPr>
        <w:t xml:space="preserve">$2.7M of unbilled revenue</w:t>
      </w:r>
      <w:r>
        <w:t xml:space="preserve"> </w:t>
      </w:r>
      <w:r>
        <w:t xml:space="preserve">in current assets, which the CIM does not separately disclose and which affects working-capital quality and the net working capital peg at closing.</w:t>
      </w:r>
    </w:p>
    <w:bookmarkEnd w:id="31"/>
    <w:bookmarkStart w:id="32" w:name="working-capital-and-dso"/>
    <w:p>
      <w:pPr>
        <w:pStyle w:val="Heading3"/>
      </w:pPr>
      <w:r>
        <w:t xml:space="preserve">3.5 Working Capital and DSO</w:t>
      </w:r>
    </w:p>
    <w:p>
      <w:pPr>
        <w:pStyle w:val="FirstParagraph"/>
      </w:pPr>
      <w:r>
        <w:t xml:space="preserve">The CIM states DSO of 52 days.</w:t>
      </w:r>
      <w:r>
        <w:t xml:space="preserve"> </w:t>
      </w:r>
      <w:r>
        <w:rPr>
          <w:b/>
          <w:bCs/>
        </w:rPr>
        <w:t xml:space="preserve">This does not reconcile to the balance sheet.</w:t>
      </w:r>
      <w:r>
        <w:t xml:space="preserve"> </w:t>
      </w:r>
      <w:r>
        <w:t xml:space="preserve">Using accounts receivable of $16.9M and FY2024 revenue of $87.3M, implied DSO is</w:t>
      </w:r>
      <w:r>
        <w:t xml:space="preserve"> </w:t>
      </w:r>
      <w:r>
        <w:rPr>
          <w:b/>
          <w:bCs/>
        </w:rPr>
        <w:t xml:space="preserve">~71 days</w:t>
      </w:r>
      <w:r>
        <w:t xml:space="preserve"> </w:t>
      </w:r>
      <w:r>
        <w:t xml:space="preserve">(16.9 ÷ 87.3 × 365). Using average AR ($15.85M) still yields ~66 days. The exhibits confirm AR of $16.9M and show DSO running at ~68–71 days across all four historical years — never near 52. The 52-day figure appears to be a management-</w:t>
      </w:r>
      <w:r>
        <w:t xml:space="preserve">“</w:t>
      </w:r>
      <w:r>
        <w:t xml:space="preserve">normalized</w:t>
      </w:r>
      <w:r>
        <w:t xml:space="preserve">”</w:t>
      </w:r>
      <w:r>
        <w:t xml:space="preserve"> </w:t>
      </w:r>
      <w:r>
        <w:t xml:space="preserve">metric rather than a period-end calculation, exactly the pattern flagged in the sector memo. A ~71-day DSO is above the 45–55 day sector benchmark and warrants investigation into collection quality, customer disputes, aging, and revenue-recognition timing. Net working capital of $11.8M (13.5% of revenue) is within the 10–14% sector range, but the composition (including unbilled revenue) and the DSO discrepancy must be validated before setting the NWC peg.</w:t>
      </w:r>
    </w:p>
    <w:bookmarkEnd w:id="32"/>
    <w:bookmarkStart w:id="33" w:name="capital-expenditures"/>
    <w:p>
      <w:pPr>
        <w:pStyle w:val="Heading3"/>
      </w:pPr>
      <w:r>
        <w:t xml:space="preserve">3.6 Capital Expenditures</w:t>
      </w:r>
    </w:p>
    <w:p>
      <w:pPr>
        <w:pStyle w:val="FirstParagraph"/>
      </w:pPr>
      <w:r>
        <w:t xml:space="preserve">The CIM characterizes maintenance capex at $3.0M annually (3.4% of revenue), flat from FY22–FY25E. This is</w:t>
      </w:r>
      <w:r>
        <w:t xml:space="preserve"> </w:t>
      </w:r>
      <w:r>
        <w:rPr>
          <w:b/>
          <w:bCs/>
        </w:rPr>
        <w:t xml:space="preserve">150–200 bps below the sector floor of 5–7%</w:t>
      </w:r>
      <w:r>
        <w:t xml:space="preserve"> </w:t>
      </w:r>
      <w:r>
        <w:t xml:space="preserve">($4.4M–$6.1M for CES’s revenue base) and below our own portfolio experience (GreenWorks 6.2%, Allied Waste 5.8% — both of which had sell-side CIMs that understated maintenance capex, with the true figure emerging only post-close). The exhibits’ capex schedule actually shows maintenance capex</w:t>
      </w:r>
      <w:r>
        <w:t xml:space="preserve"> </w:t>
      </w:r>
      <w:r>
        <w:rPr>
          <w:i/>
          <w:iCs/>
        </w:rPr>
        <w:t xml:space="preserve">rising</w:t>
      </w:r>
      <w:r>
        <w:t xml:space="preserve"> </w:t>
      </w:r>
      <w:r>
        <w:t xml:space="preserve">($2.6M → $2.8M → $3.0M), inconsistent with the CIM’s flat $3.0M portrayal, and total capex spiked to $7.2M in FY24 (8.2% of revenue) driven by growth investment. If true steady-state maintenance capex is ~$5.5M (sector midpoint), the ~$2.5M annual difference reduces sustainable free cash flow and, at an 8–10x multiple, equates to roughly</w:t>
      </w:r>
      <w:r>
        <w:t xml:space="preserve"> </w:t>
      </w:r>
      <w:r>
        <w:rPr>
          <w:b/>
          <w:bCs/>
        </w:rPr>
        <w:t xml:space="preserve">$20–25M of enterprise value</w:t>
      </w:r>
      <w:r>
        <w:t xml:space="preserve">. A detailed fleet age and condition assessment (the fleet is stated at 82+ units, ~4.5 years average age, &gt;$22M replacement value) is a first-order diligence item.</w:t>
      </w:r>
    </w:p>
    <w:bookmarkEnd w:id="33"/>
    <w:bookmarkStart w:id="34" w:name="free-cash-flow"/>
    <w:p>
      <w:pPr>
        <w:pStyle w:val="Heading3"/>
      </w:pPr>
      <w:r>
        <w:t xml:space="preserve">3.7 Free Cash Flow</w:t>
      </w:r>
    </w:p>
    <w:p>
      <w:pPr>
        <w:pStyle w:val="FirstParagraph"/>
      </w:pPr>
      <w:r>
        <w:t xml:space="preserve">Reported FCF is thin and the sources disagree: the CIM shows FY24 FCF of $2.0M (operating CF $9.2M − capex $7.2M); the exhibits show $2.8M (operating CF $10.0M − capex $7.2M). Either way, FCF has been roughly flat at ~$2–3M for four years despite revenue growing 42%, because capex and working-capital absorption have consumed the incremental cash. The projections do not show a meaningful FCF inflection unless maintenance capex truly normalizes to 3.4% and growth capex falls to $1.5M (FY25E) — both of which we view as optimistic. The deal team should underwrite to a maintenance-capex-adjusted FCF, not the CIM’s headline.</w:t>
      </w:r>
    </w:p>
    <w:bookmarkEnd w:id="34"/>
    <w:bookmarkStart w:id="35" w:name="management-projections-reasonableness"/>
    <w:p>
      <w:pPr>
        <w:pStyle w:val="Heading3"/>
      </w:pPr>
      <w:r>
        <w:t xml:space="preserve">3.8 Management Projections — Reasonableness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FY24A</w:t>
            </w:r>
          </w:p>
        </w:tc>
        <w:tc>
          <w:tcPr/>
          <w:p>
            <w:pPr>
              <w:pStyle w:val="Compact"/>
              <w:jc w:val="left"/>
            </w:pPr>
            <w:r>
              <w:t xml:space="preserve">FY25E</w:t>
            </w:r>
          </w:p>
        </w:tc>
        <w:tc>
          <w:tcPr/>
          <w:p>
            <w:pPr>
              <w:pStyle w:val="Compact"/>
              <w:jc w:val="left"/>
            </w:pPr>
            <w:r>
              <w:t xml:space="preserve">FY26E</w:t>
            </w:r>
          </w:p>
        </w:tc>
        <w:tc>
          <w:tcPr/>
          <w:p>
            <w:pPr>
              <w:pStyle w:val="Compact"/>
              <w:jc w:val="left"/>
            </w:pPr>
            <w:r>
              <w:t xml:space="preserve">FY27E</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98.5</w:t>
            </w:r>
          </w:p>
        </w:tc>
        <w:tc>
          <w:tcPr/>
          <w:p>
            <w:pPr>
              <w:pStyle w:val="Compact"/>
              <w:jc w:val="left"/>
            </w:pPr>
            <w:r>
              <w:t xml:space="preserve">112.0</w:t>
            </w:r>
          </w:p>
        </w:tc>
        <w:tc>
          <w:tcPr/>
          <w:p>
            <w:pPr>
              <w:pStyle w:val="Compact"/>
              <w:jc w:val="left"/>
            </w:pPr>
            <w:r>
              <w:t xml:space="preserve">124.0</w:t>
            </w:r>
          </w:p>
        </w:tc>
      </w:tr>
      <w:tr>
        <w:tc>
          <w:tcPr/>
          <w:p>
            <w:pPr>
              <w:pStyle w:val="Compact"/>
              <w:jc w:val="left"/>
            </w:pPr>
            <w:r>
              <w:t xml:space="preserve">YoY growth</w:t>
            </w:r>
          </w:p>
        </w:tc>
        <w:tc>
          <w:tcPr/>
          <w:p>
            <w:pPr>
              <w:pStyle w:val="Compact"/>
              <w:jc w:val="left"/>
            </w:pPr>
            <w:r>
              <w:t xml:space="preserve">14.7%</w:t>
            </w:r>
          </w:p>
        </w:tc>
        <w:tc>
          <w:tcPr/>
          <w:p>
            <w:pPr>
              <w:pStyle w:val="Compact"/>
              <w:jc w:val="left"/>
            </w:pPr>
            <w:r>
              <w:t xml:space="preserve">12.8%</w:t>
            </w:r>
          </w:p>
        </w:tc>
        <w:tc>
          <w:tcPr/>
          <w:p>
            <w:pPr>
              <w:pStyle w:val="Compact"/>
              <w:jc w:val="left"/>
            </w:pPr>
            <w:r>
              <w:t xml:space="preserve">13.7%</w:t>
            </w:r>
          </w:p>
        </w:tc>
        <w:tc>
          <w:tcPr/>
          <w:p>
            <w:pPr>
              <w:pStyle w:val="Compact"/>
              <w:jc w:val="left"/>
            </w:pPr>
            <w:r>
              <w:t xml:space="preserve">10.7%</w:t>
            </w:r>
          </w:p>
        </w:tc>
      </w:tr>
      <w:tr>
        <w:tc>
          <w:tcPr/>
          <w:p>
            <w:pPr>
              <w:pStyle w:val="Compact"/>
              <w:jc w:val="left"/>
            </w:pPr>
            <w:r>
              <w:t xml:space="preserve">Adjusted EBITDA</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c>
          <w:tcPr/>
          <w:p>
            <w:pPr>
              <w:pStyle w:val="Compact"/>
              <w:jc w:val="left"/>
            </w:pPr>
            <w:r>
              <w:t xml:space="preserve">26.7</w:t>
            </w:r>
          </w:p>
        </w:tc>
      </w:tr>
      <w:tr>
        <w:tc>
          <w:tcPr/>
          <w:p>
            <w:pPr>
              <w:pStyle w:val="Compact"/>
              <w:jc w:val="left"/>
            </w:pPr>
            <w:r>
              <w:t xml:space="preserve">Adj. EBITDA margin</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c>
          <w:tcPr/>
          <w:p>
            <w:pPr>
              <w:pStyle w:val="Compact"/>
              <w:jc w:val="left"/>
            </w:pPr>
            <w:r>
              <w:t xml:space="preserve">21.5%</w:t>
            </w:r>
          </w:p>
        </w:tc>
      </w:tr>
    </w:tbl>
    <w:p>
      <w:pPr>
        <w:pStyle w:val="BodyText"/>
      </w:pPr>
      <w:r>
        <w:t xml:space="preserve">Two observations:</w:t>
      </w:r>
    </w:p>
    <w:p>
      <w:pPr>
        <w:pStyle w:val="Compact"/>
        <w:numPr>
          <w:ilvl w:val="0"/>
          <w:numId w:val="1003"/>
        </w:numPr>
      </w:pPr>
      <w:r>
        <w:rPr>
          <w:b/>
          <w:bCs/>
        </w:rPr>
        <w:t xml:space="preserve">The growth is almost entirely PFAS.</w:t>
      </w:r>
      <w:r>
        <w:t xml:space="preserve"> </w:t>
      </w:r>
      <w:r>
        <w:t xml:space="preserve">Per the exhibits,</w:t>
      </w:r>
      <w:r>
        <w:t xml:space="preserve"> </w:t>
      </w:r>
      <w:r>
        <w:rPr>
          <w:i/>
          <w:iCs/>
        </w:rPr>
        <w:t xml:space="preserve">traditional</w:t>
      </w:r>
      <w:r>
        <w:t xml:space="preserve"> </w:t>
      </w:r>
      <w:r>
        <w:t xml:space="preserve">remediation (ex-PFAS) is projected to grow only ~1.2% (FY25E) and ~3.5% (FY26E) — essentially flat. PFAS is ~64% of incremental FY24→FY26E revenue. Industrial cleaning (~8–9% growth) and emergency response (volatile, 4–22%) carry the rest. If PFAS grows at a realistic 30–50% rather than 126%/57%, the revenue plan misses by ~$5M in FY25E alone, and the margin expansion to 20%+ (which depends on a favorable mix shift toward high-margin PFAS) does not materialize.</w:t>
      </w:r>
    </w:p>
    <w:p>
      <w:pPr>
        <w:pStyle w:val="Compact"/>
        <w:numPr>
          <w:ilvl w:val="0"/>
          <w:numId w:val="1003"/>
        </w:numPr>
      </w:pPr>
      <w:r>
        <w:rPr>
          <w:b/>
          <w:bCs/>
        </w:rPr>
        <w:t xml:space="preserve">Margin expansion is PFAS-dependent.</w:t>
      </w:r>
      <w:r>
        <w:t xml:space="preserve"> </w:t>
      </w:r>
      <w:r>
        <w:t xml:space="preserve">The 19.6% → 21.5% trajectory relies on mix shift and operating leverage that disappear if PFAS disappoints. On a buy-side normalized base of ~$15.9M, even holding the 19.6% margin flat implies FY25E Adjusted EBITDA closer to ~$18M than the CIM’s $19.7M.</w:t>
      </w:r>
    </w:p>
    <w:p>
      <w:r>
        <w:pict>
          <v:rect style="width:0;height:1.5pt" o:hralign="center" o:hrstd="t" o:hr="t"/>
        </w:pict>
      </w:r>
    </w:p>
    <w:bookmarkEnd w:id="35"/>
    <w:bookmarkEnd w:id="36"/>
    <w:bookmarkStart w:id="42" w:name="revenue-and-customer-analysis"/>
    <w:p>
      <w:pPr>
        <w:pStyle w:val="Heading2"/>
      </w:pPr>
      <w:r>
        <w:t xml:space="preserve">4. Revenue and Customer Analysis</w:t>
      </w:r>
    </w:p>
    <w:bookmarkStart w:id="37" w:name="X1c16d91c73600c76942a7c3f3ec81768e2b3592"/>
    <w:p>
      <w:pPr>
        <w:pStyle w:val="Heading3"/>
      </w:pPr>
      <w:r>
        <w:t xml:space="preserve">4.1 Customer Concentration and the PNR Contract Cliff</w:t>
      </w:r>
    </w:p>
    <w:p>
      <w:pPr>
        <w:pStyle w:val="FirstParagraph"/>
      </w:pPr>
      <w:r>
        <w:t xml:space="preserve">Top-10 concentration is 71.0% of revenue (top-5: 52.5%). Concentration has been declining modestly (74.3% in FY21 → 71.0% in FY24), which is favorable. However, the</w:t>
      </w:r>
      <w:r>
        <w:t xml:space="preserve"> </w:t>
      </w:r>
      <w:r>
        <w:rPr>
          <w:b/>
          <w:bCs/>
        </w:rPr>
        <w:t xml:space="preserve">single largest customer, Pacific Northwest Refining Co. (PNR), represents $18.7M / 21.4% of revenue under an MSA that expired March 31, 2025</w:t>
      </w:r>
      <w:r>
        <w:t xml:space="preserve"> </w:t>
      </w:r>
      <w:r>
        <w:t xml:space="preserve">— before the CIM was distributed (June 9, 2025) and before the IOI deadline (July 14, 2025). Neither the CIM nor the customer/backlog report discloses whether the MSA has been renewed, is operating on a rolling/month-to-month basis, or is at renewal risk. This is the single most important commercial diligence item: 21.4% of revenue and the Company’s flagship relationship is on a lapsed master agreement at the moment bids are being solicited. Several other top-10 MSAs also expire in 2025–2026 (Meridian Lumber &amp; Paper, Dec 31, 2025; others through 2026–2027).</w:t>
      </w:r>
    </w:p>
    <w:bookmarkEnd w:id="37"/>
    <w:bookmarkStart w:id="38" w:name="top-10-customer-data-integrity"/>
    <w:p>
      <w:pPr>
        <w:pStyle w:val="Heading3"/>
      </w:pPr>
      <w:r>
        <w:t xml:space="preserve">4.2 Top-10 Customer Data Integrity</w:t>
      </w:r>
    </w:p>
    <w:p>
      <w:pPr>
        <w:pStyle w:val="FirstParagraph"/>
      </w:pPr>
      <w:r>
        <w:t xml:space="preserve">The CIM and the customer/backlog report present</w:t>
      </w:r>
      <w:r>
        <w:t xml:space="preserve"> </w:t>
      </w:r>
      <w:r>
        <w:rPr>
          <w:b/>
          <w:bCs/>
        </w:rPr>
        <w:t xml:space="preserve">different customers in ranks 6–10</w:t>
      </w:r>
      <w:r>
        <w:t xml:space="preserve"> </w:t>
      </w:r>
      <w:r>
        <w:t xml:space="preserve">while reporting identical revenue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CIM name</w:t>
            </w:r>
          </w:p>
        </w:tc>
        <w:tc>
          <w:tcPr/>
          <w:p>
            <w:pPr>
              <w:pStyle w:val="Compact"/>
              <w:jc w:val="left"/>
            </w:pPr>
            <w:r>
              <w:t xml:space="preserve">Backlog report name</w:t>
            </w:r>
          </w:p>
        </w:tc>
        <w:tc>
          <w:tcPr/>
          <w:p>
            <w:pPr>
              <w:pStyle w:val="Compact"/>
              <w:jc w:val="left"/>
            </w:pPr>
            <w:r>
              <w:t xml:space="preserve">FY24 Rev</w:t>
            </w:r>
          </w:p>
        </w:tc>
      </w:tr>
      <w:tr>
        <w:tc>
          <w:tcPr/>
          <w:p>
            <w:pPr>
              <w:pStyle w:val="Compact"/>
              <w:jc w:val="left"/>
            </w:pPr>
            <w:r>
              <w:t xml:space="preserve">6</w:t>
            </w:r>
          </w:p>
        </w:tc>
        <w:tc>
          <w:tcPr/>
          <w:p>
            <w:pPr>
              <w:pStyle w:val="Compact"/>
              <w:jc w:val="left"/>
            </w:pPr>
            <w:r>
              <w:t xml:space="preserve">Cascade Terminals, Inc.</w:t>
            </w:r>
          </w:p>
        </w:tc>
        <w:tc>
          <w:tcPr/>
          <w:p>
            <w:pPr>
              <w:pStyle w:val="Compact"/>
              <w:jc w:val="left"/>
            </w:pPr>
            <w:r>
              <w:t xml:space="preserve">Clearwater Municipal Utility District</w:t>
            </w:r>
          </w:p>
        </w:tc>
        <w:tc>
          <w:tcPr/>
          <w:p>
            <w:pPr>
              <w:pStyle w:val="Compact"/>
              <w:jc w:val="left"/>
            </w:pPr>
            <w:r>
              <w:t xml:space="preserve">$3.8M</w:t>
            </w:r>
          </w:p>
        </w:tc>
      </w:tr>
      <w:tr>
        <w:tc>
          <w:tcPr/>
          <w:p>
            <w:pPr>
              <w:pStyle w:val="Compact"/>
              <w:jc w:val="left"/>
            </w:pPr>
            <w:r>
              <w:t xml:space="preserve">7</w:t>
            </w:r>
          </w:p>
        </w:tc>
        <w:tc>
          <w:tcPr/>
          <w:p>
            <w:pPr>
              <w:pStyle w:val="Compact"/>
              <w:jc w:val="left"/>
            </w:pPr>
            <w:r>
              <w:t xml:space="preserve">Puget Sound Utilities Group</w:t>
            </w:r>
          </w:p>
        </w:tc>
        <w:tc>
          <w:tcPr/>
          <w:p>
            <w:pPr>
              <w:pStyle w:val="Compact"/>
              <w:jc w:val="left"/>
            </w:pPr>
            <w:r>
              <w:t xml:space="preserve">Northshore Industrial Park</w:t>
            </w:r>
          </w:p>
        </w:tc>
        <w:tc>
          <w:tcPr/>
          <w:p>
            <w:pPr>
              <w:pStyle w:val="Compact"/>
              <w:jc w:val="left"/>
            </w:pPr>
            <w:r>
              <w:t xml:space="preserve">$3.6M</w:t>
            </w:r>
          </w:p>
        </w:tc>
      </w:tr>
      <w:tr>
        <w:tc>
          <w:tcPr/>
          <w:p>
            <w:pPr>
              <w:pStyle w:val="Compact"/>
              <w:jc w:val="left"/>
            </w:pPr>
            <w:r>
              <w:t xml:space="preserve">8</w:t>
            </w:r>
          </w:p>
        </w:tc>
        <w:tc>
          <w:tcPr/>
          <w:p>
            <w:pPr>
              <w:pStyle w:val="Compact"/>
              <w:jc w:val="left"/>
            </w:pPr>
            <w:r>
              <w:t xml:space="preserve">City of Portland — BES</w:t>
            </w:r>
          </w:p>
        </w:tc>
        <w:tc>
          <w:tcPr/>
          <w:p>
            <w:pPr>
              <w:pStyle w:val="Compact"/>
              <w:jc w:val="left"/>
            </w:pPr>
            <w:r>
              <w:t xml:space="preserve">Summit Materials Processing</w:t>
            </w:r>
          </w:p>
        </w:tc>
        <w:tc>
          <w:tcPr/>
          <w:p>
            <w:pPr>
              <w:pStyle w:val="Compact"/>
              <w:jc w:val="left"/>
            </w:pPr>
            <w:r>
              <w:t xml:space="preserve">$3.2M</w:t>
            </w:r>
          </w:p>
        </w:tc>
      </w:tr>
      <w:tr>
        <w:tc>
          <w:tcPr/>
          <w:p>
            <w:pPr>
              <w:pStyle w:val="Compact"/>
              <w:jc w:val="left"/>
            </w:pPr>
            <w:r>
              <w:t xml:space="preserve">9</w:t>
            </w:r>
          </w:p>
        </w:tc>
        <w:tc>
          <w:tcPr/>
          <w:p>
            <w:pPr>
              <w:pStyle w:val="Compact"/>
              <w:jc w:val="left"/>
            </w:pPr>
            <w:r>
              <w:t xml:space="preserve">Northern Pacific Rail Systems</w:t>
            </w:r>
          </w:p>
        </w:tc>
        <w:tc>
          <w:tcPr/>
          <w:p>
            <w:pPr>
              <w:pStyle w:val="Compact"/>
              <w:jc w:val="left"/>
            </w:pPr>
            <w:r>
              <w:t xml:space="preserve">Timberline Construction Group</w:t>
            </w:r>
          </w:p>
        </w:tc>
        <w:tc>
          <w:tcPr/>
          <w:p>
            <w:pPr>
              <w:pStyle w:val="Compact"/>
              <w:jc w:val="left"/>
            </w:pPr>
            <w:r>
              <w:t xml:space="preserve">$2.9M</w:t>
            </w:r>
          </w:p>
        </w:tc>
      </w:tr>
      <w:tr>
        <w:tc>
          <w:tcPr/>
          <w:p>
            <w:pPr>
              <w:pStyle w:val="Compact"/>
              <w:jc w:val="left"/>
            </w:pPr>
            <w:r>
              <w:t xml:space="preserve">10</w:t>
            </w:r>
          </w:p>
        </w:tc>
        <w:tc>
          <w:tcPr/>
          <w:p>
            <w:pPr>
              <w:pStyle w:val="Compact"/>
              <w:jc w:val="left"/>
            </w:pPr>
            <w:r>
              <w:t xml:space="preserve">Tidewater Chemical Corp.</w:t>
            </w:r>
          </w:p>
        </w:tc>
        <w:tc>
          <w:tcPr/>
          <w:p>
            <w:pPr>
              <w:pStyle w:val="Compact"/>
              <w:jc w:val="left"/>
            </w:pPr>
            <w:r>
              <w:t xml:space="preserve">Harborview Port Authority</w:t>
            </w:r>
          </w:p>
        </w:tc>
        <w:tc>
          <w:tcPr/>
          <w:p>
            <w:pPr>
              <w:pStyle w:val="Compact"/>
              <w:jc w:val="left"/>
            </w:pPr>
            <w:r>
              <w:t xml:space="preserve">$2.7M</w:t>
            </w:r>
          </w:p>
        </w:tc>
      </w:tr>
    </w:tbl>
    <w:p>
      <w:pPr>
        <w:pStyle w:val="BodyText"/>
      </w:pPr>
      <w:r>
        <w:t xml:space="preserve">The revenue amounts, percentages, and the top-5 subtotals match exactly, but the customer names, segments served, and contract types for ranks 6–10 are entirely different. In addition, the stated relationship-start years for the top-5 customers differ between the two documents (e.g., PNR</w:t>
      </w:r>
      <w:r>
        <w:t xml:space="preserve"> </w:t>
      </w:r>
      <w:r>
        <w:t xml:space="preserve">“</w:t>
      </w:r>
      <w:r>
        <w:t xml:space="preserve">2011</w:t>
      </w:r>
      <w:r>
        <w:t xml:space="preserve">”</w:t>
      </w:r>
      <w:r>
        <w:t xml:space="preserve"> </w:t>
      </w:r>
      <w:r>
        <w:t xml:space="preserve">vs. </w:t>
      </w:r>
      <w:r>
        <w:t xml:space="preserve">“</w:t>
      </w:r>
      <w:r>
        <w:t xml:space="preserve">2012</w:t>
      </w:r>
      <w:r>
        <w:t xml:space="preserve">”</w:t>
      </w:r>
      <w:r>
        <w:t xml:space="preserve">; ODOT</w:t>
      </w:r>
      <w:r>
        <w:t xml:space="preserve"> </w:t>
      </w:r>
      <w:r>
        <w:t xml:space="preserve">“</w:t>
      </w:r>
      <w:r>
        <w:t xml:space="preserve">2013</w:t>
      </w:r>
      <w:r>
        <w:t xml:space="preserve">”</w:t>
      </w:r>
      <w:r>
        <w:t xml:space="preserve"> </w:t>
      </w:r>
      <w:r>
        <w:t xml:space="preserve">vs. </w:t>
      </w:r>
      <w:r>
        <w:t xml:space="preserve">“</w:t>
      </w:r>
      <w:r>
        <w:t xml:space="preserve">2014</w:t>
      </w:r>
      <w:r>
        <w:t xml:space="preserve">”</w:t>
      </w:r>
      <w:r>
        <w:t xml:space="preserve">; Columbia Basin</w:t>
      </w:r>
      <w:r>
        <w:t xml:space="preserve"> </w:t>
      </w:r>
      <w:r>
        <w:t xml:space="preserve">“</w:t>
      </w:r>
      <w:r>
        <w:t xml:space="preserve">2017</w:t>
      </w:r>
      <w:r>
        <w:t xml:space="preserve">”</w:t>
      </w:r>
      <w:r>
        <w:t xml:space="preserve"> </w:t>
      </w:r>
      <w:r>
        <w:t xml:space="preserve">vs. </w:t>
      </w:r>
      <w:r>
        <w:t xml:space="preserve">“</w:t>
      </w:r>
      <w:r>
        <w:t xml:space="preserve">2016</w:t>
      </w:r>
      <w:r>
        <w:t xml:space="preserve">”</w:t>
      </w:r>
      <w:r>
        <w:t xml:space="preserve">; Meridian</w:t>
      </w:r>
      <w:r>
        <w:t xml:space="preserve"> </w:t>
      </w:r>
      <w:r>
        <w:t xml:space="preserve">“</w:t>
      </w:r>
      <w:r>
        <w:t xml:space="preserve">2014</w:t>
      </w:r>
      <w:r>
        <w:t xml:space="preserve">”</w:t>
      </w:r>
      <w:r>
        <w:t xml:space="preserve"> </w:t>
      </w:r>
      <w:r>
        <w:t xml:space="preserve">vs. </w:t>
      </w:r>
      <w:r>
        <w:t xml:space="preserve">“</w:t>
      </w:r>
      <w:r>
        <w:t xml:space="preserve">2017</w:t>
      </w:r>
      <w:r>
        <w:t xml:space="preserve">”</w:t>
      </w:r>
      <w:r>
        <w:t xml:space="preserve">). Either the CIM or the backlog report contains incorrect customer data. This is a data-integrity red flag that undermines confidence in the customer narrative (including the</w:t>
      </w:r>
      <w:r>
        <w:t xml:space="preserve"> </w:t>
      </w:r>
      <w:r>
        <w:t xml:space="preserve">“</w:t>
      </w:r>
      <w:r>
        <w:t xml:space="preserve">8+ year average top-10 relationship</w:t>
      </w:r>
      <w:r>
        <w:t xml:space="preserve">”</w:t>
      </w:r>
      <w:r>
        <w:t xml:space="preserve"> </w:t>
      </w:r>
      <w:r>
        <w:t xml:space="preserve">and</w:t>
      </w:r>
      <w:r>
        <w:t xml:space="preserve"> </w:t>
      </w:r>
      <w:r>
        <w:t xml:space="preserve">“</w:t>
      </w:r>
      <w:r>
        <w:t xml:space="preserve">10+ year relationships</w:t>
      </w:r>
      <w:r>
        <w:t xml:space="preserve">”</w:t>
      </w:r>
      <w:r>
        <w:t xml:space="preserve"> </w:t>
      </w:r>
      <w:r>
        <w:t xml:space="preserve">claims) and must be reconciled before any reliance is placed on concentration or retention metrics.</w:t>
      </w:r>
    </w:p>
    <w:bookmarkEnd w:id="38"/>
    <w:bookmarkStart w:id="39" w:name="end-market-mix-and-cyclicality"/>
    <w:p>
      <w:pPr>
        <w:pStyle w:val="Heading3"/>
      </w:pPr>
      <w:r>
        <w:t xml:space="preserve">4.3 End-Market Mix and Cyclicality</w:t>
      </w:r>
    </w:p>
    <w:p>
      <w:pPr>
        <w:pStyle w:val="FirstParagraph"/>
      </w:pPr>
      <w:r>
        <w:t xml:space="preserve">Per the customer/backlog report, FY24 revenue by sector: Oil &amp; Gas/Refining 25.7%, Government/Municipal 19.2%, Manufacturing 16.7%, Utilities 13.9%, Other 14.3%, Real Estate/Development 10.2%.</w:t>
      </w:r>
      <w:r>
        <w:t xml:space="preserve"> </w:t>
      </w:r>
      <w:r>
        <w:rPr>
          <w:b/>
          <w:bCs/>
        </w:rPr>
        <w:t xml:space="preserve">Cyclical industrial exposure (Oil &amp; Gas 25.7% + Manufacturing 16.7%) is ~42% of revenue</w:t>
      </w:r>
      <w:r>
        <w:t xml:space="preserve">, concentrated heavily in PNR (refining) and, to a lesser extent, Meridian (forest products) and Willamette Steel. Government (19.2%) and utilities (13.9%) provide a counter-cyclical ballast. The deal team should stress-test revenue and margin under a refining/petrochemical downturn scenario in which PNR turnaround activity and industrial cleaning volumes contract.</w:t>
      </w:r>
    </w:p>
    <w:bookmarkEnd w:id="39"/>
    <w:bookmarkStart w:id="40" w:name="backlog-and-pipeline-coverage"/>
    <w:p>
      <w:pPr>
        <w:pStyle w:val="Heading3"/>
      </w:pPr>
      <w:r>
        <w:t xml:space="preserve">4.4 Backlog and Pipeline Coverage</w:t>
      </w:r>
    </w:p>
    <w:p>
      <w:pPr>
        <w:pStyle w:val="FirstParagraph"/>
      </w:pPr>
      <w:r>
        <w:t xml:space="preserve">Contracted backlog of $42.6M (Remediation 62.9%, Industrial Cleaning 26.8%, Emergency Response 10.3%) with $31.4M pipeline (35–40% historical win rate → ~$11–13M expected yield). Backlog conversion: $18.2M in H1 2025, $14.8M in H2 2025, $9.6M in 2026+ — i.e.,</w:t>
      </w:r>
      <w:r>
        <w:t xml:space="preserve"> </w:t>
      </w:r>
      <w:r>
        <w:rPr>
          <w:b/>
          <w:bCs/>
        </w:rPr>
        <w:t xml:space="preserve">~$33.0M (77.5%) converts in FY2025</w:t>
      </w:r>
      <w:r>
        <w:t xml:space="preserve">. Against FY2025E revenue of $98.5M,</w:t>
      </w:r>
      <w:r>
        <w:t xml:space="preserve"> </w:t>
      </w:r>
      <w:r>
        <w:rPr>
          <w:b/>
          <w:bCs/>
        </w:rPr>
        <w:t xml:space="preserve">contracted backlog covers only ~33.5% of the plan</w:t>
      </w:r>
      <w:r>
        <w:t xml:space="preserve">; the remaining ~$65M relies on pipeline conversion, new MSA/task-order wins, and emergency-response call-outs. This coverage level is workable for a services business with recurring MSA and emergency-response work, but it leaves the PFAS-dependent growth heavily reliant on uncontracted volume.</w:t>
      </w:r>
      <w:r>
        <w:t xml:space="preserve"> </w:t>
      </w:r>
      <w:r>
        <w:rPr>
          <w:b/>
          <w:bCs/>
        </w:rPr>
        <w:t xml:space="preserve">The PFAS portion of signed backlog is not disclosed</w:t>
      </w:r>
      <w:r>
        <w:t xml:space="preserve"> </w:t>
      </w:r>
      <w:r>
        <w:t xml:space="preserve">— the key open question flagged in the sector memo. If, for example, only $3–4M of the $14.0M FY25E PFAS plan is in signed backlog, the projection rests largely on pipeline and new wins.</w:t>
      </w:r>
    </w:p>
    <w:bookmarkEnd w:id="40"/>
    <w:bookmarkStart w:id="41" w:name="geographic-split-discrepancy"/>
    <w:p>
      <w:pPr>
        <w:pStyle w:val="Heading3"/>
      </w:pPr>
      <w:r>
        <w:t xml:space="preserve">4.5 Geographic Split Discrepancy</w:t>
      </w:r>
    </w:p>
    <w:p>
      <w:pPr>
        <w:pStyle w:val="FirstParagraph"/>
      </w:pPr>
      <w:r>
        <w:t xml:space="preserve">The CIM (§II.C) states ~75% of FY24 revenue is from Oregon and Washington, with ~25% from Idaho and Northern California. The customer/backlog report’s state breakdown shows Oregon 54.5% + Washington 27.8% =</w:t>
      </w:r>
      <w:r>
        <w:t xml:space="preserve"> </w:t>
      </w:r>
      <w:r>
        <w:rPr>
          <w:b/>
          <w:bCs/>
        </w:rPr>
        <w:t xml:space="preserve">82.3%</w:t>
      </w:r>
      <w:r>
        <w:t xml:space="preserve"> </w:t>
      </w:r>
      <w:r>
        <w:t xml:space="preserve">from OR/WA, and only</w:t>
      </w:r>
      <w:r>
        <w:t xml:space="preserve"> </w:t>
      </w:r>
      <w:r>
        <w:rPr>
          <w:b/>
          <w:bCs/>
        </w:rPr>
        <w:t xml:space="preserve">17.7%</w:t>
      </w:r>
      <w:r>
        <w:t xml:space="preserve"> </w:t>
      </w:r>
      <w:r>
        <w:t xml:space="preserve">from Idaho and Northern California — a ~7-point gap. The CIM overstates the contribution of the expansion markets (ID/NorCal), which are smaller than implied and which the growth thesis leans on. This should be reconciled and the true ID/NorCal run-rate understood.</w:t>
      </w:r>
    </w:p>
    <w:p>
      <w:r>
        <w:pict>
          <v:rect style="width:0;height:1.5pt" o:hralign="center" o:hrstd="t" o:hr="t"/>
        </w:pict>
      </w:r>
    </w:p>
    <w:bookmarkEnd w:id="41"/>
    <w:bookmarkEnd w:id="42"/>
    <w:bookmarkStart w:id="43" w:name="pfas-growth-thesis-assessment"/>
    <w:p>
      <w:pPr>
        <w:pStyle w:val="Heading2"/>
      </w:pPr>
      <w:r>
        <w:t xml:space="preserve">5. PFAS Growth Thesis Assessment</w:t>
      </w:r>
    </w:p>
    <w:p>
      <w:pPr>
        <w:pStyle w:val="FirstParagraph"/>
      </w:pPr>
      <w:r>
        <w:t xml:space="preserve">The PFAS practice is the strategic heart of the CIM and the primary justification for a premium multiple. Our assessment:</w:t>
      </w:r>
    </w:p>
    <w:p>
      <w:pPr>
        <w:pStyle w:val="Compact"/>
        <w:numPr>
          <w:ilvl w:val="0"/>
          <w:numId w:val="1004"/>
        </w:numPr>
      </w:pPr>
      <w:r>
        <w:rPr>
          <w:b/>
          <w:bCs/>
        </w:rPr>
        <w:t xml:space="preserve">Sector tailwinds are genuine.</w:t>
      </w:r>
      <w:r>
        <w:t xml:space="preserve"> </w:t>
      </w:r>
      <w:r>
        <w:t xml:space="preserve">EPA drinking-water MCLs (April 2024), the PFAS Strategic Roadmap, and Oregon/Washington state initiatives create a multi-decade demand cycle. The Pacific Northwest has real PFAS exposure (military installations, airports, AFFF fire-training areas, industrial sites). We do not dispute the macro thesis.</w:t>
      </w:r>
    </w:p>
    <w:p>
      <w:pPr>
        <w:pStyle w:val="Compact"/>
        <w:numPr>
          <w:ilvl w:val="0"/>
          <w:numId w:val="1004"/>
        </w:numPr>
      </w:pPr>
      <w:r>
        <w:rPr>
          <w:b/>
          <w:bCs/>
        </w:rPr>
        <w:t xml:space="preserve">Company-level projections are aggressive.</w:t>
      </w:r>
      <w:r>
        <w:t xml:space="preserve"> </w:t>
      </w:r>
      <w:r>
        <w:t xml:space="preserve">PFAS is projected to grow from $6.2M (FY24) to $14.0M (FY25E, +126%) and $22.0M (FY26E, +57%). Sector analysts project 25–35%</w:t>
      </w:r>
      <w:r>
        <w:t xml:space="preserve"> </w:t>
      </w:r>
      <w:r>
        <w:rPr>
          <w:i/>
          <w:iCs/>
        </w:rPr>
        <w:t xml:space="preserve">market</w:t>
      </w:r>
      <w:r>
        <w:t xml:space="preserve"> </w:t>
      </w:r>
      <w:r>
        <w:t xml:space="preserve">growth, but company-level growth is constrained by licensed-engineer capacity, specialized equipment capex, national-firm competition, and the pace of</w:t>
      </w:r>
      <w:r>
        <w:t xml:space="preserve"> </w:t>
      </w:r>
      <w:r>
        <w:rPr>
          <w:i/>
          <w:iCs/>
        </w:rPr>
        <w:t xml:space="preserve">funded</w:t>
      </w:r>
      <w:r>
        <w:t xml:space="preserve"> </w:t>
      </w:r>
      <w:r>
        <w:t xml:space="preserve">enforcement (vs. investigation/assessment). Our direct experience at GreenWorks — where an emerging service line (vapor intrusion) was projected at 80%+ growth in years two/three and actually moderated to ~35% once it crossed $5M — suggests CES’s PFAS practice will more plausibly grow</w:t>
      </w:r>
      <w:r>
        <w:t xml:space="preserve"> </w:t>
      </w:r>
      <w:r>
        <w:rPr>
          <w:b/>
          <w:bCs/>
        </w:rPr>
        <w:t xml:space="preserve">30–50%</w:t>
      </w:r>
      <w:r>
        <w:t xml:space="preserve"> </w:t>
      </w:r>
      <w:r>
        <w:t xml:space="preserve">from its current $6.2M base, implying FY25E PFAS of ~$8–9M rather than $14.0M.</w:t>
      </w:r>
    </w:p>
    <w:p>
      <w:pPr>
        <w:pStyle w:val="Compact"/>
        <w:numPr>
          <w:ilvl w:val="0"/>
          <w:numId w:val="1004"/>
        </w:numPr>
      </w:pPr>
      <w:r>
        <w:rPr>
          <w:b/>
          <w:bCs/>
        </w:rPr>
        <w:t xml:space="preserve">The core remediation business is flat ex-PFAS.</w:t>
      </w:r>
      <w:r>
        <w:t xml:space="preserve"> </w:t>
      </w:r>
      <w:r>
        <w:t xml:space="preserve">Traditional remediation is projected at $42.0M → $42.5M → $44.0M (FY24–FY26E), i.e., ~1–3% growth. The entire platform growth story — and the margin expansion — rides on PFAS. If PFAS disappoints, revenue growth falls to high-single-digits and Adjusted EBITDA margin stays ~19.6% or contracts.</w:t>
      </w:r>
    </w:p>
    <w:p>
      <w:pPr>
        <w:pStyle w:val="Compact"/>
        <w:numPr>
          <w:ilvl w:val="0"/>
          <w:numId w:val="1004"/>
        </w:numPr>
      </w:pPr>
      <w:r>
        <w:rPr>
          <w:b/>
          <w:bCs/>
        </w:rPr>
        <w:t xml:space="preserve">PE capacity is a binding constraint.</w:t>
      </w:r>
      <w:r>
        <w:t xml:space="preserve"> </w:t>
      </w:r>
      <w:r>
        <w:t xml:space="preserve">PFAS site assessments and remediation designs require PE sign-off. CES’s PE headcount fell from three to two in January 2025 (a retirement, unreplaced) — a one-third reduction in PE capacity at the moment the PFAS ramp is supposed to accelerate. Environmental PE recruitment typically runs 6–12 months. Management’s PE hiring plan (if any) is not described in the CIM. This is a near-term execution bottleneck that directly threatens the FY25E–FY26E plan.</w:t>
      </w:r>
    </w:p>
    <w:p>
      <w:pPr>
        <w:pStyle w:val="Compact"/>
        <w:numPr>
          <w:ilvl w:val="0"/>
          <w:numId w:val="1004"/>
        </w:numPr>
      </w:pPr>
      <w:r>
        <w:rPr>
          <w:b/>
          <w:bCs/>
        </w:rPr>
        <w:t xml:space="preserve">Backlog support is unquantified.</w:t>
      </w:r>
      <w:r>
        <w:t xml:space="preserve"> </w:t>
      </w:r>
      <w:r>
        <w:t xml:space="preserve">The CIM and backlog report do not break out PFAS contracted backlog vs. pipeline. This is the single most important Phase II data request: how much of the $14.0M FY25E PFAS plan is signed vs. proposed.</w:t>
      </w:r>
    </w:p>
    <w:p>
      <w:r>
        <w:pict>
          <v:rect style="width:0;height:1.5pt" o:hralign="center" o:hrstd="t" o:hr="t"/>
        </w:pict>
      </w:r>
    </w:p>
    <w:bookmarkEnd w:id="43"/>
    <w:bookmarkStart w:id="44" w:name="regulatory-and-compliance"/>
    <w:p>
      <w:pPr>
        <w:pStyle w:val="Heading2"/>
      </w:pPr>
      <w:r>
        <w:t xml:space="preserve">6. Regulatory and Compliance</w:t>
      </w:r>
    </w:p>
    <w:p>
      <w:pPr>
        <w:pStyle w:val="FirstParagraph"/>
      </w:pPr>
      <w:r>
        <w:t xml:space="preserve">On August 14, 2024, CES entered a consent agreement with Oregon DEQ to resolve an enforcement action related to</w:t>
      </w:r>
      <w:r>
        <w:t xml:space="preserve"> </w:t>
      </w:r>
      <w:r>
        <w:rPr>
          <w:b/>
          <w:bCs/>
        </w:rPr>
        <w:t xml:space="preserve">improper storage of contaminated soils at the Portland facility</w:t>
      </w:r>
      <w:r>
        <w:t xml:space="preserve"> </w:t>
      </w:r>
      <w:r>
        <w:t xml:space="preserve">— i.e., a compliance failure at CES’s own operations yard, not a customer site. The settlement was $875,000 plus $325,000 legal fees ($1.2M total), fully added back to Adjusted EBITDA as</w:t>
      </w:r>
      <w:r>
        <w:t xml:space="preserve"> </w:t>
      </w:r>
      <w:r>
        <w:t xml:space="preserve">“</w:t>
      </w:r>
      <w:r>
        <w:t xml:space="preserve">one-time.</w:t>
      </w:r>
      <w:r>
        <w:t xml:space="preserve">”</w:t>
      </w:r>
    </w:p>
    <w:p>
      <w:pPr>
        <w:pStyle w:val="BodyText"/>
      </w:pPr>
      <w:r>
        <w:t xml:space="preserve">Three concerns:</w:t>
      </w:r>
    </w:p>
    <w:p>
      <w:pPr>
        <w:pStyle w:val="Compact"/>
        <w:numPr>
          <w:ilvl w:val="0"/>
          <w:numId w:val="1005"/>
        </w:numPr>
      </w:pPr>
      <w:r>
        <w:rPr>
          <w:b/>
          <w:bCs/>
        </w:rPr>
        <w:t xml:space="preserve">Recurring, not one-time.</w:t>
      </w:r>
      <w:r>
        <w:t xml:space="preserve"> </w:t>
      </w:r>
      <w:r>
        <w:t xml:space="preserve">Regulatory/compliance costs are inherent to this sector and typically run $200K–$500K annually for companies of CES’s size. Our portfolio data confirms this: GreenWorks incurred ~$275K/year after a</w:t>
      </w:r>
      <w:r>
        <w:t xml:space="preserve"> </w:t>
      </w:r>
      <w:r>
        <w:t xml:space="preserve">“</w:t>
      </w:r>
      <w:r>
        <w:t xml:space="preserve">one-time</w:t>
      </w:r>
      <w:r>
        <w:t xml:space="preserve">”</w:t>
      </w:r>
      <w:r>
        <w:t xml:space="preserve"> </w:t>
      </w:r>
      <w:r>
        <w:t xml:space="preserve">$380K add-back; Allied Waste averaged ~$310K/year with a spike to $840K. The CIM’s own Appendix B shows legal/regulatory add-backs in FY23 ($0.2M) as well as FY24 ($1.2M) — a pattern, not an isolated event. Best practice is to normalize to a run-rate (~$300K) and add back only the excess, reducing the defensible add-back from $1.2M to ~$0.7–0.9M.</w:t>
      </w:r>
    </w:p>
    <w:p>
      <w:pPr>
        <w:pStyle w:val="Compact"/>
        <w:numPr>
          <w:ilvl w:val="0"/>
          <w:numId w:val="1005"/>
        </w:numPr>
      </w:pPr>
      <w:r>
        <w:rPr>
          <w:b/>
          <w:bCs/>
        </w:rPr>
        <w:t xml:space="preserve">Classification ambiguity.</w:t>
      </w:r>
      <w:r>
        <w:t xml:space="preserve"> </w:t>
      </w:r>
      <w:r>
        <w:t xml:space="preserve">The CIM includes the $875K settlement within operating expenses (above EBITDA); the financial exhibits place it in</w:t>
      </w:r>
      <w:r>
        <w:t xml:space="preserve"> </w:t>
      </w:r>
      <w:r>
        <w:t xml:space="preserve">“</w:t>
      </w:r>
      <w:r>
        <w:t xml:space="preserve">Other Income/(Expense)</w:t>
      </w:r>
      <w:r>
        <w:t xml:space="preserve">”</w:t>
      </w:r>
      <w:r>
        <w:t xml:space="preserve"> </w:t>
      </w:r>
      <w:r>
        <w:rPr>
          <w:i/>
          <w:iCs/>
        </w:rPr>
        <w:t xml:space="preserve">below</w:t>
      </w:r>
      <w:r>
        <w:t xml:space="preserve"> </w:t>
      </w:r>
      <w:r>
        <w:t xml:space="preserve">EBITDA. If the exhibits’ classification is correct, only the $325K of legal fees (in operating expenses) actually reduces EBITDA, and the $875K settlement does not require an EBITDA add-back at all — which would mean the $1.2M add-back overstates Adjusted EBITDA by up to $875K. The QoE must fix the classification.</w:t>
      </w:r>
    </w:p>
    <w:p>
      <w:pPr>
        <w:pStyle w:val="Compact"/>
        <w:numPr>
          <w:ilvl w:val="0"/>
          <w:numId w:val="1005"/>
        </w:numPr>
      </w:pPr>
      <w:r>
        <w:rPr>
          <w:b/>
          <w:bCs/>
        </w:rPr>
        <w:t xml:space="preserve">Systemic vs. isolated.</w:t>
      </w:r>
      <w:r>
        <w:t xml:space="preserve"> </w:t>
      </w:r>
      <w:r>
        <w:t xml:space="preserve">Because the violation involved CES’s own permitted facility, the deal team should request CES’s complete 10-year regulatory enforcement history (notices of violation, permit compliance, fines) to assess whether this reflects systemic compliance weaknesses or a true one-off. Oregon DEQ enforcement has been increasing, which raises the baseline regulatory cost run-rate.</w:t>
      </w:r>
    </w:p>
    <w:p>
      <w:r>
        <w:pict>
          <v:rect style="width:0;height:1.5pt" o:hralign="center" o:hrstd="t" o:hr="t"/>
        </w:pict>
      </w:r>
    </w:p>
    <w:bookmarkEnd w:id="44"/>
    <w:bookmarkStart w:id="45" w:name="real-estate-and-the-related-party-lease"/>
    <w:p>
      <w:pPr>
        <w:pStyle w:val="Heading2"/>
      </w:pPr>
      <w:r>
        <w:t xml:space="preserve">7. Real Estate and the Related-Party Lease</w:t>
      </w:r>
    </w:p>
    <w:p>
      <w:pPr>
        <w:pStyle w:val="FirstParagraph"/>
      </w:pPr>
      <w:r>
        <w:t xml:space="preserve">CES’s Portland headquarters and operations yard (4200 Industrial Way) is</w:t>
      </w:r>
      <w:r>
        <w:t xml:space="preserve"> </w:t>
      </w:r>
      <w:r>
        <w:rPr>
          <w:b/>
          <w:bCs/>
        </w:rPr>
        <w:t xml:space="preserve">owned personally by Randall Oakes</w:t>
      </w:r>
      <w:r>
        <w:t xml:space="preserve"> </w:t>
      </w:r>
      <w:r>
        <w:t xml:space="preserve">and leased to CES under a 10-year lease (2019–2029) at</w:t>
      </w:r>
      <w:r>
        <w:t xml:space="preserve"> </w:t>
      </w:r>
      <w:r>
        <w:rPr>
          <w:b/>
          <w:bCs/>
        </w:rPr>
        <w:t xml:space="preserve">$1.4M/year</w:t>
      </w:r>
      <w:r>
        <w:t xml:space="preserve">. The CIM normalizes rent to a $600K market rate, producing the $800K EBITDA add-back.</w:t>
      </w:r>
    </w:p>
    <w:p>
      <w:pPr>
        <w:pStyle w:val="BodyText"/>
      </w:pPr>
      <w:r>
        <w:rPr>
          <w:b/>
          <w:bCs/>
        </w:rPr>
        <w:t xml:space="preserve">The CIM contradicts itself on market rent.</w:t>
      </w:r>
      <w:r>
        <w:t xml:space="preserve"> </w:t>
      </w:r>
      <w:r>
        <w:t xml:space="preserve">Section IV.C states that</w:t>
      </w:r>
      <w:r>
        <w:t xml:space="preserve"> </w:t>
      </w:r>
      <w:r>
        <w:t xml:space="preserve">“</w:t>
      </w:r>
      <w:r>
        <w:t xml:space="preserve">specialized environmental staging facilities commanding rates of $1.0 million to $1.2 million annually for properties of comparable acreage and infrastructure.</w:t>
      </w:r>
      <w:r>
        <w:t xml:space="preserve">”</w:t>
      </w:r>
      <w:r>
        <w:t xml:space="preserve"> </w:t>
      </w:r>
      <w:r>
        <w:t xml:space="preserve">Section VIII.A, however, uses</w:t>
      </w:r>
      <w:r>
        <w:t xml:space="preserve"> </w:t>
      </w:r>
      <w:r>
        <w:t xml:space="preserve">“</w:t>
      </w:r>
      <w:r>
        <w:t xml:space="preserve">approximately $600,000 per year</w:t>
      </w:r>
      <w:r>
        <w:t xml:space="preserve">”</w:t>
      </w:r>
      <w:r>
        <w:t xml:space="preserve"> </w:t>
      </w:r>
      <w:r>
        <w:t xml:space="preserve">for</w:t>
      </w:r>
      <w:r>
        <w:t xml:space="preserve"> </w:t>
      </w:r>
      <w:r>
        <w:t xml:space="preserve">“</w:t>
      </w:r>
      <w:r>
        <w:t xml:space="preserve">comparable industrial yard space.</w:t>
      </w:r>
      <w:r>
        <w:t xml:space="preserve">”</w:t>
      </w:r>
      <w:r>
        <w:t xml:space="preserve"> </w:t>
      </w:r>
      <w:r>
        <w:t xml:space="preserve">The CES headquarters is, by the CIM’s own description, a purpose-built specialized environmental staging facility (permitted wash rack, secondary containment, roll-off/soil stockpile areas, 8.5 acres) — i.e., the §IV.C comparable, not the generic §VIII.A industrial yard. If the appropriate market rate is $1.0M–$1.2M, the above-market rent is only</w:t>
      </w:r>
      <w:r>
        <w:t xml:space="preserve"> </w:t>
      </w:r>
      <w:r>
        <w:rPr>
          <w:b/>
          <w:bCs/>
        </w:rPr>
        <w:t xml:space="preserve">$200K–$400K</w:t>
      </w:r>
      <w:r>
        <w:t xml:space="preserve">, not $800K, and the lease add-back is</w:t>
      </w:r>
      <w:r>
        <w:t xml:space="preserve"> </w:t>
      </w:r>
      <w:r>
        <w:rPr>
          <w:b/>
          <w:bCs/>
        </w:rPr>
        <w:t xml:space="preserve">overstated by $400K–$600K</w:t>
      </w:r>
      <w:r>
        <w:t xml:space="preserve"> </w:t>
      </w:r>
      <w:r>
        <w:t xml:space="preserve">(≈$3.2M–$6.0M of EV at 8–10x). The buyer will in any event need to either negotiate a new market lease with Mr. Oakes or acquire the property at fair value; the post-close rent should be underwritten to the specialized-facility rate, and the add-back adjusted accordingly.</w:t>
      </w:r>
    </w:p>
    <w:p>
      <w:r>
        <w:pict>
          <v:rect style="width:0;height:1.5pt" o:hralign="center" o:hrstd="t" o:hr="t"/>
        </w:pict>
      </w:r>
    </w:p>
    <w:bookmarkEnd w:id="45"/>
    <w:bookmarkStart w:id="46" w:name="management-key-person-risk-and-retention"/>
    <w:p>
      <w:pPr>
        <w:pStyle w:val="Heading2"/>
      </w:pPr>
      <w:r>
        <w:t xml:space="preserve">8. Management, Key-Person Risk, and Retention</w:t>
      </w:r>
    </w:p>
    <w:p>
      <w:pPr>
        <w:pStyle w:val="Compact"/>
        <w:numPr>
          <w:ilvl w:val="0"/>
          <w:numId w:val="1006"/>
        </w:numPr>
      </w:pPr>
      <w:r>
        <w:rPr>
          <w:b/>
          <w:bCs/>
        </w:rPr>
        <w:t xml:space="preserve">Founder transition.</w:t>
      </w:r>
      <w:r>
        <w:t xml:space="preserve"> </w:t>
      </w:r>
      <w:r>
        <w:t xml:space="preserve">Mr. Oakes (age 61, 68% owner) plans to exit day-to-day operations within 18–24 months post-close. The Company has no identified successor CEO; the owner-compensation normalization assumes a $500K replacement, which we view as low. CEO recruitment for an $87M→$124M environmental services platform will likely cost $700K–$1.0M+ total and take 6–12 months. The transition risk is real and was a painful lesson at GreenWorks, where a key project manager departed within six months of close.</w:t>
      </w:r>
    </w:p>
    <w:p>
      <w:pPr>
        <w:pStyle w:val="Compact"/>
        <w:numPr>
          <w:ilvl w:val="0"/>
          <w:numId w:val="1006"/>
        </w:numPr>
      </w:pPr>
      <w:r>
        <w:rPr>
          <w:b/>
          <w:bCs/>
        </w:rPr>
        <w:t xml:space="preserve">Key operators.</w:t>
      </w:r>
      <w:r>
        <w:t xml:space="preserve"> </w:t>
      </w:r>
      <w:r>
        <w:t xml:space="preserve">Janet Prewitt (VP Operations, 18-year tenure) holds central remediation client relationships; Derek Cahill (VP Sales, since 2014) owns the pipeline; Lisa Fontaine (Controller) and Mark Stovall (Safety Director) are institutional knowledge.</w:t>
      </w:r>
      <w:r>
        <w:t xml:space="preserve"> </w:t>
      </w:r>
      <w:r>
        <w:rPr>
          <w:b/>
          <w:bCs/>
        </w:rPr>
        <w:t xml:space="preserve">Retention agreements for these four should be a closing condition</w:t>
      </w:r>
      <w:r>
        <w:t xml:space="preserve">, particularly Prewitt, whose relationships are not easily transferable.</w:t>
      </w:r>
    </w:p>
    <w:p>
      <w:pPr>
        <w:pStyle w:val="Compact"/>
        <w:numPr>
          <w:ilvl w:val="0"/>
          <w:numId w:val="1006"/>
        </w:numPr>
      </w:pPr>
      <w:r>
        <w:rPr>
          <w:b/>
          <w:bCs/>
        </w:rPr>
        <w:t xml:space="preserve">Phantom equity.</w:t>
      </w:r>
      <w:r>
        <w:t xml:space="preserve"> </w:t>
      </w:r>
      <w:r>
        <w:t xml:space="preserve">The phantom equity plan provides current retention but</w:t>
      </w:r>
      <w:r>
        <w:t xml:space="preserve"> </w:t>
      </w:r>
      <w:r>
        <w:rPr>
          <w:b/>
          <w:bCs/>
        </w:rPr>
        <w:t xml:space="preserve">settles in cash at closing</w:t>
      </w:r>
      <w:r>
        <w:t xml:space="preserve">, meaning the existing retention incentive evaporates at close. The total cash settlement liability is not disclosed and must be sized — it is a transaction-period cash outflow that reduces net equity proceeds and should be treated as a net-debt-like item, not merely an EBITDA add-back. The buyer should plan a new management retention/rollover package.</w:t>
      </w:r>
    </w:p>
    <w:p>
      <w:pPr>
        <w:pStyle w:val="Compact"/>
        <w:numPr>
          <w:ilvl w:val="0"/>
          <w:numId w:val="1006"/>
        </w:numPr>
      </w:pPr>
      <w:r>
        <w:rPr>
          <w:b/>
          <w:bCs/>
        </w:rPr>
        <w:t xml:space="preserve">PE capacity.</w:t>
      </w:r>
      <w:r>
        <w:t xml:space="preserve"> </w:t>
      </w:r>
      <w:r>
        <w:t xml:space="preserve">As noted in §5, the unreplaced January 2025 PE retirement leaves the Company with two PEs at a moment when the growth plan requires more PE oversight. A credible PE hiring plan should be a Phase II diligence focus.</w:t>
      </w:r>
    </w:p>
    <w:p>
      <w:r>
        <w:pict>
          <v:rect style="width:0;height:1.5pt" o:hralign="center" o:hrstd="t" o:hr="t"/>
        </w:pict>
      </w:r>
    </w:p>
    <w:bookmarkEnd w:id="46"/>
    <w:bookmarkStart w:id="51" w:name="valuation"/>
    <w:p>
      <w:pPr>
        <w:pStyle w:val="Heading2"/>
      </w:pPr>
      <w:r>
        <w:t xml:space="preserve">9. Valuation</w:t>
      </w:r>
    </w:p>
    <w:bookmarkStart w:id="47" w:name="buy-side-normalized-adjusted-ebitda"/>
    <w:p>
      <w:pPr>
        <w:pStyle w:val="Heading3"/>
      </w:pPr>
      <w:r>
        <w:t xml:space="preserve">9.1 Buy-Side Normalized Adjusted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CIM</w:t>
            </w:r>
          </w:p>
        </w:tc>
        <w:tc>
          <w:tcPr/>
          <w:p>
            <w:pPr>
              <w:pStyle w:val="Compact"/>
              <w:jc w:val="left"/>
            </w:pPr>
            <w:r>
              <w:t xml:space="preserve">Buy-side</w:t>
            </w:r>
          </w:p>
        </w:tc>
        <w:tc>
          <w:tcPr/>
          <w:p>
            <w:pPr>
              <w:pStyle w:val="Compact"/>
              <w:jc w:val="left"/>
            </w:pPr>
            <w:r>
              <w:t xml:space="preserve">Rationale</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Owner comp normalization</w:t>
            </w:r>
          </w:p>
        </w:tc>
        <w:tc>
          <w:tcPr/>
          <w:p>
            <w:pPr>
              <w:pStyle w:val="Compact"/>
              <w:jc w:val="left"/>
            </w:pPr>
            <w:r>
              <w:t xml:space="preserve">1.9</w:t>
            </w:r>
          </w:p>
        </w:tc>
        <w:tc>
          <w:tcPr/>
          <w:p>
            <w:pPr>
              <w:pStyle w:val="Compact"/>
              <w:jc w:val="left"/>
            </w:pPr>
            <w:r>
              <w:t xml:space="preserve">1.65</w:t>
            </w:r>
          </w:p>
        </w:tc>
        <w:tc>
          <w:tcPr/>
          <w:p>
            <w:pPr>
              <w:pStyle w:val="Compact"/>
              <w:jc w:val="left"/>
            </w:pPr>
            <w:r>
              <w:t xml:space="preserve">Replacement CEO at $750K (not $500K); verify</w:t>
            </w:r>
            <w:r>
              <w:t xml:space="preserve"> </w:t>
            </w:r>
            <w:r>
              <w:t xml:space="preserve">“</w:t>
            </w:r>
            <w:r>
              <w:t xml:space="preserve">personal expenses</w:t>
            </w:r>
            <w:r>
              <w:t xml:space="preserve">”</w:t>
            </w:r>
          </w:p>
        </w:tc>
      </w:tr>
      <w:tr>
        <w:tc>
          <w:tcPr/>
          <w:p>
            <w:pPr>
              <w:pStyle w:val="Compact"/>
              <w:jc w:val="left"/>
            </w:pPr>
            <w:r>
              <w:t xml:space="preserve">Related-party lease</w:t>
            </w:r>
          </w:p>
        </w:tc>
        <w:tc>
          <w:tcPr/>
          <w:p>
            <w:pPr>
              <w:pStyle w:val="Compact"/>
              <w:jc w:val="left"/>
            </w:pPr>
            <w:r>
              <w:t xml:space="preserve">0.8</w:t>
            </w:r>
          </w:p>
        </w:tc>
        <w:tc>
          <w:tcPr/>
          <w:p>
            <w:pPr>
              <w:pStyle w:val="Compact"/>
              <w:jc w:val="left"/>
            </w:pPr>
            <w:r>
              <w:t xml:space="preserve">0.40</w:t>
            </w:r>
          </w:p>
        </w:tc>
        <w:tc>
          <w:tcPr/>
          <w:p>
            <w:pPr>
              <w:pStyle w:val="Compact"/>
              <w:jc w:val="left"/>
            </w:pPr>
            <w:r>
              <w:t xml:space="preserve">Specialized-facility market rent $1.0M (per CIM §IV.C), not $0.6M</w:t>
            </w:r>
          </w:p>
        </w:tc>
      </w:tr>
      <w:tr>
        <w:tc>
          <w:tcPr/>
          <w:p>
            <w:pPr>
              <w:pStyle w:val="Compact"/>
              <w:jc w:val="left"/>
            </w:pPr>
            <w:r>
              <w:t xml:space="preserve">Legal/regulatory</w:t>
            </w:r>
          </w:p>
        </w:tc>
        <w:tc>
          <w:tcPr/>
          <w:p>
            <w:pPr>
              <w:pStyle w:val="Compact"/>
              <w:jc w:val="left"/>
            </w:pPr>
            <w:r>
              <w:t xml:space="preserve">1.2</w:t>
            </w:r>
          </w:p>
        </w:tc>
        <w:tc>
          <w:tcPr/>
          <w:p>
            <w:pPr>
              <w:pStyle w:val="Compact"/>
              <w:jc w:val="left"/>
            </w:pPr>
            <w:r>
              <w:t xml:space="preserve">0.90</w:t>
            </w:r>
          </w:p>
        </w:tc>
        <w:tc>
          <w:tcPr/>
          <w:p>
            <w:pPr>
              <w:pStyle w:val="Compact"/>
              <w:jc w:val="left"/>
            </w:pPr>
            <w:r>
              <w:t xml:space="preserve">$300K recurring run-rate; add back only excess</w:t>
            </w:r>
          </w:p>
        </w:tc>
      </w:tr>
      <w:tr>
        <w:tc>
          <w:tcPr/>
          <w:p>
            <w:pPr>
              <w:pStyle w:val="Compact"/>
              <w:jc w:val="left"/>
            </w:pPr>
            <w:r>
              <w:t xml:space="preserve">Non-recurring relocation</w:t>
            </w:r>
          </w:p>
        </w:tc>
        <w:tc>
          <w:tcPr/>
          <w:p>
            <w:pPr>
              <w:pStyle w:val="Compact"/>
              <w:jc w:val="left"/>
            </w:pPr>
            <w:r>
              <w:t xml:space="preserve">0.4</w:t>
            </w:r>
          </w:p>
        </w:tc>
        <w:tc>
          <w:tcPr/>
          <w:p>
            <w:pPr>
              <w:pStyle w:val="Compact"/>
              <w:jc w:val="left"/>
            </w:pPr>
            <w:r>
              <w:t xml:space="preserve">0.4</w:t>
            </w:r>
          </w:p>
        </w:tc>
        <w:tc>
          <w:tcPr/>
          <w:p>
            <w:pPr>
              <w:pStyle w:val="Compact"/>
              <w:jc w:val="left"/>
            </w:pPr>
            <w:r>
              <w:t xml:space="preserve">Legitimate one-time</w:t>
            </w:r>
          </w:p>
        </w:tc>
      </w:tr>
      <w:tr>
        <w:tc>
          <w:tcPr/>
          <w:p>
            <w:pPr>
              <w:pStyle w:val="Compact"/>
              <w:jc w:val="left"/>
            </w:pPr>
            <w:r>
              <w:t xml:space="preserve">Stock-based comp (phantom)</w:t>
            </w:r>
          </w:p>
        </w:tc>
        <w:tc>
          <w:tcPr/>
          <w:p>
            <w:pPr>
              <w:pStyle w:val="Compact"/>
              <w:jc w:val="left"/>
            </w:pPr>
            <w:r>
              <w:t xml:space="preserve">0.3</w:t>
            </w:r>
          </w:p>
        </w:tc>
        <w:tc>
          <w:tcPr/>
          <w:p>
            <w:pPr>
              <w:pStyle w:val="Compact"/>
              <w:jc w:val="left"/>
            </w:pPr>
            <w:r>
              <w:t xml:space="preserve">0.3</w:t>
            </w:r>
          </w:p>
        </w:tc>
        <w:tc>
          <w:tcPr/>
          <w:p>
            <w:pPr>
              <w:pStyle w:val="Compact"/>
              <w:jc w:val="left"/>
            </w:pPr>
            <w:r>
              <w:t xml:space="preserve">EBITDA add-back OK; cash settlement sized separately</w:t>
            </w:r>
          </w:p>
        </w:tc>
      </w:tr>
      <w:tr>
        <w:tc>
          <w:tcPr/>
          <w:p>
            <w:pPr>
              <w:pStyle w:val="Compact"/>
              <w:jc w:val="left"/>
            </w:pPr>
            <w:r>
              <w:t xml:space="preserve">One-time IT</w:t>
            </w:r>
          </w:p>
        </w:tc>
        <w:tc>
          <w:tcPr/>
          <w:p>
            <w:pPr>
              <w:pStyle w:val="Compact"/>
              <w:jc w:val="left"/>
            </w:pPr>
            <w:r>
              <w:t xml:space="preserve">0.1</w:t>
            </w:r>
          </w:p>
        </w:tc>
        <w:tc>
          <w:tcPr/>
          <w:p>
            <w:pPr>
              <w:pStyle w:val="Compact"/>
              <w:jc w:val="left"/>
            </w:pPr>
            <w:r>
              <w:t xml:space="preserve">0.1</w:t>
            </w:r>
          </w:p>
        </w:tc>
        <w:tc>
          <w:tcPr/>
          <w:p>
            <w:pPr>
              <w:pStyle w:val="Compact"/>
              <w:jc w:val="left"/>
            </w:pPr>
            <w:r>
              <w:t xml:space="preserve">Minor</w:t>
            </w:r>
          </w:p>
        </w:tc>
      </w:tr>
      <w:tr>
        <w:tc>
          <w:tcPr/>
          <w:p>
            <w:pPr>
              <w:pStyle w:val="Compact"/>
              <w:jc w:val="left"/>
            </w:pPr>
            <w:r>
              <w:t xml:space="preserve">Arithmetic correction</w:t>
            </w:r>
          </w:p>
        </w:tc>
        <w:tc>
          <w:tcPr/>
          <w:p>
            <w:pPr>
              <w:pStyle w:val="Compact"/>
              <w:jc w:val="left"/>
            </w:pPr>
            <w:r>
              <w:t xml:space="preserve">—</w:t>
            </w:r>
          </w:p>
        </w:tc>
        <w:tc>
          <w:tcPr/>
          <w:p>
            <w:pPr>
              <w:pStyle w:val="Compact"/>
              <w:jc w:val="left"/>
            </w:pPr>
            <w:r>
              <w:t xml:space="preserve">(0.3)</w:t>
            </w:r>
          </w:p>
        </w:tc>
        <w:tc>
          <w:tcPr/>
          <w:p>
            <w:pPr>
              <w:pStyle w:val="Compact"/>
              <w:jc w:val="left"/>
            </w:pPr>
            <w:r>
              <w:t xml:space="preserve">CIM overstates by $0.3M (components sum to $16.8M)</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jc w:val="left"/>
            </w:pPr>
            <w:r>
              <w:rPr>
                <w:b/>
                <w:bCs/>
              </w:rPr>
              <w:t xml:space="preserve">~15.9</w:t>
            </w:r>
          </w:p>
        </w:tc>
        <w:tc>
          <w:tcPr/>
          <w:p>
            <w:pPr>
              <w:pStyle w:val="Compact"/>
              <w:jc w:val="left"/>
            </w:pPr>
            <w:r>
              <w:rPr>
                <w:b/>
                <w:bCs/>
              </w:rPr>
              <w:t xml:space="preserve">~$1.2M below CIM</w:t>
            </w:r>
          </w:p>
        </w:tc>
      </w:tr>
    </w:tbl>
    <w:bookmarkEnd w:id="47"/>
    <w:bookmarkStart w:id="48" w:name="enterprise-value-scenarios"/>
    <w:p>
      <w:pPr>
        <w:pStyle w:val="Heading3"/>
      </w:pPr>
      <w:r>
        <w:t xml:space="preserve">9.2 Enterprise Value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Basis</w:t>
            </w:r>
          </w:p>
        </w:tc>
        <w:tc>
          <w:tcPr/>
          <w:p>
            <w:pPr>
              <w:pStyle w:val="Compact"/>
              <w:jc w:val="left"/>
            </w:pPr>
            <w:r>
              <w:t xml:space="preserve">Adj. EBITDA</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10.0x</w:t>
            </w:r>
          </w:p>
        </w:tc>
      </w:tr>
      <w:tr>
        <w:tc>
          <w:tcPr/>
          <w:p>
            <w:pPr>
              <w:pStyle w:val="Compact"/>
              <w:jc w:val="left"/>
            </w:pPr>
            <w:r>
              <w:t xml:space="preserve">CIM as-stated</w:t>
            </w:r>
          </w:p>
        </w:tc>
        <w:tc>
          <w:tcPr/>
          <w:p>
            <w:pPr>
              <w:pStyle w:val="Compact"/>
              <w:jc w:val="left"/>
            </w:pPr>
            <w:r>
              <w:t xml:space="preserve">$17.1M</w:t>
            </w:r>
          </w:p>
        </w:tc>
        <w:tc>
          <w:tcPr/>
          <w:p>
            <w:pPr>
              <w:pStyle w:val="Compact"/>
              <w:jc w:val="left"/>
            </w:pPr>
            <w:r>
              <w:t xml:space="preserve">$136.8M</w:t>
            </w:r>
          </w:p>
        </w:tc>
        <w:tc>
          <w:tcPr/>
          <w:p>
            <w:pPr>
              <w:pStyle w:val="Compact"/>
              <w:jc w:val="left"/>
            </w:pPr>
            <w:r>
              <w:t xml:space="preserve">$153.9M</w:t>
            </w:r>
          </w:p>
        </w:tc>
        <w:tc>
          <w:tcPr/>
          <w:p>
            <w:pPr>
              <w:pStyle w:val="Compact"/>
              <w:jc w:val="left"/>
            </w:pPr>
            <w:r>
              <w:t xml:space="preserve">$171.0M</w:t>
            </w:r>
          </w:p>
        </w:tc>
      </w:tr>
      <w:tr>
        <w:tc>
          <w:tcPr/>
          <w:p>
            <w:pPr>
              <w:pStyle w:val="Compact"/>
              <w:jc w:val="left"/>
            </w:pPr>
            <w:r>
              <w:t xml:space="preserve">CIM as-footed</w:t>
            </w:r>
          </w:p>
        </w:tc>
        <w:tc>
          <w:tcPr/>
          <w:p>
            <w:pPr>
              <w:pStyle w:val="Compact"/>
              <w:jc w:val="left"/>
            </w:pPr>
            <w:r>
              <w:t xml:space="preserve">$16.8M</w:t>
            </w:r>
          </w:p>
        </w:tc>
        <w:tc>
          <w:tcPr/>
          <w:p>
            <w:pPr>
              <w:pStyle w:val="Compact"/>
              <w:jc w:val="left"/>
            </w:pPr>
            <w:r>
              <w:t xml:space="preserve">$134.4M</w:t>
            </w:r>
          </w:p>
        </w:tc>
        <w:tc>
          <w:tcPr/>
          <w:p>
            <w:pPr>
              <w:pStyle w:val="Compact"/>
              <w:jc w:val="left"/>
            </w:pPr>
            <w:r>
              <w:t xml:space="preserve">$151.2M</w:t>
            </w:r>
          </w:p>
        </w:tc>
        <w:tc>
          <w:tcPr/>
          <w:p>
            <w:pPr>
              <w:pStyle w:val="Compact"/>
              <w:jc w:val="left"/>
            </w:pPr>
            <w:r>
              <w:t xml:space="preserve">$168.0M</w:t>
            </w:r>
          </w:p>
        </w:tc>
      </w:tr>
      <w:tr>
        <w:tc>
          <w:tcPr/>
          <w:p>
            <w:pPr>
              <w:pStyle w:val="Compact"/>
              <w:jc w:val="left"/>
            </w:pPr>
            <w:r>
              <w:rPr>
                <w:b/>
                <w:bCs/>
              </w:rPr>
              <w:t xml:space="preserve">Buy-side normalized (base)</w:t>
            </w:r>
          </w:p>
        </w:tc>
        <w:tc>
          <w:tcPr/>
          <w:p>
            <w:pPr>
              <w:pStyle w:val="Compact"/>
              <w:jc w:val="left"/>
            </w:pPr>
            <w:r>
              <w:rPr>
                <w:b/>
                <w:bCs/>
              </w:rPr>
              <w:t xml:space="preserve">~$15.9M</w:t>
            </w:r>
          </w:p>
        </w:tc>
        <w:tc>
          <w:tcPr/>
          <w:p>
            <w:pPr>
              <w:pStyle w:val="Compact"/>
              <w:jc w:val="left"/>
            </w:pPr>
            <w:r>
              <w:rPr>
                <w:b/>
                <w:bCs/>
              </w:rPr>
              <w:t xml:space="preserve">$126.8M</w:t>
            </w:r>
          </w:p>
        </w:tc>
        <w:tc>
          <w:tcPr/>
          <w:p>
            <w:pPr>
              <w:pStyle w:val="Compact"/>
              <w:jc w:val="left"/>
            </w:pPr>
            <w:r>
              <w:rPr>
                <w:b/>
                <w:bCs/>
              </w:rPr>
              <w:t xml:space="preserve">$142.7M</w:t>
            </w:r>
          </w:p>
        </w:tc>
        <w:tc>
          <w:tcPr/>
          <w:p>
            <w:pPr>
              <w:pStyle w:val="Compact"/>
              <w:jc w:val="left"/>
            </w:pPr>
            <w:r>
              <w:rPr>
                <w:b/>
                <w:bCs/>
              </w:rPr>
              <w:t xml:space="preserve">$158.5M</w:t>
            </w:r>
          </w:p>
        </w:tc>
      </w:tr>
      <w:tr>
        <w:tc>
          <w:tcPr/>
          <w:p>
            <w:pPr>
              <w:pStyle w:val="Compact"/>
              <w:jc w:val="left"/>
            </w:pPr>
            <w:r>
              <w:t xml:space="preserve">Buy-side conservative</w:t>
            </w:r>
          </w:p>
        </w:tc>
        <w:tc>
          <w:tcPr/>
          <w:p>
            <w:pPr>
              <w:pStyle w:val="Compact"/>
              <w:jc w:val="left"/>
            </w:pPr>
            <w:r>
              <w:t xml:space="preserve">~$15.3M</w:t>
            </w:r>
          </w:p>
        </w:tc>
        <w:tc>
          <w:tcPr/>
          <w:p>
            <w:pPr>
              <w:pStyle w:val="Compact"/>
              <w:jc w:val="left"/>
            </w:pPr>
            <w:r>
              <w:t xml:space="preserve">$122.4M</w:t>
            </w:r>
          </w:p>
        </w:tc>
        <w:tc>
          <w:tcPr/>
          <w:p>
            <w:pPr>
              <w:pStyle w:val="Compact"/>
              <w:jc w:val="left"/>
            </w:pPr>
            <w:r>
              <w:t xml:space="preserve">$137.7M</w:t>
            </w:r>
          </w:p>
        </w:tc>
        <w:tc>
          <w:tcPr/>
          <w:p>
            <w:pPr>
              <w:pStyle w:val="Compact"/>
              <w:jc w:val="left"/>
            </w:pPr>
            <w:r>
              <w:t xml:space="preserve">$153.0M</w:t>
            </w:r>
          </w:p>
        </w:tc>
      </w:tr>
    </w:tbl>
    <w:bookmarkEnd w:id="48"/>
    <w:bookmarkStart w:id="49" w:name="X528493df8c0d1473388b4237101a77b40a6a7f8"/>
    <w:p>
      <w:pPr>
        <w:pStyle w:val="Heading3"/>
      </w:pPr>
      <w:r>
        <w:t xml:space="preserve">9.3 Equity Value Bridge (illustrative, base case at 9.0x)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w:t>
            </w:r>
          </w:p>
        </w:tc>
        <w:tc>
          <w:tcPr/>
          <w:p>
            <w:pPr>
              <w:pStyle w:val="Compact"/>
              <w:jc w:val="left"/>
            </w:pPr>
            <w:r>
              <w:t xml:space="preserve">Amount</w:t>
            </w:r>
          </w:p>
        </w:tc>
      </w:tr>
      <w:tr>
        <w:tc>
          <w:tcPr/>
          <w:p>
            <w:pPr>
              <w:pStyle w:val="Compact"/>
              <w:jc w:val="left"/>
            </w:pPr>
            <w:r>
              <w:t xml:space="preserve">Enterprise value (9.0x × $15.9M)</w:t>
            </w:r>
          </w:p>
        </w:tc>
        <w:tc>
          <w:tcPr/>
          <w:p>
            <w:pPr>
              <w:pStyle w:val="Compact"/>
              <w:jc w:val="left"/>
            </w:pPr>
            <w:r>
              <w:t xml:space="preserve">~142.7</w:t>
            </w:r>
          </w:p>
        </w:tc>
      </w:tr>
      <w:tr>
        <w:tc>
          <w:tcPr/>
          <w:p>
            <w:pPr>
              <w:pStyle w:val="Compact"/>
              <w:jc w:val="left"/>
            </w:pPr>
            <w:r>
              <w:t xml:space="preserve">Less: total debt</w:t>
            </w:r>
          </w:p>
        </w:tc>
        <w:tc>
          <w:tcPr/>
          <w:p>
            <w:pPr>
              <w:pStyle w:val="Compact"/>
              <w:jc w:val="left"/>
            </w:pPr>
            <w:r>
              <w:t xml:space="preserve">(17.3)</w:t>
            </w:r>
          </w:p>
        </w:tc>
      </w:tr>
      <w:tr>
        <w:tc>
          <w:tcPr/>
          <w:p>
            <w:pPr>
              <w:pStyle w:val="Compact"/>
              <w:jc w:val="left"/>
            </w:pPr>
            <w:r>
              <w:t xml:space="preserve">Plus: cash (CIM; to be confirmed vs. exhibits’ $4.1M)</w:t>
            </w:r>
          </w:p>
        </w:tc>
        <w:tc>
          <w:tcPr/>
          <w:p>
            <w:pPr>
              <w:pStyle w:val="Compact"/>
              <w:jc w:val="left"/>
            </w:pPr>
            <w:r>
              <w:t xml:space="preserve">2.3</w:t>
            </w:r>
          </w:p>
        </w:tc>
      </w:tr>
      <w:tr>
        <w:tc>
          <w:tcPr/>
          <w:p>
            <w:pPr>
              <w:pStyle w:val="Compact"/>
              <w:jc w:val="left"/>
            </w:pPr>
            <w:r>
              <w:t xml:space="preserve">Less: phantom-unit cash settlement (to be sized; est. $1–3M)</w:t>
            </w:r>
          </w:p>
        </w:tc>
        <w:tc>
          <w:tcPr/>
          <w:p>
            <w:pPr>
              <w:pStyle w:val="Compact"/>
              <w:jc w:val="left"/>
            </w:pPr>
            <w:r>
              <w:t xml:space="preserve">(~2.0)</w:t>
            </w:r>
          </w:p>
        </w:tc>
      </w:tr>
      <w:tr>
        <w:tc>
          <w:tcPr/>
          <w:p>
            <w:pPr>
              <w:pStyle w:val="Compact"/>
              <w:jc w:val="left"/>
            </w:pPr>
            <w:r>
              <w:rPr>
                <w:b/>
                <w:bCs/>
              </w:rPr>
              <w:t xml:space="preserve">Indicative equity value</w:t>
            </w:r>
          </w:p>
        </w:tc>
        <w:tc>
          <w:tcPr/>
          <w:p>
            <w:pPr>
              <w:pStyle w:val="Compact"/>
              <w:jc w:val="left"/>
            </w:pPr>
            <w:r>
              <w:rPr>
                <w:b/>
                <w:bCs/>
              </w:rPr>
              <w:t xml:space="preserve">~$125–127M</w:t>
            </w:r>
          </w:p>
        </w:tc>
      </w:tr>
    </w:tbl>
    <w:p>
      <w:pPr>
        <w:pStyle w:val="BodyText"/>
      </w:pPr>
      <w:r>
        <w:t xml:space="preserve">The HQ real estate is owned by Mr. Oakes; if the buyer elects to purchase it rather than lease, that is an additional transaction outside the EV (and would eliminate the related-party lease issue entirely). The phantom-unit liability, working-capital peg, and any transaction expenses should be finalized in QoE and the purchase agreement.</w:t>
      </w:r>
    </w:p>
    <w:bookmarkEnd w:id="49"/>
    <w:bookmarkStart w:id="50" w:name="multiple-placement"/>
    <w:p>
      <w:pPr>
        <w:pStyle w:val="Heading3"/>
      </w:pPr>
      <w:r>
        <w:t xml:space="preserve">9.4 Multiple Placement</w:t>
      </w:r>
    </w:p>
    <w:p>
      <w:pPr>
        <w:pStyle w:val="FirstParagraph"/>
      </w:pPr>
      <w:r>
        <w:t xml:space="preserve">The 8.0x–10.0x sector comp range is credible for well-positioned environmental services platforms and is consistent with our sector memo. However, the appropriate placement within that range should reflect: (i) customer concentration and the PNR contract cliff; (ii) PFAS execution risk and PE capacity constraints; (iii) below-peer maintenance capex (i.e., lower sustainable FCF); (iv) adjustment-quality concerns; and (v) founder transition/key-person risk. These argue for the</w:t>
      </w:r>
      <w:r>
        <w:t xml:space="preserve"> </w:t>
      </w:r>
      <w:r>
        <w:rPr>
          <w:b/>
          <w:bCs/>
        </w:rPr>
        <w:t xml:space="preserve">lower-to-middle</w:t>
      </w:r>
      <w:r>
        <w:t xml:space="preserve"> </w:t>
      </w:r>
      <w:r>
        <w:t xml:space="preserve">of the range on a trailing basis, with movement toward 9.0x–10.0x contingent on Phase II validation. The CIM’s assertion that CES</w:t>
      </w:r>
      <w:r>
        <w:t xml:space="preserve"> </w:t>
      </w:r>
      <w:r>
        <w:t xml:space="preserve">“</w:t>
      </w:r>
      <w:r>
        <w:t xml:space="preserve">support[s] valuation at the higher end of the comparable range</w:t>
      </w:r>
      <w:r>
        <w:t xml:space="preserve">”</w:t>
      </w:r>
      <w:r>
        <w:t xml:space="preserve"> </w:t>
      </w:r>
      <w:r>
        <w:t xml:space="preserve">is, in our view, not yet earned.</w:t>
      </w:r>
    </w:p>
    <w:p>
      <w:r>
        <w:pict>
          <v:rect style="width:0;height:1.5pt" o:hralign="center" o:hrstd="t" o:hr="t"/>
        </w:pict>
      </w:r>
    </w:p>
    <w:bookmarkEnd w:id="50"/>
    <w:bookmarkEnd w:id="51"/>
    <w:bookmarkStart w:id="52" w:name="fund-fit-and-strategic-rationale"/>
    <w:p>
      <w:pPr>
        <w:pStyle w:val="Heading2"/>
      </w:pPr>
      <w:r>
        <w:t xml:space="preserve">10. Fund Fit and Strategic Rationale</w:t>
      </w:r>
    </w:p>
    <w:p>
      <w:pPr>
        <w:pStyle w:val="FirstParagraph"/>
      </w:pPr>
      <w:r>
        <w:t xml:space="preserve">CES aligns with Fund III’s industrial and environmental services focus and Thornfield’s sector thesis (regulatory tailwinds, recurring revenue, fragmentation/consolidation). Our Fund II experience (GreenWorks Remediation, Allied Waste Systems) provides directly relevant operating benchmarks and pattern recognition — particularly the recurring lessons that seller CIMs in this sector</w:t>
      </w:r>
      <w:r>
        <w:t xml:space="preserve"> </w:t>
      </w:r>
      <w:r>
        <w:rPr>
          <w:b/>
          <w:bCs/>
        </w:rPr>
        <w:t xml:space="preserve">understate maintenance capex and overstate the</w:t>
      </w:r>
      <w:r>
        <w:rPr>
          <w:b/>
          <w:bCs/>
        </w:rPr>
        <w:t xml:space="preserve"> </w:t>
      </w:r>
      <w:r>
        <w:rPr>
          <w:b/>
          <w:bCs/>
        </w:rPr>
        <w:t xml:space="preserve">“</w:t>
      </w:r>
      <w:r>
        <w:rPr>
          <w:b/>
          <w:bCs/>
        </w:rPr>
        <w:t xml:space="preserve">one-time</w:t>
      </w:r>
      <w:r>
        <w:rPr>
          <w:b/>
          <w:bCs/>
        </w:rPr>
        <w:t xml:space="preserve">”</w:t>
      </w:r>
      <w:r>
        <w:rPr>
          <w:b/>
          <w:bCs/>
        </w:rPr>
        <w:t xml:space="preserve"> </w:t>
      </w:r>
      <w:r>
        <w:rPr>
          <w:b/>
          <w:bCs/>
        </w:rPr>
        <w:t xml:space="preserve">nature of regulatory costs</w:t>
      </w:r>
      <w:r>
        <w:t xml:space="preserve">, and that</w:t>
      </w:r>
      <w:r>
        <w:t xml:space="preserve"> </w:t>
      </w:r>
      <w:r>
        <w:rPr>
          <w:b/>
          <w:bCs/>
        </w:rPr>
        <w:t xml:space="preserve">emerging service lines moderate once initial pent-up demand is absorbed</w:t>
      </w:r>
      <w:r>
        <w:t xml:space="preserve">. Those patterns are present at CES.</w:t>
      </w:r>
    </w:p>
    <w:p>
      <w:pPr>
        <w:pStyle w:val="BodyText"/>
      </w:pPr>
      <w:r>
        <w:rPr>
          <w:b/>
          <w:bCs/>
        </w:rPr>
        <w:t xml:space="preserve">One fund-fit flag:</w:t>
      </w:r>
      <w:r>
        <w:t xml:space="preserve"> </w:t>
      </w:r>
      <w:r>
        <w:t xml:space="preserve">the sector memo states Fund III</w:t>
      </w:r>
      <w:r>
        <w:t xml:space="preserve"> </w:t>
      </w:r>
      <w:r>
        <w:t xml:space="preserve">“</w:t>
      </w:r>
      <w:r>
        <w:t xml:space="preserve">targets platforms in the $30M–$100M enterprise value range,</w:t>
      </w:r>
      <w:r>
        <w:t xml:space="preserve">”</w:t>
      </w:r>
      <w:r>
        <w:t xml:space="preserve"> </w:t>
      </w:r>
      <w:r>
        <w:t xml:space="preserve">while CES’s implied EV (~$137–171M per CIM; ~$127–159M buy-side) is meaningfully above that range. The sector memo nonetheless asserts CES</w:t>
      </w:r>
      <w:r>
        <w:t xml:space="preserve"> </w:t>
      </w:r>
      <w:r>
        <w:t xml:space="preserve">“</w:t>
      </w:r>
      <w:r>
        <w:t xml:space="preserve">fits squarely within these parameters,</w:t>
      </w:r>
      <w:r>
        <w:t xml:space="preserve">”</w:t>
      </w:r>
      <w:r>
        <w:t xml:space="preserve"> </w:t>
      </w:r>
      <w:r>
        <w:t xml:space="preserve">which is internally inconsistent with the EV figures. The deal team should confirm Fund III’s mandate flexibility to underwrite a platform of this size — including any need for co-investment, LPAC approval, or a club structure — before committing meaningful diligence spend. A ~$140M EV platform would represent a large single position relative to a $425M fund and warrants Managing Partner sign-off on concentration limits.</w:t>
      </w:r>
    </w:p>
    <w:p>
      <w:r>
        <w:pict>
          <v:rect style="width:0;height:1.5pt" o:hralign="center" o:hrstd="t" o:hr="t"/>
        </w:pict>
      </w:r>
    </w:p>
    <w:bookmarkEnd w:id="52"/>
    <w:bookmarkStart w:id="53" w:name="X0086a47c47fe455edb965b0bda4efeadcd136e7"/>
    <w:p>
      <w:pPr>
        <w:pStyle w:val="Heading2"/>
      </w:pPr>
      <w:r>
        <w:t xml:space="preserve">11. Diligence Priorities and Information Requests (Prioritized)</w:t>
      </w:r>
    </w:p>
    <w:p>
      <w:pPr>
        <w:pStyle w:val="Compact"/>
        <w:numPr>
          <w:ilvl w:val="0"/>
          <w:numId w:val="1007"/>
        </w:numPr>
      </w:pPr>
      <w:r>
        <w:rPr>
          <w:b/>
          <w:bCs/>
        </w:rPr>
        <w:t xml:space="preserve">PNR MSA renewal status.</w:t>
      </w:r>
      <w:r>
        <w:t xml:space="preserve"> </w:t>
      </w:r>
      <w:r>
        <w:t xml:space="preserve">Confirm whether the expired (March 31, 2025) MSA has been renewed, the renewal term, and the contractual mechanics (volume commitments, termination, change-of-control provisions). $18.7M / 21.4% of revenue is at stake.</w:t>
      </w:r>
    </w:p>
    <w:p>
      <w:pPr>
        <w:pStyle w:val="Compact"/>
        <w:numPr>
          <w:ilvl w:val="0"/>
          <w:numId w:val="1007"/>
        </w:numPr>
      </w:pPr>
      <w:r>
        <w:rPr>
          <w:b/>
          <w:bCs/>
        </w:rPr>
        <w:t xml:space="preserve">PFAS contracted backlog breakout.</w:t>
      </w:r>
      <w:r>
        <w:t xml:space="preserve"> </w:t>
      </w:r>
      <w:r>
        <w:t xml:space="preserve">Signed contracts vs. pipeline vs. assumptions supporting the $14.0M FY25E and $22.0M FY26E PFAS plan; customer-level detail; PE staffing plan to support the ramp.</w:t>
      </w:r>
    </w:p>
    <w:p>
      <w:pPr>
        <w:pStyle w:val="Compact"/>
        <w:numPr>
          <w:ilvl w:val="0"/>
          <w:numId w:val="1007"/>
        </w:numPr>
      </w:pPr>
      <w:r>
        <w:rPr>
          <w:b/>
          <w:bCs/>
        </w:rPr>
        <w:t xml:space="preserve">Adjusted EBITDA / QoE.</w:t>
      </w:r>
      <w:r>
        <w:t xml:space="preserve"> </w:t>
      </w:r>
      <w:r>
        <w:t xml:space="preserve">Engage an independent QoE provider to (a) correct the $0.3M arithmetic error, (b) test every adjustment (owner comp and</w:t>
      </w:r>
      <w:r>
        <w:t xml:space="preserve"> </w:t>
      </w:r>
      <w:r>
        <w:t xml:space="preserve">“</w:t>
      </w:r>
      <w:r>
        <w:t xml:space="preserve">personal expenses,</w:t>
      </w:r>
      <w:r>
        <w:t xml:space="preserve">”</w:t>
      </w:r>
      <w:r>
        <w:t xml:space="preserve"> </w:t>
      </w:r>
      <w:r>
        <w:t xml:space="preserve">lease market rate, regulatory run-rate,</w:t>
      </w:r>
      <w:r>
        <w:t xml:space="preserve"> </w:t>
      </w:r>
      <w:r>
        <w:t xml:space="preserve">“</w:t>
      </w:r>
      <w:r>
        <w:t xml:space="preserve">non-recurring</w:t>
      </w:r>
      <w:r>
        <w:t xml:space="preserve">”</w:t>
      </w:r>
      <w:r>
        <w:t xml:space="preserve"> </w:t>
      </w:r>
      <w:r>
        <w:t xml:space="preserve">items that recur annually), (c) fix the DEQ settlement classification, and (d) reconcile the CIM vs. exhibits income statement and balance sheet.</w:t>
      </w:r>
    </w:p>
    <w:p>
      <w:pPr>
        <w:pStyle w:val="Compact"/>
        <w:numPr>
          <w:ilvl w:val="0"/>
          <w:numId w:val="1007"/>
        </w:numPr>
      </w:pPr>
      <w:r>
        <w:rPr>
          <w:b/>
          <w:bCs/>
        </w:rPr>
        <w:t xml:space="preserve">Maintenance capex and fleet condition.</w:t>
      </w:r>
      <w:r>
        <w:t xml:space="preserve"> </w:t>
      </w:r>
      <w:r>
        <w:t xml:space="preserve">Independent fleet age/condition assessment; maintenance capex normalized to 5–7% of revenue; capex phasing for PFAS equipment and fleet replacement.</w:t>
      </w:r>
    </w:p>
    <w:p>
      <w:pPr>
        <w:pStyle w:val="Compact"/>
        <w:numPr>
          <w:ilvl w:val="0"/>
          <w:numId w:val="1007"/>
        </w:numPr>
      </w:pPr>
      <w:r>
        <w:rPr>
          <w:b/>
          <w:bCs/>
        </w:rPr>
        <w:t xml:space="preserve">DSO and working capital.</w:t>
      </w:r>
      <w:r>
        <w:t xml:space="preserve"> </w:t>
      </w:r>
      <w:r>
        <w:t xml:space="preserve">Independently calculate DSO from AR and trailing revenue; AR aging; unbilled-revenue composition; set the NWC peg and target.</w:t>
      </w:r>
    </w:p>
    <w:p>
      <w:pPr>
        <w:pStyle w:val="Compact"/>
        <w:numPr>
          <w:ilvl w:val="0"/>
          <w:numId w:val="1007"/>
        </w:numPr>
      </w:pPr>
      <w:r>
        <w:rPr>
          <w:b/>
          <w:bCs/>
        </w:rPr>
        <w:t xml:space="preserve">Regulatory enforcement history.</w:t>
      </w:r>
      <w:r>
        <w:t xml:space="preserve"> </w:t>
      </w:r>
      <w:r>
        <w:t xml:space="preserve">Complete 10-year history of DEQ/EPA/OSHA/DOT notices of violation, settlements, permit compliance, and fines; establish the appropriate ongoing regulatory cost run-rate.</w:t>
      </w:r>
    </w:p>
    <w:p>
      <w:pPr>
        <w:pStyle w:val="Compact"/>
        <w:numPr>
          <w:ilvl w:val="0"/>
          <w:numId w:val="1007"/>
        </w:numPr>
      </w:pPr>
      <w:r>
        <w:rPr>
          <w:b/>
          <w:bCs/>
        </w:rPr>
        <w:t xml:space="preserve">Related-party lease and real estate.</w:t>
      </w:r>
      <w:r>
        <w:t xml:space="preserve"> </w:t>
      </w:r>
      <w:r>
        <w:t xml:space="preserve">Independent market appraisal of 4200 Industrial Way as a specialized environmental facility; decision on lease-vs-own; confirm post-close occupancy cost.</w:t>
      </w:r>
    </w:p>
    <w:p>
      <w:pPr>
        <w:pStyle w:val="Compact"/>
        <w:numPr>
          <w:ilvl w:val="0"/>
          <w:numId w:val="1007"/>
        </w:numPr>
      </w:pPr>
      <w:r>
        <w:rPr>
          <w:b/>
          <w:bCs/>
        </w:rPr>
        <w:t xml:space="preserve">Owner compensation.</w:t>
      </w:r>
      <w:r>
        <w:t xml:space="preserve"> </w:t>
      </w:r>
      <w:r>
        <w:t xml:space="preserve">Detail of the $2.4M (salary, bonus, benefits, and itemized</w:t>
      </w:r>
      <w:r>
        <w:t xml:space="preserve"> </w:t>
      </w:r>
      <w:r>
        <w:t xml:space="preserve">“</w:t>
      </w:r>
      <w:r>
        <w:t xml:space="preserve">personal expenses allocated to the Company</w:t>
      </w:r>
      <w:r>
        <w:t xml:space="preserve">”</w:t>
      </w:r>
      <w:r>
        <w:t xml:space="preserve">); market benchmark for replacement CEO and CFO/COO.</w:t>
      </w:r>
    </w:p>
    <w:p>
      <w:pPr>
        <w:pStyle w:val="Compact"/>
        <w:numPr>
          <w:ilvl w:val="0"/>
          <w:numId w:val="1007"/>
        </w:numPr>
      </w:pPr>
      <w:r>
        <w:rPr>
          <w:b/>
          <w:bCs/>
        </w:rPr>
        <w:t xml:space="preserve">Management retention and phantom equity.</w:t>
      </w:r>
      <w:r>
        <w:t xml:space="preserve"> </w:t>
      </w:r>
      <w:r>
        <w:t xml:space="preserve">Retention terms for Prewitt, Cahill, Fontaine, Stovall; size the phantom-unit cash settlement liability; design post-close retention/rollover.</w:t>
      </w:r>
    </w:p>
    <w:p>
      <w:pPr>
        <w:pStyle w:val="Compact"/>
        <w:numPr>
          <w:ilvl w:val="0"/>
          <w:numId w:val="1007"/>
        </w:numPr>
      </w:pPr>
      <w:r>
        <w:rPr>
          <w:b/>
          <w:bCs/>
        </w:rPr>
        <w:t xml:space="preserve">Reconcile CIM vs. exhibits discrepancies.</w:t>
      </w:r>
      <w:r>
        <w:t xml:space="preserve"> </w:t>
      </w:r>
      <w:r>
        <w:t xml:space="preserve">Top-10 customer identities and tenure; geographic revenue split; goodwill/intangibles origin ($2.5M with no acquisition history); cash and PP&amp;E balances.</w:t>
      </w:r>
    </w:p>
    <w:p>
      <w:pPr>
        <w:pStyle w:val="Compact"/>
        <w:numPr>
          <w:ilvl w:val="0"/>
          <w:numId w:val="1007"/>
        </w:numPr>
      </w:pPr>
      <w:r>
        <w:rPr>
          <w:b/>
          <w:bCs/>
        </w:rPr>
        <w:t xml:space="preserve">Customer references and win/loss.</w:t>
      </w:r>
      <w:r>
        <w:t xml:space="preserve"> </w:t>
      </w:r>
      <w:r>
        <w:t xml:space="preserve">Reference calls with PNR, ODOT, Columbia Basin, Meridian; recent win/loss analysis on pipeline proposals.</w:t>
      </w:r>
    </w:p>
    <w:p>
      <w:pPr>
        <w:pStyle w:val="Compact"/>
        <w:numPr>
          <w:ilvl w:val="0"/>
          <w:numId w:val="1007"/>
        </w:numPr>
      </w:pPr>
      <w:r>
        <w:rPr>
          <w:b/>
          <w:bCs/>
        </w:rPr>
        <w:t xml:space="preserve">Fund mandate confirmation.</w:t>
      </w:r>
      <w:r>
        <w:t xml:space="preserve"> </w:t>
      </w:r>
      <w:r>
        <w:t xml:space="preserve">Managing Partner/LPAC confirmation of Fund III’s ability to underwrite a ~$135–155M EV platform and any co-investment needs.</w:t>
      </w:r>
    </w:p>
    <w:p>
      <w:r>
        <w:pict>
          <v:rect style="width:0;height:1.5pt" o:hralign="center" o:hrstd="t" o:hr="t"/>
        </w:pict>
      </w:r>
    </w:p>
    <w:bookmarkEnd w:id="53"/>
    <w:bookmarkStart w:id="54" w:name="ioi-strategy-and-recommendation"/>
    <w:p>
      <w:pPr>
        <w:pStyle w:val="Heading2"/>
      </w:pPr>
      <w:r>
        <w:t xml:space="preserve">12. IOI Strategy and Recommendation</w:t>
      </w:r>
    </w:p>
    <w:p>
      <w:pPr>
        <w:pStyle w:val="FirstParagraph"/>
      </w:pPr>
      <w:r>
        <w:rPr>
          <w:b/>
          <w:bCs/>
        </w:rPr>
        <w:t xml:space="preserve">Recommended IOI:</w:t>
      </w:r>
      <w:r>
        <w:t xml:space="preserve"> </w:t>
      </w:r>
      <w:r>
        <w:t xml:space="preserve">Submit a non-binding indication of interest with an enterprise-value range of</w:t>
      </w:r>
      <w:r>
        <w:t xml:space="preserve"> </w:t>
      </w:r>
      <w:r>
        <w:rPr>
          <w:b/>
          <w:bCs/>
        </w:rPr>
        <w:t xml:space="preserve">~$135–155 million</w:t>
      </w:r>
      <w:r>
        <w:t xml:space="preserve"> </w:t>
      </w:r>
      <w:r>
        <w:t xml:space="preserve">on a cash-free, debt-free basis with normalized net working capital, implying approximately</w:t>
      </w:r>
      <w:r>
        <w:t xml:space="preserve"> </w:t>
      </w:r>
      <w:r>
        <w:rPr>
          <w:b/>
          <w:bCs/>
        </w:rPr>
        <w:t xml:space="preserve">8.5x–9.8x</w:t>
      </w:r>
      <w:r>
        <w:t xml:space="preserve"> </w:t>
      </w:r>
      <w:r>
        <w:t xml:space="preserve">buy-side normalized Adjusted EBITDA (~$15.9M) /</w:t>
      </w:r>
      <w:r>
        <w:t xml:space="preserve"> </w:t>
      </w:r>
      <w:r>
        <w:rPr>
          <w:b/>
          <w:bCs/>
        </w:rPr>
        <w:t xml:space="preserve">8.0x–9.2x</w:t>
      </w:r>
      <w:r>
        <w:t xml:space="preserve"> </w:t>
      </w:r>
      <w:r>
        <w:t xml:space="preserve">the CIM’s arithmetic-corrected $16.8M. This range is competitive with the lower-to-middle of the CIM’s $136.8–171.0M ask and should secure Phase II advancement while preserving valuation discipline.</w:t>
      </w:r>
    </w:p>
    <w:p>
      <w:pPr>
        <w:pStyle w:val="BodyText"/>
      </w:pPr>
      <w:r>
        <w:rPr>
          <w:b/>
          <w:bCs/>
        </w:rPr>
        <w:t xml:space="preserve">Structure points to address in the IOI:</w:t>
      </w:r>
    </w:p>
    <w:p>
      <w:pPr>
        <w:pStyle w:val="Compact"/>
        <w:numPr>
          <w:ilvl w:val="0"/>
          <w:numId w:val="1008"/>
        </w:numPr>
      </w:pPr>
      <w:r>
        <w:rPr>
          <w:b/>
          <w:bCs/>
        </w:rPr>
        <w:t xml:space="preserve">Transaction structure.</w:t>
      </w:r>
      <w:r>
        <w:t xml:space="preserve"> </w:t>
      </w:r>
      <w:r>
        <w:t xml:space="preserve">Stock purchase (consistent with the process letter), with existing $17.3M debt refinanced/repaid at closing.</w:t>
      </w:r>
    </w:p>
    <w:p>
      <w:pPr>
        <w:pStyle w:val="Compact"/>
        <w:numPr>
          <w:ilvl w:val="0"/>
          <w:numId w:val="1008"/>
        </w:numPr>
      </w:pPr>
      <w:r>
        <w:rPr>
          <w:b/>
          <w:bCs/>
        </w:rPr>
        <w:t xml:space="preserve">HQ real estate.</w:t>
      </w:r>
      <w:r>
        <w:t xml:space="preserve"> </w:t>
      </w:r>
      <w:r>
        <w:t xml:space="preserve">Express willingness to either (a) negotiate a new market-rate lease with Mr. Oakes or (b) acquire the property at independently appraised fair value — and flag the related-party lease normalization as a QoE item.</w:t>
      </w:r>
    </w:p>
    <w:p>
      <w:pPr>
        <w:pStyle w:val="Compact"/>
        <w:numPr>
          <w:ilvl w:val="0"/>
          <w:numId w:val="1008"/>
        </w:numPr>
      </w:pPr>
      <w:r>
        <w:rPr>
          <w:b/>
          <w:bCs/>
        </w:rPr>
        <w:t xml:space="preserve">Phantom equity.</w:t>
      </w:r>
      <w:r>
        <w:t xml:space="preserve"> </w:t>
      </w:r>
      <w:r>
        <w:t xml:space="preserve">Treat the cash settlement at closing as a net-debt-like item; request the liability size.</w:t>
      </w:r>
    </w:p>
    <w:p>
      <w:pPr>
        <w:pStyle w:val="Compact"/>
        <w:numPr>
          <w:ilvl w:val="0"/>
          <w:numId w:val="1008"/>
        </w:numPr>
      </w:pPr>
      <w:r>
        <w:rPr>
          <w:b/>
          <w:bCs/>
        </w:rPr>
        <w:t xml:space="preserve">Management.</w:t>
      </w:r>
      <w:r>
        <w:t xml:space="preserve"> </w:t>
      </w:r>
      <w:r>
        <w:t xml:space="preserve">Commit to retaining the existing management team and employees; accommodate Mr. Oakes’s 18–24 month transition; propose retention agreements for key operators as a closing condition.</w:t>
      </w:r>
    </w:p>
    <w:p>
      <w:pPr>
        <w:pStyle w:val="Compact"/>
        <w:numPr>
          <w:ilvl w:val="0"/>
          <w:numId w:val="1008"/>
        </w:numPr>
      </w:pPr>
      <w:r>
        <w:rPr>
          <w:b/>
          <w:bCs/>
        </w:rPr>
        <w:t xml:space="preserve">Financing.</w:t>
      </w:r>
      <w:r>
        <w:t xml:space="preserve"> </w:t>
      </w:r>
      <w:r>
        <w:t xml:space="preserve">Indicate committed Fund III equity plus anticipated senior debt; identify likely lenders.</w:t>
      </w:r>
    </w:p>
    <w:p>
      <w:pPr>
        <w:pStyle w:val="Compact"/>
        <w:numPr>
          <w:ilvl w:val="0"/>
          <w:numId w:val="1008"/>
        </w:numPr>
      </w:pPr>
      <w:r>
        <w:rPr>
          <w:b/>
          <w:bCs/>
        </w:rPr>
        <w:t xml:space="preserve">Diligence.</w:t>
      </w:r>
      <w:r>
        <w:t xml:space="preserve"> </w:t>
      </w:r>
      <w:r>
        <w:t xml:space="preserve">6–8 week confirmatory diligence timeline consistent with a Q4 2025 close.</w:t>
      </w:r>
    </w:p>
    <w:p>
      <w:pPr>
        <w:pStyle w:val="FirstParagraph"/>
      </w:pPr>
      <w:r>
        <w:rPr>
          <w:b/>
          <w:bCs/>
        </w:rPr>
        <w:t xml:space="preserve">Conditions for moving toward the top of the range (9.0x–10.0x) in Phase III:</w:t>
      </w:r>
      <w:r>
        <w:t xml:space="preserve"> </w:t>
      </w:r>
      <w:r>
        <w:t xml:space="preserve">(i) confirmed PNR renewal; (ii) PFAS contracted backlog substantiating the FY25E plan; (iii) QoE-supported Adjusted EBITDA at or above ~$16.5M; (iv) maintenance capex validated near the CIM’s 3.4% (or, if higher, EV adjusted accordingly); (v) signed retention agreements for Prewitt and other key managers; and (vi) a credible PE hiring plan.</w:t>
      </w:r>
    </w:p>
    <w:p>
      <w:pPr>
        <w:pStyle w:val="BodyText"/>
      </w:pPr>
      <w:r>
        <w:rPr>
          <w:b/>
          <w:bCs/>
        </w:rPr>
        <w:t xml:space="preserve">Bottom line:</w:t>
      </w:r>
      <w:r>
        <w:t xml:space="preserve"> </w:t>
      </w:r>
      <w:r>
        <w:t xml:space="preserve">CES is a quality platform worth pursuing, but the CIM’s headline economics are flattered by an arithmetic error, aggressive add-backs, understated maintenance capex, a non-reconciling DSO, and a growth plan that leans heavily on an uncontracted PFAS ramp executed by a thinner PE team — all atop a flagship customer contract that has already lapsed. A disciplined IOI at ~$135–155M, with the conditions above, lets Thornfield compete credibly while re-underwriting the value in Phase II.</w:t>
      </w:r>
    </w:p>
    <w:p>
      <w:r>
        <w:pict>
          <v:rect style="width:0;height:1.5pt" o:hralign="center" o:hrstd="t" o:hr="t"/>
        </w:pict>
      </w:r>
    </w:p>
    <w:p>
      <w:pPr>
        <w:pStyle w:val="FirstParagraph"/>
      </w:pPr>
      <w:r>
        <w:rPr>
          <w:i/>
          <w:iCs/>
        </w:rPr>
        <w:t xml:space="preserve">Prepared by David Koh, Associate, Thornfield Capital Partners. This memorandum is privileged and confidential, prepared for internal investment-team use in connection with the evaluation of a potential transaction. It is based solely on the Confidential Information Memorandum, financial exhibits, customer/backlog report, and process letter provided by Greenleaf Advisory Group, LLC, and on Thornfield’s internal sector memo and proprietary portfolio benchmarks. No information herein has been independently verified; all figures are subject to confirmatory due diligence and a quality-of-engagement analysis. Do not distribute outside the deal team.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2026-06-29T00:47:36Z</dcterms:created>
  <dcterms:modified xsi:type="dcterms:W3CDTF">2026-06-29T00:47:36Z</dcterms:modified>
</cp:coreProperties>
</file>

<file path=docProps/custom.xml><?xml version="1.0" encoding="utf-8"?>
<Properties xmlns="http://schemas.openxmlformats.org/officeDocument/2006/custom-properties" xmlns:vt="http://schemas.openxmlformats.org/officeDocument/2006/docPropsVTypes"/>
</file>