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9092779eae0ca57705dede95c2ab5939f8b8355"/>
    <w:p>
      <w:pPr>
        <w:pStyle w:val="Heading1"/>
        <w:keepNext w:val="0"/>
        <w:keepLines w:val="0"/>
        <w:spacing w:before="180" w:after="40" w:line="240" w:lineRule="auto"/>
      </w:pPr>
      <w:r>
        <w:rPr>
          <w:rFonts w:ascii="Calibri" w:hAnsi="Calibri"/>
          <w:sz w:val="28"/>
        </w:rPr>
        <w:t xml:space="preserve">PRIVILEGED &amp; CONFIDENTIAL — ATTORNEY WORK PRODUCT</w:t>
      </w:r>
    </w:p>
    <w:p>
      <w:pPr>
        <w:pStyle w:val="FirstParagraph"/>
        <w:keepNext w:val="0"/>
        <w:keepLines w:val="0"/>
        <w:spacing w:before="0" w:after="60" w:line="240" w:lineRule="auto"/>
      </w:pPr>
      <w:r>
        <w:rPr>
          <w:rFonts w:ascii="Calibri" w:hAnsi="Calibri"/>
          <w:b/>
          <w:bCs/>
          <w:sz w:val="20"/>
        </w:rPr>
        <w:t xml:space="preserve">PREPARED IN ANTICIPATION OF LITIGATION / FOR MERGER-AGREEMENT NEGOTIATION</w:t>
      </w:r>
    </w:p>
    <w:p>
      <w:pPr>
        <w:keepNext w:val="0"/>
        <w:keepLines w:val="0"/>
        <w:spacing w:before="0" w:after="60" w:line="240" w:lineRule="auto"/>
      </w:pPr>
      <w:r>
        <w:rPr>
          <w:rFonts w:ascii="Calibri" w:hAnsi="Calibri"/>
          <w:sz w:val="20"/>
        </w:rPr>
        <w:pict>
          <v:rect style="width:0;height:1.5pt" o:hralign="center" o:hrstd="t" o:hr="t"/>
        </w:pict>
      </w:r>
    </w:p>
    <w:bookmarkStart w:id="20" w:name="governance-diligence-memorandum"/>
    <w:p>
      <w:pPr>
        <w:pStyle w:val="Heading2"/>
        <w:keepNext w:val="0"/>
        <w:keepLines w:val="0"/>
        <w:spacing w:before="140" w:after="40" w:line="240" w:lineRule="auto"/>
      </w:pPr>
      <w:r>
        <w:rPr>
          <w:rFonts w:ascii="Calibri" w:hAnsi="Calibri"/>
          <w:sz w:val="25"/>
        </w:rPr>
        <w:t xml:space="preserve">GOVERNANCE DILIGENCE MEMORANDUM</w:t>
      </w:r>
    </w:p>
    <w:p>
      <w:pPr>
        <w:pStyle w:val="FirstParagraph"/>
        <w:keepNext w:val="0"/>
        <w:keepLines w:val="0"/>
        <w:spacing w:before="0" w:after="60" w:line="240" w:lineRule="auto"/>
      </w:pPr>
      <w:r>
        <w:rPr>
          <w:rFonts w:ascii="Calibri" w:hAnsi="Calibri"/>
          <w:b/>
          <w:bCs/>
          <w:sz w:val="20"/>
        </w:rPr>
        <w:t xml:space="preserve">TO:</w:t>
      </w:r>
      <w:r>
        <w:rPr>
          <w:rFonts w:ascii="Calibri" w:hAnsi="Calibri"/>
          <w:sz w:val="20"/>
        </w:rPr>
        <w:t xml:space="preserve"> </w:t>
      </w:r>
      <w:r>
        <w:rPr>
          <w:rFonts w:ascii="Calibri" w:hAnsi="Calibri"/>
          <w:sz w:val="20"/>
        </w:rPr>
        <w:t xml:space="preserve">Elena Marchetti, Partner; Jonathan Hsieh, Senior Associate — Whitfield &amp; Crane LLP</w:t>
      </w:r>
      <w:r>
        <w:rPr>
          <w:rFonts w:ascii="Calibri" w:hAnsi="Calibri"/>
          <w:sz w:val="20"/>
        </w:rPr>
        <w:t xml:space="preserve"> </w:t>
      </w:r>
      <w:r>
        <w:rPr>
          <w:rFonts w:ascii="Calibri" w:hAnsi="Calibri"/>
          <w:b/>
          <w:bCs/>
          <w:sz w:val="20"/>
        </w:rPr>
        <w:t xml:space="preserve">FROM:</w:t>
      </w:r>
      <w:r>
        <w:rPr>
          <w:rFonts w:ascii="Calibri" w:hAnsi="Calibri"/>
          <w:sz w:val="20"/>
        </w:rPr>
        <w:t xml:space="preserve"> </w:t>
      </w:r>
      <w:r>
        <w:rPr>
          <w:rFonts w:ascii="Calibri" w:hAnsi="Calibri"/>
          <w:sz w:val="20"/>
        </w:rPr>
        <w:t xml:space="preserve">[Associate], Whitfield &amp; Crane LLP</w:t>
      </w:r>
      <w:r>
        <w:rPr>
          <w:rFonts w:ascii="Calibri" w:hAnsi="Calibri"/>
          <w:sz w:val="20"/>
        </w:rPr>
        <w:t xml:space="preserve"> </w:t>
      </w:r>
      <w:r>
        <w:rPr>
          <w:rFonts w:ascii="Calibri" w:hAnsi="Calibri"/>
          <w:b/>
          <w:bCs/>
          <w:sz w:val="20"/>
        </w:rPr>
        <w:t xml:space="preserve">DATE:</w:t>
      </w:r>
      <w:r>
        <w:rPr>
          <w:rFonts w:ascii="Calibri" w:hAnsi="Calibri"/>
          <w:sz w:val="20"/>
        </w:rPr>
        <w:t xml:space="preserve"> </w:t>
      </w:r>
      <w:r>
        <w:rPr>
          <w:rFonts w:ascii="Calibri" w:hAnsi="Calibri"/>
          <w:sz w:val="20"/>
        </w:rPr>
        <w:t xml:space="preserve">October 14, 2024</w:t>
      </w:r>
      <w:r>
        <w:rPr>
          <w:rFonts w:ascii="Calibri" w:hAnsi="Calibri"/>
          <w:sz w:val="20"/>
        </w:rPr>
        <w:t xml:space="preserve"> </w:t>
      </w:r>
      <w:r>
        <w:rPr>
          <w:rFonts w:ascii="Calibri" w:hAnsi="Calibri"/>
          <w:b/>
          <w:bCs/>
          <w:sz w:val="20"/>
        </w:rPr>
        <w:t xml:space="preserve">RE:</w:t>
      </w:r>
      <w:r>
        <w:rPr>
          <w:rFonts w:ascii="Calibri" w:hAnsi="Calibri"/>
          <w:sz w:val="20"/>
        </w:rPr>
        <w:t xml:space="preserve"> </w:t>
      </w:r>
      <w:r>
        <w:rPr>
          <w:rFonts w:ascii="Calibri" w:hAnsi="Calibri"/>
          <w:sz w:val="20"/>
        </w:rPr>
        <w:t xml:space="preserve">Governance Diligence — Proposed Acquisition of Terravox Systems, Inc. by Hargrove Capital Partners III, LP</w:t>
      </w:r>
      <w:r>
        <w:rPr>
          <w:rFonts w:ascii="Calibri" w:hAnsi="Calibri"/>
          <w:sz w:val="20"/>
        </w:rPr>
        <w:t xml:space="preserve"> </w:t>
      </w:r>
      <w:r>
        <w:rPr>
          <w:rFonts w:ascii="Calibri" w:hAnsi="Calibri"/>
          <w:b/>
          <w:bCs/>
          <w:sz w:val="20"/>
        </w:rPr>
        <w:t xml:space="preserve">MATTER:</w:t>
      </w:r>
      <w:r>
        <w:rPr>
          <w:rFonts w:ascii="Calibri" w:hAnsi="Calibri"/>
          <w:sz w:val="20"/>
        </w:rPr>
        <w:t xml:space="preserve"> </w:t>
      </w:r>
      <w:r>
        <w:rPr>
          <w:rFonts w:ascii="Calibri" w:hAnsi="Calibri"/>
          <w:sz w:val="20"/>
        </w:rPr>
        <w:t xml:space="preserve">Hargrove Capital Partners III, LP — Terravox Systems, Inc. Acquisition</w:t>
      </w:r>
    </w:p>
    <w:p>
      <w:pPr>
        <w:keepNext w:val="0"/>
        <w:keepLines w:val="0"/>
        <w:spacing w:before="0" w:after="60" w:line="240" w:lineRule="auto"/>
      </w:pPr>
      <w:r>
        <w:rPr>
          <w:rFonts w:ascii="Calibri" w:hAnsi="Calibri"/>
          <w:sz w:val="20"/>
        </w:rPr>
        <w:pict>
          <v:rect style="width:0;height:1.5pt" o:hralign="center" o:hrstd="t" o:hr="t"/>
        </w:pict>
      </w:r>
    </w:p>
    <w:p>
      <w:pPr>
        <w:pStyle w:val="BlockText"/>
        <w:keepNext w:val="0"/>
        <w:keepLines w:val="0"/>
        <w:spacing w:before="0" w:after="60" w:line="240" w:lineRule="auto"/>
      </w:pPr>
      <w:r>
        <w:rPr>
          <w:rFonts w:ascii="Calibri" w:hAnsi="Calibri"/>
          <w:b/>
          <w:bCs/>
          <w:sz w:val="20"/>
        </w:rPr>
        <w:t xml:space="preserve">Privilege Notice.</w:t>
      </w:r>
      <w:r>
        <w:rPr>
          <w:rFonts w:ascii="Calibri" w:hAnsi="Calibri"/>
          <w:sz w:val="20"/>
        </w:rPr>
        <w:t xml:space="preserve"> </w:t>
      </w:r>
      <w:r>
        <w:rPr>
          <w:rFonts w:ascii="Calibri" w:hAnsi="Calibri"/>
          <w:sz w:val="20"/>
        </w:rPr>
        <w:t xml:space="preserve">This memorandum constitutes attorney work product prepared in anticipation of litigation and in connection with the negotiation of definitive transaction documentation. It is privileged and confidential, is intended solely for the use of Whitfield &amp; Crane LLP and its client, Hargrove Capital Management, LLC, and may not be disclosed to any third party (including Terravox Systems, Inc., its representatives, or Avery, Pollard &amp; Glenn LLP) without the prior written consent of the undersigned. All requests for additional documents or clarifications must be routed through Jonathan Hsieh; do not communicate directly with Company counsel or Company representatives.</w:t>
      </w:r>
    </w:p>
    <w:p>
      <w:pPr>
        <w:keepNext w:val="0"/>
        <w:keepLines w:val="0"/>
        <w:spacing w:before="0" w:after="60" w:line="240" w:lineRule="auto"/>
      </w:pPr>
      <w:r>
        <w:rPr>
          <w:rFonts w:ascii="Calibri" w:hAnsi="Calibri"/>
          <w:sz w:val="20"/>
        </w:rPr>
        <w:pict>
          <v:rect style="width:0;height:1.5pt" o:hralign="center" o:hrstd="t" o:hr="t"/>
        </w:pict>
      </w:r>
    </w:p>
    <w:bookmarkEnd w:id="20"/>
    <w:bookmarkStart w:id="25" w:name="i.-executive-summary"/>
    <w:p>
      <w:pPr>
        <w:pStyle w:val="Heading2"/>
        <w:keepNext w:val="0"/>
        <w:keepLines w:val="0"/>
        <w:spacing w:before="140" w:after="40" w:line="240" w:lineRule="auto"/>
      </w:pPr>
      <w:r>
        <w:rPr>
          <w:rFonts w:ascii="Calibri" w:hAnsi="Calibri"/>
          <w:sz w:val="25"/>
        </w:rPr>
        <w:t xml:space="preserve">I. Executive Summary</w:t>
      </w:r>
    </w:p>
    <w:p>
      <w:pPr>
        <w:pStyle w:val="FirstParagraph"/>
        <w:keepNext w:val="0"/>
        <w:keepLines w:val="0"/>
        <w:spacing w:before="0" w:after="60" w:line="240" w:lineRule="auto"/>
      </w:pPr>
      <w:r>
        <w:rPr>
          <w:rFonts w:ascii="Calibri" w:hAnsi="Calibri"/>
          <w:sz w:val="20"/>
        </w:rPr>
        <w:t xml:space="preserve">This memorandum summarizes our review of the governance documents of Terravox Systems, Inc. (</w:t>
      </w:r>
      <w:r>
        <w:rPr>
          <w:rFonts w:ascii="Calibri" w:hAnsi="Calibri"/>
          <w:sz w:val="20"/>
        </w:rPr>
        <w:t xml:space="preserve">“</w:t>
      </w:r>
      <w:r>
        <w:rPr>
          <w:rFonts w:ascii="Calibri" w:hAnsi="Calibri"/>
          <w:sz w:val="20"/>
        </w:rPr>
        <w:t xml:space="preserve">Terravox</w:t>
      </w:r>
      <w:r>
        <w:rPr>
          <w:rFonts w:ascii="Calibri" w:hAnsi="Calibri"/>
          <w:sz w:val="20"/>
        </w:rPr>
        <w:t xml:space="preserve">”</w:t>
      </w:r>
      <w:r>
        <w:rPr>
          <w:rFonts w:ascii="Calibri" w:hAnsi="Calibri"/>
          <w:sz w:val="20"/>
        </w:rPr>
        <w:t xml:space="preserve"> </w:t>
      </w:r>
      <w:r>
        <w:rPr>
          <w:rFonts w:ascii="Calibri" w:hAnsi="Calibri"/>
          <w:sz w:val="20"/>
        </w:rPr>
        <w:t xml:space="preserve">or the</w:t>
      </w:r>
      <w:r>
        <w:rPr>
          <w:rFonts w:ascii="Calibri" w:hAnsi="Calibri"/>
          <w:sz w:val="20"/>
        </w:rPr>
        <w:t xml:space="preserve"> </w:t>
      </w:r>
      <w:r>
        <w:rPr>
          <w:rFonts w:ascii="Calibri" w:hAnsi="Calibri"/>
          <w:sz w:val="20"/>
        </w:rPr>
        <w:t xml:space="preserve">“</w:t>
      </w:r>
      <w:r>
        <w:rPr>
          <w:rFonts w:ascii="Calibri" w:hAnsi="Calibri"/>
          <w:sz w:val="20"/>
        </w:rPr>
        <w:t xml:space="preserve">Company</w:t>
      </w:r>
      <w:r>
        <w:rPr>
          <w:rFonts w:ascii="Calibri" w:hAnsi="Calibri"/>
          <w:sz w:val="20"/>
        </w:rPr>
        <w:t xml:space="preserve">”</w:t>
      </w:r>
      <w:r>
        <w:rPr>
          <w:rFonts w:ascii="Calibri" w:hAnsi="Calibri"/>
          <w:sz w:val="20"/>
        </w:rPr>
        <w:t xml:space="preserve">) in connection with the proposed acquisition of 100% of the Company’s outstanding equity by Hargrove Capital Partners III, LP (</w:t>
      </w:r>
      <w:r>
        <w:rPr>
          <w:rFonts w:ascii="Calibri" w:hAnsi="Calibri"/>
          <w:sz w:val="20"/>
        </w:rPr>
        <w:t xml:space="preserve">“</w:t>
      </w:r>
      <w:r>
        <w:rPr>
          <w:rFonts w:ascii="Calibri" w:hAnsi="Calibri"/>
          <w:sz w:val="20"/>
        </w:rPr>
        <w:t xml:space="preserve">Hargrove</w:t>
      </w:r>
      <w:r>
        <w:rPr>
          <w:rFonts w:ascii="Calibri" w:hAnsi="Calibri"/>
          <w:sz w:val="20"/>
        </w:rPr>
        <w:t xml:space="preserve">”</w:t>
      </w:r>
      <w:r>
        <w:rPr>
          <w:rFonts w:ascii="Calibri" w:hAnsi="Calibri"/>
          <w:sz w:val="20"/>
        </w:rPr>
        <w:t xml:space="preserve"> </w:t>
      </w:r>
      <w:r>
        <w:rPr>
          <w:rFonts w:ascii="Calibri" w:hAnsi="Calibri"/>
          <w:sz w:val="20"/>
        </w:rPr>
        <w:t xml:space="preserve">or</w:t>
      </w:r>
      <w:r>
        <w:rPr>
          <w:rFonts w:ascii="Calibri" w:hAnsi="Calibri"/>
          <w:sz w:val="20"/>
        </w:rPr>
        <w:t xml:space="preserve"> </w:t>
      </w:r>
      <w:r>
        <w:rPr>
          <w:rFonts w:ascii="Calibri" w:hAnsi="Calibri"/>
          <w:sz w:val="20"/>
        </w:rPr>
        <w:t xml:space="preserve">“</w:t>
      </w:r>
      <w:r>
        <w:rPr>
          <w:rFonts w:ascii="Calibri" w:hAnsi="Calibri"/>
          <w:sz w:val="20"/>
        </w:rPr>
        <w:t xml:space="preserve">Buyer</w:t>
      </w:r>
      <w:r>
        <w:rPr>
          <w:rFonts w:ascii="Calibri" w:hAnsi="Calibri"/>
          <w:sz w:val="20"/>
        </w:rPr>
        <w:t xml:space="preserve">”</w:t>
      </w:r>
      <w:r>
        <w:rPr>
          <w:rFonts w:ascii="Calibri" w:hAnsi="Calibri"/>
          <w:sz w:val="20"/>
        </w:rPr>
        <w:t xml:space="preserve">) for an enterprise value of $485 million, structured as a reverse triangular merger (the</w:t>
      </w:r>
      <w:r>
        <w:rPr>
          <w:rFonts w:ascii="Calibri" w:hAnsi="Calibri"/>
          <w:sz w:val="20"/>
        </w:rPr>
        <w:t xml:space="preserve"> </w:t>
      </w:r>
      <w:r>
        <w:rPr>
          <w:rFonts w:ascii="Calibri" w:hAnsi="Calibri"/>
          <w:sz w:val="20"/>
        </w:rPr>
        <w:t xml:space="preserve">“</w:t>
      </w:r>
      <w:r>
        <w:rPr>
          <w:rFonts w:ascii="Calibri" w:hAnsi="Calibri"/>
          <w:sz w:val="20"/>
        </w:rPr>
        <w:t xml:space="preserve">Transaction</w:t>
      </w:r>
      <w:r>
        <w:rPr>
          <w:rFonts w:ascii="Calibri" w:hAnsi="Calibri"/>
          <w:sz w:val="20"/>
        </w:rPr>
        <w:t xml:space="preserve">”</w:t>
      </w:r>
      <w:r>
        <w:rPr>
          <w:rFonts w:ascii="Calibri" w:hAnsi="Calibri"/>
          <w:sz w:val="20"/>
        </w:rPr>
        <w:t xml:space="preserve">). We reviewed the Company’s Third Amended and Restated Certificate of Incorporation (the</w:t>
      </w:r>
      <w:r>
        <w:rPr>
          <w:rFonts w:ascii="Calibri" w:hAnsi="Calibri"/>
          <w:sz w:val="20"/>
        </w:rPr>
        <w:t xml:space="preserve"> </w:t>
      </w:r>
      <w:r>
        <w:rPr>
          <w:rFonts w:ascii="Calibri" w:hAnsi="Calibri"/>
          <w:sz w:val="20"/>
        </w:rPr>
        <w:t xml:space="preserve">“</w:t>
      </w:r>
      <w:r>
        <w:rPr>
          <w:rFonts w:ascii="Calibri" w:hAnsi="Calibri"/>
          <w:sz w:val="20"/>
        </w:rPr>
        <w:t xml:space="preserve">Restated Certificate</w:t>
      </w:r>
      <w:r>
        <w:rPr>
          <w:rFonts w:ascii="Calibri" w:hAnsi="Calibri"/>
          <w:sz w:val="20"/>
        </w:rPr>
        <w:t xml:space="preserve">”</w:t>
      </w:r>
      <w:r>
        <w:rPr>
          <w:rFonts w:ascii="Calibri" w:hAnsi="Calibri"/>
          <w:sz w:val="20"/>
        </w:rPr>
        <w:t xml:space="preserve">), Amended and Restated Bylaws (the</w:t>
      </w:r>
      <w:r>
        <w:rPr>
          <w:rFonts w:ascii="Calibri" w:hAnsi="Calibri"/>
          <w:sz w:val="20"/>
        </w:rPr>
        <w:t xml:space="preserve"> </w:t>
      </w:r>
      <w:r>
        <w:rPr>
          <w:rFonts w:ascii="Calibri" w:hAnsi="Calibri"/>
          <w:sz w:val="20"/>
        </w:rPr>
        <w:t xml:space="preserve">“</w:t>
      </w:r>
      <w:r>
        <w:rPr>
          <w:rFonts w:ascii="Calibri" w:hAnsi="Calibri"/>
          <w:sz w:val="20"/>
        </w:rPr>
        <w:t xml:space="preserve">Bylaws</w:t>
      </w:r>
      <w:r>
        <w:rPr>
          <w:rFonts w:ascii="Calibri" w:hAnsi="Calibri"/>
          <w:sz w:val="20"/>
        </w:rPr>
        <w:t xml:space="preserve">”</w:t>
      </w:r>
      <w:r>
        <w:rPr>
          <w:rFonts w:ascii="Calibri" w:hAnsi="Calibri"/>
          <w:sz w:val="20"/>
        </w:rPr>
        <w:t xml:space="preserve">), Stockholders’ Agreement, Voting Agreement, Registration Rights Agreement (the</w:t>
      </w:r>
      <w:r>
        <w:rPr>
          <w:rFonts w:ascii="Calibri" w:hAnsi="Calibri"/>
          <w:sz w:val="20"/>
        </w:rPr>
        <w:t xml:space="preserve"> </w:t>
      </w:r>
      <w:r>
        <w:rPr>
          <w:rFonts w:ascii="Calibri" w:hAnsi="Calibri"/>
          <w:sz w:val="20"/>
        </w:rPr>
        <w:t xml:space="preserve">“</w:t>
      </w:r>
      <w:r>
        <w:rPr>
          <w:rFonts w:ascii="Calibri" w:hAnsi="Calibri"/>
          <w:sz w:val="20"/>
        </w:rPr>
        <w:t xml:space="preserve">RRA</w:t>
      </w:r>
      <w:r>
        <w:rPr>
          <w:rFonts w:ascii="Calibri" w:hAnsi="Calibri"/>
          <w:sz w:val="20"/>
        </w:rPr>
        <w:t xml:space="preserve">”</w:t>
      </w:r>
      <w:r>
        <w:rPr>
          <w:rFonts w:ascii="Calibri" w:hAnsi="Calibri"/>
          <w:sz w:val="20"/>
        </w:rPr>
        <w:t xml:space="preserve">), and Board minutes covering January 2023 through September 2024.</w:t>
      </w:r>
    </w:p>
    <w:bookmarkStart w:id="21" w:name="Xba9c8e3d20806bcab003c5fc614059c0b9f6472"/>
    <w:p>
      <w:pPr>
        <w:pStyle w:val="Heading3"/>
        <w:keepNext w:val="0"/>
        <w:keepLines w:val="0"/>
        <w:spacing w:before="100" w:after="20" w:line="240" w:lineRule="auto"/>
      </w:pPr>
      <w:r>
        <w:rPr>
          <w:rFonts w:ascii="Calibri" w:hAnsi="Calibri"/>
          <w:sz w:val="22"/>
        </w:rPr>
        <w:t xml:space="preserve">A. The Central Finding: Stonemill Holds an Absolute Veto</w:t>
      </w:r>
    </w:p>
    <w:p>
      <w:pPr>
        <w:pStyle w:val="FirstParagraph"/>
        <w:keepNext w:val="0"/>
        <w:keepLines w:val="0"/>
        <w:spacing w:before="0" w:after="60" w:line="240" w:lineRule="auto"/>
      </w:pPr>
      <w:r>
        <w:rPr>
          <w:rFonts w:ascii="Calibri" w:hAnsi="Calibri"/>
          <w:sz w:val="20"/>
        </w:rPr>
        <w:t xml:space="preserve">The single most important governance fact in this transaction is that</w:t>
      </w:r>
      <w:r>
        <w:rPr>
          <w:rFonts w:ascii="Calibri" w:hAnsi="Calibri"/>
          <w:sz w:val="20"/>
        </w:rPr>
        <w:t xml:space="preserve"> </w:t>
      </w:r>
      <w:r>
        <w:rPr>
          <w:rFonts w:ascii="Calibri" w:hAnsi="Calibri"/>
          <w:b/>
          <w:bCs/>
          <w:sz w:val="20"/>
        </w:rPr>
        <w:t xml:space="preserve">Stonemill Capital Partners Fund VI, LP (</w:t>
      </w:r>
      <w:r>
        <w:rPr>
          <w:rFonts w:ascii="Calibri" w:hAnsi="Calibri"/>
          <w:b/>
          <w:bCs/>
          <w:sz w:val="20"/>
        </w:rPr>
        <w:t xml:space="preserve">“</w:t>
      </w:r>
      <w:r>
        <w:rPr>
          <w:rFonts w:ascii="Calibri" w:hAnsi="Calibri"/>
          <w:b/>
          <w:bCs/>
          <w:sz w:val="20"/>
        </w:rPr>
        <w:t xml:space="preserve">Stonemill</w:t>
      </w:r>
      <w:r>
        <w:rPr>
          <w:rFonts w:ascii="Calibri" w:hAnsi="Calibri"/>
          <w:b/>
          <w:bCs/>
          <w:sz w:val="20"/>
        </w:rPr>
        <w:t xml:space="preserve">”</w:t>
      </w:r>
      <w:r>
        <w:rPr>
          <w:rFonts w:ascii="Calibri" w:hAnsi="Calibri"/>
          <w:b/>
          <w:bCs/>
          <w:sz w:val="20"/>
        </w:rPr>
        <w:t xml:space="preserve">) holds an absolute, non-circumventable veto over the Transaction.</w:t>
      </w:r>
      <w:r>
        <w:rPr>
          <w:rFonts w:ascii="Calibri" w:hAnsi="Calibri"/>
          <w:sz w:val="20"/>
        </w:rPr>
        <w:t xml:space="preserve"> </w:t>
      </w:r>
      <w:r>
        <w:rPr>
          <w:rFonts w:ascii="Calibri" w:hAnsi="Calibri"/>
          <w:sz w:val="20"/>
        </w:rPr>
        <w:t xml:space="preserve">Section 4.3.6(b)(i) of the Restated Certificate requires the prior written consent or affirmative vote of the holders of at least</w:t>
      </w:r>
      <w:r>
        <w:rPr>
          <w:rFonts w:ascii="Calibri" w:hAnsi="Calibri"/>
          <w:sz w:val="20"/>
        </w:rPr>
        <w:t xml:space="preserve"> </w:t>
      </w:r>
      <w:r>
        <w:rPr>
          <w:rFonts w:ascii="Calibri" w:hAnsi="Calibri"/>
          <w:b/>
          <w:bCs/>
          <w:sz w:val="20"/>
        </w:rPr>
        <w:t xml:space="preserve">66⅔% of the outstanding Series C Preferred Stock, voting as a separate class</w:t>
      </w:r>
      <w:r>
        <w:rPr>
          <w:rFonts w:ascii="Calibri" w:hAnsi="Calibri"/>
          <w:sz w:val="20"/>
        </w:rPr>
        <w:t xml:space="preserve">, to effect any</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 which expressly includes the reverse triangular merger. Stonemill holds</w:t>
      </w:r>
      <w:r>
        <w:rPr>
          <w:rFonts w:ascii="Calibri" w:hAnsi="Calibri"/>
          <w:sz w:val="20"/>
        </w:rPr>
        <w:t xml:space="preserve"> </w:t>
      </w:r>
      <w:r>
        <w:rPr>
          <w:rFonts w:ascii="Calibri" w:hAnsi="Calibri"/>
          <w:b/>
          <w:bCs/>
          <w:sz w:val="20"/>
        </w:rPr>
        <w:t xml:space="preserve">100% of the outstanding Series C Preferred Stock</w:t>
      </w:r>
      <w:r>
        <w:rPr>
          <w:rFonts w:ascii="Calibri" w:hAnsi="Calibri"/>
          <w:sz w:val="20"/>
        </w:rPr>
        <w:t xml:space="preserve"> </w:t>
      </w:r>
      <w:r>
        <w:rPr>
          <w:rFonts w:ascii="Calibri" w:hAnsi="Calibri"/>
          <w:sz w:val="20"/>
        </w:rPr>
        <w:t xml:space="preserve">(7,800,000 of 7,800,000 shares). Accordingly, the Series C separate-class consent</w:t>
      </w:r>
      <w:r>
        <w:rPr>
          <w:rFonts w:ascii="Calibri" w:hAnsi="Calibri"/>
          <w:sz w:val="20"/>
        </w:rPr>
        <w:t xml:space="preserve"> </w:t>
      </w:r>
      <w:r>
        <w:rPr>
          <w:rFonts w:ascii="Calibri" w:hAnsi="Calibri"/>
          <w:b/>
          <w:bCs/>
          <w:sz w:val="20"/>
        </w:rPr>
        <w:t xml:space="preserve">cannot be obtained without Stonemill’s affirmative consent</w:t>
      </w:r>
      <w:r>
        <w:rPr>
          <w:rFonts w:ascii="Calibri" w:hAnsi="Calibri"/>
          <w:sz w:val="20"/>
        </w:rPr>
        <w:t xml:space="preserve">. This was confirmed on the record by Julian Trask (Stonemill’s designee) at the September 25, 2024 Board meeting.</w:t>
      </w:r>
    </w:p>
    <w:p>
      <w:pPr>
        <w:pStyle w:val="BodyText"/>
        <w:keepNext w:val="0"/>
        <w:keepLines w:val="0"/>
        <w:spacing w:before="0" w:after="60" w:line="240" w:lineRule="auto"/>
      </w:pPr>
      <w:r>
        <w:rPr>
          <w:rFonts w:ascii="Calibri" w:hAnsi="Calibri"/>
          <w:sz w:val="20"/>
        </w:rPr>
        <w:t xml:space="preserve">This veto is a charter-level protective provision. It is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overridden by the drag-along in the Stockholders’ Agreement, for two independent reasons analyzed in Section III and Area 2 below: (i) it is materially uncertain whether the drag-along can even be</w:t>
      </w:r>
      <w:r>
        <w:rPr>
          <w:rFonts w:ascii="Calibri" w:hAnsi="Calibri"/>
          <w:sz w:val="20"/>
        </w:rPr>
        <w:t xml:space="preserve"> </w:t>
      </w:r>
      <w:r>
        <w:rPr>
          <w:rFonts w:ascii="Calibri" w:hAnsi="Calibri"/>
          <w:i/>
          <w:iCs/>
          <w:sz w:val="20"/>
        </w:rPr>
        <w:t xml:space="preserve">triggered</w:t>
      </w:r>
      <w:r>
        <w:rPr>
          <w:rFonts w:ascii="Calibri" w:hAnsi="Calibri"/>
          <w:sz w:val="20"/>
        </w:rPr>
        <w:t xml:space="preserve"> </w:t>
      </w:r>
      <w:r>
        <w:rPr>
          <w:rFonts w:ascii="Calibri" w:hAnsi="Calibri"/>
          <w:sz w:val="20"/>
        </w:rPr>
        <w:t xml:space="preserve">without Stonemill (the outcome turns on an ambiguous denominator in the first trigger prong), and (ii) even if triggered, whether a contractual drag-along can compel a stockholder to waive a charter-given separate-class consent right is a contested question of Delaware law that Stonemill would almost certainly litigate.</w:t>
      </w:r>
    </w:p>
    <w:p>
      <w:pPr>
        <w:pStyle w:val="BodyText"/>
        <w:keepNext w:val="0"/>
        <w:keepLines w:val="0"/>
        <w:spacing w:before="0" w:after="60" w:line="240" w:lineRule="auto"/>
      </w:pPr>
      <w:r>
        <w:rPr>
          <w:rFonts w:ascii="Calibri" w:hAnsi="Calibri"/>
          <w:b/>
          <w:bCs/>
          <w:sz w:val="20"/>
        </w:rPr>
        <w:t xml:space="preserve">Bottom line for the client:</w:t>
      </w:r>
      <w:r>
        <w:rPr>
          <w:rFonts w:ascii="Calibri" w:hAnsi="Calibri"/>
          <w:sz w:val="20"/>
        </w:rPr>
        <w:t xml:space="preserve"> </w:t>
      </w:r>
      <w:r>
        <w:rPr>
          <w:rFonts w:ascii="Calibri" w:hAnsi="Calibri"/>
          <w:sz w:val="20"/>
        </w:rPr>
        <w:t xml:space="preserve">There is</w:t>
      </w:r>
      <w:r>
        <w:rPr>
          <w:rFonts w:ascii="Calibri" w:hAnsi="Calibri"/>
          <w:sz w:val="20"/>
        </w:rPr>
        <w:t xml:space="preserve"> </w:t>
      </w:r>
      <w:r>
        <w:rPr>
          <w:rFonts w:ascii="Calibri" w:hAnsi="Calibri"/>
          <w:b/>
          <w:bCs/>
          <w:sz w:val="20"/>
        </w:rPr>
        <w:t xml:space="preserve">no reliable path to closing over Stonemill’s objection.</w:t>
      </w:r>
      <w:r>
        <w:rPr>
          <w:rFonts w:ascii="Calibri" w:hAnsi="Calibri"/>
          <w:sz w:val="20"/>
        </w:rPr>
        <w:t xml:space="preserve"> </w:t>
      </w:r>
      <w:r>
        <w:rPr>
          <w:rFonts w:ascii="Calibri" w:hAnsi="Calibri"/>
          <w:sz w:val="20"/>
        </w:rPr>
        <w:t xml:space="preserve">The negotiation posture the client hoped for — closing without Stonemill via the drag-along — is</w:t>
      </w:r>
      <w:r>
        <w:rPr>
          <w:rFonts w:ascii="Calibri" w:hAnsi="Calibri"/>
          <w:sz w:val="20"/>
        </w:rPr>
        <w:t xml:space="preserve"> </w:t>
      </w:r>
      <w:r>
        <w:rPr>
          <w:rFonts w:ascii="Calibri" w:hAnsi="Calibri"/>
          <w:b/>
          <w:bCs/>
          <w:sz w:val="20"/>
        </w:rPr>
        <w:t xml:space="preserve">not supported by the documents</w:t>
      </w:r>
      <w:r>
        <w:rPr>
          <w:rFonts w:ascii="Calibri" w:hAnsi="Calibri"/>
          <w:sz w:val="20"/>
        </w:rPr>
        <w:t xml:space="preserve">. Hargrove must either obtain Stonemill’s consent (likely requiring economic or governance concessions) or be prepared for litigation with an uncertain outcome. This does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change the negotiation dynamic in the client’s favor; it confirms that Stonemill is the gating party.</w:t>
      </w:r>
    </w:p>
    <w:bookmarkEnd w:id="21"/>
    <w:bookmarkStart w:id="22" w:name="b.-why-stonemill-is-motivated-to-block"/>
    <w:p>
      <w:pPr>
        <w:pStyle w:val="Heading3"/>
        <w:keepNext w:val="0"/>
        <w:keepLines w:val="0"/>
        <w:spacing w:before="100" w:after="20" w:line="240" w:lineRule="auto"/>
      </w:pPr>
      <w:r>
        <w:rPr>
          <w:rFonts w:ascii="Calibri" w:hAnsi="Calibri"/>
          <w:sz w:val="22"/>
        </w:rPr>
        <w:t xml:space="preserve">B. Why Stonemill Is Motivated to Block</w:t>
      </w:r>
    </w:p>
    <w:p>
      <w:pPr>
        <w:pStyle w:val="FirstParagraph"/>
        <w:keepNext w:val="0"/>
        <w:keepLines w:val="0"/>
        <w:spacing w:before="0" w:after="60" w:line="240" w:lineRule="auto"/>
      </w:pPr>
      <w:r>
        <w:rPr>
          <w:rFonts w:ascii="Calibri" w:hAnsi="Calibri"/>
          <w:sz w:val="20"/>
        </w:rPr>
        <w:t xml:space="preserve">The waterfall economics explain Stonemill’s posture. The Transaction implies an equity value of approximately $473 million ($485M enterprise value less $12M debt). On a fully diluted basis of ~33.9 million shares, the simple as-converted value is ~$13.95/share. Because the Preferred Stock is</w:t>
      </w:r>
      <w:r>
        <w:rPr>
          <w:rFonts w:ascii="Calibri" w:hAnsi="Calibri"/>
          <w:sz w:val="20"/>
        </w:rPr>
        <w:t xml:space="preserve"> </w:t>
      </w:r>
      <w:r>
        <w:rPr>
          <w:rFonts w:ascii="Calibri" w:hAnsi="Calibri"/>
          <w:b/>
          <w:bCs/>
          <w:sz w:val="20"/>
        </w:rPr>
        <w:t xml:space="preserve">non-participating</w:t>
      </w:r>
      <w:r>
        <w:rPr>
          <w:rFonts w:ascii="Calibri" w:hAnsi="Calibri"/>
          <w:sz w:val="20"/>
        </w:rPr>
        <w:t xml:space="preserve">, each series elects between its liquidation preference and conversion, whichever is greater. In equilibrium:</w:t>
      </w:r>
    </w:p>
    <w:p>
      <w:pPr>
        <w:pStyle w:val="Compact"/>
        <w:keepNext w:val="0"/>
        <w:keepLines w:val="0"/>
        <w:numPr>
          <w:ilvl w:val="0"/>
          <w:numId w:val="1001"/>
        </w:numPr>
        <w:spacing w:before="0" w:after="60" w:line="240" w:lineRule="auto"/>
      </w:pPr>
      <w:r>
        <w:rPr>
          <w:rFonts w:ascii="Calibri" w:hAnsi="Calibri"/>
          <w:b/>
          <w:bCs/>
          <w:sz w:val="20"/>
        </w:rPr>
        <w:t xml:space="preserve">Series C (Stonemill)</w:t>
      </w:r>
      <w:r>
        <w:rPr>
          <w:rFonts w:ascii="Calibri" w:hAnsi="Calibri"/>
          <w:sz w:val="20"/>
        </w:rPr>
        <w:t xml:space="preserve"> </w:t>
      </w:r>
      <w:r>
        <w:rPr>
          <w:rFonts w:ascii="Calibri" w:hAnsi="Calibri"/>
          <w:sz w:val="20"/>
        </w:rPr>
        <w:t xml:space="preserve">receives its liquidation preference of</w:t>
      </w:r>
      <w:r>
        <w:rPr>
          <w:rFonts w:ascii="Calibri" w:hAnsi="Calibri"/>
          <w:sz w:val="20"/>
        </w:rPr>
        <w:t xml:space="preserve"> </w:t>
      </w:r>
      <w:r>
        <w:rPr>
          <w:rFonts w:ascii="Calibri" w:hAnsi="Calibri"/>
          <w:b/>
          <w:bCs/>
          <w:sz w:val="20"/>
        </w:rPr>
        <w:t xml:space="preserve">$18.50/share = $144.3 million total — a return of exactly its Original Issue Price (break-even on its investment).</w:t>
      </w:r>
    </w:p>
    <w:p>
      <w:pPr>
        <w:pStyle w:val="Compact"/>
        <w:keepNext w:val="0"/>
        <w:keepLines w:val="0"/>
        <w:numPr>
          <w:ilvl w:val="0"/>
          <w:numId w:val="1001"/>
        </w:numPr>
        <w:spacing w:before="0" w:after="60" w:line="240" w:lineRule="auto"/>
      </w:pPr>
      <w:r>
        <w:rPr>
          <w:rFonts w:ascii="Calibri" w:hAnsi="Calibri"/>
          <w:sz w:val="20"/>
        </w:rPr>
        <w:t xml:space="preserve">Series B (Northbridge) and Series A (Ridgeline)</w:t>
      </w:r>
      <w:r>
        <w:rPr>
          <w:rFonts w:ascii="Calibri" w:hAnsi="Calibri"/>
          <w:sz w:val="20"/>
        </w:rPr>
        <w:t xml:space="preserve"> </w:t>
      </w:r>
      <w:r>
        <w:rPr>
          <w:rFonts w:ascii="Calibri" w:hAnsi="Calibri"/>
          <w:b/>
          <w:bCs/>
          <w:sz w:val="20"/>
        </w:rPr>
        <w:t xml:space="preserve">convert</w:t>
      </w:r>
      <w:r>
        <w:rPr>
          <w:rFonts w:ascii="Calibri" w:hAnsi="Calibri"/>
          <w:sz w:val="20"/>
        </w:rPr>
        <w:t xml:space="preserve"> </w:t>
      </w:r>
      <w:r>
        <w:rPr>
          <w:rFonts w:ascii="Calibri" w:hAnsi="Calibri"/>
          <w:sz w:val="20"/>
        </w:rPr>
        <w:t xml:space="preserve">and receive ~$12.59/share —</w:t>
      </w:r>
      <w:r>
        <w:rPr>
          <w:rFonts w:ascii="Calibri" w:hAnsi="Calibri"/>
          <w:sz w:val="20"/>
        </w:rPr>
        <w:t xml:space="preserve"> </w:t>
      </w:r>
      <w:r>
        <w:rPr>
          <w:rFonts w:ascii="Calibri" w:hAnsi="Calibri"/>
          <w:b/>
          <w:bCs/>
          <w:sz w:val="20"/>
        </w:rPr>
        <w:t xml:space="preserve">in excess of</w:t>
      </w:r>
      <w:r>
        <w:rPr>
          <w:rFonts w:ascii="Calibri" w:hAnsi="Calibri"/>
          <w:sz w:val="20"/>
        </w:rPr>
        <w:t xml:space="preserve"> </w:t>
      </w:r>
      <w:r>
        <w:rPr>
          <w:rFonts w:ascii="Calibri" w:hAnsi="Calibri"/>
          <w:sz w:val="20"/>
        </w:rPr>
        <w:t xml:space="preserve">their $9.25 and $4.00 preferences, respectively (meaningful upside).</w:t>
      </w:r>
    </w:p>
    <w:p>
      <w:pPr>
        <w:pStyle w:val="Compact"/>
        <w:keepNext w:val="0"/>
        <w:keepLines w:val="0"/>
        <w:numPr>
          <w:ilvl w:val="0"/>
          <w:numId w:val="1001"/>
        </w:numPr>
        <w:spacing w:before="0" w:after="60" w:line="240" w:lineRule="auto"/>
      </w:pPr>
      <w:r>
        <w:rPr>
          <w:rFonts w:ascii="Calibri" w:hAnsi="Calibri"/>
          <w:sz w:val="20"/>
        </w:rPr>
        <w:t xml:space="preserve">Common (including the option pool) receives ~$12.59/share.</w:t>
      </w:r>
    </w:p>
    <w:p>
      <w:pPr>
        <w:pStyle w:val="FirstParagraph"/>
        <w:keepNext w:val="0"/>
        <w:keepLines w:val="0"/>
        <w:spacing w:before="0" w:after="60" w:line="240" w:lineRule="auto"/>
      </w:pPr>
      <w:r>
        <w:rPr>
          <w:rFonts w:ascii="Calibri" w:hAnsi="Calibri"/>
          <w:sz w:val="20"/>
        </w:rPr>
        <w:t xml:space="preserve">Stonemill is thus the</w:t>
      </w:r>
      <w:r>
        <w:rPr>
          <w:rFonts w:ascii="Calibri" w:hAnsi="Calibri"/>
          <w:sz w:val="20"/>
        </w:rPr>
        <w:t xml:space="preserve"> </w:t>
      </w:r>
      <w:r>
        <w:rPr>
          <w:rFonts w:ascii="Calibri" w:hAnsi="Calibri"/>
          <w:b/>
          <w:bCs/>
          <w:sz w:val="20"/>
        </w:rPr>
        <w:t xml:space="preserve">only</w:t>
      </w:r>
      <w:r>
        <w:rPr>
          <w:rFonts w:ascii="Calibri" w:hAnsi="Calibri"/>
          <w:sz w:val="20"/>
        </w:rPr>
        <w:t xml:space="preserve"> </w:t>
      </w:r>
      <w:r>
        <w:rPr>
          <w:rFonts w:ascii="Calibri" w:hAnsi="Calibri"/>
          <w:sz w:val="20"/>
        </w:rPr>
        <w:t xml:space="preserve">major stockholder that receives</w:t>
      </w:r>
      <w:r>
        <w:rPr>
          <w:rFonts w:ascii="Calibri" w:hAnsi="Calibri"/>
          <w:sz w:val="20"/>
        </w:rPr>
        <w:t xml:space="preserve"> </w:t>
      </w:r>
      <w:r>
        <w:rPr>
          <w:rFonts w:ascii="Calibri" w:hAnsi="Calibri"/>
          <w:b/>
          <w:bCs/>
          <w:sz w:val="20"/>
        </w:rPr>
        <w:t xml:space="preserve">no upside</w:t>
      </w:r>
      <w:r>
        <w:rPr>
          <w:rFonts w:ascii="Calibri" w:hAnsi="Calibri"/>
          <w:sz w:val="20"/>
        </w:rPr>
        <w:t xml:space="preserve"> </w:t>
      </w:r>
      <w:r>
        <w:rPr>
          <w:rFonts w:ascii="Calibri" w:hAnsi="Calibri"/>
          <w:sz w:val="20"/>
        </w:rPr>
        <w:t xml:space="preserve">— it gets its money back while every other constituency profits. This is the economic engine of Stonemill’s leverage and its reported interest in</w:t>
      </w:r>
      <w:r>
        <w:rPr>
          <w:rFonts w:ascii="Calibri" w:hAnsi="Calibri"/>
          <w:sz w:val="20"/>
        </w:rPr>
        <w:t xml:space="preserve"> </w:t>
      </w:r>
      <w:r>
        <w:rPr>
          <w:rFonts w:ascii="Calibri" w:hAnsi="Calibri"/>
          <w:sz w:val="20"/>
        </w:rPr>
        <w:t xml:space="preserve">“</w:t>
      </w:r>
      <w:r>
        <w:rPr>
          <w:rFonts w:ascii="Calibri" w:hAnsi="Calibri"/>
          <w:sz w:val="20"/>
        </w:rPr>
        <w:t xml:space="preserve">a higher allocation of merger consideration, a side arrangement, or management rights in a post-closing entity.</w:t>
      </w:r>
      <w:r>
        <w:rPr>
          <w:rFonts w:ascii="Calibri" w:hAnsi="Calibri"/>
          <w:sz w:val="20"/>
        </w:rPr>
        <w:t xml:space="preserve">”</w:t>
      </w:r>
      <w:r>
        <w:rPr>
          <w:rFonts w:ascii="Calibri" w:hAnsi="Calibri"/>
          <w:sz w:val="20"/>
        </w:rPr>
        <w:t xml:space="preserve"> </w:t>
      </w:r>
      <w:r>
        <w:rPr>
          <w:rFonts w:ascii="Calibri" w:hAnsi="Calibri"/>
          <w:sz w:val="20"/>
        </w:rPr>
        <w:t xml:space="preserve">Notably, the September 25, 2024 Board minutes contain a statement that</w:t>
      </w:r>
      <w:r>
        <w:rPr>
          <w:rFonts w:ascii="Calibri" w:hAnsi="Calibri"/>
          <w:sz w:val="20"/>
        </w:rPr>
        <w:t xml:space="preserve"> </w:t>
      </w:r>
      <w:r>
        <w:rPr>
          <w:rFonts w:ascii="Calibri" w:hAnsi="Calibri"/>
          <w:sz w:val="20"/>
        </w:rPr>
        <w:t xml:space="preserve">“</w:t>
      </w:r>
      <w:r>
        <w:rPr>
          <w:rFonts w:ascii="Calibri" w:hAnsi="Calibri"/>
          <w:sz w:val="20"/>
        </w:rPr>
        <w:t xml:space="preserve">all holders of Preferred Stock would receive amounts in excess of their respective liquidation preferences on an as-converted basis</w:t>
      </w:r>
      <w:r>
        <w:rPr>
          <w:rFonts w:ascii="Calibri" w:hAnsi="Calibri"/>
          <w:sz w:val="20"/>
        </w:rPr>
        <w:t xml:space="preserve">”</w:t>
      </w:r>
      <w:r>
        <w:rPr>
          <w:rFonts w:ascii="Calibri" w:hAnsi="Calibri"/>
          <w:sz w:val="20"/>
        </w:rPr>
        <w:t xml:space="preserve"> </w:t>
      </w:r>
      <w:r>
        <w:rPr>
          <w:rFonts w:ascii="Calibri" w:hAnsi="Calibri"/>
          <w:sz w:val="20"/>
        </w:rPr>
        <w:t xml:space="preserve">— this is</w:t>
      </w:r>
      <w:r>
        <w:rPr>
          <w:rFonts w:ascii="Calibri" w:hAnsi="Calibri"/>
          <w:sz w:val="20"/>
        </w:rPr>
        <w:t xml:space="preserve"> </w:t>
      </w:r>
      <w:r>
        <w:rPr>
          <w:rFonts w:ascii="Calibri" w:hAnsi="Calibri"/>
          <w:b/>
          <w:bCs/>
          <w:sz w:val="20"/>
        </w:rPr>
        <w:t xml:space="preserve">incorrect as to Series C</w:t>
      </w:r>
      <w:r>
        <w:rPr>
          <w:rFonts w:ascii="Calibri" w:hAnsi="Calibri"/>
          <w:sz w:val="20"/>
        </w:rPr>
        <w:t xml:space="preserve"> </w:t>
      </w:r>
      <w:r>
        <w:rPr>
          <w:rFonts w:ascii="Calibri" w:hAnsi="Calibri"/>
          <w:sz w:val="20"/>
        </w:rPr>
        <w:t xml:space="preserve">and should be corrected. (See Area 3 / Appendix B.)</w:t>
      </w:r>
    </w:p>
    <w:bookmarkEnd w:id="22"/>
    <w:bookmarkStart w:id="23" w:name="X441f3126db6e4623cc5cad5f47cbd10a70efbf1"/>
    <w:p>
      <w:pPr>
        <w:pStyle w:val="Heading3"/>
        <w:keepNext w:val="0"/>
        <w:keepLines w:val="0"/>
        <w:spacing w:before="100" w:after="20" w:line="240" w:lineRule="auto"/>
      </w:pPr>
      <w:r>
        <w:rPr>
          <w:rFonts w:ascii="Calibri" w:hAnsi="Calibri"/>
          <w:sz w:val="22"/>
        </w:rPr>
        <w:t xml:space="preserve">C. Other Critical and Significant Findings</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3216"/>
        <w:gridCol w:w="3216"/>
        <w:gridCol w:w="3216"/>
      </w:tblGrid>
      <w:tr>
        <w:tc>
          <w:tcPr>
            <w:tcW w:w="3216" w:type="dxa"/>
          </w:tcPr>
          <w:p>
            <w:pPr>
              <w:spacing w:before="0" w:after="0" w:line="240" w:lineRule="auto"/>
            </w:pPr>
            <w:r>
              <w:rPr>
                <w:rFonts w:ascii="Calibri" w:hAnsi="Calibri"/>
                <w:sz w:val="17"/>
              </w:rPr>
            </w:r>
            <w:r>
              <w:rPr>
                <w:rFonts w:ascii="Calibri" w:hAnsi="Calibri"/>
                <w:sz w:val="17"/>
              </w:rPr>
              <w:t>#</w:t>
            </w:r>
          </w:p>
        </w:tc>
        <w:tc>
          <w:tcPr>
            <w:tcW w:w="3216" w:type="dxa"/>
          </w:tcPr>
          <w:p>
            <w:pPr>
              <w:spacing w:before="0" w:after="0" w:line="240" w:lineRule="auto"/>
            </w:pPr>
            <w:r>
              <w:rPr>
                <w:rFonts w:ascii="Calibri" w:hAnsi="Calibri"/>
                <w:sz w:val="17"/>
              </w:rPr>
            </w:r>
            <w:r>
              <w:rPr>
                <w:rFonts w:ascii="Calibri" w:hAnsi="Calibri"/>
                <w:sz w:val="17"/>
              </w:rPr>
              <w:t>Finding</w:t>
            </w:r>
          </w:p>
        </w:tc>
        <w:tc>
          <w:tcPr>
            <w:tcW w:w="3216" w:type="dxa"/>
          </w:tcPr>
          <w:p>
            <w:pPr>
              <w:spacing w:before="0" w:after="0" w:line="240" w:lineRule="auto"/>
            </w:pPr>
            <w:r>
              <w:rPr>
                <w:rFonts w:ascii="Calibri" w:hAnsi="Calibri"/>
                <w:sz w:val="17"/>
              </w:rPr>
            </w:r>
            <w:r>
              <w:rPr>
                <w:rFonts w:ascii="Calibri" w:hAnsi="Calibri"/>
                <w:sz w:val="17"/>
              </w:rPr>
              <w:t>Severity</w:t>
            </w:r>
          </w:p>
        </w:tc>
      </w:tr>
      <w:tr>
        <w:tc>
          <w:tcPr>
            <w:tcW w:w="3216" w:type="dxa"/>
          </w:tcPr>
          <w:p>
            <w:pPr>
              <w:spacing w:before="0" w:after="0" w:line="240" w:lineRule="auto"/>
            </w:pPr>
            <w:r>
              <w:rPr>
                <w:rFonts w:ascii="Calibri" w:hAnsi="Calibri"/>
                <w:sz w:val="17"/>
              </w:rPr>
            </w:r>
            <w:r>
              <w:rPr>
                <w:rFonts w:ascii="Calibri" w:hAnsi="Calibri"/>
                <w:sz w:val="17"/>
              </w:rPr>
              <w:t>1</w:t>
            </w:r>
          </w:p>
        </w:tc>
        <w:tc>
          <w:tcPr>
            <w:tcW w:w="3216" w:type="dxa"/>
          </w:tcPr>
          <w:p>
            <w:pPr>
              <w:spacing w:before="0" w:after="0" w:line="240" w:lineRule="auto"/>
            </w:pPr>
            <w:r>
              <w:rPr>
                <w:rFonts w:ascii="Calibri" w:hAnsi="Calibri"/>
                <w:sz w:val="17"/>
              </w:rPr>
            </w:r>
            <w:r>
              <w:rPr>
                <w:rFonts w:ascii="Calibri" w:hAnsi="Calibri"/>
                <w:sz w:val="17"/>
              </w:rPr>
              <w:t>Stonemill’s absolute Series C separate-class veto over the Liquidation Event (Restated Cert. §4.3.6(b)(i))</w:t>
            </w:r>
          </w:p>
        </w:tc>
        <w:tc>
          <w:tcPr>
            <w:tcW w:w="3216" w:type="dxa"/>
          </w:tcPr>
          <w:p>
            <w:pPr>
              <w:spacing w:before="0" w:after="0" w:line="240" w:lineRule="auto"/>
            </w:pPr>
            <w:r>
              <w:rPr>
                <w:rFonts w:ascii="Calibri" w:hAnsi="Calibri"/>
                <w:sz w:val="17"/>
              </w:rPr>
            </w:r>
            <w:r>
              <w:rPr>
                <w:rFonts w:ascii="Calibri" w:hAnsi="Calibri"/>
                <w:sz w:val="17"/>
              </w:rPr>
              <w:t>Critical</w:t>
            </w:r>
          </w:p>
        </w:tc>
      </w:tr>
      <w:tr>
        <w:tc>
          <w:tcPr>
            <w:tcW w:w="3216" w:type="dxa"/>
          </w:tcPr>
          <w:p>
            <w:pPr>
              <w:spacing w:before="0" w:after="0" w:line="240" w:lineRule="auto"/>
            </w:pPr>
            <w:r>
              <w:rPr>
                <w:rFonts w:ascii="Calibri" w:hAnsi="Calibri"/>
                <w:sz w:val="17"/>
              </w:rPr>
            </w:r>
            <w:r>
              <w:rPr>
                <w:rFonts w:ascii="Calibri" w:hAnsi="Calibri"/>
                <w:sz w:val="17"/>
              </w:rPr>
              <w:t>2</w:t>
            </w:r>
          </w:p>
        </w:tc>
        <w:tc>
          <w:tcPr>
            <w:tcW w:w="3216" w:type="dxa"/>
          </w:tcPr>
          <w:p>
            <w:pPr>
              <w:spacing w:before="0" w:after="0" w:line="240" w:lineRule="auto"/>
            </w:pPr>
            <w:r>
              <w:rPr>
                <w:rFonts w:ascii="Calibri" w:hAnsi="Calibri"/>
                <w:sz w:val="17"/>
              </w:rPr>
            </w:r>
            <w:r>
              <w:rPr>
                <w:rFonts w:ascii="Calibri" w:hAnsi="Calibri"/>
                <w:sz w:val="17"/>
              </w:rPr>
              <w:t>$12M Clearfield National Bank term loan (Oct. 2023) appears to have been entered without the Preferred Stockholder consent required by Restated Cert. §4.3.6(a)(v) — no consent reflected in the minutes</w:t>
            </w:r>
          </w:p>
        </w:tc>
        <w:tc>
          <w:tcPr>
            <w:tcW w:w="3216" w:type="dxa"/>
          </w:tcPr>
          <w:p>
            <w:pPr>
              <w:spacing w:before="0" w:after="0" w:line="240" w:lineRule="auto"/>
            </w:pPr>
            <w:r>
              <w:rPr>
                <w:rFonts w:ascii="Calibri" w:hAnsi="Calibri"/>
                <w:sz w:val="17"/>
              </w:rPr>
            </w:r>
            <w:r>
              <w:rPr>
                <w:rFonts w:ascii="Calibri" w:hAnsi="Calibri"/>
                <w:sz w:val="17"/>
              </w:rPr>
              <w:t>Critical</w:t>
            </w:r>
          </w:p>
        </w:tc>
      </w:tr>
      <w:tr>
        <w:tc>
          <w:tcPr>
            <w:tcW w:w="3216" w:type="dxa"/>
          </w:tcPr>
          <w:p>
            <w:pPr>
              <w:spacing w:before="0" w:after="0" w:line="240" w:lineRule="auto"/>
            </w:pPr>
            <w:r>
              <w:rPr>
                <w:rFonts w:ascii="Calibri" w:hAnsi="Calibri"/>
                <w:sz w:val="17"/>
              </w:rPr>
            </w:r>
            <w:r>
              <w:rPr>
                <w:rFonts w:ascii="Calibri" w:hAnsi="Calibri"/>
                <w:sz w:val="17"/>
              </w:rPr>
              <w:t>3</w:t>
            </w:r>
          </w:p>
        </w:tc>
        <w:tc>
          <w:tcPr>
            <w:tcW w:w="3216" w:type="dxa"/>
          </w:tcPr>
          <w:p>
            <w:pPr>
              <w:spacing w:before="0" w:after="0" w:line="240" w:lineRule="auto"/>
            </w:pPr>
            <w:r>
              <w:rPr>
                <w:rFonts w:ascii="Calibri" w:hAnsi="Calibri"/>
                <w:sz w:val="17"/>
              </w:rPr>
            </w:r>
            <w:r>
              <w:rPr>
                <w:rFonts w:ascii="Calibri" w:hAnsi="Calibri"/>
                <w:sz w:val="17"/>
              </w:rPr>
              <w:t>SensorLink Technologies LOI exclusivity auto-renewed on Sept. 8, 2024 (no termination notice sent); a live exclusivity obligation may conflict with signing a definitive agreement with Hargrove</w:t>
            </w:r>
          </w:p>
        </w:tc>
        <w:tc>
          <w:tcPr>
            <w:tcW w:w="3216" w:type="dxa"/>
          </w:tcPr>
          <w:p>
            <w:pPr>
              <w:spacing w:before="0" w:after="0" w:line="240" w:lineRule="auto"/>
            </w:pPr>
            <w:r>
              <w:rPr>
                <w:rFonts w:ascii="Calibri" w:hAnsi="Calibri"/>
                <w:sz w:val="17"/>
              </w:rPr>
            </w:r>
            <w:r>
              <w:rPr>
                <w:rFonts w:ascii="Calibri" w:hAnsi="Calibri"/>
                <w:sz w:val="17"/>
              </w:rPr>
              <w:t>Critical / time-sensitive</w:t>
            </w:r>
          </w:p>
        </w:tc>
      </w:tr>
      <w:tr>
        <w:tc>
          <w:tcPr>
            <w:tcW w:w="3216" w:type="dxa"/>
          </w:tcPr>
          <w:p>
            <w:pPr>
              <w:spacing w:before="0" w:after="0" w:line="240" w:lineRule="auto"/>
            </w:pPr>
            <w:r>
              <w:rPr>
                <w:rFonts w:ascii="Calibri" w:hAnsi="Calibri"/>
                <w:sz w:val="17"/>
              </w:rPr>
            </w:r>
            <w:r>
              <w:rPr>
                <w:rFonts w:ascii="Calibri" w:hAnsi="Calibri"/>
                <w:sz w:val="17"/>
              </w:rPr>
              <w:t>4</w:t>
            </w:r>
          </w:p>
        </w:tc>
        <w:tc>
          <w:tcPr>
            <w:tcW w:w="3216" w:type="dxa"/>
          </w:tcPr>
          <w:p>
            <w:pPr>
              <w:spacing w:before="0" w:after="0" w:line="240" w:lineRule="auto"/>
            </w:pPr>
            <w:r>
              <w:rPr>
                <w:rFonts w:ascii="Calibri" w:hAnsi="Calibri"/>
                <w:sz w:val="17"/>
              </w:rPr>
            </w:r>
            <w:r>
              <w:rPr>
                <w:rFonts w:ascii="Calibri" w:hAnsi="Calibri"/>
                <w:sz w:val="17"/>
              </w:rPr>
              <w:t>2021 Equity Incentive Plan and individual award agreements not yet received — cannot assess change-of-control acceleration or quantify dilution/acceleration impact</w:t>
            </w:r>
          </w:p>
        </w:tc>
        <w:tc>
          <w:tcPr>
            <w:tcW w:w="3216" w:type="dxa"/>
          </w:tcPr>
          <w:p>
            <w:pPr>
              <w:spacing w:before="0" w:after="0" w:line="240" w:lineRule="auto"/>
            </w:pPr>
            <w:r>
              <w:rPr>
                <w:rFonts w:ascii="Calibri" w:hAnsi="Calibri"/>
                <w:sz w:val="17"/>
              </w:rPr>
            </w:r>
            <w:r>
              <w:rPr>
                <w:rFonts w:ascii="Calibri" w:hAnsi="Calibri"/>
                <w:sz w:val="17"/>
              </w:rPr>
              <w:t>Critical (doc gap)</w:t>
            </w:r>
          </w:p>
        </w:tc>
      </w:tr>
      <w:tr>
        <w:tc>
          <w:tcPr>
            <w:tcW w:w="3216" w:type="dxa"/>
          </w:tcPr>
          <w:p>
            <w:pPr>
              <w:spacing w:before="0" w:after="0" w:line="240" w:lineRule="auto"/>
            </w:pPr>
            <w:r>
              <w:rPr>
                <w:rFonts w:ascii="Calibri" w:hAnsi="Calibri"/>
                <w:sz w:val="17"/>
              </w:rPr>
            </w:r>
            <w:r>
              <w:rPr>
                <w:rFonts w:ascii="Calibri" w:hAnsi="Calibri"/>
                <w:sz w:val="17"/>
              </w:rPr>
              <w:t>5</w:t>
            </w:r>
          </w:p>
        </w:tc>
        <w:tc>
          <w:tcPr>
            <w:tcW w:w="3216" w:type="dxa"/>
          </w:tcPr>
          <w:p>
            <w:pPr>
              <w:spacing w:before="0" w:after="0" w:line="240" w:lineRule="auto"/>
            </w:pPr>
            <w:r>
              <w:rPr>
                <w:rFonts w:ascii="Calibri" w:hAnsi="Calibri"/>
                <w:sz w:val="17"/>
              </w:rPr>
            </w:r>
            <w:r>
              <w:rPr>
                <w:rFonts w:ascii="Calibri" w:hAnsi="Calibri"/>
                <w:sz w:val="17"/>
              </w:rPr>
              <w:t>Drag-along trigger prong (i) denominator is ambiguous; even if triggerable, override of the charter veto is legally uncertain</w:t>
            </w:r>
          </w:p>
        </w:tc>
        <w:tc>
          <w:tcPr>
            <w:tcW w:w="3216" w:type="dxa"/>
          </w:tcPr>
          <w:p>
            <w:pPr>
              <w:spacing w:before="0" w:after="0" w:line="240" w:lineRule="auto"/>
            </w:pPr>
            <w:r>
              <w:rPr>
                <w:rFonts w:ascii="Calibri" w:hAnsi="Calibri"/>
                <w:sz w:val="17"/>
              </w:rPr>
            </w:r>
            <w:r>
              <w:rPr>
                <w:rFonts w:ascii="Calibri" w:hAnsi="Calibri"/>
                <w:sz w:val="17"/>
              </w:rPr>
              <w:t>Significant</w:t>
            </w:r>
          </w:p>
        </w:tc>
      </w:tr>
      <w:tr>
        <w:tc>
          <w:tcPr>
            <w:tcW w:w="3216" w:type="dxa"/>
          </w:tcPr>
          <w:p>
            <w:pPr>
              <w:spacing w:before="0" w:after="0" w:line="240" w:lineRule="auto"/>
            </w:pPr>
            <w:r>
              <w:rPr>
                <w:rFonts w:ascii="Calibri" w:hAnsi="Calibri"/>
                <w:sz w:val="17"/>
              </w:rPr>
            </w:r>
            <w:r>
              <w:rPr>
                <w:rFonts w:ascii="Calibri" w:hAnsi="Calibri"/>
                <w:sz w:val="17"/>
              </w:rPr>
              <w:t>6</w:t>
            </w:r>
          </w:p>
        </w:tc>
        <w:tc>
          <w:tcPr>
            <w:tcW w:w="3216" w:type="dxa"/>
          </w:tcPr>
          <w:p>
            <w:pPr>
              <w:spacing w:before="0" w:after="0" w:line="240" w:lineRule="auto"/>
            </w:pPr>
            <w:r>
              <w:rPr>
                <w:rFonts w:ascii="Calibri" w:hAnsi="Calibri"/>
                <w:sz w:val="17"/>
              </w:rPr>
            </w:r>
            <w:r>
              <w:rPr>
                <w:rFonts w:ascii="Calibri" w:hAnsi="Calibri"/>
                <w:sz w:val="17"/>
              </w:rPr>
              <w:t>Sandra Okafor (Northbridge designee) sits on the Special Committee evaluating the sale — compromises committee independence; potential Revlon/fiduciary vulnerability</w:t>
            </w:r>
          </w:p>
        </w:tc>
        <w:tc>
          <w:tcPr>
            <w:tcW w:w="3216" w:type="dxa"/>
          </w:tcPr>
          <w:p>
            <w:pPr>
              <w:spacing w:before="0" w:after="0" w:line="240" w:lineRule="auto"/>
            </w:pPr>
            <w:r>
              <w:rPr>
                <w:rFonts w:ascii="Calibri" w:hAnsi="Calibri"/>
                <w:sz w:val="17"/>
              </w:rPr>
            </w:r>
            <w:r>
              <w:rPr>
                <w:rFonts w:ascii="Calibri" w:hAnsi="Calibri"/>
                <w:sz w:val="17"/>
              </w:rPr>
              <w:t>Significant</w:t>
            </w:r>
          </w:p>
        </w:tc>
      </w:tr>
      <w:tr>
        <w:tc>
          <w:tcPr>
            <w:tcW w:w="3216" w:type="dxa"/>
          </w:tcPr>
          <w:p>
            <w:pPr>
              <w:spacing w:before="0" w:after="0" w:line="240" w:lineRule="auto"/>
            </w:pPr>
            <w:r>
              <w:rPr>
                <w:rFonts w:ascii="Calibri" w:hAnsi="Calibri"/>
                <w:sz w:val="17"/>
              </w:rPr>
            </w:r>
            <w:r>
              <w:rPr>
                <w:rFonts w:ascii="Calibri" w:hAnsi="Calibri"/>
                <w:sz w:val="17"/>
              </w:rPr>
              <w:t>7</w:t>
            </w:r>
          </w:p>
        </w:tc>
        <w:tc>
          <w:tcPr>
            <w:tcW w:w="3216" w:type="dxa"/>
          </w:tcPr>
          <w:p>
            <w:pPr>
              <w:spacing w:before="0" w:after="0" w:line="240" w:lineRule="auto"/>
            </w:pPr>
            <w:r>
              <w:rPr>
                <w:rFonts w:ascii="Calibri" w:hAnsi="Calibri"/>
                <w:sz w:val="17"/>
              </w:rPr>
            </w:r>
            <w:r>
              <w:rPr>
                <w:rFonts w:ascii="Calibri" w:hAnsi="Calibri"/>
                <w:sz w:val="17"/>
              </w:rPr>
              <w:t>RRA terminates on a “Deemed Liquidation Event” — a term the RRA does not define; creates ambiguity about whether registration rights terminate on the merger</w:t>
            </w:r>
          </w:p>
        </w:tc>
        <w:tc>
          <w:tcPr>
            <w:tcW w:w="3216" w:type="dxa"/>
          </w:tcPr>
          <w:p>
            <w:pPr>
              <w:spacing w:before="0" w:after="0" w:line="240" w:lineRule="auto"/>
            </w:pPr>
            <w:r>
              <w:rPr>
                <w:rFonts w:ascii="Calibri" w:hAnsi="Calibri"/>
                <w:sz w:val="17"/>
              </w:rPr>
            </w:r>
            <w:r>
              <w:rPr>
                <w:rFonts w:ascii="Calibri" w:hAnsi="Calibri"/>
                <w:sz w:val="17"/>
              </w:rPr>
              <w:t>Significant</w:t>
            </w:r>
          </w:p>
        </w:tc>
      </w:tr>
      <w:tr>
        <w:tc>
          <w:tcPr>
            <w:tcW w:w="3216" w:type="dxa"/>
          </w:tcPr>
          <w:p>
            <w:pPr>
              <w:spacing w:before="0" w:after="0" w:line="240" w:lineRule="auto"/>
            </w:pPr>
            <w:r>
              <w:rPr>
                <w:rFonts w:ascii="Calibri" w:hAnsi="Calibri"/>
                <w:sz w:val="17"/>
              </w:rPr>
            </w:r>
            <w:r>
              <w:rPr>
                <w:rFonts w:ascii="Calibri" w:hAnsi="Calibri"/>
                <w:sz w:val="17"/>
              </w:rPr>
              <w:t>8</w:t>
            </w:r>
          </w:p>
        </w:tc>
        <w:tc>
          <w:tcPr>
            <w:tcW w:w="3216" w:type="dxa"/>
          </w:tcPr>
          <w:p>
            <w:pPr>
              <w:spacing w:before="0" w:after="0" w:line="240" w:lineRule="auto"/>
            </w:pPr>
            <w:r>
              <w:rPr>
                <w:rFonts w:ascii="Calibri" w:hAnsi="Calibri"/>
                <w:sz w:val="17"/>
              </w:rPr>
            </w:r>
            <w:r>
              <w:rPr>
                <w:rFonts w:ascii="Calibri" w:hAnsi="Calibri"/>
                <w:sz w:val="17"/>
              </w:rPr>
              <w:t>Equity plan share reserve increase (July 2023, 8.0M → 9.5M) — stockholder approval status unknown; Board approval only reflected</w:t>
            </w:r>
          </w:p>
        </w:tc>
        <w:tc>
          <w:tcPr>
            <w:tcW w:w="3216" w:type="dxa"/>
          </w:tcPr>
          <w:p>
            <w:pPr>
              <w:spacing w:before="0" w:after="0" w:line="240" w:lineRule="auto"/>
            </w:pPr>
            <w:r>
              <w:rPr>
                <w:rFonts w:ascii="Calibri" w:hAnsi="Calibri"/>
                <w:sz w:val="17"/>
              </w:rPr>
            </w:r>
            <w:r>
              <w:rPr>
                <w:rFonts w:ascii="Calibri" w:hAnsi="Calibri"/>
                <w:sz w:val="17"/>
              </w:rPr>
              <w:t>Significant</w:t>
            </w:r>
          </w:p>
        </w:tc>
      </w:tr>
      <w:tr>
        <w:tc>
          <w:tcPr>
            <w:tcW w:w="3216" w:type="dxa"/>
          </w:tcPr>
          <w:p>
            <w:pPr>
              <w:spacing w:before="0" w:after="0" w:line="240" w:lineRule="auto"/>
            </w:pPr>
            <w:r>
              <w:rPr>
                <w:rFonts w:ascii="Calibri" w:hAnsi="Calibri"/>
                <w:sz w:val="17"/>
              </w:rPr>
            </w:r>
            <w:r>
              <w:rPr>
                <w:rFonts w:ascii="Calibri" w:hAnsi="Calibri"/>
                <w:sz w:val="17"/>
              </w:rPr>
              <w:t>9</w:t>
            </w:r>
          </w:p>
        </w:tc>
        <w:tc>
          <w:tcPr>
            <w:tcW w:w="3216" w:type="dxa"/>
          </w:tcPr>
          <w:p>
            <w:pPr>
              <w:spacing w:before="0" w:after="0" w:line="240" w:lineRule="auto"/>
            </w:pPr>
            <w:r>
              <w:rPr>
                <w:rFonts w:ascii="Calibri" w:hAnsi="Calibri"/>
                <w:sz w:val="17"/>
              </w:rPr>
            </w:r>
            <w:r>
              <w:rPr>
                <w:rFonts w:ascii="Calibri" w:hAnsi="Calibri"/>
                <w:sz w:val="17"/>
              </w:rPr>
              <w:t>Board minutes’ waterfall characterization is materially incorrect as to Series C; implied per-share value ($13.95/$12.59) is below the 409A valuation ($14.30)</w:t>
            </w:r>
          </w:p>
        </w:tc>
        <w:tc>
          <w:tcPr>
            <w:tcW w:w="3216" w:type="dxa"/>
          </w:tcPr>
          <w:p>
            <w:pPr>
              <w:spacing w:before="0" w:after="0" w:line="240" w:lineRule="auto"/>
            </w:pPr>
            <w:r>
              <w:rPr>
                <w:rFonts w:ascii="Calibri" w:hAnsi="Calibri"/>
                <w:sz w:val="17"/>
              </w:rPr>
            </w:r>
            <w:r>
              <w:rPr>
                <w:rFonts w:ascii="Calibri" w:hAnsi="Calibri"/>
                <w:sz w:val="17"/>
              </w:rPr>
              <w:t>Significant</w:t>
            </w:r>
          </w:p>
        </w:tc>
      </w:tr>
      <w:tr>
        <w:tc>
          <w:tcPr>
            <w:tcW w:w="3216" w:type="dxa"/>
          </w:tcPr>
          <w:p>
            <w:pPr>
              <w:spacing w:before="0" w:after="0" w:line="240" w:lineRule="auto"/>
            </w:pPr>
            <w:r>
              <w:rPr>
                <w:rFonts w:ascii="Calibri" w:hAnsi="Calibri"/>
                <w:sz w:val="17"/>
              </w:rPr>
            </w:r>
            <w:r>
              <w:rPr>
                <w:rFonts w:ascii="Calibri" w:hAnsi="Calibri"/>
                <w:sz w:val="17"/>
              </w:rPr>
              <w:t>10</w:t>
            </w:r>
          </w:p>
        </w:tc>
        <w:tc>
          <w:tcPr>
            <w:tcW w:w="3216" w:type="dxa"/>
          </w:tcPr>
          <w:p>
            <w:pPr>
              <w:spacing w:before="0" w:after="0" w:line="240" w:lineRule="auto"/>
            </w:pPr>
            <w:r>
              <w:rPr>
                <w:rFonts w:ascii="Calibri" w:hAnsi="Calibri"/>
                <w:sz w:val="17"/>
              </w:rPr>
            </w:r>
            <w:r>
              <w:rPr>
                <w:rFonts w:ascii="Calibri" w:hAnsi="Calibri"/>
                <w:sz w:val="17"/>
              </w:rPr>
              <w:t>No independent counsel engaged for the Special Committee; Company counsel (Avery, Pollard &amp; Glenn) advised the committee</w:t>
            </w:r>
          </w:p>
        </w:tc>
        <w:tc>
          <w:tcPr>
            <w:tcW w:w="3216" w:type="dxa"/>
          </w:tcPr>
          <w:p>
            <w:pPr>
              <w:spacing w:before="0" w:after="0" w:line="240" w:lineRule="auto"/>
            </w:pPr>
            <w:r>
              <w:rPr>
                <w:rFonts w:ascii="Calibri" w:hAnsi="Calibri"/>
                <w:sz w:val="17"/>
              </w:rPr>
            </w:r>
            <w:r>
              <w:rPr>
                <w:rFonts w:ascii="Calibri" w:hAnsi="Calibri"/>
                <w:sz w:val="17"/>
              </w:rPr>
              <w:t>Significant</w:t>
            </w:r>
          </w:p>
        </w:tc>
      </w:tr>
      <w:tr>
        <w:tc>
          <w:tcPr>
            <w:tcW w:w="3216" w:type="dxa"/>
          </w:tcPr>
          <w:p>
            <w:pPr>
              <w:spacing w:before="0" w:after="0" w:line="240" w:lineRule="auto"/>
            </w:pPr>
            <w:r>
              <w:rPr>
                <w:rFonts w:ascii="Calibri" w:hAnsi="Calibri"/>
                <w:sz w:val="17"/>
              </w:rPr>
            </w:r>
            <w:r>
              <w:rPr>
                <w:rFonts w:ascii="Calibri" w:hAnsi="Calibri"/>
                <w:sz w:val="17"/>
              </w:rPr>
              <w:t>11</w:t>
            </w:r>
          </w:p>
        </w:tc>
        <w:tc>
          <w:tcPr>
            <w:tcW w:w="3216" w:type="dxa"/>
          </w:tcPr>
          <w:p>
            <w:pPr>
              <w:spacing w:before="0" w:after="0" w:line="240" w:lineRule="auto"/>
            </w:pPr>
            <w:r>
              <w:rPr>
                <w:rFonts w:ascii="Calibri" w:hAnsi="Calibri"/>
                <w:sz w:val="17"/>
              </w:rPr>
            </w:r>
            <w:r>
              <w:rPr>
                <w:rFonts w:ascii="Calibri" w:hAnsi="Calibri"/>
                <w:sz w:val="17"/>
              </w:rPr>
              <w:t>Trask’s absence from the April 17, 2024 meeting and subsequent written objection create a dissent record Stonemill can exploit</w:t>
            </w:r>
          </w:p>
        </w:tc>
        <w:tc>
          <w:tcPr>
            <w:tcW w:w="3216" w:type="dxa"/>
          </w:tcPr>
          <w:p>
            <w:pPr>
              <w:spacing w:before="0" w:after="0" w:line="240" w:lineRule="auto"/>
            </w:pPr>
            <w:r>
              <w:rPr>
                <w:rFonts w:ascii="Calibri" w:hAnsi="Calibri"/>
                <w:sz w:val="17"/>
              </w:rPr>
            </w:r>
            <w:r>
              <w:rPr>
                <w:rFonts w:ascii="Calibri" w:hAnsi="Calibri"/>
                <w:sz w:val="17"/>
              </w:rPr>
              <w:t>Significant</w:t>
            </w:r>
          </w:p>
        </w:tc>
      </w:tr>
      <w:tr>
        <w:tc>
          <w:tcPr>
            <w:tcW w:w="3216" w:type="dxa"/>
          </w:tcPr>
          <w:p>
            <w:pPr>
              <w:spacing w:before="0" w:after="0" w:line="240" w:lineRule="auto"/>
            </w:pPr>
            <w:r>
              <w:rPr>
                <w:rFonts w:ascii="Calibri" w:hAnsi="Calibri"/>
                <w:sz w:val="17"/>
              </w:rPr>
            </w:r>
            <w:r>
              <w:rPr>
                <w:rFonts w:ascii="Calibri" w:hAnsi="Calibri"/>
                <w:sz w:val="17"/>
              </w:rPr>
              <w:t>12</w:t>
            </w:r>
          </w:p>
        </w:tc>
        <w:tc>
          <w:tcPr>
            <w:tcW w:w="3216" w:type="dxa"/>
          </w:tcPr>
          <w:p>
            <w:pPr>
              <w:spacing w:before="0" w:after="0" w:line="240" w:lineRule="auto"/>
            </w:pPr>
            <w:r>
              <w:rPr>
                <w:rFonts w:ascii="Calibri" w:hAnsi="Calibri"/>
                <w:sz w:val="17"/>
              </w:rPr>
            </w:r>
            <w:r>
              <w:rPr>
                <w:rFonts w:ascii="Calibri" w:hAnsi="Calibri"/>
                <w:sz w:val="17"/>
              </w:rPr>
              <w:t>Cross-document definitional mismatches (“Liquidation Event” vs. “Sale of the Company” vs. undefined “Deemed Liquidation Event”); IPO definitions vary</w:t>
            </w:r>
          </w:p>
        </w:tc>
        <w:tc>
          <w:tcPr>
            <w:tcW w:w="3216" w:type="dxa"/>
          </w:tcPr>
          <w:p>
            <w:pPr>
              <w:spacing w:before="0" w:after="0" w:line="240" w:lineRule="auto"/>
            </w:pPr>
            <w:r>
              <w:rPr>
                <w:rFonts w:ascii="Calibri" w:hAnsi="Calibri"/>
                <w:sz w:val="17"/>
              </w:rPr>
            </w:r>
            <w:r>
              <w:rPr>
                <w:rFonts w:ascii="Calibri" w:hAnsi="Calibri"/>
                <w:sz w:val="17"/>
              </w:rPr>
              <w:t>Moderate</w:t>
            </w:r>
          </w:p>
        </w:tc>
      </w:tr>
      <w:tr>
        <w:tc>
          <w:tcPr>
            <w:tcW w:w="3216" w:type="dxa"/>
          </w:tcPr>
          <w:p>
            <w:pPr>
              <w:spacing w:before="0" w:after="0" w:line="240" w:lineRule="auto"/>
            </w:pPr>
            <w:r>
              <w:rPr>
                <w:rFonts w:ascii="Calibri" w:hAnsi="Calibri"/>
                <w:sz w:val="17"/>
              </w:rPr>
            </w:r>
            <w:r>
              <w:rPr>
                <w:rFonts w:ascii="Calibri" w:hAnsi="Calibri"/>
                <w:sz w:val="17"/>
              </w:rPr>
              <w:t>13</w:t>
            </w:r>
          </w:p>
        </w:tc>
        <w:tc>
          <w:tcPr>
            <w:tcW w:w="3216" w:type="dxa"/>
          </w:tcPr>
          <w:p>
            <w:pPr>
              <w:spacing w:before="0" w:after="0" w:line="240" w:lineRule="auto"/>
            </w:pPr>
            <w:r>
              <w:rPr>
                <w:rFonts w:ascii="Calibri" w:hAnsi="Calibri"/>
                <w:sz w:val="17"/>
              </w:rPr>
            </w:r>
            <w:r>
              <w:rPr>
                <w:rFonts w:ascii="Calibri" w:hAnsi="Calibri"/>
                <w:sz w:val="17"/>
              </w:rPr>
              <w:t>“Consummated in accordance with Article 3” qualifier in transfer-restriction carve-outs creates minor ambiguity</w:t>
            </w:r>
          </w:p>
        </w:tc>
        <w:tc>
          <w:tcPr>
            <w:tcW w:w="3216" w:type="dxa"/>
          </w:tcPr>
          <w:p>
            <w:pPr>
              <w:spacing w:before="0" w:after="0" w:line="240" w:lineRule="auto"/>
            </w:pPr>
            <w:r>
              <w:rPr>
                <w:rFonts w:ascii="Calibri" w:hAnsi="Calibri"/>
                <w:sz w:val="17"/>
              </w:rPr>
            </w:r>
            <w:r>
              <w:rPr>
                <w:rFonts w:ascii="Calibri" w:hAnsi="Calibri"/>
                <w:sz w:val="17"/>
              </w:rPr>
              <w:t>Moderate</w:t>
            </w:r>
          </w:p>
        </w:tc>
      </w:tr>
      <w:tr>
        <w:tc>
          <w:tcPr>
            <w:tcW w:w="3216" w:type="dxa"/>
          </w:tcPr>
          <w:p>
            <w:pPr>
              <w:spacing w:before="0" w:after="0" w:line="240" w:lineRule="auto"/>
            </w:pPr>
            <w:r>
              <w:rPr>
                <w:rFonts w:ascii="Calibri" w:hAnsi="Calibri"/>
                <w:sz w:val="17"/>
              </w:rPr>
            </w:r>
            <w:r>
              <w:rPr>
                <w:rFonts w:ascii="Calibri" w:hAnsi="Calibri"/>
                <w:sz w:val="17"/>
              </w:rPr>
              <w:t>14</w:t>
            </w:r>
          </w:p>
        </w:tc>
        <w:tc>
          <w:tcPr>
            <w:tcW w:w="3216" w:type="dxa"/>
          </w:tcPr>
          <w:p>
            <w:pPr>
              <w:spacing w:before="0" w:after="0" w:line="240" w:lineRule="auto"/>
            </w:pPr>
            <w:r>
              <w:rPr>
                <w:rFonts w:ascii="Calibri" w:hAnsi="Calibri"/>
                <w:sz w:val="17"/>
              </w:rPr>
            </w:r>
            <w:r>
              <w:rPr>
                <w:rFonts w:ascii="Calibri" w:hAnsi="Calibri"/>
                <w:sz w:val="17"/>
              </w:rPr>
              <w:t>Stonemill board observer absent from April 17, 2024 meeting — confirm observer was properly notified and received materials</w:t>
            </w:r>
          </w:p>
        </w:tc>
        <w:tc>
          <w:tcPr>
            <w:tcW w:w="3216" w:type="dxa"/>
          </w:tcPr>
          <w:p>
            <w:pPr>
              <w:spacing w:before="0" w:after="0" w:line="240" w:lineRule="auto"/>
            </w:pPr>
            <w:r>
              <w:rPr>
                <w:rFonts w:ascii="Calibri" w:hAnsi="Calibri"/>
                <w:sz w:val="17"/>
              </w:rPr>
            </w:r>
            <w:r>
              <w:rPr>
                <w:rFonts w:ascii="Calibri" w:hAnsi="Calibri"/>
                <w:sz w:val="17"/>
              </w:rPr>
              <w:t>Moderate</w:t>
            </w:r>
          </w:p>
        </w:tc>
      </w:tr>
    </w:tbl>
    <w:bookmarkEnd w:id="23"/>
    <w:bookmarkStart w:id="24" w:name="d.-what-can-be-done-without-stonemill"/>
    <w:p>
      <w:pPr>
        <w:pStyle w:val="Heading3"/>
        <w:keepNext w:val="0"/>
        <w:keepLines w:val="0"/>
        <w:spacing w:before="100" w:after="20" w:line="240" w:lineRule="auto"/>
      </w:pPr>
      <w:r>
        <w:rPr>
          <w:rFonts w:ascii="Calibri" w:hAnsi="Calibri"/>
          <w:sz w:val="22"/>
        </w:rPr>
        <w:t xml:space="preserve">D. What Can Be Done Without Stonemill</w:t>
      </w:r>
    </w:p>
    <w:p>
      <w:pPr>
        <w:pStyle w:val="FirstParagraph"/>
        <w:keepNext w:val="0"/>
        <w:keepLines w:val="0"/>
        <w:spacing w:before="0" w:after="60" w:line="240" w:lineRule="auto"/>
      </w:pPr>
      <w:r>
        <w:rPr>
          <w:rFonts w:ascii="Calibri" w:hAnsi="Calibri"/>
          <w:sz w:val="20"/>
        </w:rPr>
        <w:t xml:space="preserve">For completeness, the following approvals</w:t>
      </w:r>
      <w:r>
        <w:rPr>
          <w:rFonts w:ascii="Calibri" w:hAnsi="Calibri"/>
          <w:sz w:val="20"/>
        </w:rPr>
        <w:t xml:space="preserve"> </w:t>
      </w:r>
      <w:r>
        <w:rPr>
          <w:rFonts w:ascii="Calibri" w:hAnsi="Calibri"/>
          <w:b/>
          <w:bCs/>
          <w:sz w:val="20"/>
        </w:rPr>
        <w:t xml:space="preserve">can</w:t>
      </w:r>
      <w:r>
        <w:rPr>
          <w:rFonts w:ascii="Calibri" w:hAnsi="Calibri"/>
          <w:sz w:val="20"/>
        </w:rPr>
        <w:t xml:space="preserve"> </w:t>
      </w:r>
      <w:r>
        <w:rPr>
          <w:rFonts w:ascii="Calibri" w:hAnsi="Calibri"/>
          <w:sz w:val="20"/>
        </w:rPr>
        <w:t xml:space="preserve">be obtained without Stonemill (assuming Ridgeline and Northbridge both cooperate):</w:t>
      </w:r>
    </w:p>
    <w:p>
      <w:pPr>
        <w:pStyle w:val="Compact"/>
        <w:keepNext w:val="0"/>
        <w:keepLines w:val="0"/>
        <w:numPr>
          <w:ilvl w:val="0"/>
          <w:numId w:val="1002"/>
        </w:numPr>
        <w:spacing w:before="0" w:after="60" w:line="240" w:lineRule="auto"/>
      </w:pPr>
      <w:r>
        <w:rPr>
          <w:rFonts w:ascii="Calibri" w:hAnsi="Calibri"/>
          <w:b/>
          <w:bCs/>
          <w:sz w:val="20"/>
        </w:rPr>
        <w:t xml:space="preserve">DGCL §251 stockholder vote</w:t>
      </w:r>
      <w:r>
        <w:rPr>
          <w:rFonts w:ascii="Calibri" w:hAnsi="Calibri"/>
          <w:sz w:val="20"/>
        </w:rPr>
        <w:t xml:space="preserve"> </w:t>
      </w:r>
      <w:r>
        <w:rPr>
          <w:rFonts w:ascii="Calibri" w:hAnsi="Calibri"/>
          <w:sz w:val="20"/>
        </w:rPr>
        <w:t xml:space="preserve">(majority of outstanding voting power, as-converted): Founders (7.3M) + Ridgeline (3.5M) + Northbridge (5.2M) = 16.0M, which exceeds the ~13.15M threshold (denominator of ~26.3M, excluding unexercised options). ✓</w:t>
      </w:r>
    </w:p>
    <w:p>
      <w:pPr>
        <w:pStyle w:val="Compact"/>
        <w:keepNext w:val="0"/>
        <w:keepLines w:val="0"/>
        <w:numPr>
          <w:ilvl w:val="0"/>
          <w:numId w:val="1002"/>
        </w:numPr>
        <w:spacing w:before="0" w:after="60" w:line="240" w:lineRule="auto"/>
      </w:pPr>
      <w:r>
        <w:rPr>
          <w:rFonts w:ascii="Calibri" w:hAnsi="Calibri"/>
          <w:b/>
          <w:bCs/>
          <w:sz w:val="20"/>
        </w:rPr>
        <w:t xml:space="preserve">All-Preferred class vote</w:t>
      </w:r>
      <w:r>
        <w:rPr>
          <w:rFonts w:ascii="Calibri" w:hAnsi="Calibri"/>
          <w:sz w:val="20"/>
        </w:rPr>
        <w:t xml:space="preserve"> </w:t>
      </w:r>
      <w:r>
        <w:rPr>
          <w:rFonts w:ascii="Calibri" w:hAnsi="Calibri"/>
          <w:sz w:val="20"/>
        </w:rPr>
        <w:t xml:space="preserve">(Restated Cert. §4.3.6(a)(vi), &gt;50% of 16.5M Preferred = &gt;8.25M): Ridgeline (3.5M) + Northbridge (5.2M) = 8.7M &gt; 8.25M. ✓ — but</w:t>
      </w:r>
      <w:r>
        <w:rPr>
          <w:rFonts w:ascii="Calibri" w:hAnsi="Calibri"/>
          <w:sz w:val="20"/>
        </w:rPr>
        <w:t xml:space="preserve"> </w:t>
      </w:r>
      <w:r>
        <w:rPr>
          <w:rFonts w:ascii="Calibri" w:hAnsi="Calibri"/>
          <w:b/>
          <w:bCs/>
          <w:sz w:val="20"/>
        </w:rPr>
        <w:t xml:space="preserve">barely</w:t>
      </w:r>
      <w:r>
        <w:rPr>
          <w:rFonts w:ascii="Calibri" w:hAnsi="Calibri"/>
          <w:sz w:val="20"/>
        </w:rPr>
        <w:t xml:space="preserve">, and only if</w:t>
      </w:r>
      <w:r>
        <w:rPr>
          <w:rFonts w:ascii="Calibri" w:hAnsi="Calibri"/>
          <w:sz w:val="20"/>
        </w:rPr>
        <w:t xml:space="preserve"> </w:t>
      </w:r>
      <w:r>
        <w:rPr>
          <w:rFonts w:ascii="Calibri" w:hAnsi="Calibri"/>
          <w:b/>
          <w:bCs/>
          <w:sz w:val="20"/>
        </w:rPr>
        <w:t xml:space="preserve">both</w:t>
      </w:r>
      <w:r>
        <w:rPr>
          <w:rFonts w:ascii="Calibri" w:hAnsi="Calibri"/>
          <w:sz w:val="20"/>
        </w:rPr>
        <w:t xml:space="preserve"> </w:t>
      </w:r>
      <w:r>
        <w:rPr>
          <w:rFonts w:ascii="Calibri" w:hAnsi="Calibri"/>
          <w:sz w:val="20"/>
        </w:rPr>
        <w:t xml:space="preserve">Ridgeline and Northbridge consent.</w:t>
      </w:r>
    </w:p>
    <w:p>
      <w:pPr>
        <w:pStyle w:val="FirstParagraph"/>
        <w:keepNext w:val="0"/>
        <w:keepLines w:val="0"/>
        <w:spacing w:before="0" w:after="60" w:line="240" w:lineRule="auto"/>
      </w:pPr>
      <w:r>
        <w:rPr>
          <w:rFonts w:ascii="Calibri" w:hAnsi="Calibri"/>
          <w:sz w:val="20"/>
        </w:rPr>
        <w:t xml:space="preserve">The</w:t>
      </w:r>
      <w:r>
        <w:rPr>
          <w:rFonts w:ascii="Calibri" w:hAnsi="Calibri"/>
          <w:sz w:val="20"/>
        </w:rPr>
        <w:t xml:space="preserve"> </w:t>
      </w:r>
      <w:r>
        <w:rPr>
          <w:rFonts w:ascii="Calibri" w:hAnsi="Calibri"/>
          <w:b/>
          <w:bCs/>
          <w:sz w:val="20"/>
        </w:rPr>
        <w:t xml:space="preserve">Series C separate-class vote</w:t>
      </w:r>
      <w:r>
        <w:rPr>
          <w:rFonts w:ascii="Calibri" w:hAnsi="Calibri"/>
          <w:sz w:val="20"/>
        </w:rPr>
        <w:t xml:space="preserve"> </w:t>
      </w:r>
      <w:r>
        <w:rPr>
          <w:rFonts w:ascii="Calibri" w:hAnsi="Calibri"/>
          <w:sz w:val="20"/>
        </w:rPr>
        <w:t xml:space="preserve">(§4.3.6(b)(i)) is the gating item and</w:t>
      </w:r>
      <w:r>
        <w:rPr>
          <w:rFonts w:ascii="Calibri" w:hAnsi="Calibri"/>
          <w:sz w:val="20"/>
        </w:rPr>
        <w:t xml:space="preserve"> </w:t>
      </w:r>
      <w:r>
        <w:rPr>
          <w:rFonts w:ascii="Calibri" w:hAnsi="Calibri"/>
          <w:b/>
          <w:bCs/>
          <w:sz w:val="20"/>
        </w:rPr>
        <w:t xml:space="preserve">cannot</w:t>
      </w:r>
      <w:r>
        <w:rPr>
          <w:rFonts w:ascii="Calibri" w:hAnsi="Calibri"/>
          <w:sz w:val="20"/>
        </w:rPr>
        <w:t xml:space="preserve"> </w:t>
      </w:r>
      <w:r>
        <w:rPr>
          <w:rFonts w:ascii="Calibri" w:hAnsi="Calibri"/>
          <w:sz w:val="20"/>
        </w:rPr>
        <w:t xml:space="preserve">be satisfied without Stonemill. The full consent matrix appears at Appendix A.</w:t>
      </w:r>
    </w:p>
    <w:p>
      <w:pPr>
        <w:keepNext w:val="0"/>
        <w:keepLines w:val="0"/>
        <w:spacing w:before="0" w:after="60" w:line="240" w:lineRule="auto"/>
      </w:pPr>
      <w:r>
        <w:rPr>
          <w:rFonts w:ascii="Calibri" w:hAnsi="Calibri"/>
          <w:sz w:val="20"/>
        </w:rPr>
        <w:pict>
          <v:rect style="width:0;height:1.5pt" o:hralign="center" o:hrstd="t" o:hr="t"/>
        </w:pict>
      </w:r>
    </w:p>
    <w:bookmarkEnd w:id="24"/>
    <w:bookmarkEnd w:id="25"/>
    <w:bookmarkStart w:id="29" w:name="Xcf9945cea870bf5071ebeb23e80d499ae8d59df"/>
    <w:p>
      <w:pPr>
        <w:pStyle w:val="Heading2"/>
        <w:keepNext w:val="0"/>
        <w:keepLines w:val="0"/>
        <w:spacing w:before="140" w:after="40" w:line="240" w:lineRule="auto"/>
      </w:pPr>
      <w:r>
        <w:rPr>
          <w:rFonts w:ascii="Calibri" w:hAnsi="Calibri"/>
          <w:sz w:val="25"/>
        </w:rPr>
        <w:t xml:space="preserve">II. Transaction Overview and Capitalization</w:t>
      </w:r>
    </w:p>
    <w:bookmarkStart w:id="26" w:name="a.-transaction-structure"/>
    <w:p>
      <w:pPr>
        <w:pStyle w:val="Heading3"/>
        <w:keepNext w:val="0"/>
        <w:keepLines w:val="0"/>
        <w:spacing w:before="100" w:after="20" w:line="240" w:lineRule="auto"/>
      </w:pPr>
      <w:r>
        <w:rPr>
          <w:rFonts w:ascii="Calibri" w:hAnsi="Calibri"/>
          <w:sz w:val="22"/>
        </w:rPr>
        <w:t xml:space="preserve">A. Transaction Structure</w:t>
      </w:r>
    </w:p>
    <w:p>
      <w:pPr>
        <w:pStyle w:val="FirstParagraph"/>
        <w:keepNext w:val="0"/>
        <w:keepLines w:val="0"/>
        <w:spacing w:before="0" w:after="60" w:line="240" w:lineRule="auto"/>
      </w:pPr>
      <w:r>
        <w:rPr>
          <w:rFonts w:ascii="Calibri" w:hAnsi="Calibri"/>
          <w:sz w:val="20"/>
        </w:rPr>
        <w:t xml:space="preserve">Hargrove will form a wholly-owned acquisition subsidiary (</w:t>
      </w:r>
      <w:r>
        <w:rPr>
          <w:rFonts w:ascii="Calibri" w:hAnsi="Calibri"/>
          <w:sz w:val="20"/>
        </w:rPr>
        <w:t xml:space="preserve">“</w:t>
      </w:r>
      <w:r>
        <w:rPr>
          <w:rFonts w:ascii="Calibri" w:hAnsi="Calibri"/>
          <w:sz w:val="20"/>
        </w:rPr>
        <w:t xml:space="preserve">Merger Sub</w:t>
      </w:r>
      <w:r>
        <w:rPr>
          <w:rFonts w:ascii="Calibri" w:hAnsi="Calibri"/>
          <w:sz w:val="20"/>
        </w:rPr>
        <w:t xml:space="preserve">”</w:t>
      </w:r>
      <w:r>
        <w:rPr>
          <w:rFonts w:ascii="Calibri" w:hAnsi="Calibri"/>
          <w:sz w:val="20"/>
        </w:rPr>
        <w:t xml:space="preserve">) that will merge with and into Terravox, with Terravox surviving as a wholly-owned subsidiary of Hargrove. All outstanding equity of Terravox (Common, Series A, Series B, and Series C Preferred) will be cancelled and converted into the right to receive cash merger consideration. The Transaction is an all-cash deal: enterprise value $485M; outstanding debt ~$12M (Clearfield National Bank term loan); implied equity value ~$473M. Target closing: Q1 2025.</w:t>
      </w:r>
    </w:p>
    <w:bookmarkEnd w:id="26"/>
    <w:bookmarkStart w:id="27" w:name="X3e8e26e865bfcd1fa1b21c972056518cfe84181"/>
    <w:p>
      <w:pPr>
        <w:pStyle w:val="Heading3"/>
        <w:keepNext w:val="0"/>
        <w:keepLines w:val="0"/>
        <w:spacing w:before="100" w:after="20" w:line="240" w:lineRule="auto"/>
      </w:pPr>
      <w:r>
        <w:rPr>
          <w:rFonts w:ascii="Calibri" w:hAnsi="Calibri"/>
          <w:sz w:val="22"/>
        </w:rPr>
        <w:t xml:space="preserve">B. Capitalization (per Stockholders’ Agreement, Exhibit B)</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2068"/>
        <w:gridCol w:w="2068"/>
        <w:gridCol w:w="2756"/>
        <w:gridCol w:w="2756"/>
      </w:tblGrid>
      <w:tr>
        <w:tc>
          <w:tcPr>
            <w:tcW w:w="2068" w:type="dxa"/>
          </w:tcPr>
          <w:p>
            <w:pPr>
              <w:spacing w:before="0" w:after="0" w:line="240" w:lineRule="auto"/>
            </w:pPr>
            <w:r>
              <w:rPr>
                <w:rFonts w:ascii="Calibri" w:hAnsi="Calibri"/>
                <w:sz w:val="17"/>
              </w:rPr>
            </w:r>
            <w:r>
              <w:rPr>
                <w:rFonts w:ascii="Calibri" w:hAnsi="Calibri"/>
                <w:sz w:val="17"/>
              </w:rPr>
              <w:t>Stockholder</w:t>
            </w:r>
          </w:p>
        </w:tc>
        <w:tc>
          <w:tcPr>
            <w:tcW w:w="2068" w:type="dxa"/>
          </w:tcPr>
          <w:p>
            <w:pPr>
              <w:spacing w:before="0" w:after="0" w:line="240" w:lineRule="auto"/>
            </w:pPr>
            <w:r>
              <w:rPr>
                <w:rFonts w:ascii="Calibri" w:hAnsi="Calibri"/>
                <w:sz w:val="17"/>
              </w:rPr>
            </w:r>
            <w:r>
              <w:rPr>
                <w:rFonts w:ascii="Calibri" w:hAnsi="Calibri"/>
                <w:sz w:val="17"/>
              </w:rPr>
              <w:t>Class</w:t>
            </w:r>
          </w:p>
        </w:tc>
        <w:tc>
          <w:tcPr>
            <w:tcW w:w="2756" w:type="dxa"/>
          </w:tcPr>
          <w:p>
            <w:pPr>
              <w:spacing w:before="0" w:after="0" w:line="240" w:lineRule="auto"/>
            </w:pPr>
            <w:r>
              <w:rPr>
                <w:rFonts w:ascii="Calibri" w:hAnsi="Calibri"/>
                <w:sz w:val="17"/>
              </w:rPr>
            </w:r>
            <w:r>
              <w:rPr>
                <w:rFonts w:ascii="Calibri" w:hAnsi="Calibri"/>
                <w:sz w:val="17"/>
              </w:rPr>
              <w:t>Shares</w:t>
            </w:r>
          </w:p>
        </w:tc>
        <w:tc>
          <w:tcPr>
            <w:tcW w:w="2756" w:type="dxa"/>
          </w:tcPr>
          <w:p>
            <w:pPr>
              <w:spacing w:before="0" w:after="0" w:line="240" w:lineRule="auto"/>
            </w:pPr>
            <w:r>
              <w:rPr>
                <w:rFonts w:ascii="Calibri" w:hAnsi="Calibri"/>
                <w:sz w:val="17"/>
              </w:rPr>
            </w:r>
            <w:r>
              <w:rPr>
                <w:rFonts w:ascii="Calibri" w:hAnsi="Calibri"/>
                <w:sz w:val="17"/>
              </w:rPr>
              <w:t>% (Fully Diluted)</w:t>
            </w:r>
          </w:p>
        </w:tc>
      </w:tr>
      <w:tr>
        <w:tc>
          <w:tcPr>
            <w:tcW w:w="2068" w:type="dxa"/>
          </w:tcPr>
          <w:p>
            <w:pPr>
              <w:spacing w:before="0" w:after="0" w:line="240" w:lineRule="auto"/>
            </w:pPr>
            <w:r>
              <w:rPr>
                <w:rFonts w:ascii="Calibri" w:hAnsi="Calibri"/>
                <w:sz w:val="17"/>
              </w:rPr>
            </w:r>
            <w:r>
              <w:rPr>
                <w:rFonts w:ascii="Calibri" w:hAnsi="Calibri"/>
                <w:sz w:val="17"/>
              </w:rPr>
              <w:t>Marcus Ellery</w:t>
            </w:r>
          </w:p>
        </w:tc>
        <w:tc>
          <w:tcPr>
            <w:tcW w:w="2068" w:type="dxa"/>
          </w:tcPr>
          <w:p>
            <w:pPr>
              <w:spacing w:before="0" w:after="0" w:line="240" w:lineRule="auto"/>
            </w:pPr>
            <w:r>
              <w:rPr>
                <w:rFonts w:ascii="Calibri" w:hAnsi="Calibri"/>
                <w:sz w:val="17"/>
              </w:rPr>
            </w:r>
            <w:r>
              <w:rPr>
                <w:rFonts w:ascii="Calibri" w:hAnsi="Calibri"/>
                <w:sz w:val="17"/>
              </w:rPr>
              <w:t>Common</w:t>
            </w:r>
          </w:p>
        </w:tc>
        <w:tc>
          <w:tcPr>
            <w:tcW w:w="2756" w:type="dxa"/>
          </w:tcPr>
          <w:p>
            <w:pPr>
              <w:spacing w:before="0" w:after="0" w:line="240" w:lineRule="auto"/>
            </w:pPr>
            <w:r>
              <w:rPr>
                <w:rFonts w:ascii="Calibri" w:hAnsi="Calibri"/>
                <w:sz w:val="17"/>
              </w:rPr>
            </w:r>
            <w:r>
              <w:rPr>
                <w:rFonts w:ascii="Calibri" w:hAnsi="Calibri"/>
                <w:sz w:val="17"/>
              </w:rPr>
              <w:t>4,200,000</w:t>
            </w:r>
          </w:p>
        </w:tc>
        <w:tc>
          <w:tcPr>
            <w:tcW w:w="2756" w:type="dxa"/>
          </w:tcPr>
          <w:p>
            <w:pPr>
              <w:spacing w:before="0" w:after="0" w:line="240" w:lineRule="auto"/>
            </w:pPr>
            <w:r>
              <w:rPr>
                <w:rFonts w:ascii="Calibri" w:hAnsi="Calibri"/>
                <w:sz w:val="17"/>
              </w:rPr>
            </w:r>
            <w:r>
              <w:rPr>
                <w:rFonts w:ascii="Calibri" w:hAnsi="Calibri"/>
                <w:sz w:val="17"/>
              </w:rPr>
              <w:t>~12.4%</w:t>
            </w:r>
          </w:p>
        </w:tc>
      </w:tr>
      <w:tr>
        <w:tc>
          <w:tcPr>
            <w:tcW w:w="2068" w:type="dxa"/>
          </w:tcPr>
          <w:p>
            <w:pPr>
              <w:spacing w:before="0" w:after="0" w:line="240" w:lineRule="auto"/>
            </w:pPr>
            <w:r>
              <w:rPr>
                <w:rFonts w:ascii="Calibri" w:hAnsi="Calibri"/>
                <w:sz w:val="17"/>
              </w:rPr>
            </w:r>
            <w:r>
              <w:rPr>
                <w:rFonts w:ascii="Calibri" w:hAnsi="Calibri"/>
                <w:sz w:val="17"/>
              </w:rPr>
              <w:t>Priya Chandrasekaran</w:t>
            </w:r>
          </w:p>
        </w:tc>
        <w:tc>
          <w:tcPr>
            <w:tcW w:w="2068" w:type="dxa"/>
          </w:tcPr>
          <w:p>
            <w:pPr>
              <w:spacing w:before="0" w:after="0" w:line="240" w:lineRule="auto"/>
            </w:pPr>
            <w:r>
              <w:rPr>
                <w:rFonts w:ascii="Calibri" w:hAnsi="Calibri"/>
                <w:sz w:val="17"/>
              </w:rPr>
            </w:r>
            <w:r>
              <w:rPr>
                <w:rFonts w:ascii="Calibri" w:hAnsi="Calibri"/>
                <w:sz w:val="17"/>
              </w:rPr>
              <w:t>Common</w:t>
            </w:r>
          </w:p>
        </w:tc>
        <w:tc>
          <w:tcPr>
            <w:tcW w:w="2756" w:type="dxa"/>
          </w:tcPr>
          <w:p>
            <w:pPr>
              <w:spacing w:before="0" w:after="0" w:line="240" w:lineRule="auto"/>
            </w:pPr>
            <w:r>
              <w:rPr>
                <w:rFonts w:ascii="Calibri" w:hAnsi="Calibri"/>
                <w:sz w:val="17"/>
              </w:rPr>
            </w:r>
            <w:r>
              <w:rPr>
                <w:rFonts w:ascii="Calibri" w:hAnsi="Calibri"/>
                <w:sz w:val="17"/>
              </w:rPr>
              <w:t>3,100,000</w:t>
            </w:r>
          </w:p>
        </w:tc>
        <w:tc>
          <w:tcPr>
            <w:tcW w:w="2756" w:type="dxa"/>
          </w:tcPr>
          <w:p>
            <w:pPr>
              <w:spacing w:before="0" w:after="0" w:line="240" w:lineRule="auto"/>
            </w:pPr>
            <w:r>
              <w:rPr>
                <w:rFonts w:ascii="Calibri" w:hAnsi="Calibri"/>
                <w:sz w:val="17"/>
              </w:rPr>
            </w:r>
            <w:r>
              <w:rPr>
                <w:rFonts w:ascii="Calibri" w:hAnsi="Calibri"/>
                <w:sz w:val="17"/>
              </w:rPr>
              <w:t>~9.1%</w:t>
            </w:r>
          </w:p>
        </w:tc>
      </w:tr>
      <w:tr>
        <w:tc>
          <w:tcPr>
            <w:tcW w:w="2068" w:type="dxa"/>
          </w:tcPr>
          <w:p>
            <w:pPr>
              <w:spacing w:before="0" w:after="0" w:line="240" w:lineRule="auto"/>
            </w:pPr>
            <w:r>
              <w:rPr>
                <w:rFonts w:ascii="Calibri" w:hAnsi="Calibri"/>
                <w:sz w:val="17"/>
              </w:rPr>
            </w:r>
            <w:r>
              <w:rPr>
                <w:rFonts w:ascii="Calibri" w:hAnsi="Calibri"/>
                <w:sz w:val="17"/>
              </w:rPr>
              <w:t>Founders (subtotal)</w:t>
            </w:r>
          </w:p>
        </w:tc>
        <w:tc>
          <w:tcPr>
            <w:tcW w:w="2068" w:type="dxa"/>
          </w:tcPr>
          <w:p>
            <w:pPr>
              <w:spacing w:before="0" w:after="0" w:line="240" w:lineRule="auto"/>
            </w:pPr>
            <w:r>
              <w:rPr>
                <w:rFonts w:ascii="Calibri" w:hAnsi="Calibri"/>
                <w:sz w:val="17"/>
              </w:rPr>
            </w:r>
            <w:r>
              <w:rPr>
                <w:rFonts w:ascii="Calibri" w:hAnsi="Calibri"/>
                <w:sz w:val="17"/>
              </w:rPr>
              <w:t>Common</w:t>
            </w:r>
          </w:p>
        </w:tc>
        <w:tc>
          <w:tcPr>
            <w:tcW w:w="2756" w:type="dxa"/>
          </w:tcPr>
          <w:p>
            <w:pPr>
              <w:spacing w:before="0" w:after="0" w:line="240" w:lineRule="auto"/>
            </w:pPr>
            <w:r>
              <w:rPr>
                <w:rFonts w:ascii="Calibri" w:hAnsi="Calibri"/>
                <w:sz w:val="17"/>
              </w:rPr>
            </w:r>
            <w:r>
              <w:rPr>
                <w:rFonts w:ascii="Calibri" w:hAnsi="Calibri"/>
                <w:sz w:val="17"/>
              </w:rPr>
              <w:t>7,300,000</w:t>
            </w:r>
          </w:p>
        </w:tc>
        <w:tc>
          <w:tcPr>
            <w:tcW w:w="2756" w:type="dxa"/>
          </w:tcPr>
          <w:p>
            <w:pPr>
              <w:spacing w:before="0" w:after="0" w:line="240" w:lineRule="auto"/>
            </w:pPr>
            <w:r>
              <w:rPr>
                <w:rFonts w:ascii="Calibri" w:hAnsi="Calibri"/>
                <w:sz w:val="17"/>
              </w:rPr>
            </w:r>
            <w:r>
              <w:rPr>
                <w:rFonts w:ascii="Calibri" w:hAnsi="Calibri"/>
                <w:sz w:val="17"/>
              </w:rPr>
              <w:t>~21.5%</w:t>
            </w:r>
          </w:p>
        </w:tc>
      </w:tr>
      <w:tr>
        <w:tc>
          <w:tcPr>
            <w:tcW w:w="2068" w:type="dxa"/>
          </w:tcPr>
          <w:p>
            <w:pPr>
              <w:spacing w:before="0" w:after="0" w:line="240" w:lineRule="auto"/>
            </w:pPr>
            <w:r>
              <w:rPr>
                <w:rFonts w:ascii="Calibri" w:hAnsi="Calibri"/>
                <w:sz w:val="17"/>
              </w:rPr>
            </w:r>
            <w:r>
              <w:rPr>
                <w:rFonts w:ascii="Calibri" w:hAnsi="Calibri"/>
                <w:sz w:val="17"/>
              </w:rPr>
              <w:t>Ridgeline Ventures Fund II, LP</w:t>
            </w:r>
          </w:p>
        </w:tc>
        <w:tc>
          <w:tcPr>
            <w:tcW w:w="2068" w:type="dxa"/>
          </w:tcPr>
          <w:p>
            <w:pPr>
              <w:spacing w:before="0" w:after="0" w:line="240" w:lineRule="auto"/>
            </w:pPr>
            <w:r>
              <w:rPr>
                <w:rFonts w:ascii="Calibri" w:hAnsi="Calibri"/>
                <w:sz w:val="17"/>
              </w:rPr>
            </w:r>
            <w:r>
              <w:rPr>
                <w:rFonts w:ascii="Calibri" w:hAnsi="Calibri"/>
                <w:sz w:val="17"/>
              </w:rPr>
              <w:t>Series A Preferred</w:t>
            </w:r>
          </w:p>
        </w:tc>
        <w:tc>
          <w:tcPr>
            <w:tcW w:w="2756" w:type="dxa"/>
          </w:tcPr>
          <w:p>
            <w:pPr>
              <w:spacing w:before="0" w:after="0" w:line="240" w:lineRule="auto"/>
            </w:pPr>
            <w:r>
              <w:rPr>
                <w:rFonts w:ascii="Calibri" w:hAnsi="Calibri"/>
                <w:sz w:val="17"/>
              </w:rPr>
            </w:r>
            <w:r>
              <w:rPr>
                <w:rFonts w:ascii="Calibri" w:hAnsi="Calibri"/>
                <w:sz w:val="17"/>
              </w:rPr>
              <w:t>3,500,000</w:t>
            </w:r>
          </w:p>
        </w:tc>
        <w:tc>
          <w:tcPr>
            <w:tcW w:w="2756" w:type="dxa"/>
          </w:tcPr>
          <w:p>
            <w:pPr>
              <w:spacing w:before="0" w:after="0" w:line="240" w:lineRule="auto"/>
            </w:pPr>
            <w:r>
              <w:rPr>
                <w:rFonts w:ascii="Calibri" w:hAnsi="Calibri"/>
                <w:sz w:val="17"/>
              </w:rPr>
            </w:r>
            <w:r>
              <w:rPr>
                <w:rFonts w:ascii="Calibri" w:hAnsi="Calibri"/>
                <w:sz w:val="17"/>
              </w:rPr>
              <w:t>~10.3%</w:t>
            </w:r>
          </w:p>
        </w:tc>
      </w:tr>
      <w:tr>
        <w:tc>
          <w:tcPr>
            <w:tcW w:w="2068" w:type="dxa"/>
          </w:tcPr>
          <w:p>
            <w:pPr>
              <w:spacing w:before="0" w:after="0" w:line="240" w:lineRule="auto"/>
            </w:pPr>
            <w:r>
              <w:rPr>
                <w:rFonts w:ascii="Calibri" w:hAnsi="Calibri"/>
                <w:sz w:val="17"/>
              </w:rPr>
            </w:r>
            <w:r>
              <w:rPr>
                <w:rFonts w:ascii="Calibri" w:hAnsi="Calibri"/>
                <w:sz w:val="17"/>
              </w:rPr>
              <w:t>Northbridge Growth Equity Fund IV, LP</w:t>
            </w:r>
          </w:p>
        </w:tc>
        <w:tc>
          <w:tcPr>
            <w:tcW w:w="2068" w:type="dxa"/>
          </w:tcPr>
          <w:p>
            <w:pPr>
              <w:spacing w:before="0" w:after="0" w:line="240" w:lineRule="auto"/>
            </w:pPr>
            <w:r>
              <w:rPr>
                <w:rFonts w:ascii="Calibri" w:hAnsi="Calibri"/>
                <w:sz w:val="17"/>
              </w:rPr>
            </w:r>
            <w:r>
              <w:rPr>
                <w:rFonts w:ascii="Calibri" w:hAnsi="Calibri"/>
                <w:sz w:val="17"/>
              </w:rPr>
              <w:t>Series B Preferred</w:t>
            </w:r>
          </w:p>
        </w:tc>
        <w:tc>
          <w:tcPr>
            <w:tcW w:w="2756" w:type="dxa"/>
          </w:tcPr>
          <w:p>
            <w:pPr>
              <w:spacing w:before="0" w:after="0" w:line="240" w:lineRule="auto"/>
            </w:pPr>
            <w:r>
              <w:rPr>
                <w:rFonts w:ascii="Calibri" w:hAnsi="Calibri"/>
                <w:sz w:val="17"/>
              </w:rPr>
            </w:r>
            <w:r>
              <w:rPr>
                <w:rFonts w:ascii="Calibri" w:hAnsi="Calibri"/>
                <w:sz w:val="17"/>
              </w:rPr>
              <w:t>5,200,000</w:t>
            </w:r>
          </w:p>
        </w:tc>
        <w:tc>
          <w:tcPr>
            <w:tcW w:w="2756" w:type="dxa"/>
          </w:tcPr>
          <w:p>
            <w:pPr>
              <w:spacing w:before="0" w:after="0" w:line="240" w:lineRule="auto"/>
            </w:pPr>
            <w:r>
              <w:rPr>
                <w:rFonts w:ascii="Calibri" w:hAnsi="Calibri"/>
                <w:sz w:val="17"/>
              </w:rPr>
            </w:r>
            <w:r>
              <w:rPr>
                <w:rFonts w:ascii="Calibri" w:hAnsi="Calibri"/>
                <w:sz w:val="17"/>
              </w:rPr>
              <w:t>~15.3%</w:t>
            </w:r>
          </w:p>
        </w:tc>
      </w:tr>
      <w:tr>
        <w:tc>
          <w:tcPr>
            <w:tcW w:w="2068" w:type="dxa"/>
          </w:tcPr>
          <w:p>
            <w:pPr>
              <w:spacing w:before="0" w:after="0" w:line="240" w:lineRule="auto"/>
            </w:pPr>
            <w:r>
              <w:rPr>
                <w:rFonts w:ascii="Calibri" w:hAnsi="Calibri"/>
                <w:sz w:val="17"/>
              </w:rPr>
            </w:r>
            <w:r>
              <w:rPr>
                <w:rFonts w:ascii="Calibri" w:hAnsi="Calibri"/>
                <w:sz w:val="17"/>
              </w:rPr>
              <w:t>Stonemill Capital Partners Fund VI, LP</w:t>
            </w:r>
          </w:p>
        </w:tc>
        <w:tc>
          <w:tcPr>
            <w:tcW w:w="2068" w:type="dxa"/>
          </w:tcPr>
          <w:p>
            <w:pPr>
              <w:spacing w:before="0" w:after="0" w:line="240" w:lineRule="auto"/>
            </w:pPr>
            <w:r>
              <w:rPr>
                <w:rFonts w:ascii="Calibri" w:hAnsi="Calibri"/>
                <w:sz w:val="17"/>
              </w:rPr>
            </w:r>
            <w:r>
              <w:rPr>
                <w:rFonts w:ascii="Calibri" w:hAnsi="Calibri"/>
                <w:sz w:val="17"/>
              </w:rPr>
              <w:t>Series C Preferred</w:t>
            </w:r>
          </w:p>
        </w:tc>
        <w:tc>
          <w:tcPr>
            <w:tcW w:w="2756" w:type="dxa"/>
          </w:tcPr>
          <w:p>
            <w:pPr>
              <w:spacing w:before="0" w:after="0" w:line="240" w:lineRule="auto"/>
            </w:pPr>
            <w:r>
              <w:rPr>
                <w:rFonts w:ascii="Calibri" w:hAnsi="Calibri"/>
                <w:sz w:val="17"/>
              </w:rPr>
            </w:r>
            <w:r>
              <w:rPr>
                <w:rFonts w:ascii="Calibri" w:hAnsi="Calibri"/>
                <w:sz w:val="17"/>
              </w:rPr>
              <w:t>7,800,000</w:t>
            </w:r>
          </w:p>
        </w:tc>
        <w:tc>
          <w:tcPr>
            <w:tcW w:w="2756" w:type="dxa"/>
          </w:tcPr>
          <w:p>
            <w:pPr>
              <w:spacing w:before="0" w:after="0" w:line="240" w:lineRule="auto"/>
            </w:pPr>
            <w:r>
              <w:rPr>
                <w:rFonts w:ascii="Calibri" w:hAnsi="Calibri"/>
                <w:sz w:val="17"/>
              </w:rPr>
            </w:r>
            <w:r>
              <w:rPr>
                <w:rFonts w:ascii="Calibri" w:hAnsi="Calibri"/>
                <w:sz w:val="17"/>
              </w:rPr>
              <w:t>~23.0%</w:t>
            </w:r>
          </w:p>
        </w:tc>
      </w:tr>
      <w:tr>
        <w:tc>
          <w:tcPr>
            <w:tcW w:w="2068" w:type="dxa"/>
          </w:tcPr>
          <w:p>
            <w:pPr>
              <w:spacing w:before="0" w:after="0" w:line="240" w:lineRule="auto"/>
            </w:pPr>
            <w:r>
              <w:rPr>
                <w:rFonts w:ascii="Calibri" w:hAnsi="Calibri"/>
                <w:sz w:val="17"/>
              </w:rPr>
            </w:r>
            <w:r>
              <w:rPr>
                <w:rFonts w:ascii="Calibri" w:hAnsi="Calibri"/>
                <w:sz w:val="17"/>
              </w:rPr>
              <w:t>Investors (subtotal)</w:t>
            </w:r>
          </w:p>
        </w:tc>
        <w:tc>
          <w:tcPr>
            <w:tcW w:w="2068" w:type="dxa"/>
          </w:tcPr>
          <w:p>
            <w:pPr>
              <w:spacing w:before="0" w:after="0" w:line="240" w:lineRule="auto"/>
            </w:pPr>
            <w:r>
              <w:rPr>
                <w:rFonts w:ascii="Calibri" w:hAnsi="Calibri"/>
                <w:sz w:val="17"/>
              </w:rPr>
            </w:r>
            <w:r>
              <w:rPr>
                <w:rFonts w:ascii="Calibri" w:hAnsi="Calibri"/>
                <w:sz w:val="17"/>
              </w:rPr>
              <w:t>Preferred</w:t>
            </w:r>
          </w:p>
        </w:tc>
        <w:tc>
          <w:tcPr>
            <w:tcW w:w="2756" w:type="dxa"/>
          </w:tcPr>
          <w:p>
            <w:pPr>
              <w:spacing w:before="0" w:after="0" w:line="240" w:lineRule="auto"/>
            </w:pPr>
            <w:r>
              <w:rPr>
                <w:rFonts w:ascii="Calibri" w:hAnsi="Calibri"/>
                <w:sz w:val="17"/>
              </w:rPr>
            </w:r>
            <w:r>
              <w:rPr>
                <w:rFonts w:ascii="Calibri" w:hAnsi="Calibri"/>
                <w:sz w:val="17"/>
              </w:rPr>
              <w:t>16,500,000</w:t>
            </w:r>
          </w:p>
        </w:tc>
        <w:tc>
          <w:tcPr>
            <w:tcW w:w="2756" w:type="dxa"/>
          </w:tcPr>
          <w:p>
            <w:pPr>
              <w:spacing w:before="0" w:after="0" w:line="240" w:lineRule="auto"/>
            </w:pPr>
            <w:r>
              <w:rPr>
                <w:rFonts w:ascii="Calibri" w:hAnsi="Calibri"/>
                <w:sz w:val="17"/>
              </w:rPr>
            </w:r>
            <w:r>
              <w:rPr>
                <w:rFonts w:ascii="Calibri" w:hAnsi="Calibri"/>
                <w:sz w:val="17"/>
              </w:rPr>
              <w:t>~48.6%</w:t>
            </w:r>
          </w:p>
        </w:tc>
      </w:tr>
      <w:tr>
        <w:tc>
          <w:tcPr>
            <w:tcW w:w="2068" w:type="dxa"/>
          </w:tcPr>
          <w:p>
            <w:pPr>
              <w:spacing w:before="0" w:after="0" w:line="240" w:lineRule="auto"/>
            </w:pPr>
            <w:r>
              <w:rPr>
                <w:rFonts w:ascii="Calibri" w:hAnsi="Calibri"/>
                <w:sz w:val="17"/>
              </w:rPr>
            </w:r>
            <w:r>
              <w:rPr>
                <w:rFonts w:ascii="Calibri" w:hAnsi="Calibri"/>
                <w:sz w:val="17"/>
              </w:rPr>
              <w:t>Various Common Holders / Option Pool</w:t>
            </w:r>
          </w:p>
        </w:tc>
        <w:tc>
          <w:tcPr>
            <w:tcW w:w="2068" w:type="dxa"/>
          </w:tcPr>
          <w:p>
            <w:pPr>
              <w:spacing w:before="0" w:after="0" w:line="240" w:lineRule="auto"/>
            </w:pPr>
            <w:r>
              <w:rPr>
                <w:rFonts w:ascii="Calibri" w:hAnsi="Calibri"/>
                <w:sz w:val="17"/>
              </w:rPr>
            </w:r>
            <w:r>
              <w:rPr>
                <w:rFonts w:ascii="Calibri" w:hAnsi="Calibri"/>
                <w:sz w:val="17"/>
              </w:rPr>
              <w:t>Common / Options / RSUs</w:t>
            </w:r>
          </w:p>
        </w:tc>
        <w:tc>
          <w:tcPr>
            <w:tcW w:w="2756" w:type="dxa"/>
          </w:tcPr>
          <w:p>
            <w:pPr>
              <w:spacing w:before="0" w:after="0" w:line="240" w:lineRule="auto"/>
            </w:pPr>
            <w:r>
              <w:rPr>
                <w:rFonts w:ascii="Calibri" w:hAnsi="Calibri"/>
                <w:sz w:val="17"/>
              </w:rPr>
            </w:r>
            <w:r>
              <w:rPr>
                <w:rFonts w:ascii="Calibri" w:hAnsi="Calibri"/>
                <w:sz w:val="17"/>
              </w:rPr>
              <w:t>10,100,000</w:t>
            </w:r>
          </w:p>
        </w:tc>
        <w:tc>
          <w:tcPr>
            <w:tcW w:w="2756" w:type="dxa"/>
          </w:tcPr>
          <w:p>
            <w:pPr>
              <w:spacing w:before="0" w:after="0" w:line="240" w:lineRule="auto"/>
            </w:pPr>
            <w:r>
              <w:rPr>
                <w:rFonts w:ascii="Calibri" w:hAnsi="Calibri"/>
                <w:sz w:val="17"/>
              </w:rPr>
            </w:r>
            <w:r>
              <w:rPr>
                <w:rFonts w:ascii="Calibri" w:hAnsi="Calibri"/>
                <w:sz w:val="17"/>
              </w:rPr>
              <w:t>~29.8%</w:t>
            </w:r>
          </w:p>
        </w:tc>
      </w:tr>
      <w:tr>
        <w:tc>
          <w:tcPr>
            <w:tcW w:w="2068" w:type="dxa"/>
          </w:tcPr>
          <w:p>
            <w:pPr>
              <w:spacing w:before="0" w:after="0" w:line="240" w:lineRule="auto"/>
            </w:pPr>
            <w:r>
              <w:rPr>
                <w:rFonts w:ascii="Calibri" w:hAnsi="Calibri"/>
                <w:sz w:val="17"/>
              </w:rPr>
            </w:r>
            <w:r>
              <w:rPr>
                <w:rFonts w:ascii="Calibri" w:hAnsi="Calibri"/>
                <w:sz w:val="17"/>
              </w:rPr>
              <w:t>Total (Fully Diluted)</w:t>
            </w:r>
          </w:p>
        </w:tc>
        <w:tc>
          <w:tcPr>
            <w:tcW w:w="2068" w:type="dxa"/>
          </w:tcPr>
          <w:p>
            <w:pPr>
              <w:spacing w:before="0" w:after="0" w:line="240" w:lineRule="auto"/>
            </w:pPr>
            <w:r>
              <w:rPr>
                <w:rFonts w:ascii="Calibri" w:hAnsi="Calibri"/>
                <w:sz w:val="17"/>
              </w:rPr>
            </w:r>
            <w:r>
              <w:rPr>
                <w:rFonts w:ascii="Calibri" w:hAnsi="Calibri"/>
                <w:sz w:val="17"/>
              </w:rPr>
            </w:r>
          </w:p>
        </w:tc>
        <w:tc>
          <w:tcPr>
            <w:tcW w:w="2756" w:type="dxa"/>
          </w:tcPr>
          <w:p>
            <w:pPr>
              <w:spacing w:before="0" w:after="0" w:line="240" w:lineRule="auto"/>
            </w:pPr>
            <w:r>
              <w:rPr>
                <w:rFonts w:ascii="Calibri" w:hAnsi="Calibri"/>
                <w:sz w:val="17"/>
              </w:rPr>
            </w:r>
            <w:r>
              <w:rPr>
                <w:rFonts w:ascii="Calibri" w:hAnsi="Calibri"/>
                <w:sz w:val="17"/>
              </w:rPr>
              <w:t>33,900,000</w:t>
            </w:r>
          </w:p>
        </w:tc>
        <w:tc>
          <w:tcPr>
            <w:tcW w:w="2756" w:type="dxa"/>
          </w:tcPr>
          <w:p>
            <w:pPr>
              <w:spacing w:before="0" w:after="0" w:line="240" w:lineRule="auto"/>
            </w:pPr>
            <w:r>
              <w:rPr>
                <w:rFonts w:ascii="Calibri" w:hAnsi="Calibri"/>
                <w:sz w:val="17"/>
              </w:rPr>
            </w:r>
            <w:r>
              <w:rPr>
                <w:rFonts w:ascii="Calibri" w:hAnsi="Calibri"/>
                <w:sz w:val="17"/>
              </w:rPr>
              <w:t>100.0%</w:t>
            </w:r>
          </w:p>
        </w:tc>
      </w:tr>
    </w:tbl>
    <w:bookmarkEnd w:id="27"/>
    <w:bookmarkStart w:id="28" w:name="X552b36be75149c0f5515523338731e9aeea1603"/>
    <w:p>
      <w:pPr>
        <w:pStyle w:val="Heading3"/>
        <w:keepNext w:val="0"/>
        <w:keepLines w:val="0"/>
        <w:spacing w:before="100" w:after="20" w:line="240" w:lineRule="auto"/>
      </w:pPr>
      <w:r>
        <w:rPr>
          <w:rFonts w:ascii="Calibri" w:hAnsi="Calibri"/>
          <w:sz w:val="22"/>
        </w:rPr>
        <w:t xml:space="preserve">C. Liquidation Preferences (Restated Cert. §4.3.2)</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2412"/>
        <w:gridCol w:w="2412"/>
        <w:gridCol w:w="2412"/>
        <w:gridCol w:w="2412"/>
      </w:tblGrid>
      <w:tr>
        <w:tc>
          <w:tcPr>
            <w:tcW w:w="2412" w:type="dxa"/>
          </w:tcPr>
          <w:p>
            <w:pPr>
              <w:spacing w:before="0" w:after="0" w:line="240" w:lineRule="auto"/>
            </w:pPr>
            <w:r>
              <w:rPr>
                <w:rFonts w:ascii="Calibri" w:hAnsi="Calibri"/>
                <w:sz w:val="17"/>
              </w:rPr>
            </w:r>
            <w:r>
              <w:rPr>
                <w:rFonts w:ascii="Calibri" w:hAnsi="Calibri"/>
                <w:sz w:val="17"/>
              </w:rPr>
              <w:t>Series</w:t>
            </w:r>
          </w:p>
        </w:tc>
        <w:tc>
          <w:tcPr>
            <w:tcW w:w="2412" w:type="dxa"/>
          </w:tcPr>
          <w:p>
            <w:pPr>
              <w:spacing w:before="0" w:after="0" w:line="240" w:lineRule="auto"/>
            </w:pPr>
            <w:r>
              <w:rPr>
                <w:rFonts w:ascii="Calibri" w:hAnsi="Calibri"/>
                <w:sz w:val="17"/>
              </w:rPr>
            </w:r>
            <w:r>
              <w:rPr>
                <w:rFonts w:ascii="Calibri" w:hAnsi="Calibri"/>
                <w:sz w:val="17"/>
              </w:rPr>
              <w:t>Original Issue Price</w:t>
            </w:r>
          </w:p>
        </w:tc>
        <w:tc>
          <w:tcPr>
            <w:tcW w:w="2412" w:type="dxa"/>
          </w:tcPr>
          <w:p>
            <w:pPr>
              <w:spacing w:before="0" w:after="0" w:line="240" w:lineRule="auto"/>
            </w:pPr>
            <w:r>
              <w:rPr>
                <w:rFonts w:ascii="Calibri" w:hAnsi="Calibri"/>
                <w:sz w:val="17"/>
              </w:rPr>
            </w:r>
            <w:r>
              <w:rPr>
                <w:rFonts w:ascii="Calibri" w:hAnsi="Calibri"/>
                <w:sz w:val="17"/>
              </w:rPr>
              <w:t>Shares</w:t>
            </w:r>
          </w:p>
        </w:tc>
        <w:tc>
          <w:tcPr>
            <w:tcW w:w="2412" w:type="dxa"/>
          </w:tcPr>
          <w:p>
            <w:pPr>
              <w:spacing w:before="0" w:after="0" w:line="240" w:lineRule="auto"/>
            </w:pPr>
            <w:r>
              <w:rPr>
                <w:rFonts w:ascii="Calibri" w:hAnsi="Calibri"/>
                <w:sz w:val="17"/>
              </w:rPr>
            </w:r>
            <w:r>
              <w:rPr>
                <w:rFonts w:ascii="Calibri" w:hAnsi="Calibri"/>
                <w:sz w:val="17"/>
              </w:rPr>
              <w:t>Aggregate Preference</w:t>
            </w:r>
          </w:p>
        </w:tc>
      </w:tr>
      <w:tr>
        <w:tc>
          <w:tcPr>
            <w:tcW w:w="2412" w:type="dxa"/>
          </w:tcPr>
          <w:p>
            <w:pPr>
              <w:spacing w:before="0" w:after="0" w:line="240" w:lineRule="auto"/>
            </w:pPr>
            <w:r>
              <w:rPr>
                <w:rFonts w:ascii="Calibri" w:hAnsi="Calibri"/>
                <w:sz w:val="17"/>
              </w:rPr>
            </w:r>
            <w:r>
              <w:rPr>
                <w:rFonts w:ascii="Calibri" w:hAnsi="Calibri"/>
                <w:sz w:val="17"/>
              </w:rPr>
              <w:t>Series C (Stonemill)</w:t>
            </w:r>
          </w:p>
        </w:tc>
        <w:tc>
          <w:tcPr>
            <w:tcW w:w="2412" w:type="dxa"/>
          </w:tcPr>
          <w:p>
            <w:pPr>
              <w:spacing w:before="0" w:after="0" w:line="240" w:lineRule="auto"/>
            </w:pPr>
            <w:r>
              <w:rPr>
                <w:rFonts w:ascii="Calibri" w:hAnsi="Calibri"/>
                <w:sz w:val="17"/>
              </w:rPr>
            </w:r>
            <w:r>
              <w:rPr>
                <w:rFonts w:ascii="Calibri" w:hAnsi="Calibri"/>
                <w:sz w:val="17"/>
              </w:rPr>
              <w:t>$18.50</w:t>
            </w:r>
          </w:p>
        </w:tc>
        <w:tc>
          <w:tcPr>
            <w:tcW w:w="2412" w:type="dxa"/>
          </w:tcPr>
          <w:p>
            <w:pPr>
              <w:spacing w:before="0" w:after="0" w:line="240" w:lineRule="auto"/>
            </w:pPr>
            <w:r>
              <w:rPr>
                <w:rFonts w:ascii="Calibri" w:hAnsi="Calibri"/>
                <w:sz w:val="17"/>
              </w:rPr>
            </w:r>
            <w:r>
              <w:rPr>
                <w:rFonts w:ascii="Calibri" w:hAnsi="Calibri"/>
                <w:sz w:val="17"/>
              </w:rPr>
              <w:t>7,800,000</w:t>
            </w:r>
          </w:p>
        </w:tc>
        <w:tc>
          <w:tcPr>
            <w:tcW w:w="2412" w:type="dxa"/>
          </w:tcPr>
          <w:p>
            <w:pPr>
              <w:spacing w:before="0" w:after="0" w:line="240" w:lineRule="auto"/>
            </w:pPr>
            <w:r>
              <w:rPr>
                <w:rFonts w:ascii="Calibri" w:hAnsi="Calibri"/>
                <w:sz w:val="17"/>
              </w:rPr>
            </w:r>
            <w:r>
              <w:rPr>
                <w:rFonts w:ascii="Calibri" w:hAnsi="Calibri"/>
                <w:sz w:val="17"/>
              </w:rPr>
              <w:t>$144,300,000</w:t>
            </w:r>
          </w:p>
        </w:tc>
      </w:tr>
      <w:tr>
        <w:tc>
          <w:tcPr>
            <w:tcW w:w="2412" w:type="dxa"/>
          </w:tcPr>
          <w:p>
            <w:pPr>
              <w:spacing w:before="0" w:after="0" w:line="240" w:lineRule="auto"/>
            </w:pPr>
            <w:r>
              <w:rPr>
                <w:rFonts w:ascii="Calibri" w:hAnsi="Calibri"/>
                <w:sz w:val="17"/>
              </w:rPr>
            </w:r>
            <w:r>
              <w:rPr>
                <w:rFonts w:ascii="Calibri" w:hAnsi="Calibri"/>
                <w:sz w:val="17"/>
              </w:rPr>
              <w:t>Series B (Northbridge)</w:t>
            </w:r>
          </w:p>
        </w:tc>
        <w:tc>
          <w:tcPr>
            <w:tcW w:w="2412" w:type="dxa"/>
          </w:tcPr>
          <w:p>
            <w:pPr>
              <w:spacing w:before="0" w:after="0" w:line="240" w:lineRule="auto"/>
            </w:pPr>
            <w:r>
              <w:rPr>
                <w:rFonts w:ascii="Calibri" w:hAnsi="Calibri"/>
                <w:sz w:val="17"/>
              </w:rPr>
            </w:r>
            <w:r>
              <w:rPr>
                <w:rFonts w:ascii="Calibri" w:hAnsi="Calibri"/>
                <w:sz w:val="17"/>
              </w:rPr>
              <w:t>$9.25</w:t>
            </w:r>
          </w:p>
        </w:tc>
        <w:tc>
          <w:tcPr>
            <w:tcW w:w="2412" w:type="dxa"/>
          </w:tcPr>
          <w:p>
            <w:pPr>
              <w:spacing w:before="0" w:after="0" w:line="240" w:lineRule="auto"/>
            </w:pPr>
            <w:r>
              <w:rPr>
                <w:rFonts w:ascii="Calibri" w:hAnsi="Calibri"/>
                <w:sz w:val="17"/>
              </w:rPr>
            </w:r>
            <w:r>
              <w:rPr>
                <w:rFonts w:ascii="Calibri" w:hAnsi="Calibri"/>
                <w:sz w:val="17"/>
              </w:rPr>
              <w:t>5,200,000</w:t>
            </w:r>
          </w:p>
        </w:tc>
        <w:tc>
          <w:tcPr>
            <w:tcW w:w="2412" w:type="dxa"/>
          </w:tcPr>
          <w:p>
            <w:pPr>
              <w:spacing w:before="0" w:after="0" w:line="240" w:lineRule="auto"/>
            </w:pPr>
            <w:r>
              <w:rPr>
                <w:rFonts w:ascii="Calibri" w:hAnsi="Calibri"/>
                <w:sz w:val="17"/>
              </w:rPr>
            </w:r>
            <w:r>
              <w:rPr>
                <w:rFonts w:ascii="Calibri" w:hAnsi="Calibri"/>
                <w:sz w:val="17"/>
              </w:rPr>
              <w:t>$48,100,000</w:t>
            </w:r>
          </w:p>
        </w:tc>
      </w:tr>
      <w:tr>
        <w:tc>
          <w:tcPr>
            <w:tcW w:w="2412" w:type="dxa"/>
          </w:tcPr>
          <w:p>
            <w:pPr>
              <w:spacing w:before="0" w:after="0" w:line="240" w:lineRule="auto"/>
            </w:pPr>
            <w:r>
              <w:rPr>
                <w:rFonts w:ascii="Calibri" w:hAnsi="Calibri"/>
                <w:sz w:val="17"/>
              </w:rPr>
            </w:r>
            <w:r>
              <w:rPr>
                <w:rFonts w:ascii="Calibri" w:hAnsi="Calibri"/>
                <w:sz w:val="17"/>
              </w:rPr>
              <w:t>Series A (Ridgeline)</w:t>
            </w:r>
          </w:p>
        </w:tc>
        <w:tc>
          <w:tcPr>
            <w:tcW w:w="2412" w:type="dxa"/>
          </w:tcPr>
          <w:p>
            <w:pPr>
              <w:spacing w:before="0" w:after="0" w:line="240" w:lineRule="auto"/>
            </w:pPr>
            <w:r>
              <w:rPr>
                <w:rFonts w:ascii="Calibri" w:hAnsi="Calibri"/>
                <w:sz w:val="17"/>
              </w:rPr>
            </w:r>
            <w:r>
              <w:rPr>
                <w:rFonts w:ascii="Calibri" w:hAnsi="Calibri"/>
                <w:sz w:val="17"/>
              </w:rPr>
              <w:t>$4.00</w:t>
            </w:r>
          </w:p>
        </w:tc>
        <w:tc>
          <w:tcPr>
            <w:tcW w:w="2412" w:type="dxa"/>
          </w:tcPr>
          <w:p>
            <w:pPr>
              <w:spacing w:before="0" w:after="0" w:line="240" w:lineRule="auto"/>
            </w:pPr>
            <w:r>
              <w:rPr>
                <w:rFonts w:ascii="Calibri" w:hAnsi="Calibri"/>
                <w:sz w:val="17"/>
              </w:rPr>
            </w:r>
            <w:r>
              <w:rPr>
                <w:rFonts w:ascii="Calibri" w:hAnsi="Calibri"/>
                <w:sz w:val="17"/>
              </w:rPr>
              <w:t>3,500,000</w:t>
            </w:r>
          </w:p>
        </w:tc>
        <w:tc>
          <w:tcPr>
            <w:tcW w:w="2412" w:type="dxa"/>
          </w:tcPr>
          <w:p>
            <w:pPr>
              <w:spacing w:before="0" w:after="0" w:line="240" w:lineRule="auto"/>
            </w:pPr>
            <w:r>
              <w:rPr>
                <w:rFonts w:ascii="Calibri" w:hAnsi="Calibri"/>
                <w:sz w:val="17"/>
              </w:rPr>
            </w:r>
            <w:r>
              <w:rPr>
                <w:rFonts w:ascii="Calibri" w:hAnsi="Calibri"/>
                <w:sz w:val="17"/>
              </w:rPr>
              <w:t>$14,000,000</w:t>
            </w:r>
          </w:p>
        </w:tc>
      </w:tr>
      <w:tr>
        <w:tc>
          <w:tcPr>
            <w:tcW w:w="2412" w:type="dxa"/>
          </w:tcPr>
          <w:p>
            <w:pPr>
              <w:spacing w:before="0" w:after="0" w:line="240" w:lineRule="auto"/>
            </w:pPr>
            <w:r>
              <w:rPr>
                <w:rFonts w:ascii="Calibri" w:hAnsi="Calibri"/>
                <w:sz w:val="17"/>
              </w:rPr>
            </w:r>
            <w:r>
              <w:rPr>
                <w:rFonts w:ascii="Calibri" w:hAnsi="Calibri"/>
                <w:sz w:val="17"/>
              </w:rPr>
              <w:t>Total</w:t>
            </w:r>
          </w:p>
        </w:tc>
        <w:tc>
          <w:tcPr>
            <w:tcW w:w="2412" w:type="dxa"/>
          </w:tcPr>
          <w:p>
            <w:pPr>
              <w:spacing w:before="0" w:after="0" w:line="240" w:lineRule="auto"/>
            </w:pPr>
            <w:r>
              <w:rPr>
                <w:rFonts w:ascii="Calibri" w:hAnsi="Calibri"/>
                <w:sz w:val="17"/>
              </w:rPr>
            </w:r>
            <w:r>
              <w:rPr>
                <w:rFonts w:ascii="Calibri" w:hAnsi="Calibri"/>
                <w:sz w:val="17"/>
              </w:rPr>
            </w:r>
          </w:p>
        </w:tc>
        <w:tc>
          <w:tcPr>
            <w:tcW w:w="2412" w:type="dxa"/>
          </w:tcPr>
          <w:p>
            <w:pPr>
              <w:spacing w:before="0" w:after="0" w:line="240" w:lineRule="auto"/>
            </w:pPr>
            <w:r>
              <w:rPr>
                <w:rFonts w:ascii="Calibri" w:hAnsi="Calibri"/>
                <w:sz w:val="17"/>
              </w:rPr>
            </w:r>
            <w:r>
              <w:rPr>
                <w:rFonts w:ascii="Calibri" w:hAnsi="Calibri"/>
                <w:sz w:val="17"/>
              </w:rPr>
              <w:t>16,500,000</w:t>
            </w:r>
          </w:p>
        </w:tc>
        <w:tc>
          <w:tcPr>
            <w:tcW w:w="2412" w:type="dxa"/>
          </w:tcPr>
          <w:p>
            <w:pPr>
              <w:spacing w:before="0" w:after="0" w:line="240" w:lineRule="auto"/>
            </w:pPr>
            <w:r>
              <w:rPr>
                <w:rFonts w:ascii="Calibri" w:hAnsi="Calibri"/>
                <w:sz w:val="17"/>
              </w:rPr>
            </w:r>
            <w:r>
              <w:rPr>
                <w:rFonts w:ascii="Calibri" w:hAnsi="Calibri"/>
                <w:sz w:val="17"/>
              </w:rPr>
              <w:t>$206,400,000</w:t>
            </w:r>
          </w:p>
        </w:tc>
      </w:tr>
    </w:tbl>
    <w:p>
      <w:pPr>
        <w:pStyle w:val="BodyText"/>
        <w:keepNext w:val="0"/>
        <w:keepLines w:val="0"/>
        <w:spacing w:before="0" w:after="60" w:line="240" w:lineRule="auto"/>
      </w:pPr>
      <w:r>
        <w:rPr>
          <w:rFonts w:ascii="Calibri" w:hAnsi="Calibri"/>
          <w:sz w:val="20"/>
        </w:rPr>
        <w:t xml:space="preserve">The Preferred is</w:t>
      </w:r>
      <w:r>
        <w:rPr>
          <w:rFonts w:ascii="Calibri" w:hAnsi="Calibri"/>
          <w:sz w:val="20"/>
        </w:rPr>
        <w:t xml:space="preserve"> </w:t>
      </w:r>
      <w:r>
        <w:rPr>
          <w:rFonts w:ascii="Calibri" w:hAnsi="Calibri"/>
          <w:b/>
          <w:bCs/>
          <w:sz w:val="20"/>
        </w:rPr>
        <w:t xml:space="preserve">non-participating</w:t>
      </w:r>
      <w:r>
        <w:rPr>
          <w:rFonts w:ascii="Calibri" w:hAnsi="Calibri"/>
          <w:sz w:val="20"/>
        </w:rPr>
        <w:t xml:space="preserve"> </w:t>
      </w:r>
      <w:r>
        <w:rPr>
          <w:rFonts w:ascii="Calibri" w:hAnsi="Calibri"/>
          <w:sz w:val="20"/>
        </w:rPr>
        <w:t xml:space="preserve">(§4.3.2(b)): each holder elects between its liquidation preference and conversion to Common (whichever yields the greater per-share return), with a deemed election for the greater return in the absence of an affirmative election. The waterfall analysis is set out in Appendix B.</w:t>
      </w:r>
    </w:p>
    <w:p>
      <w:pPr>
        <w:keepNext w:val="0"/>
        <w:keepLines w:val="0"/>
        <w:spacing w:before="0" w:after="60" w:line="240" w:lineRule="auto"/>
      </w:pPr>
      <w:r>
        <w:rPr>
          <w:rFonts w:ascii="Calibri" w:hAnsi="Calibri"/>
          <w:sz w:val="20"/>
        </w:rPr>
        <w:pict>
          <v:rect style="width:0;height:1.5pt" o:hralign="center" o:hrstd="t" o:hr="t"/>
        </w:pict>
      </w:r>
    </w:p>
    <w:bookmarkEnd w:id="28"/>
    <w:bookmarkEnd w:id="29"/>
    <w:bookmarkStart w:id="30" w:name="X84b9d47110c2884c69abd32387c4b221b37308c"/>
    <w:p>
      <w:pPr>
        <w:pStyle w:val="Heading2"/>
        <w:keepNext w:val="0"/>
        <w:keepLines w:val="0"/>
        <w:spacing w:before="140" w:after="40" w:line="240" w:lineRule="auto"/>
      </w:pPr>
      <w:r>
        <w:rPr>
          <w:rFonts w:ascii="Calibri" w:hAnsi="Calibri"/>
          <w:sz w:val="25"/>
        </w:rPr>
        <w:t xml:space="preserve">III. Stonemill’s Leverage — Consolidated Map</w:t>
      </w:r>
    </w:p>
    <w:p>
      <w:pPr>
        <w:pStyle w:val="FirstParagraph"/>
        <w:keepNext w:val="0"/>
        <w:keepLines w:val="0"/>
        <w:spacing w:before="0" w:after="60" w:line="240" w:lineRule="auto"/>
      </w:pPr>
      <w:r>
        <w:rPr>
          <w:rFonts w:ascii="Calibri" w:hAnsi="Calibri"/>
          <w:sz w:val="20"/>
        </w:rPr>
        <w:t xml:space="preserve">Because the client has identified Stonemill’s posture as the controlling variable, we consolidate here every leverage point Stonemill holds across the governance documents. Each is cross-referenced to the detailed analysis in the relevant section.</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2412"/>
        <w:gridCol w:w="2412"/>
        <w:gridCol w:w="2412"/>
        <w:gridCol w:w="2412"/>
      </w:tblGrid>
      <w:tr>
        <w:tc>
          <w:tcPr>
            <w:tcW w:w="2412" w:type="dxa"/>
          </w:tcPr>
          <w:p>
            <w:pPr>
              <w:spacing w:before="0" w:after="0" w:line="240" w:lineRule="auto"/>
            </w:pPr>
            <w:r>
              <w:rPr>
                <w:rFonts w:ascii="Calibri" w:hAnsi="Calibri"/>
                <w:sz w:val="17"/>
              </w:rPr>
            </w:r>
            <w:r>
              <w:rPr>
                <w:rFonts w:ascii="Calibri" w:hAnsi="Calibri"/>
                <w:sz w:val="17"/>
              </w:rPr>
              <w:t>#</w:t>
            </w:r>
          </w:p>
        </w:tc>
        <w:tc>
          <w:tcPr>
            <w:tcW w:w="2412" w:type="dxa"/>
          </w:tcPr>
          <w:p>
            <w:pPr>
              <w:spacing w:before="0" w:after="0" w:line="240" w:lineRule="auto"/>
            </w:pPr>
            <w:r>
              <w:rPr>
                <w:rFonts w:ascii="Calibri" w:hAnsi="Calibri"/>
                <w:sz w:val="17"/>
              </w:rPr>
            </w:r>
            <w:r>
              <w:rPr>
                <w:rFonts w:ascii="Calibri" w:hAnsi="Calibri"/>
                <w:sz w:val="17"/>
              </w:rPr>
              <w:t>Leverage Point</w:t>
            </w:r>
          </w:p>
        </w:tc>
        <w:tc>
          <w:tcPr>
            <w:tcW w:w="2412" w:type="dxa"/>
          </w:tcPr>
          <w:p>
            <w:pPr>
              <w:spacing w:before="0" w:after="0" w:line="240" w:lineRule="auto"/>
            </w:pPr>
            <w:r>
              <w:rPr>
                <w:rFonts w:ascii="Calibri" w:hAnsi="Calibri"/>
                <w:sz w:val="17"/>
              </w:rPr>
            </w:r>
            <w:r>
              <w:rPr>
                <w:rFonts w:ascii="Calibri" w:hAnsi="Calibri"/>
                <w:sz w:val="17"/>
              </w:rPr>
              <w:t>Source</w:t>
            </w:r>
          </w:p>
        </w:tc>
        <w:tc>
          <w:tcPr>
            <w:tcW w:w="2412" w:type="dxa"/>
          </w:tcPr>
          <w:p>
            <w:pPr>
              <w:spacing w:before="0" w:after="0" w:line="240" w:lineRule="auto"/>
            </w:pPr>
            <w:r>
              <w:rPr>
                <w:rFonts w:ascii="Calibri" w:hAnsi="Calibri"/>
                <w:sz w:val="17"/>
              </w:rPr>
            </w:r>
            <w:r>
              <w:rPr>
                <w:rFonts w:ascii="Calibri" w:hAnsi="Calibri"/>
                <w:sz w:val="17"/>
              </w:rPr>
              <w:t>Effect</w:t>
            </w:r>
          </w:p>
        </w:tc>
      </w:tr>
      <w:tr>
        <w:tc>
          <w:tcPr>
            <w:tcW w:w="2412" w:type="dxa"/>
          </w:tcPr>
          <w:p>
            <w:pPr>
              <w:spacing w:before="0" w:after="0" w:line="240" w:lineRule="auto"/>
            </w:pPr>
            <w:r>
              <w:rPr>
                <w:rFonts w:ascii="Calibri" w:hAnsi="Calibri"/>
                <w:sz w:val="17"/>
              </w:rPr>
            </w:r>
            <w:r>
              <w:rPr>
                <w:rFonts w:ascii="Calibri" w:hAnsi="Calibri"/>
                <w:sz w:val="17"/>
              </w:rPr>
              <w:t>1</w:t>
            </w:r>
          </w:p>
        </w:tc>
        <w:tc>
          <w:tcPr>
            <w:tcW w:w="2412" w:type="dxa"/>
          </w:tcPr>
          <w:p>
            <w:pPr>
              <w:spacing w:before="0" w:after="0" w:line="240" w:lineRule="auto"/>
            </w:pPr>
            <w:r>
              <w:rPr>
                <w:rFonts w:ascii="Calibri" w:hAnsi="Calibri"/>
                <w:sz w:val="17"/>
              </w:rPr>
            </w:r>
            <w:r>
              <w:rPr>
                <w:rFonts w:ascii="Calibri" w:hAnsi="Calibri"/>
                <w:sz w:val="17"/>
              </w:rPr>
              <w:t>Series C separate-class veto on any Liquidation Event</w:t>
            </w:r>
          </w:p>
        </w:tc>
        <w:tc>
          <w:tcPr>
            <w:tcW w:w="2412" w:type="dxa"/>
          </w:tcPr>
          <w:p>
            <w:pPr>
              <w:spacing w:before="0" w:after="0" w:line="240" w:lineRule="auto"/>
            </w:pPr>
            <w:r>
              <w:rPr>
                <w:rFonts w:ascii="Calibri" w:hAnsi="Calibri"/>
                <w:sz w:val="17"/>
              </w:rPr>
            </w:r>
            <w:r>
              <w:rPr>
                <w:rFonts w:ascii="Calibri" w:hAnsi="Calibri"/>
                <w:sz w:val="17"/>
              </w:rPr>
              <w:t>Restated Cert. §4.3.6(b)(i)</w:t>
            </w:r>
          </w:p>
        </w:tc>
        <w:tc>
          <w:tcPr>
            <w:tcW w:w="2412" w:type="dxa"/>
          </w:tcPr>
          <w:p>
            <w:pPr>
              <w:spacing w:before="0" w:after="0" w:line="240" w:lineRule="auto"/>
            </w:pPr>
            <w:r>
              <w:rPr>
                <w:rFonts w:ascii="Calibri" w:hAnsi="Calibri"/>
                <w:sz w:val="17"/>
              </w:rPr>
            </w:r>
            <w:r>
              <w:rPr>
                <w:rFonts w:ascii="Calibri" w:hAnsi="Calibri"/>
                <w:sz w:val="17"/>
              </w:rPr>
              <w:t>Absolute block. ≥66⅔% of Series C required; Stonemill holds 100%. Cannot be satisfied without Stonemill.</w:t>
            </w:r>
          </w:p>
        </w:tc>
      </w:tr>
      <w:tr>
        <w:tc>
          <w:tcPr>
            <w:tcW w:w="2412" w:type="dxa"/>
          </w:tcPr>
          <w:p>
            <w:pPr>
              <w:spacing w:before="0" w:after="0" w:line="240" w:lineRule="auto"/>
            </w:pPr>
            <w:r>
              <w:rPr>
                <w:rFonts w:ascii="Calibri" w:hAnsi="Calibri"/>
                <w:sz w:val="17"/>
              </w:rPr>
            </w:r>
            <w:r>
              <w:rPr>
                <w:rFonts w:ascii="Calibri" w:hAnsi="Calibri"/>
                <w:sz w:val="17"/>
              </w:rPr>
              <w:t>2</w:t>
            </w:r>
          </w:p>
        </w:tc>
        <w:tc>
          <w:tcPr>
            <w:tcW w:w="2412" w:type="dxa"/>
          </w:tcPr>
          <w:p>
            <w:pPr>
              <w:spacing w:before="0" w:after="0" w:line="240" w:lineRule="auto"/>
            </w:pPr>
            <w:r>
              <w:rPr>
                <w:rFonts w:ascii="Calibri" w:hAnsi="Calibri"/>
                <w:sz w:val="17"/>
              </w:rPr>
            </w:r>
            <w:r>
              <w:rPr>
                <w:rFonts w:ascii="Calibri" w:hAnsi="Calibri"/>
                <w:sz w:val="17"/>
              </w:rPr>
              <w:t>All-Preferred class vote on Liquidation Event</w:t>
            </w:r>
          </w:p>
        </w:tc>
        <w:tc>
          <w:tcPr>
            <w:tcW w:w="2412" w:type="dxa"/>
          </w:tcPr>
          <w:p>
            <w:pPr>
              <w:spacing w:before="0" w:after="0" w:line="240" w:lineRule="auto"/>
            </w:pPr>
            <w:r>
              <w:rPr>
                <w:rFonts w:ascii="Calibri" w:hAnsi="Calibri"/>
                <w:sz w:val="17"/>
              </w:rPr>
            </w:r>
            <w:r>
              <w:rPr>
                <w:rFonts w:ascii="Calibri" w:hAnsi="Calibri"/>
                <w:sz w:val="17"/>
              </w:rPr>
              <w:t>Restated Cert. §4.3.6(a)(vi)</w:t>
            </w:r>
          </w:p>
        </w:tc>
        <w:tc>
          <w:tcPr>
            <w:tcW w:w="2412" w:type="dxa"/>
          </w:tcPr>
          <w:p>
            <w:pPr>
              <w:spacing w:before="0" w:after="0" w:line="240" w:lineRule="auto"/>
            </w:pPr>
            <w:r>
              <w:rPr>
                <w:rFonts w:ascii="Calibri" w:hAnsi="Calibri"/>
                <w:sz w:val="17"/>
              </w:rPr>
            </w:r>
            <w:r>
              <w:rPr>
                <w:rFonts w:ascii="Calibri" w:hAnsi="Calibri"/>
                <w:sz w:val="17"/>
              </w:rPr>
              <w:t>&gt;50% of Preferred required. Achievable without Stonemill (Ridgeline + Northbridge = 8.7M &gt; 8.25M), but only barely and only if both consent.</w:t>
            </w:r>
          </w:p>
        </w:tc>
      </w:tr>
      <w:tr>
        <w:tc>
          <w:tcPr>
            <w:tcW w:w="2412" w:type="dxa"/>
          </w:tcPr>
          <w:p>
            <w:pPr>
              <w:spacing w:before="0" w:after="0" w:line="240" w:lineRule="auto"/>
            </w:pPr>
            <w:r>
              <w:rPr>
                <w:rFonts w:ascii="Calibri" w:hAnsi="Calibri"/>
                <w:sz w:val="17"/>
              </w:rPr>
            </w:r>
            <w:r>
              <w:rPr>
                <w:rFonts w:ascii="Calibri" w:hAnsi="Calibri"/>
                <w:sz w:val="17"/>
              </w:rPr>
              <w:t>3</w:t>
            </w:r>
          </w:p>
        </w:tc>
        <w:tc>
          <w:tcPr>
            <w:tcW w:w="2412" w:type="dxa"/>
          </w:tcPr>
          <w:p>
            <w:pPr>
              <w:spacing w:before="0" w:after="0" w:line="240" w:lineRule="auto"/>
            </w:pPr>
            <w:r>
              <w:rPr>
                <w:rFonts w:ascii="Calibri" w:hAnsi="Calibri"/>
                <w:sz w:val="17"/>
              </w:rPr>
            </w:r>
            <w:r>
              <w:rPr>
                <w:rFonts w:ascii="Calibri" w:hAnsi="Calibri"/>
                <w:sz w:val="17"/>
              </w:rPr>
              <w:t>Series C separate-class consent on charter amendments adversely/disproportionately affecting Series C</w:t>
            </w:r>
          </w:p>
        </w:tc>
        <w:tc>
          <w:tcPr>
            <w:tcW w:w="2412" w:type="dxa"/>
          </w:tcPr>
          <w:p>
            <w:pPr>
              <w:spacing w:before="0" w:after="0" w:line="240" w:lineRule="auto"/>
            </w:pPr>
            <w:r>
              <w:rPr>
                <w:rFonts w:ascii="Calibri" w:hAnsi="Calibri"/>
                <w:sz w:val="17"/>
              </w:rPr>
            </w:r>
            <w:r>
              <w:rPr>
                <w:rFonts w:ascii="Calibri" w:hAnsi="Calibri"/>
                <w:sz w:val="17"/>
              </w:rPr>
              <w:t>Restated Cert. §4.3.6(b)(ii)</w:t>
            </w:r>
          </w:p>
        </w:tc>
        <w:tc>
          <w:tcPr>
            <w:tcW w:w="2412" w:type="dxa"/>
          </w:tcPr>
          <w:p>
            <w:pPr>
              <w:spacing w:before="0" w:after="0" w:line="240" w:lineRule="auto"/>
            </w:pPr>
            <w:r>
              <w:rPr>
                <w:rFonts w:ascii="Calibri" w:hAnsi="Calibri"/>
                <w:sz w:val="17"/>
              </w:rPr>
            </w:r>
            <w:r>
              <w:rPr>
                <w:rFonts w:ascii="Calibri" w:hAnsi="Calibri"/>
                <w:sz w:val="17"/>
              </w:rPr>
              <w:t>If the Transaction or merger agreement requires a charter amendment, another ≥66⅔% Series C vote — another Stonemill veto.</w:t>
            </w:r>
          </w:p>
        </w:tc>
      </w:tr>
      <w:tr>
        <w:tc>
          <w:tcPr>
            <w:tcW w:w="2412" w:type="dxa"/>
          </w:tcPr>
          <w:p>
            <w:pPr>
              <w:spacing w:before="0" w:after="0" w:line="240" w:lineRule="auto"/>
            </w:pPr>
            <w:r>
              <w:rPr>
                <w:rFonts w:ascii="Calibri" w:hAnsi="Calibri"/>
                <w:sz w:val="17"/>
              </w:rPr>
            </w:r>
            <w:r>
              <w:rPr>
                <w:rFonts w:ascii="Calibri" w:hAnsi="Calibri"/>
                <w:sz w:val="17"/>
              </w:rPr>
              <w:t>4</w:t>
            </w:r>
          </w:p>
        </w:tc>
        <w:tc>
          <w:tcPr>
            <w:tcW w:w="2412" w:type="dxa"/>
          </w:tcPr>
          <w:p>
            <w:pPr>
              <w:spacing w:before="0" w:after="0" w:line="240" w:lineRule="auto"/>
            </w:pPr>
            <w:r>
              <w:rPr>
                <w:rFonts w:ascii="Calibri" w:hAnsi="Calibri"/>
                <w:sz w:val="17"/>
              </w:rPr>
            </w:r>
            <w:r>
              <w:rPr>
                <w:rFonts w:ascii="Calibri" w:hAnsi="Calibri"/>
                <w:sz w:val="17"/>
              </w:rPr>
              <w:t>All-Preferred consent on charter amendments adversely affecting Preferred</w:t>
            </w:r>
          </w:p>
        </w:tc>
        <w:tc>
          <w:tcPr>
            <w:tcW w:w="2412" w:type="dxa"/>
          </w:tcPr>
          <w:p>
            <w:pPr>
              <w:spacing w:before="0" w:after="0" w:line="240" w:lineRule="auto"/>
            </w:pPr>
            <w:r>
              <w:rPr>
                <w:rFonts w:ascii="Calibri" w:hAnsi="Calibri"/>
                <w:sz w:val="17"/>
              </w:rPr>
            </w:r>
            <w:r>
              <w:rPr>
                <w:rFonts w:ascii="Calibri" w:hAnsi="Calibri"/>
                <w:sz w:val="17"/>
              </w:rPr>
              <w:t>Restated Cert. §4.3.6(a)(i), §8.1</w:t>
            </w:r>
          </w:p>
        </w:tc>
        <w:tc>
          <w:tcPr>
            <w:tcW w:w="2412" w:type="dxa"/>
          </w:tcPr>
          <w:p>
            <w:pPr>
              <w:spacing w:before="0" w:after="0" w:line="240" w:lineRule="auto"/>
            </w:pPr>
            <w:r>
              <w:rPr>
                <w:rFonts w:ascii="Calibri" w:hAnsi="Calibri"/>
                <w:sz w:val="17"/>
              </w:rPr>
            </w:r>
            <w:r>
              <w:rPr>
                <w:rFonts w:ascii="Calibri" w:hAnsi="Calibri"/>
                <w:sz w:val="17"/>
              </w:rPr>
              <w:t>&gt;50% of Preferred; achievable without Stonemill but tight.</w:t>
            </w:r>
          </w:p>
        </w:tc>
      </w:tr>
      <w:tr>
        <w:tc>
          <w:tcPr>
            <w:tcW w:w="2412" w:type="dxa"/>
          </w:tcPr>
          <w:p>
            <w:pPr>
              <w:spacing w:before="0" w:after="0" w:line="240" w:lineRule="auto"/>
            </w:pPr>
            <w:r>
              <w:rPr>
                <w:rFonts w:ascii="Calibri" w:hAnsi="Calibri"/>
                <w:sz w:val="17"/>
              </w:rPr>
            </w:r>
            <w:r>
              <w:rPr>
                <w:rFonts w:ascii="Calibri" w:hAnsi="Calibri"/>
                <w:sz w:val="17"/>
              </w:rPr>
              <w:t>5</w:t>
            </w:r>
          </w:p>
        </w:tc>
        <w:tc>
          <w:tcPr>
            <w:tcW w:w="2412" w:type="dxa"/>
          </w:tcPr>
          <w:p>
            <w:pPr>
              <w:spacing w:before="0" w:after="0" w:line="240" w:lineRule="auto"/>
            </w:pPr>
            <w:r>
              <w:rPr>
                <w:rFonts w:ascii="Calibri" w:hAnsi="Calibri"/>
                <w:sz w:val="17"/>
              </w:rPr>
            </w:r>
            <w:r>
              <w:rPr>
                <w:rFonts w:ascii="Calibri" w:hAnsi="Calibri"/>
                <w:sz w:val="17"/>
              </w:rPr>
              <w:t>Preferred consent on indebtedness &gt; $5M</w:t>
            </w:r>
          </w:p>
        </w:tc>
        <w:tc>
          <w:tcPr>
            <w:tcW w:w="2412" w:type="dxa"/>
          </w:tcPr>
          <w:p>
            <w:pPr>
              <w:spacing w:before="0" w:after="0" w:line="240" w:lineRule="auto"/>
            </w:pPr>
            <w:r>
              <w:rPr>
                <w:rFonts w:ascii="Calibri" w:hAnsi="Calibri"/>
                <w:sz w:val="17"/>
              </w:rPr>
            </w:r>
            <w:r>
              <w:rPr>
                <w:rFonts w:ascii="Calibri" w:hAnsi="Calibri"/>
                <w:sz w:val="17"/>
              </w:rPr>
              <w:t>Restated Cert. §4.3.6(a)(v)</w:t>
            </w:r>
          </w:p>
        </w:tc>
        <w:tc>
          <w:tcPr>
            <w:tcW w:w="2412" w:type="dxa"/>
          </w:tcPr>
          <w:p>
            <w:pPr>
              <w:spacing w:before="0" w:after="0" w:line="240" w:lineRule="auto"/>
            </w:pPr>
            <w:r>
              <w:rPr>
                <w:rFonts w:ascii="Calibri" w:hAnsi="Calibri"/>
                <w:sz w:val="17"/>
              </w:rPr>
            </w:r>
            <w:r>
              <w:rPr>
                <w:rFonts w:ascii="Calibri" w:hAnsi="Calibri"/>
                <w:sz w:val="17"/>
              </w:rPr>
              <w:t>Relevant to the Clearfield term loan (Area 8). If consent was not obtained for the $12M loan, Stonemill has a breach claim — additional leverage.</w:t>
            </w:r>
          </w:p>
        </w:tc>
      </w:tr>
      <w:tr>
        <w:tc>
          <w:tcPr>
            <w:tcW w:w="2412" w:type="dxa"/>
          </w:tcPr>
          <w:p>
            <w:pPr>
              <w:spacing w:before="0" w:after="0" w:line="240" w:lineRule="auto"/>
            </w:pPr>
            <w:r>
              <w:rPr>
                <w:rFonts w:ascii="Calibri" w:hAnsi="Calibri"/>
                <w:sz w:val="17"/>
              </w:rPr>
            </w:r>
            <w:r>
              <w:rPr>
                <w:rFonts w:ascii="Calibri" w:hAnsi="Calibri"/>
                <w:sz w:val="17"/>
              </w:rPr>
              <w:t>6</w:t>
            </w:r>
          </w:p>
        </w:tc>
        <w:tc>
          <w:tcPr>
            <w:tcW w:w="2412" w:type="dxa"/>
          </w:tcPr>
          <w:p>
            <w:pPr>
              <w:spacing w:before="0" w:after="0" w:line="240" w:lineRule="auto"/>
            </w:pPr>
            <w:r>
              <w:rPr>
                <w:rFonts w:ascii="Calibri" w:hAnsi="Calibri"/>
                <w:sz w:val="17"/>
              </w:rPr>
            </w:r>
            <w:r>
              <w:rPr>
                <w:rFonts w:ascii="Calibri" w:hAnsi="Calibri"/>
                <w:sz w:val="17"/>
              </w:rPr>
              <w:t>Board seat (Series C Director)</w:t>
            </w:r>
          </w:p>
        </w:tc>
        <w:tc>
          <w:tcPr>
            <w:tcW w:w="2412" w:type="dxa"/>
          </w:tcPr>
          <w:p>
            <w:pPr>
              <w:spacing w:before="0" w:after="0" w:line="240" w:lineRule="auto"/>
            </w:pPr>
            <w:r>
              <w:rPr>
                <w:rFonts w:ascii="Calibri" w:hAnsi="Calibri"/>
                <w:sz w:val="17"/>
              </w:rPr>
            </w:r>
            <w:r>
              <w:rPr>
                <w:rFonts w:ascii="Calibri" w:hAnsi="Calibri"/>
                <w:sz w:val="17"/>
              </w:rPr>
              <w:t>Voting Ag. §2.2(c)</w:t>
            </w:r>
          </w:p>
        </w:tc>
        <w:tc>
          <w:tcPr>
            <w:tcW w:w="2412" w:type="dxa"/>
          </w:tcPr>
          <w:p>
            <w:pPr>
              <w:spacing w:before="0" w:after="0" w:line="240" w:lineRule="auto"/>
            </w:pPr>
            <w:r>
              <w:rPr>
                <w:rFonts w:ascii="Calibri" w:hAnsi="Calibri"/>
                <w:sz w:val="17"/>
              </w:rPr>
            </w:r>
            <w:r>
              <w:rPr>
                <w:rFonts w:ascii="Calibri" w:hAnsi="Calibri"/>
                <w:sz w:val="17"/>
              </w:rPr>
              <w:t>Julian Trask votes on Board matters; has voted against Hargrove-related actions (exclusivity, definitive-doc authorization). Cannot block Board action alone (1 of 7) but creates a dissent record.</w:t>
            </w:r>
          </w:p>
        </w:tc>
      </w:tr>
      <w:tr>
        <w:tc>
          <w:tcPr>
            <w:tcW w:w="2412" w:type="dxa"/>
          </w:tcPr>
          <w:p>
            <w:pPr>
              <w:spacing w:before="0" w:after="0" w:line="240" w:lineRule="auto"/>
            </w:pPr>
            <w:r>
              <w:rPr>
                <w:rFonts w:ascii="Calibri" w:hAnsi="Calibri"/>
                <w:sz w:val="17"/>
              </w:rPr>
            </w:r>
            <w:r>
              <w:rPr>
                <w:rFonts w:ascii="Calibri" w:hAnsi="Calibri"/>
                <w:sz w:val="17"/>
              </w:rPr>
              <w:t>7</w:t>
            </w:r>
          </w:p>
        </w:tc>
        <w:tc>
          <w:tcPr>
            <w:tcW w:w="2412" w:type="dxa"/>
          </w:tcPr>
          <w:p>
            <w:pPr>
              <w:spacing w:before="0" w:after="0" w:line="240" w:lineRule="auto"/>
            </w:pPr>
            <w:r>
              <w:rPr>
                <w:rFonts w:ascii="Calibri" w:hAnsi="Calibri"/>
                <w:sz w:val="17"/>
              </w:rPr>
            </w:r>
            <w:r>
              <w:rPr>
                <w:rFonts w:ascii="Calibri" w:hAnsi="Calibri"/>
                <w:sz w:val="17"/>
              </w:rPr>
              <w:t>Board observer right</w:t>
            </w:r>
          </w:p>
        </w:tc>
        <w:tc>
          <w:tcPr>
            <w:tcW w:w="2412" w:type="dxa"/>
          </w:tcPr>
          <w:p>
            <w:pPr>
              <w:spacing w:before="0" w:after="0" w:line="240" w:lineRule="auto"/>
            </w:pPr>
            <w:r>
              <w:rPr>
                <w:rFonts w:ascii="Calibri" w:hAnsi="Calibri"/>
                <w:sz w:val="17"/>
              </w:rPr>
            </w:r>
            <w:r>
              <w:rPr>
                <w:rFonts w:ascii="Calibri" w:hAnsi="Calibri"/>
                <w:sz w:val="17"/>
              </w:rPr>
              <w:t>Voting Ag. §4</w:t>
            </w:r>
          </w:p>
        </w:tc>
        <w:tc>
          <w:tcPr>
            <w:tcW w:w="2412" w:type="dxa"/>
          </w:tcPr>
          <w:p>
            <w:pPr>
              <w:spacing w:before="0" w:after="0" w:line="240" w:lineRule="auto"/>
            </w:pPr>
            <w:r>
              <w:rPr>
                <w:rFonts w:ascii="Calibri" w:hAnsi="Calibri"/>
                <w:sz w:val="17"/>
              </w:rPr>
            </w:r>
            <w:r>
              <w:rPr>
                <w:rFonts w:ascii="Calibri" w:hAnsi="Calibri"/>
                <w:sz w:val="17"/>
              </w:rPr>
              <w:t>Non-voting observer entitled to all Board materials; information access. (Absent from April 17, 2024 meeting — confirm notice.)</w:t>
            </w:r>
          </w:p>
        </w:tc>
      </w:tr>
      <w:tr>
        <w:tc>
          <w:tcPr>
            <w:tcW w:w="2412" w:type="dxa"/>
          </w:tcPr>
          <w:p>
            <w:pPr>
              <w:spacing w:before="0" w:after="0" w:line="240" w:lineRule="auto"/>
            </w:pPr>
            <w:r>
              <w:rPr>
                <w:rFonts w:ascii="Calibri" w:hAnsi="Calibri"/>
                <w:sz w:val="17"/>
              </w:rPr>
            </w:r>
            <w:r>
              <w:rPr>
                <w:rFonts w:ascii="Calibri" w:hAnsi="Calibri"/>
                <w:sz w:val="17"/>
              </w:rPr>
              <w:t>8</w:t>
            </w:r>
          </w:p>
        </w:tc>
        <w:tc>
          <w:tcPr>
            <w:tcW w:w="2412" w:type="dxa"/>
          </w:tcPr>
          <w:p>
            <w:pPr>
              <w:spacing w:before="0" w:after="0" w:line="240" w:lineRule="auto"/>
            </w:pPr>
            <w:r>
              <w:rPr>
                <w:rFonts w:ascii="Calibri" w:hAnsi="Calibri"/>
                <w:sz w:val="17"/>
              </w:rPr>
            </w:r>
            <w:r>
              <w:rPr>
                <w:rFonts w:ascii="Calibri" w:hAnsi="Calibri"/>
                <w:sz w:val="17"/>
              </w:rPr>
              <w:t>Drag-along — cannot be triggered against Stonemill</w:t>
            </w:r>
          </w:p>
        </w:tc>
        <w:tc>
          <w:tcPr>
            <w:tcW w:w="2412" w:type="dxa"/>
          </w:tcPr>
          <w:p>
            <w:pPr>
              <w:spacing w:before="0" w:after="0" w:line="240" w:lineRule="auto"/>
            </w:pPr>
            <w:r>
              <w:rPr>
                <w:rFonts w:ascii="Calibri" w:hAnsi="Calibri"/>
                <w:sz w:val="17"/>
              </w:rPr>
            </w:r>
            <w:r>
              <w:rPr>
                <w:rFonts w:ascii="Calibri" w:hAnsi="Calibri"/>
                <w:sz w:val="17"/>
              </w:rPr>
              <w:t>Stockholders’ Ag. §3.1</w:t>
            </w:r>
          </w:p>
        </w:tc>
        <w:tc>
          <w:tcPr>
            <w:tcW w:w="2412" w:type="dxa"/>
          </w:tcPr>
          <w:p>
            <w:pPr>
              <w:spacing w:before="0" w:after="0" w:line="240" w:lineRule="auto"/>
            </w:pPr>
            <w:r>
              <w:rPr>
                <w:rFonts w:ascii="Calibri" w:hAnsi="Calibri"/>
                <w:sz w:val="17"/>
              </w:rPr>
            </w:r>
            <w:r>
              <w:rPr>
                <w:rFonts w:ascii="Calibri" w:hAnsi="Calibri"/>
                <w:sz w:val="17"/>
              </w:rPr>
              <w:t>Under the broad reading of prong (i), the drag-along cannot be triggered without Stonemill’s own votes; under the narrow reading it can, but overriding the charter veto is uncertain. Not a reliable tool against Stonemill.</w:t>
            </w:r>
          </w:p>
        </w:tc>
      </w:tr>
      <w:tr>
        <w:tc>
          <w:tcPr>
            <w:tcW w:w="2412" w:type="dxa"/>
          </w:tcPr>
          <w:p>
            <w:pPr>
              <w:spacing w:before="0" w:after="0" w:line="240" w:lineRule="auto"/>
            </w:pPr>
            <w:r>
              <w:rPr>
                <w:rFonts w:ascii="Calibri" w:hAnsi="Calibri"/>
                <w:sz w:val="17"/>
              </w:rPr>
            </w:r>
            <w:r>
              <w:rPr>
                <w:rFonts w:ascii="Calibri" w:hAnsi="Calibri"/>
                <w:sz w:val="17"/>
              </w:rPr>
              <w:t>9</w:t>
            </w:r>
          </w:p>
        </w:tc>
        <w:tc>
          <w:tcPr>
            <w:tcW w:w="2412" w:type="dxa"/>
          </w:tcPr>
          <w:p>
            <w:pPr>
              <w:spacing w:before="0" w:after="0" w:line="240" w:lineRule="auto"/>
            </w:pPr>
            <w:r>
              <w:rPr>
                <w:rFonts w:ascii="Calibri" w:hAnsi="Calibri"/>
                <w:sz w:val="17"/>
              </w:rPr>
            </w:r>
            <w:r>
              <w:rPr>
                <w:rFonts w:ascii="Calibri" w:hAnsi="Calibri"/>
                <w:sz w:val="17"/>
              </w:rPr>
              <w:t>Economic break-even</w:t>
            </w:r>
          </w:p>
        </w:tc>
        <w:tc>
          <w:tcPr>
            <w:tcW w:w="2412" w:type="dxa"/>
          </w:tcPr>
          <w:p>
            <w:pPr>
              <w:spacing w:before="0" w:after="0" w:line="240" w:lineRule="auto"/>
            </w:pPr>
            <w:r>
              <w:rPr>
                <w:rFonts w:ascii="Calibri" w:hAnsi="Calibri"/>
                <w:sz w:val="17"/>
              </w:rPr>
            </w:r>
            <w:r>
              <w:rPr>
                <w:rFonts w:ascii="Calibri" w:hAnsi="Calibri"/>
                <w:sz w:val="17"/>
              </w:rPr>
              <w:t>Waterfall (Appendix B)</w:t>
            </w:r>
          </w:p>
        </w:tc>
        <w:tc>
          <w:tcPr>
            <w:tcW w:w="2412" w:type="dxa"/>
          </w:tcPr>
          <w:p>
            <w:pPr>
              <w:spacing w:before="0" w:after="0" w:line="240" w:lineRule="auto"/>
            </w:pPr>
            <w:r>
              <w:rPr>
                <w:rFonts w:ascii="Calibri" w:hAnsi="Calibri"/>
                <w:sz w:val="17"/>
              </w:rPr>
            </w:r>
            <w:r>
              <w:rPr>
                <w:rFonts w:ascii="Calibri" w:hAnsi="Calibri"/>
                <w:sz w:val="17"/>
              </w:rPr>
              <w:t>Series C receives only its $18.50 preference (break-even) while all others receive upside — the economic motivation to extract concessions.</w:t>
            </w:r>
          </w:p>
        </w:tc>
      </w:tr>
      <w:tr>
        <w:tc>
          <w:tcPr>
            <w:tcW w:w="2412" w:type="dxa"/>
          </w:tcPr>
          <w:p>
            <w:pPr>
              <w:spacing w:before="0" w:after="0" w:line="240" w:lineRule="auto"/>
            </w:pPr>
            <w:r>
              <w:rPr>
                <w:rFonts w:ascii="Calibri" w:hAnsi="Calibri"/>
                <w:sz w:val="17"/>
              </w:rPr>
            </w:r>
            <w:r>
              <w:rPr>
                <w:rFonts w:ascii="Calibri" w:hAnsi="Calibri"/>
                <w:sz w:val="17"/>
              </w:rPr>
              <w:t>10</w:t>
            </w:r>
          </w:p>
        </w:tc>
        <w:tc>
          <w:tcPr>
            <w:tcW w:w="2412" w:type="dxa"/>
          </w:tcPr>
          <w:p>
            <w:pPr>
              <w:spacing w:before="0" w:after="0" w:line="240" w:lineRule="auto"/>
            </w:pPr>
            <w:r>
              <w:rPr>
                <w:rFonts w:ascii="Calibri" w:hAnsi="Calibri"/>
                <w:sz w:val="17"/>
              </w:rPr>
            </w:r>
            <w:r>
              <w:rPr>
                <w:rFonts w:ascii="Calibri" w:hAnsi="Calibri"/>
                <w:sz w:val="17"/>
              </w:rPr>
              <w:t>Dissent record / process objections</w:t>
            </w:r>
          </w:p>
        </w:tc>
        <w:tc>
          <w:tcPr>
            <w:tcW w:w="2412" w:type="dxa"/>
          </w:tcPr>
          <w:p>
            <w:pPr>
              <w:spacing w:before="0" w:after="0" w:line="240" w:lineRule="auto"/>
            </w:pPr>
            <w:r>
              <w:rPr>
                <w:rFonts w:ascii="Calibri" w:hAnsi="Calibri"/>
                <w:sz w:val="17"/>
              </w:rPr>
            </w:r>
            <w:r>
              <w:rPr>
                <w:rFonts w:ascii="Calibri" w:hAnsi="Calibri"/>
                <w:sz w:val="17"/>
              </w:rPr>
              <w:t>Board minutes (Apr. 17, Jul. 10, Sep. 25, 2024)</w:t>
            </w:r>
          </w:p>
        </w:tc>
        <w:tc>
          <w:tcPr>
            <w:tcW w:w="2412" w:type="dxa"/>
          </w:tcPr>
          <w:p>
            <w:pPr>
              <w:spacing w:before="0" w:after="0" w:line="240" w:lineRule="auto"/>
            </w:pPr>
            <w:r>
              <w:rPr>
                <w:rFonts w:ascii="Calibri" w:hAnsi="Calibri"/>
                <w:sz w:val="17"/>
              </w:rPr>
            </w:r>
            <w:r>
              <w:rPr>
                <w:rFonts w:ascii="Calibri" w:hAnsi="Calibri"/>
                <w:sz w:val="17"/>
              </w:rPr>
              <w:t>Trask’s objections and votes create a record Stonemill can use to challenge the sale process (Revlon) or support a blocking posture.</w:t>
            </w:r>
          </w:p>
        </w:tc>
      </w:tr>
    </w:tbl>
    <w:p>
      <w:pPr>
        <w:pStyle w:val="BodyText"/>
        <w:keepNext w:val="0"/>
        <w:keepLines w:val="0"/>
        <w:spacing w:before="0" w:after="60" w:line="240" w:lineRule="auto"/>
      </w:pPr>
      <w:r>
        <w:rPr>
          <w:rFonts w:ascii="Calibri" w:hAnsi="Calibri"/>
          <w:b/>
          <w:bCs/>
          <w:sz w:val="20"/>
        </w:rPr>
        <w:t xml:space="preserve">Conclusion.</w:t>
      </w:r>
      <w:r>
        <w:rPr>
          <w:rFonts w:ascii="Calibri" w:hAnsi="Calibri"/>
          <w:sz w:val="20"/>
        </w:rPr>
        <w:t xml:space="preserve"> </w:t>
      </w:r>
      <w:r>
        <w:rPr>
          <w:rFonts w:ascii="Calibri" w:hAnsi="Calibri"/>
          <w:sz w:val="20"/>
        </w:rPr>
        <w:t xml:space="preserve">Stonemill’s leverage is anchored by the charter-level Series C separate-class veto (item 1), which is absolute and cannot be circumvented by contract. The remaining points (items 2–10) reinforce Stonemill’s position and provide additional negotiating chips and litigation ammunition. The practical implication is that</w:t>
      </w:r>
      <w:r>
        <w:rPr>
          <w:rFonts w:ascii="Calibri" w:hAnsi="Calibri"/>
          <w:sz w:val="20"/>
        </w:rPr>
        <w:t xml:space="preserve"> </w:t>
      </w:r>
      <w:r>
        <w:rPr>
          <w:rFonts w:ascii="Calibri" w:hAnsi="Calibri"/>
          <w:b/>
          <w:bCs/>
          <w:sz w:val="20"/>
        </w:rPr>
        <w:t xml:space="preserve">Hargrove must treat Stonemill as a consenting party, not a party to be dragged.</w:t>
      </w:r>
    </w:p>
    <w:p>
      <w:pPr>
        <w:keepNext w:val="0"/>
        <w:keepLines w:val="0"/>
        <w:spacing w:before="0" w:after="60" w:line="240" w:lineRule="auto"/>
      </w:pPr>
      <w:r>
        <w:rPr>
          <w:rFonts w:ascii="Calibri" w:hAnsi="Calibri"/>
          <w:sz w:val="20"/>
        </w:rPr>
        <w:pict>
          <v:rect style="width:0;height:1.5pt" o:hralign="center" o:hrstd="t" o:hr="t"/>
        </w:pict>
      </w:r>
    </w:p>
    <w:bookmarkEnd w:id="30"/>
    <w:bookmarkStart w:id="37" w:name="X369724edc836995650d77602119295b06982799"/>
    <w:p>
      <w:pPr>
        <w:pStyle w:val="Heading2"/>
        <w:keepNext w:val="0"/>
        <w:keepLines w:val="0"/>
        <w:spacing w:before="140" w:after="40" w:line="240" w:lineRule="auto"/>
      </w:pPr>
      <w:r>
        <w:rPr>
          <w:rFonts w:ascii="Calibri" w:hAnsi="Calibri"/>
          <w:sz w:val="25"/>
        </w:rPr>
        <w:t xml:space="preserve">IV. Area 1 — Change-of-Control Consent Requirements</w:t>
      </w:r>
    </w:p>
    <w:bookmarkStart w:id="31" w:name="Xf248bf321ff6d64d02adffc74a277c8714a4530"/>
    <w:p>
      <w:pPr>
        <w:pStyle w:val="Heading3"/>
        <w:keepNext w:val="0"/>
        <w:keepLines w:val="0"/>
        <w:spacing w:before="100" w:after="20" w:line="240" w:lineRule="auto"/>
      </w:pPr>
      <w:r>
        <w:rPr>
          <w:rFonts w:ascii="Calibri" w:hAnsi="Calibri"/>
          <w:sz w:val="22"/>
        </w:rPr>
        <w:t xml:space="preserve">A. Charter Protective Provisions (Restated Certificate)</w:t>
      </w:r>
    </w:p>
    <w:p>
      <w:pPr>
        <w:pStyle w:val="FirstParagraph"/>
        <w:keepNext w:val="0"/>
        <w:keepLines w:val="0"/>
        <w:spacing w:before="0" w:after="60" w:line="240" w:lineRule="auto"/>
      </w:pPr>
      <w:r>
        <w:rPr>
          <w:rFonts w:ascii="Calibri" w:hAnsi="Calibri"/>
          <w:sz w:val="20"/>
        </w:rPr>
        <w:t xml:space="preserve">The Transaction is a</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under §4.3.2(d). Specifically, §4.3.2(d)(i) captures any merger in which the Company’s stockholders do not retain at least 50% of the voting power of the surviving/resulting entity, and §4.3.2(d)(iii) captures any transaction transferring more than 50% of the Company’s voting power. The reverse triangular merger satisfies both prongs (Terravox stockholders receive cash and retain 0% of Hargrove). The Company must give Preferred holders at least 20 days’ written notice of the Liquidation Event with material terms and a good-faith per-share distribution estimate (§4.3.2(d), last paragraph).</w:t>
      </w:r>
    </w:p>
    <w:p>
      <w:pPr>
        <w:pStyle w:val="BodyText"/>
        <w:keepNext w:val="0"/>
        <w:keepLines w:val="0"/>
        <w:spacing w:before="0" w:after="60" w:line="240" w:lineRule="auto"/>
      </w:pPr>
      <w:r>
        <w:rPr>
          <w:rFonts w:ascii="Calibri" w:hAnsi="Calibri"/>
          <w:sz w:val="20"/>
        </w:rPr>
        <w:t xml:space="preserve">Two protective provisions are triggered:</w:t>
      </w:r>
    </w:p>
    <w:p>
      <w:pPr>
        <w:keepNext w:val="0"/>
        <w:keepLines w:val="0"/>
        <w:numPr>
          <w:ilvl w:val="0"/>
          <w:numId w:val="1003"/>
        </w:numPr>
        <w:spacing w:before="0" w:after="60" w:line="240" w:lineRule="auto"/>
      </w:pPr>
      <w:r>
        <w:rPr>
          <w:rFonts w:ascii="Calibri" w:hAnsi="Calibri"/>
          <w:b/>
          <w:bCs/>
          <w:sz w:val="20"/>
        </w:rPr>
        <w:t xml:space="preserve">All-Preferred class vote — §4.3.6(a)(vi).</w:t>
      </w:r>
      <w:r>
        <w:rPr>
          <w:rFonts w:ascii="Calibri" w:hAnsi="Calibri"/>
          <w:sz w:val="20"/>
        </w:rPr>
        <w:t xml:space="preserve"> </w:t>
      </w:r>
      <w:r>
        <w:rPr>
          <w:rFonts w:ascii="Calibri" w:hAnsi="Calibri"/>
          <w:sz w:val="20"/>
        </w:rPr>
        <w:t xml:space="preserve">The Company may not</w:t>
      </w:r>
      <w:r>
        <w:rPr>
          <w:rFonts w:ascii="Calibri" w:hAnsi="Calibri"/>
          <w:sz w:val="20"/>
        </w:rPr>
        <w:t xml:space="preserve"> </w:t>
      </w:r>
      <w:r>
        <w:rPr>
          <w:rFonts w:ascii="Calibri" w:hAnsi="Calibri"/>
          <w:sz w:val="20"/>
        </w:rPr>
        <w:t xml:space="preserve">“</w:t>
      </w:r>
      <w:r>
        <w:rPr>
          <w:rFonts w:ascii="Calibri" w:hAnsi="Calibri"/>
          <w:sz w:val="20"/>
        </w:rPr>
        <w:t xml:space="preserve">effect any Liquidation Event</w:t>
      </w:r>
      <w:r>
        <w:rPr>
          <w:rFonts w:ascii="Calibri" w:hAnsi="Calibri"/>
          <w:sz w:val="20"/>
        </w:rPr>
        <w:t xml:space="preserve">”</w:t>
      </w:r>
      <w:r>
        <w:rPr>
          <w:rFonts w:ascii="Calibri" w:hAnsi="Calibri"/>
          <w:sz w:val="20"/>
        </w:rPr>
        <w:t xml:space="preserve"> </w:t>
      </w:r>
      <w:r>
        <w:rPr>
          <w:rFonts w:ascii="Calibri" w:hAnsi="Calibri"/>
          <w:sz w:val="20"/>
        </w:rPr>
        <w:t xml:space="preserve">without the prior written consent or affirmative vote of holders of</w:t>
      </w:r>
      <w:r>
        <w:rPr>
          <w:rFonts w:ascii="Calibri" w:hAnsi="Calibri"/>
          <w:sz w:val="20"/>
        </w:rPr>
        <w:t xml:space="preserve"> </w:t>
      </w:r>
      <w:r>
        <w:rPr>
          <w:rFonts w:ascii="Calibri" w:hAnsi="Calibri"/>
          <w:b/>
          <w:bCs/>
          <w:sz w:val="20"/>
        </w:rPr>
        <w:t xml:space="preserve">more than 50% of the then-outstanding Preferred Stock, voting together as a single class on an as-converted basis.</w:t>
      </w:r>
      <w:r>
        <w:rPr>
          <w:rFonts w:ascii="Calibri" w:hAnsi="Calibri"/>
          <w:sz w:val="20"/>
        </w:rPr>
        <w:t xml:space="preserve"> </w:t>
      </w:r>
      <w:r>
        <w:rPr>
          <w:rFonts w:ascii="Calibri" w:hAnsi="Calibri"/>
          <w:sz w:val="20"/>
        </w:rPr>
        <w:t xml:space="preserve">The charter fixes the threshold at</w:t>
      </w:r>
      <w:r>
        <w:rPr>
          <w:rFonts w:ascii="Calibri" w:hAnsi="Calibri"/>
          <w:sz w:val="20"/>
        </w:rPr>
        <w:t xml:space="preserve"> </w:t>
      </w:r>
      <w:r>
        <w:rPr>
          <w:rFonts w:ascii="Calibri" w:hAnsi="Calibri"/>
          <w:b/>
          <w:bCs/>
          <w:sz w:val="20"/>
        </w:rPr>
        <w:t xml:space="preserve">&gt;8,250,000 shares</w:t>
      </w:r>
      <w:r>
        <w:rPr>
          <w:rFonts w:ascii="Calibri" w:hAnsi="Calibri"/>
          <w:sz w:val="20"/>
        </w:rPr>
        <w:t xml:space="preserve"> </w:t>
      </w:r>
      <w:r>
        <w:rPr>
          <w:rFonts w:ascii="Calibri" w:hAnsi="Calibri"/>
          <w:sz w:val="20"/>
        </w:rPr>
        <w:t xml:space="preserve">(based on 16,500,000 Preferred outstanding).</w:t>
      </w:r>
      <w:r>
        <w:rPr>
          <w:rFonts w:ascii="Calibri" w:hAnsi="Calibri"/>
          <w:sz w:val="20"/>
        </w:rPr>
        <w:t xml:space="preserve"> </w:t>
      </w:r>
      <w:r>
        <w:rPr>
          <w:rFonts w:ascii="Calibri" w:hAnsi="Calibri"/>
          <w:b/>
          <w:bCs/>
          <w:sz w:val="20"/>
        </w:rPr>
        <w:t xml:space="preserve">Can be met without Stonemill:</w:t>
      </w:r>
      <w:r>
        <w:rPr>
          <w:rFonts w:ascii="Calibri" w:hAnsi="Calibri"/>
          <w:sz w:val="20"/>
        </w:rPr>
        <w:t xml:space="preserve"> </w:t>
      </w:r>
      <w:r>
        <w:rPr>
          <w:rFonts w:ascii="Calibri" w:hAnsi="Calibri"/>
          <w:sz w:val="20"/>
        </w:rPr>
        <w:t xml:space="preserve">Ridgeline (3,500,000) + Northbridge (5,200,000) = 8,700,000 &gt; 8,250,000 — but only if</w:t>
      </w:r>
      <w:r>
        <w:rPr>
          <w:rFonts w:ascii="Calibri" w:hAnsi="Calibri"/>
          <w:sz w:val="20"/>
        </w:rPr>
        <w:t xml:space="preserve"> </w:t>
      </w:r>
      <w:r>
        <w:rPr>
          <w:rFonts w:ascii="Calibri" w:hAnsi="Calibri"/>
          <w:b/>
          <w:bCs/>
          <w:sz w:val="20"/>
        </w:rPr>
        <w:t xml:space="preserve">both</w:t>
      </w:r>
      <w:r>
        <w:rPr>
          <w:rFonts w:ascii="Calibri" w:hAnsi="Calibri"/>
          <w:sz w:val="20"/>
        </w:rPr>
        <w:t xml:space="preserve"> </w:t>
      </w:r>
      <w:r>
        <w:rPr>
          <w:rFonts w:ascii="Calibri" w:hAnsi="Calibri"/>
          <w:sz w:val="20"/>
        </w:rPr>
        <w:t xml:space="preserve">Ridgeline and Northbridge consent. If either withholds, this vote fails.</w:t>
      </w:r>
    </w:p>
    <w:p>
      <w:pPr>
        <w:keepNext w:val="0"/>
        <w:keepLines w:val="0"/>
        <w:numPr>
          <w:ilvl w:val="0"/>
          <w:numId w:val="1003"/>
        </w:numPr>
        <w:spacing w:before="0" w:after="60" w:line="240" w:lineRule="auto"/>
      </w:pPr>
      <w:r>
        <w:rPr>
          <w:rFonts w:ascii="Calibri" w:hAnsi="Calibri"/>
          <w:b/>
          <w:bCs/>
          <w:sz w:val="20"/>
        </w:rPr>
        <w:t xml:space="preserve">Series C separate-class vote — §4.3.6(b)(i).</w:t>
      </w:r>
      <w:r>
        <w:rPr>
          <w:rFonts w:ascii="Calibri" w:hAnsi="Calibri"/>
          <w:sz w:val="20"/>
        </w:rPr>
        <w:t xml:space="preserve"> </w:t>
      </w:r>
      <w:r>
        <w:rPr>
          <w:rFonts w:ascii="Calibri" w:hAnsi="Calibri"/>
          <w:sz w:val="20"/>
        </w:rPr>
        <w:t xml:space="preserve">The Company may not</w:t>
      </w:r>
      <w:r>
        <w:rPr>
          <w:rFonts w:ascii="Calibri" w:hAnsi="Calibri"/>
          <w:sz w:val="20"/>
        </w:rPr>
        <w:t xml:space="preserve"> </w:t>
      </w:r>
      <w:r>
        <w:rPr>
          <w:rFonts w:ascii="Calibri" w:hAnsi="Calibri"/>
          <w:sz w:val="20"/>
        </w:rPr>
        <w:t xml:space="preserve">“</w:t>
      </w:r>
      <w:r>
        <w:rPr>
          <w:rFonts w:ascii="Calibri" w:hAnsi="Calibri"/>
          <w:sz w:val="20"/>
        </w:rPr>
        <w:t xml:space="preserve">effect any Liquidation Event</w:t>
      </w:r>
      <w:r>
        <w:rPr>
          <w:rFonts w:ascii="Calibri" w:hAnsi="Calibri"/>
          <w:sz w:val="20"/>
        </w:rPr>
        <w:t xml:space="preserve">”</w:t>
      </w:r>
      <w:r>
        <w:rPr>
          <w:rFonts w:ascii="Calibri" w:hAnsi="Calibri"/>
          <w:sz w:val="20"/>
        </w:rPr>
        <w:t xml:space="preserve"> </w:t>
      </w:r>
      <w:r>
        <w:rPr>
          <w:rFonts w:ascii="Calibri" w:hAnsi="Calibri"/>
          <w:sz w:val="20"/>
        </w:rPr>
        <w:t xml:space="preserve">without the prior written consent or affirmative vote of holders of</w:t>
      </w:r>
      <w:r>
        <w:rPr>
          <w:rFonts w:ascii="Calibri" w:hAnsi="Calibri"/>
          <w:sz w:val="20"/>
        </w:rPr>
        <w:t xml:space="preserve"> </w:t>
      </w:r>
      <w:r>
        <w:rPr>
          <w:rFonts w:ascii="Calibri" w:hAnsi="Calibri"/>
          <w:b/>
          <w:bCs/>
          <w:sz w:val="20"/>
        </w:rPr>
        <w:t xml:space="preserve">at least 66⅔% of the then-outstanding Series C Preferred Stock, voting as a separate class.</w:t>
      </w:r>
      <w:r>
        <w:rPr>
          <w:rFonts w:ascii="Calibri" w:hAnsi="Calibri"/>
          <w:sz w:val="20"/>
        </w:rPr>
        <w:t xml:space="preserve"> </w:t>
      </w:r>
      <w:r>
        <w:rPr>
          <w:rFonts w:ascii="Calibri" w:hAnsi="Calibri"/>
          <w:sz w:val="20"/>
        </w:rPr>
        <w:t xml:space="preserve">The charter fixes the threshold at</w:t>
      </w:r>
      <w:r>
        <w:rPr>
          <w:rFonts w:ascii="Calibri" w:hAnsi="Calibri"/>
          <w:sz w:val="20"/>
        </w:rPr>
        <w:t xml:space="preserve"> </w:t>
      </w:r>
      <w:r>
        <w:rPr>
          <w:rFonts w:ascii="Calibri" w:hAnsi="Calibri"/>
          <w:b/>
          <w:bCs/>
          <w:sz w:val="20"/>
        </w:rPr>
        <w:t xml:space="preserve">≥5,200,000 shares</w:t>
      </w:r>
      <w:r>
        <w:rPr>
          <w:rFonts w:ascii="Calibri" w:hAnsi="Calibri"/>
          <w:sz w:val="20"/>
        </w:rPr>
        <w:t xml:space="preserve"> </w:t>
      </w:r>
      <w:r>
        <w:rPr>
          <w:rFonts w:ascii="Calibri" w:hAnsi="Calibri"/>
          <w:sz w:val="20"/>
        </w:rPr>
        <w:t xml:space="preserve">(based on 7,800,000 Series C outstanding).</w:t>
      </w:r>
      <w:r>
        <w:rPr>
          <w:rFonts w:ascii="Calibri" w:hAnsi="Calibri"/>
          <w:sz w:val="20"/>
        </w:rPr>
        <w:t xml:space="preserve"> </w:t>
      </w:r>
      <w:r>
        <w:rPr>
          <w:rFonts w:ascii="Calibri" w:hAnsi="Calibri"/>
          <w:b/>
          <w:bCs/>
          <w:sz w:val="20"/>
        </w:rPr>
        <w:t xml:space="preserve">Cannot be met without Stonemill:</w:t>
      </w:r>
      <w:r>
        <w:rPr>
          <w:rFonts w:ascii="Calibri" w:hAnsi="Calibri"/>
          <w:sz w:val="20"/>
        </w:rPr>
        <w:t xml:space="preserve"> </w:t>
      </w:r>
      <w:r>
        <w:rPr>
          <w:rFonts w:ascii="Calibri" w:hAnsi="Calibri"/>
          <w:sz w:val="20"/>
        </w:rPr>
        <w:t xml:space="preserve">Stonemill holds 100% of the Series C (7,800,000 shares). This is an</w:t>
      </w:r>
      <w:r>
        <w:rPr>
          <w:rFonts w:ascii="Calibri" w:hAnsi="Calibri"/>
          <w:sz w:val="20"/>
        </w:rPr>
        <w:t xml:space="preserve"> </w:t>
      </w:r>
      <w:r>
        <w:rPr>
          <w:rFonts w:ascii="Calibri" w:hAnsi="Calibri"/>
          <w:b/>
          <w:bCs/>
          <w:sz w:val="20"/>
        </w:rPr>
        <w:t xml:space="preserve">absolute veto.</w:t>
      </w:r>
      <w:r>
        <w:rPr>
          <w:rFonts w:ascii="Calibri" w:hAnsi="Calibri"/>
          <w:sz w:val="20"/>
        </w:rPr>
        <w:t xml:space="preserve"> </w:t>
      </w:r>
      <w:r>
        <w:rPr>
          <w:rFonts w:ascii="Calibri" w:hAnsi="Calibri"/>
          <w:sz w:val="20"/>
        </w:rPr>
        <w:t xml:space="preserve">The charter expressly states this consent is</w:t>
      </w:r>
      <w:r>
        <w:rPr>
          <w:rFonts w:ascii="Calibri" w:hAnsi="Calibri"/>
          <w:sz w:val="20"/>
        </w:rPr>
        <w:t xml:space="preserve"> </w:t>
      </w:r>
      <w:r>
        <w:rPr>
          <w:rFonts w:ascii="Calibri" w:hAnsi="Calibri"/>
          <w:sz w:val="20"/>
        </w:rPr>
        <w:t xml:space="preserve">“</w:t>
      </w:r>
      <w:r>
        <w:rPr>
          <w:rFonts w:ascii="Calibri" w:hAnsi="Calibri"/>
          <w:sz w:val="20"/>
        </w:rPr>
        <w:t xml:space="preserve">separate from and in addition to</w:t>
      </w:r>
      <w:r>
        <w:rPr>
          <w:rFonts w:ascii="Calibri" w:hAnsi="Calibri"/>
          <w:sz w:val="20"/>
        </w:rPr>
        <w:t xml:space="preserve">”</w:t>
      </w:r>
      <w:r>
        <w:rPr>
          <w:rFonts w:ascii="Calibri" w:hAnsi="Calibri"/>
          <w:sz w:val="20"/>
        </w:rPr>
        <w:t xml:space="preserve"> </w:t>
      </w:r>
      <w:r>
        <w:rPr>
          <w:rFonts w:ascii="Calibri" w:hAnsi="Calibri"/>
          <w:sz w:val="20"/>
        </w:rPr>
        <w:t xml:space="preserve">the all-Preferred consent (§4.3.6(b), penultimate paragraph).</w:t>
      </w:r>
    </w:p>
    <w:bookmarkEnd w:id="31"/>
    <w:bookmarkStart w:id="32" w:name="b.-dgcl-requirements"/>
    <w:p>
      <w:pPr>
        <w:pStyle w:val="Heading3"/>
        <w:keepNext w:val="0"/>
        <w:keepLines w:val="0"/>
        <w:spacing w:before="100" w:after="20" w:line="240" w:lineRule="auto"/>
      </w:pPr>
      <w:r>
        <w:rPr>
          <w:rFonts w:ascii="Calibri" w:hAnsi="Calibri"/>
          <w:sz w:val="22"/>
        </w:rPr>
        <w:t xml:space="preserve">B. DGCL Requirements</w:t>
      </w:r>
    </w:p>
    <w:p>
      <w:pPr>
        <w:pStyle w:val="FirstParagraph"/>
        <w:keepNext w:val="0"/>
        <w:keepLines w:val="0"/>
        <w:spacing w:before="0" w:after="60" w:line="240" w:lineRule="auto"/>
      </w:pPr>
      <w:r>
        <w:rPr>
          <w:rFonts w:ascii="Calibri" w:hAnsi="Calibri"/>
          <w:sz w:val="20"/>
        </w:rPr>
        <w:t xml:space="preserve">Under DGCL §251, the merger requires (i) approval of the Board of Directors and (ii) approval of the holders of a majority of the outstanding shares of stock entitled to vote. The Restated Certificate provides that Common and Preferred vote together as a single class on an as-converted basis (§4.2.1, §4.3.5). Unexercised options/RSUs are not</w:t>
      </w:r>
      <w:r>
        <w:rPr>
          <w:rFonts w:ascii="Calibri" w:hAnsi="Calibri"/>
          <w:sz w:val="20"/>
        </w:rPr>
        <w:t xml:space="preserve"> </w:t>
      </w:r>
      <w:r>
        <w:rPr>
          <w:rFonts w:ascii="Calibri" w:hAnsi="Calibri"/>
          <w:sz w:val="20"/>
        </w:rPr>
        <w:t xml:space="preserve">“</w:t>
      </w:r>
      <w:r>
        <w:rPr>
          <w:rFonts w:ascii="Calibri" w:hAnsi="Calibri"/>
          <w:sz w:val="20"/>
        </w:rPr>
        <w:t xml:space="preserve">outstanding shares</w:t>
      </w:r>
      <w:r>
        <w:rPr>
          <w:rFonts w:ascii="Calibri" w:hAnsi="Calibri"/>
          <w:sz w:val="20"/>
        </w:rPr>
        <w:t xml:space="preserve">”</w:t>
      </w:r>
      <w:r>
        <w:rPr>
          <w:rFonts w:ascii="Calibri" w:hAnsi="Calibri"/>
          <w:sz w:val="20"/>
        </w:rPr>
        <w:t xml:space="preserve"> </w:t>
      </w:r>
      <w:r>
        <w:rPr>
          <w:rFonts w:ascii="Calibri" w:hAnsi="Calibri"/>
          <w:sz w:val="20"/>
        </w:rPr>
        <w:t xml:space="preserve">and do not vote (subject to confirmation of the equity plan terms — Area 7). On a denominator of outstanding Common plus Preferred-as-converted (~26.3M), the threshold is ~13.15M.</w:t>
      </w:r>
      <w:r>
        <w:rPr>
          <w:rFonts w:ascii="Calibri" w:hAnsi="Calibri"/>
          <w:sz w:val="20"/>
        </w:rPr>
        <w:t xml:space="preserve"> </w:t>
      </w:r>
      <w:r>
        <w:rPr>
          <w:rFonts w:ascii="Calibri" w:hAnsi="Calibri"/>
          <w:b/>
          <w:bCs/>
          <w:sz w:val="20"/>
        </w:rPr>
        <w:t xml:space="preserve">Can be met without Stonemill:</w:t>
      </w:r>
      <w:r>
        <w:rPr>
          <w:rFonts w:ascii="Calibri" w:hAnsi="Calibri"/>
          <w:sz w:val="20"/>
        </w:rPr>
        <w:t xml:space="preserve"> </w:t>
      </w:r>
      <w:r>
        <w:rPr>
          <w:rFonts w:ascii="Calibri" w:hAnsi="Calibri"/>
          <w:sz w:val="20"/>
        </w:rPr>
        <w:t xml:space="preserve">Founders (7.3M) + Ridgeline (3.5M) + Northbridge (5.2M) = 16.0M &gt; 13.15M. ✓</w:t>
      </w:r>
    </w:p>
    <w:p>
      <w:pPr>
        <w:pStyle w:val="BodyText"/>
        <w:keepNext w:val="0"/>
        <w:keepLines w:val="0"/>
        <w:spacing w:before="0" w:after="60" w:line="240" w:lineRule="auto"/>
      </w:pPr>
      <w:r>
        <w:rPr>
          <w:rFonts w:ascii="Calibri" w:hAnsi="Calibri"/>
          <w:sz w:val="20"/>
        </w:rPr>
        <w:t xml:space="preserve">The Bylaws permit stockholder action by written consent in lieu of a meeting (Bylaws §2.6; Restated Cert. §6.2), which can be used to obtain the consents efficiently. Note, however, that the all-Preferred and Series C consents are</w:t>
      </w:r>
      <w:r>
        <w:rPr>
          <w:rFonts w:ascii="Calibri" w:hAnsi="Calibri"/>
          <w:sz w:val="20"/>
        </w:rPr>
        <w:t xml:space="preserve"> </w:t>
      </w:r>
      <w:r>
        <w:rPr>
          <w:rFonts w:ascii="Calibri" w:hAnsi="Calibri"/>
          <w:b/>
          <w:bCs/>
          <w:sz w:val="20"/>
        </w:rPr>
        <w:t xml:space="preserve">separate class</w:t>
      </w:r>
      <w:r>
        <w:rPr>
          <w:rFonts w:ascii="Calibri" w:hAnsi="Calibri"/>
          <w:sz w:val="20"/>
        </w:rPr>
        <w:t xml:space="preserve"> </w:t>
      </w:r>
      <w:r>
        <w:rPr>
          <w:rFonts w:ascii="Calibri" w:hAnsi="Calibri"/>
          <w:sz w:val="20"/>
        </w:rPr>
        <w:t xml:space="preserve">consents that must be independently solicited; they are not satisfied by the single-class DGCL vote.</w:t>
      </w:r>
    </w:p>
    <w:bookmarkEnd w:id="32"/>
    <w:bookmarkStart w:id="33" w:name="c.-stockholders-agreement"/>
    <w:p>
      <w:pPr>
        <w:pStyle w:val="Heading3"/>
        <w:keepNext w:val="0"/>
        <w:keepLines w:val="0"/>
        <w:spacing w:before="100" w:after="20" w:line="240" w:lineRule="auto"/>
      </w:pPr>
      <w:r>
        <w:rPr>
          <w:rFonts w:ascii="Calibri" w:hAnsi="Calibri"/>
          <w:sz w:val="22"/>
        </w:rPr>
        <w:t xml:space="preserve">C. Stockholders’ Agreement</w:t>
      </w:r>
    </w:p>
    <w:p>
      <w:pPr>
        <w:pStyle w:val="FirstParagraph"/>
        <w:keepNext w:val="0"/>
        <w:keepLines w:val="0"/>
        <w:spacing w:before="0" w:after="60" w:line="240" w:lineRule="auto"/>
      </w:pPr>
      <w:r>
        <w:rPr>
          <w:rFonts w:ascii="Calibri" w:hAnsi="Calibri"/>
          <w:sz w:val="20"/>
        </w:rPr>
        <w:t xml:space="preserve">The</w:t>
      </w:r>
      <w:r>
        <w:rPr>
          <w:rFonts w:ascii="Calibri" w:hAnsi="Calibri"/>
          <w:sz w:val="20"/>
        </w:rPr>
        <w:t xml:space="preserve"> </w:t>
      </w:r>
      <w:r>
        <w:rPr>
          <w:rFonts w:ascii="Calibri" w:hAnsi="Calibri"/>
          <w:sz w:val="20"/>
        </w:rPr>
        <w:t xml:space="preserve">“</w:t>
      </w:r>
      <w:r>
        <w:rPr>
          <w:rFonts w:ascii="Calibri" w:hAnsi="Calibri"/>
          <w:sz w:val="20"/>
        </w:rPr>
        <w:t xml:space="preserve">Sale of the Company</w:t>
      </w:r>
      <w:r>
        <w:rPr>
          <w:rFonts w:ascii="Calibri" w:hAnsi="Calibri"/>
          <w:sz w:val="20"/>
        </w:rPr>
        <w:t xml:space="preserve">”</w:t>
      </w:r>
      <w:r>
        <w:rPr>
          <w:rFonts w:ascii="Calibri" w:hAnsi="Calibri"/>
          <w:sz w:val="20"/>
        </w:rPr>
        <w:t xml:space="preserve"> </w:t>
      </w:r>
      <w:r>
        <w:rPr>
          <w:rFonts w:ascii="Calibri" w:hAnsi="Calibri"/>
          <w:sz w:val="20"/>
        </w:rPr>
        <w:t xml:space="preserve">definition (§1.1) captures the merger (merger in which stockholders do not retain majority of voting power of surviving entity; transaction transferring &gt;50% voting power). The Stockholders’ Agreement does not impose a freestanding consent for the merger beyond the drag-along mechanism (Area 2). It</w:t>
      </w:r>
      <w:r>
        <w:rPr>
          <w:rFonts w:ascii="Calibri" w:hAnsi="Calibri"/>
          <w:sz w:val="20"/>
        </w:rPr>
        <w:t xml:space="preserve"> </w:t>
      </w:r>
      <w:r>
        <w:rPr>
          <w:rFonts w:ascii="Calibri" w:hAnsi="Calibri"/>
          <w:b/>
          <w:bCs/>
          <w:sz w:val="20"/>
        </w:rPr>
        <w:t xml:space="preserve">terminates</w:t>
      </w:r>
      <w:r>
        <w:rPr>
          <w:rFonts w:ascii="Calibri" w:hAnsi="Calibri"/>
          <w:sz w:val="20"/>
        </w:rPr>
        <w:t xml:space="preserve"> </w:t>
      </w:r>
      <w:r>
        <w:rPr>
          <w:rFonts w:ascii="Calibri" w:hAnsi="Calibri"/>
          <w:sz w:val="20"/>
        </w:rPr>
        <w:t xml:space="preserve">upon a Sale of the Company (§6.1(b)); see Area 4.</w:t>
      </w:r>
    </w:p>
    <w:bookmarkEnd w:id="33"/>
    <w:bookmarkStart w:id="34" w:name="d.-voting-agreement"/>
    <w:p>
      <w:pPr>
        <w:pStyle w:val="Heading3"/>
        <w:keepNext w:val="0"/>
        <w:keepLines w:val="0"/>
        <w:spacing w:before="100" w:after="20" w:line="240" w:lineRule="auto"/>
      </w:pPr>
      <w:r>
        <w:rPr>
          <w:rFonts w:ascii="Calibri" w:hAnsi="Calibri"/>
          <w:sz w:val="22"/>
        </w:rPr>
        <w:t xml:space="preserve">D. Voting Agreement</w:t>
      </w:r>
    </w:p>
    <w:p>
      <w:pPr>
        <w:pStyle w:val="FirstParagraph"/>
        <w:keepNext w:val="0"/>
        <w:keepLines w:val="0"/>
        <w:spacing w:before="0" w:after="60" w:line="240" w:lineRule="auto"/>
      </w:pPr>
      <w:r>
        <w:rPr>
          <w:rFonts w:ascii="Calibri" w:hAnsi="Calibri"/>
          <w:sz w:val="20"/>
        </w:rPr>
        <w:t xml:space="preserve">The</w:t>
      </w:r>
      <w:r>
        <w:rPr>
          <w:rFonts w:ascii="Calibri" w:hAnsi="Calibri"/>
          <w:sz w:val="20"/>
        </w:rPr>
        <w:t xml:space="preserve"> </w:t>
      </w:r>
      <w:r>
        <w:rPr>
          <w:rFonts w:ascii="Calibri" w:hAnsi="Calibri"/>
          <w:sz w:val="20"/>
        </w:rPr>
        <w:t xml:space="preserve">“</w:t>
      </w:r>
      <w:r>
        <w:rPr>
          <w:rFonts w:ascii="Calibri" w:hAnsi="Calibri"/>
          <w:sz w:val="20"/>
        </w:rPr>
        <w:t xml:space="preserve">Sale of the Company</w:t>
      </w:r>
      <w:r>
        <w:rPr>
          <w:rFonts w:ascii="Calibri" w:hAnsi="Calibri"/>
          <w:sz w:val="20"/>
        </w:rPr>
        <w:t xml:space="preserve">”</w:t>
      </w:r>
      <w:r>
        <w:rPr>
          <w:rFonts w:ascii="Calibri" w:hAnsi="Calibri"/>
          <w:sz w:val="20"/>
        </w:rPr>
        <w:t xml:space="preserve"> </w:t>
      </w:r>
      <w:r>
        <w:rPr>
          <w:rFonts w:ascii="Calibri" w:hAnsi="Calibri"/>
          <w:sz w:val="20"/>
        </w:rPr>
        <w:t xml:space="preserve">definition (§1) is identical to the Stockholders’ Agreement and captures the merger. The Voting Agreement</w:t>
      </w:r>
      <w:r>
        <w:rPr>
          <w:rFonts w:ascii="Calibri" w:hAnsi="Calibri"/>
          <w:sz w:val="20"/>
        </w:rPr>
        <w:t xml:space="preserve"> </w:t>
      </w:r>
      <w:r>
        <w:rPr>
          <w:rFonts w:ascii="Calibri" w:hAnsi="Calibri"/>
          <w:b/>
          <w:bCs/>
          <w:sz w:val="20"/>
        </w:rPr>
        <w:t xml:space="preserve">terminates</w:t>
      </w:r>
      <w:r>
        <w:rPr>
          <w:rFonts w:ascii="Calibri" w:hAnsi="Calibri"/>
          <w:sz w:val="20"/>
        </w:rPr>
        <w:t xml:space="preserve"> </w:t>
      </w:r>
      <w:r>
        <w:rPr>
          <w:rFonts w:ascii="Calibri" w:hAnsi="Calibri"/>
          <w:sz w:val="20"/>
        </w:rPr>
        <w:t xml:space="preserve">upon consummation of a Sale of the Company (§7.1(b)); see Area 5. It imposes no freestanding merger consent.</w:t>
      </w:r>
    </w:p>
    <w:bookmarkEnd w:id="34"/>
    <w:bookmarkStart w:id="35" w:name="e.-registration-rights-agreement"/>
    <w:p>
      <w:pPr>
        <w:pStyle w:val="Heading3"/>
        <w:keepNext w:val="0"/>
        <w:keepLines w:val="0"/>
        <w:spacing w:before="100" w:after="20" w:line="240" w:lineRule="auto"/>
      </w:pPr>
      <w:r>
        <w:rPr>
          <w:rFonts w:ascii="Calibri" w:hAnsi="Calibri"/>
          <w:sz w:val="22"/>
        </w:rPr>
        <w:t xml:space="preserve">E. Registration Rights Agreement</w:t>
      </w:r>
    </w:p>
    <w:p>
      <w:pPr>
        <w:pStyle w:val="FirstParagraph"/>
        <w:keepNext w:val="0"/>
        <w:keepLines w:val="0"/>
        <w:spacing w:before="0" w:after="60" w:line="240" w:lineRule="auto"/>
      </w:pPr>
      <w:r>
        <w:rPr>
          <w:rFonts w:ascii="Calibri" w:hAnsi="Calibri"/>
          <w:sz w:val="20"/>
        </w:rPr>
        <w:t xml:space="preserve">The RRA terminates on a</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w:t>
      </w:r>
      <w:r>
        <w:rPr>
          <w:rFonts w:ascii="Calibri" w:hAnsi="Calibri"/>
          <w:sz w:val="20"/>
        </w:rPr>
        <w:t xml:space="preserve">(§9(c)) — a term the RRA does not define. See Area 10.</w:t>
      </w:r>
    </w:p>
    <w:bookmarkEnd w:id="35"/>
    <w:bookmarkStart w:id="36" w:name="f.-consent-checklist"/>
    <w:p>
      <w:pPr>
        <w:pStyle w:val="Heading3"/>
        <w:keepNext w:val="0"/>
        <w:keepLines w:val="0"/>
        <w:spacing w:before="100" w:after="20" w:line="240" w:lineRule="auto"/>
      </w:pPr>
      <w:r>
        <w:rPr>
          <w:rFonts w:ascii="Calibri" w:hAnsi="Calibri"/>
          <w:sz w:val="22"/>
        </w:rPr>
        <w:t xml:space="preserve">F. Consent Checklist</w:t>
      </w:r>
    </w:p>
    <w:p>
      <w:pPr>
        <w:pStyle w:val="FirstParagraph"/>
        <w:keepNext w:val="0"/>
        <w:keepLines w:val="0"/>
        <w:spacing w:before="0" w:after="60" w:line="240" w:lineRule="auto"/>
      </w:pPr>
      <w:r>
        <w:rPr>
          <w:rFonts w:ascii="Calibri" w:hAnsi="Calibri"/>
          <w:sz w:val="20"/>
        </w:rPr>
        <w:t xml:space="preserve">The consolidated consent/approval matrix is set out in</w:t>
      </w:r>
      <w:r>
        <w:rPr>
          <w:rFonts w:ascii="Calibri" w:hAnsi="Calibri"/>
          <w:sz w:val="20"/>
        </w:rPr>
        <w:t xml:space="preserve"> </w:t>
      </w:r>
      <w:r>
        <w:rPr>
          <w:rFonts w:ascii="Calibri" w:hAnsi="Calibri"/>
          <w:b/>
          <w:bCs/>
          <w:sz w:val="20"/>
        </w:rPr>
        <w:t xml:space="preserve">Appendix A</w:t>
      </w:r>
      <w:r>
        <w:rPr>
          <w:rFonts w:ascii="Calibri" w:hAnsi="Calibri"/>
          <w:sz w:val="20"/>
        </w:rPr>
        <w:t xml:space="preserve">. In summary, the Transaction requires, at minimum: (1) Board approval of the definitive merger agreement; (2) the DGCL §251 stockholder vote; (3) the all-Preferred class consent (§4.3.6(a)(vi)); and (4) the Series C separate-class consent (§4.3.6(b)(i)). Item (4) is the gating item and requires Stonemill. If the merger agreement or Transaction structure requires a charter amendment, additional consents under §4.3.6(a)(i) and §4.3.6(b)(ii) may be triggered (another Stonemill veto).</w:t>
      </w:r>
    </w:p>
    <w:p>
      <w:pPr>
        <w:keepNext w:val="0"/>
        <w:keepLines w:val="0"/>
        <w:spacing w:before="0" w:after="60" w:line="240" w:lineRule="auto"/>
      </w:pPr>
      <w:r>
        <w:rPr>
          <w:rFonts w:ascii="Calibri" w:hAnsi="Calibri"/>
          <w:sz w:val="20"/>
        </w:rPr>
        <w:pict>
          <v:rect style="width:0;height:1.5pt" o:hralign="center" o:hrstd="t" o:hr="t"/>
        </w:pict>
      </w:r>
    </w:p>
    <w:bookmarkEnd w:id="36"/>
    <w:bookmarkEnd w:id="37"/>
    <w:bookmarkStart w:id="42" w:name="v.-area-2-drag-along-analysis"/>
    <w:p>
      <w:pPr>
        <w:pStyle w:val="Heading2"/>
        <w:keepNext w:val="0"/>
        <w:keepLines w:val="0"/>
        <w:spacing w:before="140" w:after="40" w:line="240" w:lineRule="auto"/>
      </w:pPr>
      <w:r>
        <w:rPr>
          <w:rFonts w:ascii="Calibri" w:hAnsi="Calibri"/>
          <w:sz w:val="25"/>
        </w:rPr>
        <w:t xml:space="preserve">V. Area 2 — Drag-Along Analysis</w:t>
      </w:r>
    </w:p>
    <w:bookmarkStart w:id="38" w:name="X7254ab85e26c1ff3329bd2a1444971f10aca2e6"/>
    <w:p>
      <w:pPr>
        <w:pStyle w:val="Heading3"/>
        <w:keepNext w:val="0"/>
        <w:keepLines w:val="0"/>
        <w:spacing w:before="100" w:after="20" w:line="240" w:lineRule="auto"/>
      </w:pPr>
      <w:r>
        <w:rPr>
          <w:rFonts w:ascii="Calibri" w:hAnsi="Calibri"/>
          <w:sz w:val="22"/>
        </w:rPr>
        <w:t xml:space="preserve">A. The Three-Pronged Trigger (Stockholders’ Ag. §3.1(a))</w:t>
      </w:r>
    </w:p>
    <w:p>
      <w:pPr>
        <w:pStyle w:val="FirstParagraph"/>
        <w:keepNext w:val="0"/>
        <w:keepLines w:val="0"/>
        <w:spacing w:before="0" w:after="60" w:line="240" w:lineRule="auto"/>
      </w:pPr>
      <w:r>
        <w:rPr>
          <w:rFonts w:ascii="Calibri" w:hAnsi="Calibri"/>
          <w:sz w:val="20"/>
        </w:rPr>
        <w:t xml:space="preserve">A</w:t>
      </w:r>
      <w:r>
        <w:rPr>
          <w:rFonts w:ascii="Calibri" w:hAnsi="Calibri"/>
          <w:sz w:val="20"/>
        </w:rPr>
        <w:t xml:space="preserve"> </w:t>
      </w:r>
      <w:r>
        <w:rPr>
          <w:rFonts w:ascii="Calibri" w:hAnsi="Calibri"/>
          <w:sz w:val="20"/>
        </w:rPr>
        <w:t xml:space="preserve">“</w:t>
      </w:r>
      <w:r>
        <w:rPr>
          <w:rFonts w:ascii="Calibri" w:hAnsi="Calibri"/>
          <w:sz w:val="20"/>
        </w:rPr>
        <w:t xml:space="preserve">Drag-Along Approval</w:t>
      </w:r>
      <w:r>
        <w:rPr>
          <w:rFonts w:ascii="Calibri" w:hAnsi="Calibri"/>
          <w:sz w:val="20"/>
        </w:rPr>
        <w:t xml:space="preserve">”</w:t>
      </w:r>
      <w:r>
        <w:rPr>
          <w:rFonts w:ascii="Calibri" w:hAnsi="Calibri"/>
          <w:sz w:val="20"/>
        </w:rPr>
        <w:t xml:space="preserve"> </w:t>
      </w:r>
      <w:r>
        <w:rPr>
          <w:rFonts w:ascii="Calibri" w:hAnsi="Calibri"/>
          <w:sz w:val="20"/>
        </w:rPr>
        <w:t xml:space="preserve">requires the satisfaction of</w:t>
      </w:r>
      <w:r>
        <w:rPr>
          <w:rFonts w:ascii="Calibri" w:hAnsi="Calibri"/>
          <w:sz w:val="20"/>
        </w:rPr>
        <w:t xml:space="preserve"> </w:t>
      </w:r>
      <w:r>
        <w:rPr>
          <w:rFonts w:ascii="Calibri" w:hAnsi="Calibri"/>
          <w:b/>
          <w:bCs/>
          <w:sz w:val="20"/>
        </w:rPr>
        <w:t xml:space="preserve">all three</w:t>
      </w:r>
      <w:r>
        <w:rPr>
          <w:rFonts w:ascii="Calibri" w:hAnsi="Calibri"/>
          <w:sz w:val="20"/>
        </w:rPr>
        <w:t xml:space="preserve"> </w:t>
      </w:r>
      <w:r>
        <w:rPr>
          <w:rFonts w:ascii="Calibri" w:hAnsi="Calibri"/>
          <w:sz w:val="20"/>
        </w:rPr>
        <w:t xml:space="preserve">of the following (§3.1(b) is explicit that fewer than all three does not constitute a Drag-Along Approval):</w:t>
      </w:r>
    </w:p>
    <w:p>
      <w:pPr>
        <w:pStyle w:val="Compact"/>
        <w:keepNext w:val="0"/>
        <w:keepLines w:val="0"/>
        <w:numPr>
          <w:ilvl w:val="0"/>
          <w:numId w:val="1004"/>
        </w:numPr>
        <w:spacing w:before="0" w:after="60" w:line="240" w:lineRule="auto"/>
      </w:pPr>
      <w:r>
        <w:rPr>
          <w:rFonts w:ascii="Calibri" w:hAnsi="Calibri"/>
          <w:b/>
          <w:bCs/>
          <w:sz w:val="20"/>
        </w:rPr>
        <w:t xml:space="preserve">Prong (i):</w:t>
      </w:r>
      <w:r>
        <w:rPr>
          <w:rFonts w:ascii="Calibri" w:hAnsi="Calibri"/>
          <w:sz w:val="20"/>
        </w:rPr>
        <w:t xml:space="preserve"> </w:t>
      </w:r>
      <w:r>
        <w:rPr>
          <w:rFonts w:ascii="Calibri" w:hAnsi="Calibri"/>
          <w:sz w:val="20"/>
        </w:rPr>
        <w:t xml:space="preserve">holders of at least a majority of the outstanding shares of Common Stock, calculated on an as-converted basis (treating each share of Preferred as converted);</w:t>
      </w:r>
    </w:p>
    <w:p>
      <w:pPr>
        <w:pStyle w:val="Compact"/>
        <w:keepNext w:val="0"/>
        <w:keepLines w:val="0"/>
        <w:numPr>
          <w:ilvl w:val="0"/>
          <w:numId w:val="1004"/>
        </w:numPr>
        <w:spacing w:before="0" w:after="60" w:line="240" w:lineRule="auto"/>
      </w:pPr>
      <w:r>
        <w:rPr>
          <w:rFonts w:ascii="Calibri" w:hAnsi="Calibri"/>
          <w:b/>
          <w:bCs/>
          <w:sz w:val="20"/>
        </w:rPr>
        <w:t xml:space="preserve">Prong (ii):</w:t>
      </w:r>
      <w:r>
        <w:rPr>
          <w:rFonts w:ascii="Calibri" w:hAnsi="Calibri"/>
          <w:sz w:val="20"/>
        </w:rPr>
        <w:t xml:space="preserve"> </w:t>
      </w:r>
      <w:r>
        <w:rPr>
          <w:rFonts w:ascii="Calibri" w:hAnsi="Calibri"/>
          <w:sz w:val="20"/>
        </w:rPr>
        <w:t xml:space="preserve">holders of at least a majority of the outstanding Preferred Stock, as-converted, voting as a single class; and</w:t>
      </w:r>
    </w:p>
    <w:p>
      <w:pPr>
        <w:pStyle w:val="Compact"/>
        <w:keepNext w:val="0"/>
        <w:keepLines w:val="0"/>
        <w:numPr>
          <w:ilvl w:val="0"/>
          <w:numId w:val="1004"/>
        </w:numPr>
        <w:spacing w:before="0" w:after="60" w:line="240" w:lineRule="auto"/>
      </w:pPr>
      <w:r>
        <w:rPr>
          <w:rFonts w:ascii="Calibri" w:hAnsi="Calibri"/>
          <w:b/>
          <w:bCs/>
          <w:sz w:val="20"/>
        </w:rPr>
        <w:t xml:space="preserve">Prong (iii):</w:t>
      </w:r>
      <w:r>
        <w:rPr>
          <w:rFonts w:ascii="Calibri" w:hAnsi="Calibri"/>
          <w:sz w:val="20"/>
        </w:rPr>
        <w:t xml:space="preserve"> </w:t>
      </w:r>
      <w:r>
        <w:rPr>
          <w:rFonts w:ascii="Calibri" w:hAnsi="Calibri"/>
          <w:sz w:val="20"/>
        </w:rPr>
        <w:t xml:space="preserve">at least two (2) of the three (3) Investor Stockholders.</w:t>
      </w:r>
    </w:p>
    <w:bookmarkEnd w:id="38"/>
    <w:bookmarkStart w:id="39" w:name="Xaf9d6ea6c9a77d44ac521a9de399de568cdb5c3"/>
    <w:p>
      <w:pPr>
        <w:pStyle w:val="Heading3"/>
        <w:keepNext w:val="0"/>
        <w:keepLines w:val="0"/>
        <w:spacing w:before="100" w:after="20" w:line="240" w:lineRule="auto"/>
      </w:pPr>
      <w:r>
        <w:rPr>
          <w:rFonts w:ascii="Calibri" w:hAnsi="Calibri"/>
          <w:sz w:val="22"/>
        </w:rPr>
        <w:t xml:space="preserve">B. Can the Drag-Along Be Triggered Without Stonemill?</w:t>
      </w:r>
    </w:p>
    <w:p>
      <w:pPr>
        <w:pStyle w:val="FirstParagraph"/>
        <w:keepNext w:val="0"/>
        <w:keepLines w:val="0"/>
        <w:spacing w:before="0" w:after="60" w:line="240" w:lineRule="auto"/>
      </w:pPr>
      <w:r>
        <w:rPr>
          <w:rFonts w:ascii="Calibri" w:hAnsi="Calibri"/>
          <w:b/>
          <w:bCs/>
          <w:sz w:val="20"/>
        </w:rPr>
        <w:t xml:space="preserve">Prong (ii):</w:t>
      </w:r>
      <w:r>
        <w:rPr>
          <w:rFonts w:ascii="Calibri" w:hAnsi="Calibri"/>
          <w:sz w:val="20"/>
        </w:rPr>
        <w:t xml:space="preserve"> </w:t>
      </w:r>
      <w:r>
        <w:rPr>
          <w:rFonts w:ascii="Calibri" w:hAnsi="Calibri"/>
          <w:sz w:val="20"/>
        </w:rPr>
        <w:t xml:space="preserve">&gt;50% of 16.5M Preferred = &gt;8.25M. Ridgeline (3.5M) + Northbridge (5.2M) = 8.7M &gt; 8.25M.</w:t>
      </w:r>
      <w:r>
        <w:rPr>
          <w:rFonts w:ascii="Calibri" w:hAnsi="Calibri"/>
          <w:sz w:val="20"/>
        </w:rPr>
        <w:t xml:space="preserve"> </w:t>
      </w:r>
      <w:r>
        <w:rPr>
          <w:rFonts w:ascii="Calibri" w:hAnsi="Calibri"/>
          <w:b/>
          <w:bCs/>
          <w:sz w:val="20"/>
        </w:rPr>
        <w:t xml:space="preserve">Satisfied without Stonemill</w:t>
      </w:r>
      <w:r>
        <w:rPr>
          <w:rFonts w:ascii="Calibri" w:hAnsi="Calibri"/>
          <w:sz w:val="20"/>
        </w:rPr>
        <w:t xml:space="preserve"> </w:t>
      </w:r>
      <w:r>
        <w:rPr>
          <w:rFonts w:ascii="Calibri" w:hAnsi="Calibri"/>
          <w:sz w:val="20"/>
        </w:rPr>
        <w:t xml:space="preserve">(barely, and only if both consent). ✓</w:t>
      </w:r>
    </w:p>
    <w:p>
      <w:pPr>
        <w:pStyle w:val="BodyText"/>
        <w:keepNext w:val="0"/>
        <w:keepLines w:val="0"/>
        <w:spacing w:before="0" w:after="60" w:line="240" w:lineRule="auto"/>
      </w:pPr>
      <w:r>
        <w:rPr>
          <w:rFonts w:ascii="Calibri" w:hAnsi="Calibri"/>
          <w:b/>
          <w:bCs/>
          <w:sz w:val="20"/>
        </w:rPr>
        <w:t xml:space="preserve">Prong (iii):</w:t>
      </w:r>
      <w:r>
        <w:rPr>
          <w:rFonts w:ascii="Calibri" w:hAnsi="Calibri"/>
          <w:sz w:val="20"/>
        </w:rPr>
        <w:t xml:space="preserve"> </w:t>
      </w:r>
      <w:r>
        <w:rPr>
          <w:rFonts w:ascii="Calibri" w:hAnsi="Calibri"/>
          <w:sz w:val="20"/>
        </w:rPr>
        <w:t xml:space="preserve">2 of 3 Investors. Ridgeline + Northbridge = 2 of 3.</w:t>
      </w:r>
      <w:r>
        <w:rPr>
          <w:rFonts w:ascii="Calibri" w:hAnsi="Calibri"/>
          <w:sz w:val="20"/>
        </w:rPr>
        <w:t xml:space="preserve"> </w:t>
      </w:r>
      <w:r>
        <w:rPr>
          <w:rFonts w:ascii="Calibri" w:hAnsi="Calibri"/>
          <w:b/>
          <w:bCs/>
          <w:sz w:val="20"/>
        </w:rPr>
        <w:t xml:space="preserve">Satisfied without Stonemill.</w:t>
      </w:r>
      <w:r>
        <w:rPr>
          <w:rFonts w:ascii="Calibri" w:hAnsi="Calibri"/>
          <w:sz w:val="20"/>
        </w:rPr>
        <w:t xml:space="preserve"> </w:t>
      </w:r>
      <w:r>
        <w:rPr>
          <w:rFonts w:ascii="Calibri" w:hAnsi="Calibri"/>
          <w:sz w:val="20"/>
        </w:rPr>
        <w:t xml:space="preserve">✓</w:t>
      </w:r>
    </w:p>
    <w:p>
      <w:pPr>
        <w:pStyle w:val="BodyText"/>
        <w:keepNext w:val="0"/>
        <w:keepLines w:val="0"/>
        <w:spacing w:before="0" w:after="60" w:line="240" w:lineRule="auto"/>
      </w:pPr>
      <w:r>
        <w:rPr>
          <w:rFonts w:ascii="Calibri" w:hAnsi="Calibri"/>
          <w:b/>
          <w:bCs/>
          <w:sz w:val="20"/>
        </w:rPr>
        <w:t xml:space="preserve">Prong (i):</w:t>
      </w:r>
      <w:r>
        <w:rPr>
          <w:rFonts w:ascii="Calibri" w:hAnsi="Calibri"/>
          <w:sz w:val="20"/>
        </w:rPr>
        <w:t xml:space="preserve"> </w:t>
      </w:r>
      <w:r>
        <w:rPr>
          <w:rFonts w:ascii="Calibri" w:hAnsi="Calibri"/>
          <w:sz w:val="20"/>
        </w:rPr>
        <w:t xml:space="preserve">This is the dispositive question, and it turns on an</w:t>
      </w:r>
      <w:r>
        <w:rPr>
          <w:rFonts w:ascii="Calibri" w:hAnsi="Calibri"/>
          <w:sz w:val="20"/>
        </w:rPr>
        <w:t xml:space="preserve"> </w:t>
      </w:r>
      <w:r>
        <w:rPr>
          <w:rFonts w:ascii="Calibri" w:hAnsi="Calibri"/>
          <w:b/>
          <w:bCs/>
          <w:sz w:val="20"/>
        </w:rPr>
        <w:t xml:space="preserve">ambiguous denominator.</w:t>
      </w:r>
      <w:r>
        <w:rPr>
          <w:rFonts w:ascii="Calibri" w:hAnsi="Calibri"/>
          <w:sz w:val="20"/>
        </w:rPr>
        <w:t xml:space="preserve"> </w:t>
      </w:r>
      <w:r>
        <w:rPr>
          <w:rFonts w:ascii="Calibri" w:hAnsi="Calibri"/>
          <w:sz w:val="20"/>
        </w:rPr>
        <w:t xml:space="preserve">The provision reads:</w:t>
      </w:r>
      <w:r>
        <w:rPr>
          <w:rFonts w:ascii="Calibri" w:hAnsi="Calibri"/>
          <w:sz w:val="20"/>
        </w:rPr>
        <w:t xml:space="preserve"> </w:t>
      </w:r>
      <w:r>
        <w:rPr>
          <w:rFonts w:ascii="Calibri" w:hAnsi="Calibri"/>
          <w:sz w:val="20"/>
        </w:rPr>
        <w:t xml:space="preserve">“</w:t>
      </w:r>
      <w:r>
        <w:rPr>
          <w:rFonts w:ascii="Calibri" w:hAnsi="Calibri"/>
          <w:sz w:val="20"/>
        </w:rPr>
        <w:t xml:space="preserve">a majority of the outstanding shares of Common Stock (calculated on an as-converted to Common Stock basis, treating each share of Preferred Stock as having been converted…).</w:t>
      </w:r>
      <w:r>
        <w:rPr>
          <w:rFonts w:ascii="Calibri" w:hAnsi="Calibri"/>
          <w:sz w:val="20"/>
        </w:rPr>
        <w:t xml:space="preserve">”</w:t>
      </w:r>
      <w:r>
        <w:rPr>
          <w:rFonts w:ascii="Calibri" w:hAnsi="Calibri"/>
          <w:sz w:val="20"/>
        </w:rPr>
        <w:t xml:space="preserve"> </w:t>
      </w:r>
      <w:r>
        <w:rPr>
          <w:rFonts w:ascii="Calibri" w:hAnsi="Calibri"/>
          <w:sz w:val="20"/>
        </w:rPr>
        <w:t xml:space="preserve">Two readings:</w:t>
      </w:r>
    </w:p>
    <w:p>
      <w:pPr>
        <w:pStyle w:val="Compact"/>
        <w:keepNext w:val="0"/>
        <w:keepLines w:val="0"/>
        <w:numPr>
          <w:ilvl w:val="0"/>
          <w:numId w:val="1005"/>
        </w:numPr>
        <w:spacing w:before="0" w:after="60" w:line="240" w:lineRule="auto"/>
      </w:pPr>
      <w:r>
        <w:rPr>
          <w:rFonts w:ascii="Calibri" w:hAnsi="Calibri"/>
          <w:b/>
          <w:bCs/>
          <w:sz w:val="20"/>
        </w:rPr>
        <w:t xml:space="preserve">Narrow reading (options excluded):</w:t>
      </w:r>
      <w:r>
        <w:rPr>
          <w:rFonts w:ascii="Calibri" w:hAnsi="Calibri"/>
          <w:sz w:val="20"/>
        </w:rPr>
        <w:t xml:space="preserve"> </w:t>
      </w:r>
      <w:r>
        <w:rPr>
          <w:rFonts w:ascii="Calibri" w:hAnsi="Calibri"/>
          <w:sz w:val="20"/>
        </w:rPr>
        <w:t xml:space="preserve">“</w:t>
      </w:r>
      <w:r>
        <w:rPr>
          <w:rFonts w:ascii="Calibri" w:hAnsi="Calibri"/>
          <w:sz w:val="20"/>
        </w:rPr>
        <w:t xml:space="preserve">Outstanding shares of Common Stock</w:t>
      </w:r>
      <w:r>
        <w:rPr>
          <w:rFonts w:ascii="Calibri" w:hAnsi="Calibri"/>
          <w:sz w:val="20"/>
        </w:rPr>
        <w:t xml:space="preserve">”</w:t>
      </w:r>
      <w:r>
        <w:rPr>
          <w:rFonts w:ascii="Calibri" w:hAnsi="Calibri"/>
          <w:sz w:val="20"/>
        </w:rPr>
        <w:t xml:space="preserve"> </w:t>
      </w:r>
      <w:r>
        <w:rPr>
          <w:rFonts w:ascii="Calibri" w:hAnsi="Calibri"/>
          <w:sz w:val="20"/>
        </w:rPr>
        <w:t xml:space="preserve">means issued and outstanding common shares; the parenthetical adds Preferred-as-converted but is silent on options. Denominator ≈ outstanding Common (~9.8M) + Preferred-as-converted (16.5M) ≈</w:t>
      </w:r>
      <w:r>
        <w:rPr>
          <w:rFonts w:ascii="Calibri" w:hAnsi="Calibri"/>
          <w:sz w:val="20"/>
        </w:rPr>
        <w:t xml:space="preserve"> </w:t>
      </w:r>
      <w:r>
        <w:rPr>
          <w:rFonts w:ascii="Calibri" w:hAnsi="Calibri"/>
          <w:b/>
          <w:bCs/>
          <w:sz w:val="20"/>
        </w:rPr>
        <w:t xml:space="preserve">26.3M</w:t>
      </w:r>
      <w:r>
        <w:rPr>
          <w:rFonts w:ascii="Calibri" w:hAnsi="Calibri"/>
          <w:sz w:val="20"/>
        </w:rPr>
        <w:t xml:space="preserve">. Threshold ≈ &gt;13.15M. Founders (7.3M) + Ridgeline (3.5M) + Northbridge (5.2M) =</w:t>
      </w:r>
      <w:r>
        <w:rPr>
          <w:rFonts w:ascii="Calibri" w:hAnsi="Calibri"/>
          <w:sz w:val="20"/>
        </w:rPr>
        <w:t xml:space="preserve"> </w:t>
      </w:r>
      <w:r>
        <w:rPr>
          <w:rFonts w:ascii="Calibri" w:hAnsi="Calibri"/>
          <w:b/>
          <w:bCs/>
          <w:sz w:val="20"/>
        </w:rPr>
        <w:t xml:space="preserve">16.0M &gt; 13.15M. Satisfied without Stonemill.</w:t>
      </w:r>
      <w:r>
        <w:rPr>
          <w:rFonts w:ascii="Calibri" w:hAnsi="Calibri"/>
          <w:sz w:val="20"/>
        </w:rPr>
        <w:t xml:space="preserve"> </w:t>
      </w:r>
      <w:r>
        <w:rPr>
          <w:rFonts w:ascii="Calibri" w:hAnsi="Calibri"/>
          <w:sz w:val="20"/>
        </w:rPr>
        <w:t xml:space="preserve">✓</w:t>
      </w:r>
    </w:p>
    <w:p>
      <w:pPr>
        <w:pStyle w:val="Compact"/>
        <w:keepNext w:val="0"/>
        <w:keepLines w:val="0"/>
        <w:numPr>
          <w:ilvl w:val="0"/>
          <w:numId w:val="1005"/>
        </w:numPr>
        <w:spacing w:before="0" w:after="60" w:line="240" w:lineRule="auto"/>
      </w:pPr>
      <w:r>
        <w:rPr>
          <w:rFonts w:ascii="Calibri" w:hAnsi="Calibri"/>
          <w:b/>
          <w:bCs/>
          <w:sz w:val="20"/>
        </w:rPr>
        <w:t xml:space="preserve">Broad reading (options included):</w:t>
      </w:r>
      <w:r>
        <w:rPr>
          <w:rFonts w:ascii="Calibri" w:hAnsi="Calibri"/>
          <w:sz w:val="20"/>
        </w:rPr>
        <w:t xml:space="preserve"> </w:t>
      </w:r>
      <w:r>
        <w:rPr>
          <w:rFonts w:ascii="Calibri" w:hAnsi="Calibri"/>
          <w:sz w:val="20"/>
        </w:rPr>
        <w:t xml:space="preserve">“</w:t>
      </w:r>
      <w:r>
        <w:rPr>
          <w:rFonts w:ascii="Calibri" w:hAnsi="Calibri"/>
          <w:sz w:val="20"/>
        </w:rPr>
        <w:t xml:space="preserve">As-converted basis</w:t>
      </w:r>
      <w:r>
        <w:rPr>
          <w:rFonts w:ascii="Calibri" w:hAnsi="Calibri"/>
          <w:sz w:val="20"/>
        </w:rPr>
        <w:t xml:space="preserve">”</w:t>
      </w:r>
      <w:r>
        <w:rPr>
          <w:rFonts w:ascii="Calibri" w:hAnsi="Calibri"/>
          <w:sz w:val="20"/>
        </w:rPr>
        <w:t xml:space="preserve"> </w:t>
      </w:r>
      <w:r>
        <w:rPr>
          <w:rFonts w:ascii="Calibri" w:hAnsi="Calibri"/>
          <w:sz w:val="20"/>
        </w:rPr>
        <w:t xml:space="preserve">is read to include all common-equivalent shares, i.e., the full 33.9M fully-diluted count. Denominator ≈</w:t>
      </w:r>
      <w:r>
        <w:rPr>
          <w:rFonts w:ascii="Calibri" w:hAnsi="Calibri"/>
          <w:sz w:val="20"/>
        </w:rPr>
        <w:t xml:space="preserve"> </w:t>
      </w:r>
      <w:r>
        <w:rPr>
          <w:rFonts w:ascii="Calibri" w:hAnsi="Calibri"/>
          <w:b/>
          <w:bCs/>
          <w:sz w:val="20"/>
        </w:rPr>
        <w:t xml:space="preserve">33.9M</w:t>
      </w:r>
      <w:r>
        <w:rPr>
          <w:rFonts w:ascii="Calibri" w:hAnsi="Calibri"/>
          <w:sz w:val="20"/>
        </w:rPr>
        <w:t xml:space="preserve">. Threshold ≈ &gt;16.95M. Founders + Ridgeline + Northbridge =</w:t>
      </w:r>
      <w:r>
        <w:rPr>
          <w:rFonts w:ascii="Calibri" w:hAnsi="Calibri"/>
          <w:sz w:val="20"/>
        </w:rPr>
        <w:t xml:space="preserve"> </w:t>
      </w:r>
      <w:r>
        <w:rPr>
          <w:rFonts w:ascii="Calibri" w:hAnsi="Calibri"/>
          <w:b/>
          <w:bCs/>
          <w:sz w:val="20"/>
        </w:rPr>
        <w:t xml:space="preserve">16.0M &lt; 16.95M. NOT satisfied without Stonemill</w:t>
      </w:r>
      <w:r>
        <w:rPr>
          <w:rFonts w:ascii="Calibri" w:hAnsi="Calibri"/>
          <w:sz w:val="20"/>
        </w:rPr>
        <w:t xml:space="preserve"> </w:t>
      </w:r>
      <w:r>
        <w:rPr>
          <w:rFonts w:ascii="Calibri" w:hAnsi="Calibri"/>
          <w:sz w:val="20"/>
        </w:rPr>
        <w:t xml:space="preserve">(short by ~950,000 shares), unless additional common/option holders vote in favor. ✗</w:t>
      </w:r>
    </w:p>
    <w:p>
      <w:pPr>
        <w:pStyle w:val="FirstParagraph"/>
        <w:keepNext w:val="0"/>
        <w:keepLines w:val="0"/>
        <w:spacing w:before="0" w:after="60" w:line="240" w:lineRule="auto"/>
      </w:pPr>
      <w:r>
        <w:rPr>
          <w:rFonts w:ascii="Calibri" w:hAnsi="Calibri"/>
          <w:b/>
          <w:bCs/>
          <w:sz w:val="20"/>
        </w:rPr>
        <w:t xml:space="preserve">The better reading is the narrow one</w:t>
      </w:r>
      <w:r>
        <w:rPr>
          <w:rFonts w:ascii="Calibri" w:hAnsi="Calibri"/>
          <w:sz w:val="20"/>
        </w:rPr>
        <w:t xml:space="preserve"> </w:t>
      </w:r>
      <w:r>
        <w:rPr>
          <w:rFonts w:ascii="Calibri" w:hAnsi="Calibri"/>
          <w:sz w:val="20"/>
        </w:rPr>
        <w:t xml:space="preserve">(options excluded), because the parenthetical specifies only Preferred conversion and does not mention option exercise — had the drafters intended to include options, they would have said so (as the Stockholders’ Agreement elsewhere does, e.g., Exhibit B’s fully-diluted definition expressly includes options). However, the broad reading is colorable, and Stonemill would advance it.</w:t>
      </w:r>
      <w:r>
        <w:rPr>
          <w:rFonts w:ascii="Calibri" w:hAnsi="Calibri"/>
          <w:sz w:val="20"/>
        </w:rPr>
        <w:t xml:space="preserve"> </w:t>
      </w:r>
      <w:r>
        <w:rPr>
          <w:rFonts w:ascii="Calibri" w:hAnsi="Calibri"/>
          <w:b/>
          <w:bCs/>
          <w:sz w:val="20"/>
        </w:rPr>
        <w:t xml:space="preserve">This ambiguity is itself a Significant risk:</w:t>
      </w:r>
      <w:r>
        <w:rPr>
          <w:rFonts w:ascii="Calibri" w:hAnsi="Calibri"/>
          <w:sz w:val="20"/>
        </w:rPr>
        <w:t xml:space="preserve"> </w:t>
      </w:r>
      <w:r>
        <w:rPr>
          <w:rFonts w:ascii="Calibri" w:hAnsi="Calibri"/>
          <w:sz w:val="20"/>
        </w:rPr>
        <w:t xml:space="preserve">the answer determines whether the drag-along is even available as a tool.</w:t>
      </w:r>
    </w:p>
    <w:bookmarkEnd w:id="39"/>
    <w:bookmarkStart w:id="40" w:name="X8630afc5dc17bdc10c03dbbc780a829e602baad"/>
    <w:p>
      <w:pPr>
        <w:pStyle w:val="Heading3"/>
        <w:keepNext w:val="0"/>
        <w:keepLines w:val="0"/>
        <w:spacing w:before="100" w:after="20" w:line="240" w:lineRule="auto"/>
      </w:pPr>
      <w:r>
        <w:rPr>
          <w:rFonts w:ascii="Calibri" w:hAnsi="Calibri"/>
          <w:sz w:val="22"/>
        </w:rPr>
        <w:t xml:space="preserve">C. Can the Drag-Along Override the Charter Series C Veto?</w:t>
      </w:r>
    </w:p>
    <w:p>
      <w:pPr>
        <w:pStyle w:val="FirstParagraph"/>
        <w:keepNext w:val="0"/>
        <w:keepLines w:val="0"/>
        <w:spacing w:before="0" w:after="60" w:line="240" w:lineRule="auto"/>
      </w:pPr>
      <w:r>
        <w:rPr>
          <w:rFonts w:ascii="Calibri" w:hAnsi="Calibri"/>
          <w:sz w:val="20"/>
        </w:rPr>
        <w:t xml:space="preserve">Even assuming the drag-along can be triggered without Stonemill (narrow reading), a second, harder question arises:</w:t>
      </w:r>
      <w:r>
        <w:rPr>
          <w:rFonts w:ascii="Calibri" w:hAnsi="Calibri"/>
          <w:sz w:val="20"/>
        </w:rPr>
        <w:t xml:space="preserve"> </w:t>
      </w:r>
      <w:r>
        <w:rPr>
          <w:rFonts w:ascii="Calibri" w:hAnsi="Calibri"/>
          <w:b/>
          <w:bCs/>
          <w:sz w:val="20"/>
        </w:rPr>
        <w:t xml:space="preserve">can a contractual drag-along compel Stonemill to waive its charter-given Series C separate-class consent right?</w:t>
      </w:r>
    </w:p>
    <w:p>
      <w:pPr>
        <w:pStyle w:val="BodyText"/>
        <w:keepNext w:val="0"/>
        <w:keepLines w:val="0"/>
        <w:spacing w:before="0" w:after="60" w:line="240" w:lineRule="auto"/>
      </w:pPr>
      <w:r>
        <w:rPr>
          <w:rFonts w:ascii="Calibri" w:hAnsi="Calibri"/>
          <w:sz w:val="20"/>
        </w:rPr>
        <w:t xml:space="preserve">Arguments</w:t>
      </w:r>
      <w:r>
        <w:rPr>
          <w:rFonts w:ascii="Calibri" w:hAnsi="Calibri"/>
          <w:sz w:val="20"/>
        </w:rPr>
        <w:t xml:space="preserve"> </w:t>
      </w:r>
      <w:r>
        <w:rPr>
          <w:rFonts w:ascii="Calibri" w:hAnsi="Calibri"/>
          <w:b/>
          <w:bCs/>
          <w:sz w:val="20"/>
        </w:rPr>
        <w:t xml:space="preserve">for</w:t>
      </w:r>
      <w:r>
        <w:rPr>
          <w:rFonts w:ascii="Calibri" w:hAnsi="Calibri"/>
          <w:sz w:val="20"/>
        </w:rPr>
        <w:t xml:space="preserve"> </w:t>
      </w:r>
      <w:r>
        <w:rPr>
          <w:rFonts w:ascii="Calibri" w:hAnsi="Calibri"/>
          <w:sz w:val="20"/>
        </w:rPr>
        <w:t xml:space="preserve">enforceability:</w:t>
      </w:r>
      <w:r>
        <w:rPr>
          <w:rFonts w:ascii="Calibri" w:hAnsi="Calibri"/>
          <w:sz w:val="20"/>
        </w:rPr>
        <w:t xml:space="preserve"> </w:t>
      </w:r>
      <w:r>
        <w:rPr>
          <w:rFonts w:ascii="Calibri" w:hAnsi="Calibri"/>
          <w:sz w:val="20"/>
        </w:rPr>
        <w:t xml:space="preserve">- §3.1(a)(A) obligates each Restricted Stockholder (Stonemill is one) to</w:t>
      </w:r>
      <w:r>
        <w:rPr>
          <w:rFonts w:ascii="Calibri" w:hAnsi="Calibri"/>
          <w:sz w:val="20"/>
        </w:rPr>
        <w:t xml:space="preserve"> </w:t>
      </w:r>
      <w:r>
        <w:rPr>
          <w:rFonts w:ascii="Calibri" w:hAnsi="Calibri"/>
          <w:sz w:val="20"/>
        </w:rPr>
        <w:t xml:space="preserve">“</w:t>
      </w:r>
      <w:r>
        <w:rPr>
          <w:rFonts w:ascii="Calibri" w:hAnsi="Calibri"/>
          <w:sz w:val="20"/>
        </w:rPr>
        <w:t xml:space="preserve">vote … all Shares … in favor of such Sale of the Company and in favor of any other matter required to be approved in connection with such Sale of the Company</w:t>
      </w:r>
      <w:r>
        <w:rPr>
          <w:rFonts w:ascii="Calibri" w:hAnsi="Calibri"/>
          <w:sz w:val="20"/>
        </w:rPr>
        <w:t xml:space="preserve">”</w:t>
      </w:r>
      <w:r>
        <w:rPr>
          <w:rFonts w:ascii="Calibri" w:hAnsi="Calibri"/>
          <w:sz w:val="20"/>
        </w:rPr>
        <w:t xml:space="preserve"> </w:t>
      </w:r>
      <w:r>
        <w:rPr>
          <w:rFonts w:ascii="Calibri" w:hAnsi="Calibri"/>
          <w:sz w:val="20"/>
        </w:rPr>
        <w:t xml:space="preserve">— which on its face includes the Series C separate-class consent.</w:t>
      </w:r>
      <w:r>
        <w:rPr>
          <w:rFonts w:ascii="Calibri" w:hAnsi="Calibri"/>
          <w:sz w:val="20"/>
        </w:rPr>
        <w:t xml:space="preserve"> </w:t>
      </w:r>
      <w:r>
        <w:rPr>
          <w:rFonts w:ascii="Calibri" w:hAnsi="Calibri"/>
          <w:sz w:val="20"/>
        </w:rPr>
        <w:t xml:space="preserve">- §3.3 grants an</w:t>
      </w:r>
      <w:r>
        <w:rPr>
          <w:rFonts w:ascii="Calibri" w:hAnsi="Calibri"/>
          <w:sz w:val="20"/>
        </w:rPr>
        <w:t xml:space="preserve"> </w:t>
      </w:r>
      <w:r>
        <w:rPr>
          <w:rFonts w:ascii="Calibri" w:hAnsi="Calibri"/>
          <w:b/>
          <w:bCs/>
          <w:sz w:val="20"/>
        </w:rPr>
        <w:t xml:space="preserve">irrevocable proxy</w:t>
      </w:r>
      <w:r>
        <w:rPr>
          <w:rFonts w:ascii="Calibri" w:hAnsi="Calibri"/>
          <w:sz w:val="20"/>
        </w:rPr>
        <w:t xml:space="preserve">, coupled with an interest, to the holders constituting the Drag-Along Approval to vote the dragged stockholder’s shares in favor — a mechanism to compel the vote even over objection.</w:t>
      </w:r>
      <w:r>
        <w:rPr>
          <w:rFonts w:ascii="Calibri" w:hAnsi="Calibri"/>
          <w:sz w:val="20"/>
        </w:rPr>
        <w:t xml:space="preserve"> </w:t>
      </w:r>
      <w:r>
        <w:rPr>
          <w:rFonts w:ascii="Calibri" w:hAnsi="Calibri"/>
          <w:sz w:val="20"/>
        </w:rPr>
        <w:t xml:space="preserve">- Delaware generally enforces stockholders’-agreement voting obligations as contracts, including agreements to consent to transactions.</w:t>
      </w:r>
    </w:p>
    <w:p>
      <w:pPr>
        <w:pStyle w:val="BodyText"/>
        <w:keepNext w:val="0"/>
        <w:keepLines w:val="0"/>
        <w:spacing w:before="0" w:after="60" w:line="240" w:lineRule="auto"/>
      </w:pPr>
      <w:r>
        <w:rPr>
          <w:rFonts w:ascii="Calibri" w:hAnsi="Calibri"/>
          <w:sz w:val="20"/>
        </w:rPr>
        <w:t xml:space="preserve">Arguments</w:t>
      </w:r>
      <w:r>
        <w:rPr>
          <w:rFonts w:ascii="Calibri" w:hAnsi="Calibri"/>
          <w:sz w:val="20"/>
        </w:rPr>
        <w:t xml:space="preserve"> </w:t>
      </w:r>
      <w:r>
        <w:rPr>
          <w:rFonts w:ascii="Calibri" w:hAnsi="Calibri"/>
          <w:b/>
          <w:bCs/>
          <w:sz w:val="20"/>
        </w:rPr>
        <w:t xml:space="preserve">against</w:t>
      </w:r>
      <w:r>
        <w:rPr>
          <w:rFonts w:ascii="Calibri" w:hAnsi="Calibri"/>
          <w:sz w:val="20"/>
        </w:rPr>
        <w:t xml:space="preserve"> </w:t>
      </w:r>
      <w:r>
        <w:rPr>
          <w:rFonts w:ascii="Calibri" w:hAnsi="Calibri"/>
          <w:sz w:val="20"/>
        </w:rPr>
        <w:t xml:space="preserve">(charter veto prevails):</w:t>
      </w:r>
      <w:r>
        <w:rPr>
          <w:rFonts w:ascii="Calibri" w:hAnsi="Calibri"/>
          <w:sz w:val="20"/>
        </w:rPr>
        <w:t xml:space="preserve"> </w:t>
      </w:r>
      <w:r>
        <w:rPr>
          <w:rFonts w:ascii="Calibri" w:hAnsi="Calibri"/>
          <w:sz w:val="20"/>
        </w:rPr>
        <w:t xml:space="preserve">- The Series C separate-class vote is a</w:t>
      </w:r>
      <w:r>
        <w:rPr>
          <w:rFonts w:ascii="Calibri" w:hAnsi="Calibri"/>
          <w:sz w:val="20"/>
        </w:rPr>
        <w:t xml:space="preserve"> </w:t>
      </w:r>
      <w:r>
        <w:rPr>
          <w:rFonts w:ascii="Calibri" w:hAnsi="Calibri"/>
          <w:b/>
          <w:bCs/>
          <w:sz w:val="20"/>
        </w:rPr>
        <w:t xml:space="preserve">charter</w:t>
      </w:r>
      <w:r>
        <w:rPr>
          <w:rFonts w:ascii="Calibri" w:hAnsi="Calibri"/>
          <w:sz w:val="20"/>
        </w:rPr>
        <w:t xml:space="preserve"> </w:t>
      </w:r>
      <w:r>
        <w:rPr>
          <w:rFonts w:ascii="Calibri" w:hAnsi="Calibri"/>
          <w:sz w:val="20"/>
        </w:rPr>
        <w:t xml:space="preserve">protective provision — part of the certificate of incorporation, the supreme corporate document. A stockholders’ agreement is a contract among stockholders and cannot rewrite the charter.</w:t>
      </w:r>
      <w:r>
        <w:rPr>
          <w:rFonts w:ascii="Calibri" w:hAnsi="Calibri"/>
          <w:sz w:val="20"/>
        </w:rPr>
        <w:t xml:space="preserve"> </w:t>
      </w:r>
      <w:r>
        <w:rPr>
          <w:rFonts w:ascii="Calibri" w:hAnsi="Calibri"/>
          <w:sz w:val="20"/>
        </w:rPr>
        <w:t xml:space="preserve">- The charter does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contain a carve-out subjecting the protective provisions to the drag-along (some charters do; this one does not). The drafters’ silence is meaningful.</w:t>
      </w:r>
      <w:r>
        <w:rPr>
          <w:rFonts w:ascii="Calibri" w:hAnsi="Calibri"/>
          <w:sz w:val="20"/>
        </w:rPr>
        <w:t xml:space="preserve"> </w:t>
      </w:r>
      <w:r>
        <w:rPr>
          <w:rFonts w:ascii="Calibri" w:hAnsi="Calibri"/>
          <w:sz w:val="20"/>
        </w:rPr>
        <w:t xml:space="preserve">- DGCL §242(b)(2) protects class voting rights in the charter; while §4.3.6(b)(i) governs a Liquidation Event rather than a charter amendment per se, the policy favoring non-waivable charter class protections is strong.</w:t>
      </w:r>
      <w:r>
        <w:rPr>
          <w:rFonts w:ascii="Calibri" w:hAnsi="Calibri"/>
          <w:sz w:val="20"/>
        </w:rPr>
        <w:t xml:space="preserve"> </w:t>
      </w:r>
      <w:r>
        <w:rPr>
          <w:rFonts w:ascii="Calibri" w:hAnsi="Calibri"/>
          <w:sz w:val="20"/>
        </w:rPr>
        <w:t xml:space="preserve">- Fiduciary-duty overlay: a court may decline to enforce a drag-along that would breach fiduciary duties, though a third-party cash deal at a fair price approved by an independent committee reduces this concern.</w:t>
      </w:r>
    </w:p>
    <w:p>
      <w:pPr>
        <w:pStyle w:val="BodyText"/>
        <w:keepNext w:val="0"/>
        <w:keepLines w:val="0"/>
        <w:spacing w:before="0" w:after="60" w:line="240" w:lineRule="auto"/>
      </w:pPr>
      <w:r>
        <w:rPr>
          <w:rFonts w:ascii="Calibri" w:hAnsi="Calibri"/>
          <w:b/>
          <w:bCs/>
          <w:sz w:val="20"/>
        </w:rPr>
        <w:t xml:space="preserve">Assessment.</w:t>
      </w:r>
      <w:r>
        <w:rPr>
          <w:rFonts w:ascii="Calibri" w:hAnsi="Calibri"/>
          <w:sz w:val="20"/>
        </w:rPr>
        <w:t xml:space="preserve"> </w:t>
      </w:r>
      <w:r>
        <w:rPr>
          <w:rFonts w:ascii="Calibri" w:hAnsi="Calibri"/>
          <w:sz w:val="20"/>
        </w:rPr>
        <w:t xml:space="preserve">This is a genuinely contested question of Delaware law with no controlling on-point authority. The most likely practical outcome is that</w:t>
      </w:r>
      <w:r>
        <w:rPr>
          <w:rFonts w:ascii="Calibri" w:hAnsi="Calibri"/>
          <w:sz w:val="20"/>
        </w:rPr>
        <w:t xml:space="preserve"> </w:t>
      </w:r>
      <w:r>
        <w:rPr>
          <w:rFonts w:ascii="Calibri" w:hAnsi="Calibri"/>
          <w:b/>
          <w:bCs/>
          <w:sz w:val="20"/>
        </w:rPr>
        <w:t xml:space="preserve">Stonemill would litigate</w:t>
      </w:r>
      <w:r>
        <w:rPr>
          <w:rFonts w:ascii="Calibri" w:hAnsi="Calibri"/>
          <w:sz w:val="20"/>
        </w:rPr>
        <w:t xml:space="preserve"> </w:t>
      </w:r>
      <w:r>
        <w:rPr>
          <w:rFonts w:ascii="Calibri" w:hAnsi="Calibri"/>
          <w:sz w:val="20"/>
        </w:rPr>
        <w:t xml:space="preserve">any attempt to drag it, seeking to enjoin the closing on the grounds that (a) the drag-along was not properly triggered (broad reading of prong (i)) and/or (b) the drag-along cannot override the charter veto. The outcome is uncertain, the process would be slow and expensive, and it would jeopardize the Q1 2025 target closing.</w:t>
      </w:r>
    </w:p>
    <w:bookmarkEnd w:id="40"/>
    <w:bookmarkStart w:id="41" w:name="d.-conclusion-on-the-drag-along"/>
    <w:p>
      <w:pPr>
        <w:pStyle w:val="Heading3"/>
        <w:keepNext w:val="0"/>
        <w:keepLines w:val="0"/>
        <w:spacing w:before="100" w:after="20" w:line="240" w:lineRule="auto"/>
      </w:pPr>
      <w:r>
        <w:rPr>
          <w:rFonts w:ascii="Calibri" w:hAnsi="Calibri"/>
          <w:sz w:val="22"/>
        </w:rPr>
        <w:t xml:space="preserve">D. Conclusion on the Drag-Along</w:t>
      </w:r>
    </w:p>
    <w:p>
      <w:pPr>
        <w:pStyle w:val="FirstParagraph"/>
        <w:keepNext w:val="0"/>
        <w:keepLines w:val="0"/>
        <w:spacing w:before="0" w:after="60" w:line="240" w:lineRule="auto"/>
      </w:pPr>
      <w:r>
        <w:rPr>
          <w:rFonts w:ascii="Calibri" w:hAnsi="Calibri"/>
          <w:sz w:val="20"/>
        </w:rPr>
        <w:t xml:space="preserve">The drag-along is</w:t>
      </w:r>
      <w:r>
        <w:rPr>
          <w:rFonts w:ascii="Calibri" w:hAnsi="Calibri"/>
          <w:sz w:val="20"/>
        </w:rPr>
        <w:t xml:space="preserve"> </w:t>
      </w:r>
      <w:r>
        <w:rPr>
          <w:rFonts w:ascii="Calibri" w:hAnsi="Calibri"/>
          <w:b/>
          <w:bCs/>
          <w:sz w:val="20"/>
        </w:rPr>
        <w:t xml:space="preserve">not a reliable path to closing over Stonemill’s objection.</w:t>
      </w:r>
      <w:r>
        <w:rPr>
          <w:rFonts w:ascii="Calibri" w:hAnsi="Calibri"/>
          <w:sz w:val="20"/>
        </w:rPr>
        <w:t xml:space="preserve"> </w:t>
      </w:r>
      <w:r>
        <w:rPr>
          <w:rFonts w:ascii="Calibri" w:hAnsi="Calibri"/>
          <w:sz w:val="20"/>
        </w:rPr>
        <w:t xml:space="preserve">It is, at best, a contingent and litigable fallback that depends on resolving two independent uncertainties (the prong (i) denominator and the charter-override question) in Hargrove’s favor. The client should</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rely on the drag-along to change the negotiation dynamic. The drag-along’s principal value here is as a</w:t>
      </w:r>
      <w:r>
        <w:rPr>
          <w:rFonts w:ascii="Calibri" w:hAnsi="Calibri"/>
          <w:sz w:val="20"/>
        </w:rPr>
        <w:t xml:space="preserve"> </w:t>
      </w:r>
      <w:r>
        <w:rPr>
          <w:rFonts w:ascii="Calibri" w:hAnsi="Calibri"/>
          <w:b/>
          <w:bCs/>
          <w:sz w:val="20"/>
        </w:rPr>
        <w:t xml:space="preserve">negotiating lever</w:t>
      </w:r>
      <w:r>
        <w:rPr>
          <w:rFonts w:ascii="Calibri" w:hAnsi="Calibri"/>
          <w:sz w:val="20"/>
        </w:rPr>
        <w:t xml:space="preserve"> </w:t>
      </w:r>
      <w:r>
        <w:rPr>
          <w:rFonts w:ascii="Calibri" w:hAnsi="Calibri"/>
          <w:sz w:val="20"/>
        </w:rPr>
        <w:t xml:space="preserve">— the threat of an attempt, and the cost and uncertainty Stonemill would face in resisting it — rather than as a sure mechanism. We recommend flagging this clearly to Katrina Voss.</w:t>
      </w:r>
    </w:p>
    <w:p>
      <w:pPr>
        <w:keepNext w:val="0"/>
        <w:keepLines w:val="0"/>
        <w:spacing w:before="0" w:after="60" w:line="240" w:lineRule="auto"/>
      </w:pPr>
      <w:r>
        <w:rPr>
          <w:rFonts w:ascii="Calibri" w:hAnsi="Calibri"/>
          <w:sz w:val="20"/>
        </w:rPr>
        <w:pict>
          <v:rect style="width:0;height:1.5pt" o:hralign="center" o:hrstd="t" o:hr="t"/>
        </w:pict>
      </w:r>
    </w:p>
    <w:bookmarkEnd w:id="41"/>
    <w:bookmarkEnd w:id="42"/>
    <w:bookmarkStart w:id="47" w:name="X61b42c4424d66ea74b3ae73283ae6347e5d6b63"/>
    <w:p>
      <w:pPr>
        <w:pStyle w:val="Heading2"/>
        <w:keepNext w:val="0"/>
        <w:keepLines w:val="0"/>
        <w:spacing w:before="140" w:after="40" w:line="240" w:lineRule="auto"/>
      </w:pPr>
      <w:r>
        <w:rPr>
          <w:rFonts w:ascii="Calibri" w:hAnsi="Calibri"/>
          <w:sz w:val="25"/>
        </w:rPr>
        <w:t xml:space="preserve">VI. Area 3 — Impediments to Closing a Reverse Triangular Merger</w:t>
      </w:r>
    </w:p>
    <w:bookmarkStart w:id="43" w:name="Xcabaf3bd1b973bc02675c09b3dd6bf4fa6f1b96"/>
    <w:p>
      <w:pPr>
        <w:pStyle w:val="Heading3"/>
        <w:keepNext w:val="0"/>
        <w:keepLines w:val="0"/>
        <w:spacing w:before="100" w:after="20" w:line="240" w:lineRule="auto"/>
      </w:pPr>
      <w:r>
        <w:rPr>
          <w:rFonts w:ascii="Calibri" w:hAnsi="Calibri"/>
          <w:sz w:val="22"/>
        </w:rPr>
        <w:t xml:space="preserve">A. The Reverse Triangular Structure Is Clearly Captured</w:t>
      </w:r>
    </w:p>
    <w:p>
      <w:pPr>
        <w:pStyle w:val="FirstParagraph"/>
        <w:keepNext w:val="0"/>
        <w:keepLines w:val="0"/>
        <w:spacing w:before="0" w:after="60" w:line="240" w:lineRule="auto"/>
      </w:pPr>
      <w:r>
        <w:rPr>
          <w:rFonts w:ascii="Calibri" w:hAnsi="Calibri"/>
          <w:sz w:val="20"/>
        </w:rPr>
        <w:t xml:space="preserve">The defined terms across the documents clearly capture a reverse triangular merger in which Terravox survives as a wholly-owned subsidiary and its stockholders receive cash:</w:t>
      </w:r>
    </w:p>
    <w:p>
      <w:pPr>
        <w:pStyle w:val="Compact"/>
        <w:keepNext w:val="0"/>
        <w:keepLines w:val="0"/>
        <w:numPr>
          <w:ilvl w:val="0"/>
          <w:numId w:val="1006"/>
        </w:numPr>
        <w:spacing w:before="0" w:after="60" w:line="240" w:lineRule="auto"/>
      </w:pPr>
      <w:r>
        <w:rPr>
          <w:rFonts w:ascii="Calibri" w:hAnsi="Calibri"/>
          <w:b/>
          <w:bCs/>
          <w:sz w:val="20"/>
        </w:rPr>
        <w:t xml:space="preserve">“</w:t>
      </w:r>
      <w:r>
        <w:rPr>
          <w:rFonts w:ascii="Calibri" w:hAnsi="Calibri"/>
          <w:b/>
          <w:bCs/>
          <w:sz w:val="20"/>
        </w:rPr>
        <w:t xml:space="preserve">Liquidation Event</w:t>
      </w:r>
      <w:r>
        <w:rPr>
          <w:rFonts w:ascii="Calibri" w:hAnsi="Calibri"/>
          <w:b/>
          <w:bCs/>
          <w:sz w:val="20"/>
        </w:rPr>
        <w:t xml:space="preserve">”</w:t>
      </w:r>
      <w:r>
        <w:rPr>
          <w:rFonts w:ascii="Calibri" w:hAnsi="Calibri"/>
          <w:sz w:val="20"/>
        </w:rPr>
        <w:t xml:space="preserve"> </w:t>
      </w:r>
      <w:r>
        <w:rPr>
          <w:rFonts w:ascii="Calibri" w:hAnsi="Calibri"/>
          <w:sz w:val="20"/>
        </w:rPr>
        <w:t xml:space="preserve">(Restated Cert. §4.3.2(d)(i) and (iii)): captured — Terravox stockholders retain 0% of Hargrove’s voting power, and &gt;50% of Terravox’s voting power is transferred to Hargrove.</w:t>
      </w:r>
    </w:p>
    <w:p>
      <w:pPr>
        <w:pStyle w:val="Compact"/>
        <w:keepNext w:val="0"/>
        <w:keepLines w:val="0"/>
        <w:numPr>
          <w:ilvl w:val="0"/>
          <w:numId w:val="1006"/>
        </w:numPr>
        <w:spacing w:before="0" w:after="60" w:line="240" w:lineRule="auto"/>
      </w:pPr>
      <w:r>
        <w:rPr>
          <w:rFonts w:ascii="Calibri" w:hAnsi="Calibri"/>
          <w:b/>
          <w:bCs/>
          <w:sz w:val="20"/>
        </w:rPr>
        <w:t xml:space="preserve">“</w:t>
      </w:r>
      <w:r>
        <w:rPr>
          <w:rFonts w:ascii="Calibri" w:hAnsi="Calibri"/>
          <w:b/>
          <w:bCs/>
          <w:sz w:val="20"/>
        </w:rPr>
        <w:t xml:space="preserve">Sale of the Company</w:t>
      </w:r>
      <w:r>
        <w:rPr>
          <w:rFonts w:ascii="Calibri" w:hAnsi="Calibri"/>
          <w:b/>
          <w:bCs/>
          <w:sz w:val="20"/>
        </w:rPr>
        <w:t xml:space="preserve">”</w:t>
      </w:r>
      <w:r>
        <w:rPr>
          <w:rFonts w:ascii="Calibri" w:hAnsi="Calibri"/>
          <w:sz w:val="20"/>
        </w:rPr>
        <w:t xml:space="preserve"> </w:t>
      </w:r>
      <w:r>
        <w:rPr>
          <w:rFonts w:ascii="Calibri" w:hAnsi="Calibri"/>
          <w:sz w:val="20"/>
        </w:rPr>
        <w:t xml:space="preserve">(Stockholders’ Ag. §1.1; Voting Ag. §1): captured — same two prongs.</w:t>
      </w:r>
    </w:p>
    <w:p>
      <w:pPr>
        <w:pStyle w:val="FirstParagraph"/>
        <w:keepNext w:val="0"/>
        <w:keepLines w:val="0"/>
        <w:spacing w:before="0" w:after="60" w:line="240" w:lineRule="auto"/>
      </w:pPr>
      <w:r>
        <w:rPr>
          <w:rFonts w:ascii="Calibri" w:hAnsi="Calibri"/>
          <w:sz w:val="20"/>
        </w:rPr>
        <w:t xml:space="preserve">We considered the possible argument that §4.3.2(d)(i)</w:t>
      </w:r>
      <w:r>
        <w:rPr>
          <w:rFonts w:ascii="Calibri" w:hAnsi="Calibri"/>
          <w:sz w:val="20"/>
        </w:rPr>
        <w:t xml:space="preserve">‘</w:t>
      </w:r>
      <w:r>
        <w:rPr>
          <w:rFonts w:ascii="Calibri" w:hAnsi="Calibri"/>
          <w:sz w:val="20"/>
        </w:rPr>
        <w:t xml:space="preserve">s reference to</w:t>
      </w:r>
      <w:r>
        <w:rPr>
          <w:rFonts w:ascii="Calibri" w:hAnsi="Calibri"/>
          <w:sz w:val="20"/>
        </w:rPr>
        <w:t xml:space="preserve"> </w:t>
      </w:r>
      <w:r>
        <w:rPr>
          <w:rFonts w:ascii="Calibri" w:hAnsi="Calibri"/>
          <w:sz w:val="20"/>
        </w:rPr>
        <w:t xml:space="preserve">“</w:t>
      </w:r>
      <w:r>
        <w:rPr>
          <w:rFonts w:ascii="Calibri" w:hAnsi="Calibri"/>
          <w:sz w:val="20"/>
        </w:rPr>
        <w:t xml:space="preserve">the surviving or resulting entity</w:t>
      </w:r>
      <w:r>
        <w:rPr>
          <w:rFonts w:ascii="Calibri" w:hAnsi="Calibri"/>
          <w:sz w:val="20"/>
        </w:rPr>
        <w:t xml:space="preserve">”</w:t>
      </w:r>
      <w:r>
        <w:rPr>
          <w:rFonts w:ascii="Calibri" w:hAnsi="Calibri"/>
          <w:sz w:val="20"/>
        </w:rPr>
        <w:t xml:space="preserve"> </w:t>
      </w:r>
      <w:r>
        <w:rPr>
          <w:rFonts w:ascii="Calibri" w:hAnsi="Calibri"/>
          <w:sz w:val="20"/>
        </w:rPr>
        <w:t xml:space="preserve">could be read to mean Terravox itself (which technically survives the Merger Sub merger), such that the stockholders</w:t>
      </w:r>
      <w:r>
        <w:rPr>
          <w:rFonts w:ascii="Calibri" w:hAnsi="Calibri"/>
          <w:sz w:val="20"/>
        </w:rPr>
        <w:t xml:space="preserve">’</w:t>
      </w:r>
      <w:r>
        <w:rPr>
          <w:rFonts w:ascii="Calibri" w:hAnsi="Calibri"/>
          <w:sz w:val="20"/>
        </w:rPr>
        <w:t xml:space="preserve"> </w:t>
      </w:r>
      <w:r>
        <w:rPr>
          <w:rFonts w:ascii="Calibri" w:hAnsi="Calibri"/>
          <w:sz w:val="20"/>
        </w:rPr>
        <w:t xml:space="preserve">retention of voting power is measured in Terravox. That argument fails: after the merger, Terravox is wholly owned by Hargrove, so the former Terravox stockholders retain 0% of Terravox as well. Either way, the merger is a Liquidation Event.</w:t>
      </w:r>
      <w:r>
        <w:rPr>
          <w:rFonts w:ascii="Calibri" w:hAnsi="Calibri"/>
          <w:sz w:val="20"/>
        </w:rPr>
        <w:t xml:space="preserve"> </w:t>
      </w:r>
      <w:r>
        <w:rPr>
          <w:rFonts w:ascii="Calibri" w:hAnsi="Calibri"/>
          <w:b/>
          <w:bCs/>
          <w:sz w:val="20"/>
        </w:rPr>
        <w:t xml:space="preserve">No structural ambiguity</w:t>
      </w:r>
      <w:r>
        <w:rPr>
          <w:rFonts w:ascii="Calibri" w:hAnsi="Calibri"/>
          <w:sz w:val="20"/>
        </w:rPr>
        <w:t xml:space="preserve"> </w:t>
      </w:r>
      <w:r>
        <w:rPr>
          <w:rFonts w:ascii="Calibri" w:hAnsi="Calibri"/>
          <w:sz w:val="20"/>
        </w:rPr>
        <w:t xml:space="preserve">on this point.</w:t>
      </w:r>
    </w:p>
    <w:bookmarkEnd w:id="43"/>
    <w:bookmarkStart w:id="44" w:name="b.-consequence-the-waterfall-applies"/>
    <w:p>
      <w:pPr>
        <w:pStyle w:val="Heading3"/>
        <w:keepNext w:val="0"/>
        <w:keepLines w:val="0"/>
        <w:spacing w:before="100" w:after="20" w:line="240" w:lineRule="auto"/>
      </w:pPr>
      <w:r>
        <w:rPr>
          <w:rFonts w:ascii="Calibri" w:hAnsi="Calibri"/>
          <w:sz w:val="22"/>
        </w:rPr>
        <w:t xml:space="preserve">B. Consequence: The Waterfall Applies</w:t>
      </w:r>
    </w:p>
    <w:p>
      <w:pPr>
        <w:pStyle w:val="FirstParagraph"/>
        <w:keepNext w:val="0"/>
        <w:keepLines w:val="0"/>
        <w:spacing w:before="0" w:after="60" w:line="240" w:lineRule="auto"/>
      </w:pPr>
      <w:r>
        <w:rPr>
          <w:rFonts w:ascii="Calibri" w:hAnsi="Calibri"/>
          <w:sz w:val="20"/>
        </w:rPr>
        <w:t xml:space="preserve">Because the merger is a Liquidation Event, merger consideration is distributed</w:t>
      </w:r>
      <w:r>
        <w:rPr>
          <w:rFonts w:ascii="Calibri" w:hAnsi="Calibri"/>
          <w:sz w:val="20"/>
        </w:rPr>
        <w:t xml:space="preserve"> </w:t>
      </w:r>
      <w:r>
        <w:rPr>
          <w:rFonts w:ascii="Calibri" w:hAnsi="Calibri"/>
          <w:b/>
          <w:bCs/>
          <w:sz w:val="20"/>
        </w:rPr>
        <w:t xml:space="preserve">in accordance with the liquidation waterfall</w:t>
      </w:r>
      <w:r>
        <w:rPr>
          <w:rFonts w:ascii="Calibri" w:hAnsi="Calibri"/>
          <w:sz w:val="20"/>
        </w:rPr>
        <w:t xml:space="preserve"> </w:t>
      </w:r>
      <w:r>
        <w:rPr>
          <w:rFonts w:ascii="Calibri" w:hAnsi="Calibri"/>
          <w:sz w:val="20"/>
        </w:rPr>
        <w:t xml:space="preserve">(Restated Cert. §4.3.2; Stockholders’ Ag. §3.2(a), which expressly provides that</w:t>
      </w:r>
      <w:r>
        <w:rPr>
          <w:rFonts w:ascii="Calibri" w:hAnsi="Calibri"/>
          <w:sz w:val="20"/>
        </w:rPr>
        <w:t xml:space="preserve"> </w:t>
      </w:r>
      <w:r>
        <w:rPr>
          <w:rFonts w:ascii="Calibri" w:hAnsi="Calibri"/>
          <w:sz w:val="20"/>
        </w:rPr>
        <w:t xml:space="preserve">“</w:t>
      </w:r>
      <w:r>
        <w:rPr>
          <w:rFonts w:ascii="Calibri" w:hAnsi="Calibri"/>
          <w:sz w:val="20"/>
        </w:rPr>
        <w:t xml:space="preserve">consideration shall be distributed in accordance with the liquidation waterfall provisions of the Restated Certificate as if the Sale of the Company were a Liquidation Event</w:t>
      </w:r>
      <w:r>
        <w:rPr>
          <w:rFonts w:ascii="Calibri" w:hAnsi="Calibri"/>
          <w:sz w:val="20"/>
        </w:rPr>
        <w:t xml:space="preserve">”</w:t>
      </w:r>
      <w:r>
        <w:rPr>
          <w:rFonts w:ascii="Calibri" w:hAnsi="Calibri"/>
          <w:sz w:val="20"/>
        </w:rPr>
        <w:t xml:space="preserve">). The waterfall analysis (Appendix B) controls the per-share economics and confirms that Series C receives only its preference. The merger agreement’s consideration-allocation mechanics must track this waterfall.</w:t>
      </w:r>
    </w:p>
    <w:bookmarkEnd w:id="44"/>
    <w:bookmarkStart w:id="45" w:name="X8f705412763b166f05629c4184fc998ce702183"/>
    <w:p>
      <w:pPr>
        <w:pStyle w:val="Heading3"/>
        <w:keepNext w:val="0"/>
        <w:keepLines w:val="0"/>
        <w:spacing w:before="100" w:after="20" w:line="240" w:lineRule="auto"/>
      </w:pPr>
      <w:r>
        <w:rPr>
          <w:rFonts w:ascii="Calibri" w:hAnsi="Calibri"/>
          <w:sz w:val="22"/>
        </w:rPr>
        <w:t xml:space="preserve">C. Reverse Triangular Merger — Structural Notes</w:t>
      </w:r>
    </w:p>
    <w:p>
      <w:pPr>
        <w:pStyle w:val="Compact"/>
        <w:keepNext w:val="0"/>
        <w:keepLines w:val="0"/>
        <w:numPr>
          <w:ilvl w:val="0"/>
          <w:numId w:val="1007"/>
        </w:numPr>
        <w:spacing w:before="0" w:after="60" w:line="240" w:lineRule="auto"/>
      </w:pPr>
      <w:r>
        <w:rPr>
          <w:rFonts w:ascii="Calibri" w:hAnsi="Calibri"/>
          <w:b/>
          <w:bCs/>
          <w:sz w:val="20"/>
        </w:rPr>
        <w:t xml:space="preserve">Survival of the entity:</w:t>
      </w:r>
      <w:r>
        <w:rPr>
          <w:rFonts w:ascii="Calibri" w:hAnsi="Calibri"/>
          <w:sz w:val="20"/>
        </w:rPr>
        <w:t xml:space="preserve"> </w:t>
      </w:r>
      <w:r>
        <w:rPr>
          <w:rFonts w:ascii="Calibri" w:hAnsi="Calibri"/>
          <w:sz w:val="20"/>
        </w:rPr>
        <w:t xml:space="preserve">Because Terravox survives as a subsidiary, its legal entity, contracts, licenses, and regulatory approvals continue in form, which is generally favorable for preserving the going-concern business. This does not reduce the consent requirements — the Liquidation Event is triggered at the merger stage regardless of forward vs. reverse structure.</w:t>
      </w:r>
    </w:p>
    <w:p>
      <w:pPr>
        <w:pStyle w:val="Compact"/>
        <w:keepNext w:val="0"/>
        <w:keepLines w:val="0"/>
        <w:numPr>
          <w:ilvl w:val="0"/>
          <w:numId w:val="1007"/>
        </w:numPr>
        <w:spacing w:before="0" w:after="60" w:line="240" w:lineRule="auto"/>
      </w:pPr>
      <w:r>
        <w:rPr>
          <w:rFonts w:ascii="Calibri" w:hAnsi="Calibri"/>
          <w:b/>
          <w:bCs/>
          <w:sz w:val="20"/>
        </w:rPr>
        <w:t xml:space="preserve">Charter/Bylaws post-closing:</w:t>
      </w:r>
      <w:r>
        <w:rPr>
          <w:rFonts w:ascii="Calibri" w:hAnsi="Calibri"/>
          <w:sz w:val="20"/>
        </w:rPr>
        <w:t xml:space="preserve"> </w:t>
      </w:r>
      <w:r>
        <w:rPr>
          <w:rFonts w:ascii="Calibri" w:hAnsi="Calibri"/>
          <w:sz w:val="20"/>
        </w:rPr>
        <w:t xml:space="preserve">Terravox’s charter and bylaws technically remain in effect as a subsidiary, but the protective provisions will have been satisfied (or waived) at closing, and Hargrove, as sole stockholder, will control the subsidiary post-closing.</w:t>
      </w:r>
    </w:p>
    <w:p>
      <w:pPr>
        <w:pStyle w:val="Compact"/>
        <w:keepNext w:val="0"/>
        <w:keepLines w:val="0"/>
        <w:numPr>
          <w:ilvl w:val="0"/>
          <w:numId w:val="1007"/>
        </w:numPr>
        <w:spacing w:before="0" w:after="60" w:line="240" w:lineRule="auto"/>
      </w:pPr>
      <w:r>
        <w:rPr>
          <w:rFonts w:ascii="Calibri" w:hAnsi="Calibri"/>
          <w:b/>
          <w:bCs/>
          <w:sz w:val="20"/>
        </w:rPr>
        <w:t xml:space="preserve">Debt repayment:</w:t>
      </w:r>
      <w:r>
        <w:rPr>
          <w:rFonts w:ascii="Calibri" w:hAnsi="Calibri"/>
          <w:sz w:val="20"/>
        </w:rPr>
        <w:t xml:space="preserve"> </w:t>
      </w:r>
      <w:r>
        <w:rPr>
          <w:rFonts w:ascii="Calibri" w:hAnsi="Calibri"/>
          <w:sz w:val="20"/>
        </w:rPr>
        <w:t xml:space="preserve">The $12M Clearfield term loan (secured by substantially all assets, including IP) must be repaid at or before closing; this is reflected in the $473M equity value. Confirm the loan’s change-of-control covenant does not trigger an event of default pre-closing (request the loan agreement — see Area 8 / document request list).</w:t>
      </w:r>
    </w:p>
    <w:bookmarkEnd w:id="45"/>
    <w:bookmarkStart w:id="46" w:name="d.-material-error-in-the-board-minutes"/>
    <w:p>
      <w:pPr>
        <w:pStyle w:val="Heading3"/>
        <w:keepNext w:val="0"/>
        <w:keepLines w:val="0"/>
        <w:spacing w:before="100" w:after="20" w:line="240" w:lineRule="auto"/>
      </w:pPr>
      <w:r>
        <w:rPr>
          <w:rFonts w:ascii="Calibri" w:hAnsi="Calibri"/>
          <w:sz w:val="22"/>
        </w:rPr>
        <w:t xml:space="preserve">D. Material Error in the Board Minutes</w:t>
      </w:r>
    </w:p>
    <w:p>
      <w:pPr>
        <w:pStyle w:val="FirstParagraph"/>
        <w:keepNext w:val="0"/>
        <w:keepLines w:val="0"/>
        <w:spacing w:before="0" w:after="60" w:line="240" w:lineRule="auto"/>
      </w:pPr>
      <w:r>
        <w:rPr>
          <w:rFonts w:ascii="Calibri" w:hAnsi="Calibri"/>
          <w:sz w:val="20"/>
        </w:rPr>
        <w:t xml:space="preserve">The September 25, 2024 minutes state that</w:t>
      </w:r>
      <w:r>
        <w:rPr>
          <w:rFonts w:ascii="Calibri" w:hAnsi="Calibri"/>
          <w:sz w:val="20"/>
        </w:rPr>
        <w:t xml:space="preserve"> </w:t>
      </w:r>
      <w:r>
        <w:rPr>
          <w:rFonts w:ascii="Calibri" w:hAnsi="Calibri"/>
          <w:sz w:val="20"/>
        </w:rPr>
        <w:t xml:space="preserve">“</w:t>
      </w:r>
      <w:r>
        <w:rPr>
          <w:rFonts w:ascii="Calibri" w:hAnsi="Calibri"/>
          <w:sz w:val="20"/>
        </w:rPr>
        <w:t xml:space="preserve">all holders of Preferred Stock would receive amounts in excess of their respective liquidation preferences on an as-converted basis, suggesting that participation on an as-converted basis would be economically favorable for all preferred holders.</w:t>
      </w:r>
      <w:r>
        <w:rPr>
          <w:rFonts w:ascii="Calibri" w:hAnsi="Calibri"/>
          <w:sz w:val="20"/>
        </w:rPr>
        <w:t xml:space="preserve">”</w:t>
      </w:r>
      <w:r>
        <w:rPr>
          <w:rFonts w:ascii="Calibri" w:hAnsi="Calibri"/>
          <w:sz w:val="20"/>
        </w:rPr>
        <w:t xml:space="preserve"> </w:t>
      </w:r>
      <w:r>
        <w:rPr>
          <w:rFonts w:ascii="Calibri" w:hAnsi="Calibri"/>
          <w:b/>
          <w:bCs/>
          <w:sz w:val="20"/>
        </w:rPr>
        <w:t xml:space="preserve">This is incorrect as to Series C.</w:t>
      </w:r>
      <w:r>
        <w:rPr>
          <w:rFonts w:ascii="Calibri" w:hAnsi="Calibri"/>
          <w:sz w:val="20"/>
        </w:rPr>
        <w:t xml:space="preserve"> </w:t>
      </w:r>
      <w:r>
        <w:rPr>
          <w:rFonts w:ascii="Calibri" w:hAnsi="Calibri"/>
          <w:sz w:val="20"/>
        </w:rPr>
        <w:t xml:space="preserve">The as-converted value (~$13.95 simple; ~$12.59 in equilibrium) is</w:t>
      </w:r>
      <w:r>
        <w:rPr>
          <w:rFonts w:ascii="Calibri" w:hAnsi="Calibri"/>
          <w:sz w:val="20"/>
        </w:rPr>
        <w:t xml:space="preserve"> </w:t>
      </w:r>
      <w:r>
        <w:rPr>
          <w:rFonts w:ascii="Calibri" w:hAnsi="Calibri"/>
          <w:b/>
          <w:bCs/>
          <w:sz w:val="20"/>
        </w:rPr>
        <w:t xml:space="preserve">below</w:t>
      </w:r>
      <w:r>
        <w:rPr>
          <w:rFonts w:ascii="Calibri" w:hAnsi="Calibri"/>
          <w:sz w:val="20"/>
        </w:rPr>
        <w:t xml:space="preserve"> </w:t>
      </w:r>
      <w:r>
        <w:rPr>
          <w:rFonts w:ascii="Calibri" w:hAnsi="Calibri"/>
          <w:sz w:val="20"/>
        </w:rPr>
        <w:t xml:space="preserve">the Series C $18.50 preference, so Series C is better off taking its preference (break-even) than converting. The minutes also state the implied per-share equity value</w:t>
      </w:r>
      <w:r>
        <w:rPr>
          <w:rFonts w:ascii="Calibri" w:hAnsi="Calibri"/>
          <w:sz w:val="20"/>
        </w:rPr>
        <w:t xml:space="preserve"> </w:t>
      </w:r>
      <w:r>
        <w:rPr>
          <w:rFonts w:ascii="Calibri" w:hAnsi="Calibri"/>
          <w:sz w:val="20"/>
        </w:rPr>
        <w:t xml:space="preserve">“</w:t>
      </w:r>
      <w:r>
        <w:rPr>
          <w:rFonts w:ascii="Calibri" w:hAnsi="Calibri"/>
          <w:sz w:val="20"/>
        </w:rPr>
        <w:t xml:space="preserve">exceeded the current 409A valuation</w:t>
      </w:r>
      <w:r>
        <w:rPr>
          <w:rFonts w:ascii="Calibri" w:hAnsi="Calibri"/>
          <w:sz w:val="20"/>
        </w:rPr>
        <w:t xml:space="preserve">”</w:t>
      </w:r>
      <w:r>
        <w:rPr>
          <w:rFonts w:ascii="Calibri" w:hAnsi="Calibri"/>
          <w:sz w:val="20"/>
        </w:rPr>
        <w:t xml:space="preserve"> </w:t>
      </w:r>
      <w:r>
        <w:rPr>
          <w:rFonts w:ascii="Calibri" w:hAnsi="Calibri"/>
          <w:sz w:val="20"/>
        </w:rPr>
        <w:t xml:space="preserve">— but the implied value ($13.95/$12.59) is</w:t>
      </w:r>
      <w:r>
        <w:rPr>
          <w:rFonts w:ascii="Calibri" w:hAnsi="Calibri"/>
          <w:sz w:val="20"/>
        </w:rPr>
        <w:t xml:space="preserve"> </w:t>
      </w:r>
      <w:r>
        <w:rPr>
          <w:rFonts w:ascii="Calibri" w:hAnsi="Calibri"/>
          <w:b/>
          <w:bCs/>
          <w:sz w:val="20"/>
        </w:rPr>
        <w:t xml:space="preserve">below</w:t>
      </w:r>
      <w:r>
        <w:rPr>
          <w:rFonts w:ascii="Calibri" w:hAnsi="Calibri"/>
          <w:sz w:val="20"/>
        </w:rPr>
        <w:t xml:space="preserve"> </w:t>
      </w:r>
      <w:r>
        <w:rPr>
          <w:rFonts w:ascii="Calibri" w:hAnsi="Calibri"/>
          <w:sz w:val="20"/>
        </w:rPr>
        <w:t xml:space="preserve">the 409A fair market value of $14.30 used for the Malhotra and Yeung grants. These errors should be corrected, and the Board (and Special Committee) should be advised of the accurate waterfall before acting on definitive documentation. The errors are relevant to the fiduciary-duty analysis (Area 9) because they suggest the Board may have been materially misinformed about Series C’s economics.</w:t>
      </w:r>
    </w:p>
    <w:p>
      <w:pPr>
        <w:keepNext w:val="0"/>
        <w:keepLines w:val="0"/>
        <w:spacing w:before="0" w:after="60" w:line="240" w:lineRule="auto"/>
      </w:pPr>
      <w:r>
        <w:rPr>
          <w:rFonts w:ascii="Calibri" w:hAnsi="Calibri"/>
          <w:sz w:val="20"/>
        </w:rPr>
        <w:pict>
          <v:rect style="width:0;height:1.5pt" o:hralign="center" o:hrstd="t" o:hr="t"/>
        </w:pict>
      </w:r>
    </w:p>
    <w:bookmarkEnd w:id="46"/>
    <w:bookmarkEnd w:id="47"/>
    <w:bookmarkStart w:id="52" w:name="vii.-area-4-transfer-restrictions"/>
    <w:p>
      <w:pPr>
        <w:pStyle w:val="Heading2"/>
        <w:keepNext w:val="0"/>
        <w:keepLines w:val="0"/>
        <w:spacing w:before="140" w:after="40" w:line="240" w:lineRule="auto"/>
      </w:pPr>
      <w:r>
        <w:rPr>
          <w:rFonts w:ascii="Calibri" w:hAnsi="Calibri"/>
          <w:sz w:val="25"/>
        </w:rPr>
        <w:t xml:space="preserve">VII. Area 4 — Transfer Restrictions</w:t>
      </w:r>
    </w:p>
    <w:bookmarkStart w:id="48" w:name="X209cabfbc467b0f5a1d977d7db23eaeedb74aab"/>
    <w:p>
      <w:pPr>
        <w:pStyle w:val="Heading3"/>
        <w:keepNext w:val="0"/>
        <w:keepLines w:val="0"/>
        <w:spacing w:before="100" w:after="20" w:line="240" w:lineRule="auto"/>
      </w:pPr>
      <w:r>
        <w:rPr>
          <w:rFonts w:ascii="Calibri" w:hAnsi="Calibri"/>
          <w:sz w:val="22"/>
        </w:rPr>
        <w:t xml:space="preserve">A. ROFR and Co-Sale Do Not Apply to the Merger</w:t>
      </w:r>
    </w:p>
    <w:p>
      <w:pPr>
        <w:pStyle w:val="FirstParagraph"/>
        <w:keepNext w:val="0"/>
        <w:keepLines w:val="0"/>
        <w:spacing w:before="0" w:after="60" w:line="240" w:lineRule="auto"/>
      </w:pPr>
      <w:r>
        <w:rPr>
          <w:rFonts w:ascii="Calibri" w:hAnsi="Calibri"/>
          <w:sz w:val="20"/>
        </w:rPr>
        <w:t xml:space="preserve">The Stockholders’ Agreement imposes a general transfer restriction (§2.1), a right of first refusal (§2.2), a co-sale right (§2.3), and tag-along rights (§2.4) on Transfers of Shares by Restricted Stockholders. The merger does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trigger these provisions, for two independent reasons:</w:t>
      </w:r>
    </w:p>
    <w:p>
      <w:pPr>
        <w:keepNext w:val="0"/>
        <w:keepLines w:val="0"/>
        <w:numPr>
          <w:ilvl w:val="0"/>
          <w:numId w:val="1008"/>
        </w:numPr>
        <w:spacing w:before="0" w:after="60" w:line="240" w:lineRule="auto"/>
      </w:pPr>
      <w:r>
        <w:rPr>
          <w:rFonts w:ascii="Calibri" w:hAnsi="Calibri"/>
          <w:b/>
          <w:bCs/>
          <w:sz w:val="20"/>
        </w:rPr>
        <w:t xml:space="preserve">The merger is not a</w:t>
      </w:r>
      <w:r>
        <w:rPr>
          <w:rFonts w:ascii="Calibri" w:hAnsi="Calibri"/>
          <w:b/>
          <w:bCs/>
          <w:sz w:val="20"/>
        </w:rPr>
        <w:t xml:space="preserve"> </w:t>
      </w:r>
      <w:r>
        <w:rPr>
          <w:rFonts w:ascii="Calibri" w:hAnsi="Calibri"/>
          <w:b/>
          <w:bCs/>
          <w:sz w:val="20"/>
        </w:rPr>
        <w:t xml:space="preserve">“</w:t>
      </w:r>
      <w:r>
        <w:rPr>
          <w:rFonts w:ascii="Calibri" w:hAnsi="Calibri"/>
          <w:b/>
          <w:bCs/>
          <w:sz w:val="20"/>
        </w:rPr>
        <w:t xml:space="preserve">Transfer</w:t>
      </w:r>
      <w:r>
        <w:rPr>
          <w:rFonts w:ascii="Calibri" w:hAnsi="Calibri"/>
          <w:b/>
          <w:bCs/>
          <w:sz w:val="20"/>
        </w:rPr>
        <w:t xml:space="preserve">”</w:t>
      </w:r>
      <w:r>
        <w:rPr>
          <w:rFonts w:ascii="Calibri" w:hAnsi="Calibri"/>
          <w:b/>
          <w:bCs/>
          <w:sz w:val="20"/>
        </w:rPr>
        <w:t xml:space="preserve"> </w:t>
      </w:r>
      <w:r>
        <w:rPr>
          <w:rFonts w:ascii="Calibri" w:hAnsi="Calibri"/>
          <w:b/>
          <w:bCs/>
          <w:sz w:val="20"/>
        </w:rPr>
        <w:t xml:space="preserve">by a stockholder.</w:t>
      </w:r>
      <w:r>
        <w:rPr>
          <w:rFonts w:ascii="Calibri" w:hAnsi="Calibri"/>
          <w:sz w:val="20"/>
        </w:rPr>
        <w:t xml:space="preserve"> </w:t>
      </w:r>
      <w:r>
        <w:rPr>
          <w:rFonts w:ascii="Calibri" w:hAnsi="Calibri"/>
          <w:sz w:val="20"/>
        </w:rPr>
        <w:t xml:space="preserve">A</w:t>
      </w:r>
      <w:r>
        <w:rPr>
          <w:rFonts w:ascii="Calibri" w:hAnsi="Calibri"/>
          <w:sz w:val="20"/>
        </w:rPr>
        <w:t xml:space="preserve"> </w:t>
      </w:r>
      <w:r>
        <w:rPr>
          <w:rFonts w:ascii="Calibri" w:hAnsi="Calibri"/>
          <w:sz w:val="20"/>
        </w:rPr>
        <w:t xml:space="preserve">“</w:t>
      </w:r>
      <w:r>
        <w:rPr>
          <w:rFonts w:ascii="Calibri" w:hAnsi="Calibri"/>
          <w:sz w:val="20"/>
        </w:rPr>
        <w:t xml:space="preserve">Transfer</w:t>
      </w:r>
      <w:r>
        <w:rPr>
          <w:rFonts w:ascii="Calibri" w:hAnsi="Calibri"/>
          <w:sz w:val="20"/>
        </w:rPr>
        <w:t xml:space="preserve">”</w:t>
      </w:r>
      <w:r>
        <w:rPr>
          <w:rFonts w:ascii="Calibri" w:hAnsi="Calibri"/>
          <w:sz w:val="20"/>
        </w:rPr>
        <w:t xml:space="preserve"> </w:t>
      </w:r>
      <w:r>
        <w:rPr>
          <w:rFonts w:ascii="Calibri" w:hAnsi="Calibri"/>
          <w:sz w:val="20"/>
        </w:rPr>
        <w:t xml:space="preserve">(§1.1) is a sale, assignment, or disposition of Shares</w:t>
      </w:r>
      <w:r>
        <w:rPr>
          <w:rFonts w:ascii="Calibri" w:hAnsi="Calibri"/>
          <w:sz w:val="20"/>
        </w:rPr>
        <w:t xml:space="preserve"> </w:t>
      </w:r>
      <w:r>
        <w:rPr>
          <w:rFonts w:ascii="Calibri" w:hAnsi="Calibri"/>
          <w:i/>
          <w:iCs/>
          <w:sz w:val="20"/>
        </w:rPr>
        <w:t xml:space="preserve">by a stockholder</w:t>
      </w:r>
      <w:r>
        <w:rPr>
          <w:rFonts w:ascii="Calibri" w:hAnsi="Calibri"/>
          <w:sz w:val="20"/>
        </w:rPr>
        <w:t xml:space="preserve"> </w:t>
      </w:r>
      <w:r>
        <w:rPr>
          <w:rFonts w:ascii="Calibri" w:hAnsi="Calibri"/>
          <w:sz w:val="20"/>
        </w:rPr>
        <w:t xml:space="preserve">to a transferee. In the merger, the Company’s shares are</w:t>
      </w:r>
      <w:r>
        <w:rPr>
          <w:rFonts w:ascii="Calibri" w:hAnsi="Calibri"/>
          <w:sz w:val="20"/>
        </w:rPr>
        <w:t xml:space="preserve"> </w:t>
      </w:r>
      <w:r>
        <w:rPr>
          <w:rFonts w:ascii="Calibri" w:hAnsi="Calibri"/>
          <w:b/>
          <w:bCs/>
          <w:sz w:val="20"/>
        </w:rPr>
        <w:t xml:space="preserve">cancelled and converted</w:t>
      </w:r>
      <w:r>
        <w:rPr>
          <w:rFonts w:ascii="Calibri" w:hAnsi="Calibri"/>
          <w:sz w:val="20"/>
        </w:rPr>
        <w:t xml:space="preserve"> </w:t>
      </w:r>
      <w:r>
        <w:rPr>
          <w:rFonts w:ascii="Calibri" w:hAnsi="Calibri"/>
          <w:sz w:val="20"/>
        </w:rPr>
        <w:t xml:space="preserve">into the right to receive consideration by operation of the merger statute; no stockholder</w:t>
      </w:r>
      <w:r>
        <w:rPr>
          <w:rFonts w:ascii="Calibri" w:hAnsi="Calibri"/>
          <w:sz w:val="20"/>
        </w:rPr>
        <w:t xml:space="preserve"> </w:t>
      </w:r>
      <w:r>
        <w:rPr>
          <w:rFonts w:ascii="Calibri" w:hAnsi="Calibri"/>
          <w:sz w:val="20"/>
        </w:rPr>
        <w:t xml:space="preserve">“</w:t>
      </w:r>
      <w:r>
        <w:rPr>
          <w:rFonts w:ascii="Calibri" w:hAnsi="Calibri"/>
          <w:sz w:val="20"/>
        </w:rPr>
        <w:t xml:space="preserve">transfers</w:t>
      </w:r>
      <w:r>
        <w:rPr>
          <w:rFonts w:ascii="Calibri" w:hAnsi="Calibri"/>
          <w:sz w:val="20"/>
        </w:rPr>
        <w:t xml:space="preserve">”</w:t>
      </w:r>
      <w:r>
        <w:rPr>
          <w:rFonts w:ascii="Calibri" w:hAnsi="Calibri"/>
          <w:sz w:val="20"/>
        </w:rPr>
        <w:t xml:space="preserve"> </w:t>
      </w:r>
      <w:r>
        <w:rPr>
          <w:rFonts w:ascii="Calibri" w:hAnsi="Calibri"/>
          <w:sz w:val="20"/>
        </w:rPr>
        <w:t xml:space="preserve">shares to Hargrove. ROFR/co-sale are designed for voluntary secondary transfers, not change-of-control mergers.</w:t>
      </w:r>
    </w:p>
    <w:p>
      <w:pPr>
        <w:keepNext w:val="0"/>
        <w:keepLines w:val="0"/>
        <w:numPr>
          <w:ilvl w:val="0"/>
          <w:numId w:val="1008"/>
        </w:numPr>
        <w:spacing w:before="0" w:after="60" w:line="240" w:lineRule="auto"/>
      </w:pPr>
      <w:r>
        <w:rPr>
          <w:rFonts w:ascii="Calibri" w:hAnsi="Calibri"/>
          <w:b/>
          <w:bCs/>
          <w:sz w:val="20"/>
        </w:rPr>
        <w:t xml:space="preserve">Sales of the Company are expressly carved out.</w:t>
      </w:r>
      <w:r>
        <w:rPr>
          <w:rFonts w:ascii="Calibri" w:hAnsi="Calibri"/>
          <w:sz w:val="20"/>
        </w:rPr>
        <w:t xml:space="preserve"> </w:t>
      </w:r>
      <w:r>
        <w:rPr>
          <w:rFonts w:ascii="Calibri" w:hAnsi="Calibri"/>
          <w:sz w:val="20"/>
        </w:rPr>
        <w:t xml:space="preserve">§2.1(c) permits Transfers</w:t>
      </w:r>
      <w:r>
        <w:rPr>
          <w:rFonts w:ascii="Calibri" w:hAnsi="Calibri"/>
          <w:sz w:val="20"/>
        </w:rPr>
        <w:t xml:space="preserve"> </w:t>
      </w:r>
      <w:r>
        <w:rPr>
          <w:rFonts w:ascii="Calibri" w:hAnsi="Calibri"/>
          <w:sz w:val="20"/>
        </w:rPr>
        <w:t xml:space="preserve">“</w:t>
      </w:r>
      <w:r>
        <w:rPr>
          <w:rFonts w:ascii="Calibri" w:hAnsi="Calibri"/>
          <w:sz w:val="20"/>
        </w:rPr>
        <w:t xml:space="preserve">in connection with a Sale of the Company consummated in accordance with Article 3,</w:t>
      </w:r>
      <w:r>
        <w:rPr>
          <w:rFonts w:ascii="Calibri" w:hAnsi="Calibri"/>
          <w:sz w:val="20"/>
        </w:rPr>
        <w:t xml:space="preserve">”</w:t>
      </w:r>
      <w:r>
        <w:rPr>
          <w:rFonts w:ascii="Calibri" w:hAnsi="Calibri"/>
          <w:sz w:val="20"/>
        </w:rPr>
        <w:t xml:space="preserve"> </w:t>
      </w:r>
      <w:r>
        <w:rPr>
          <w:rFonts w:ascii="Calibri" w:hAnsi="Calibri"/>
          <w:sz w:val="20"/>
        </w:rPr>
        <w:t xml:space="preserve">and §2.7(e) lists the same as a</w:t>
      </w:r>
      <w:r>
        <w:rPr>
          <w:rFonts w:ascii="Calibri" w:hAnsi="Calibri"/>
          <w:sz w:val="20"/>
        </w:rPr>
        <w:t xml:space="preserve"> </w:t>
      </w:r>
      <w:r>
        <w:rPr>
          <w:rFonts w:ascii="Calibri" w:hAnsi="Calibri"/>
          <w:sz w:val="20"/>
        </w:rPr>
        <w:t xml:space="preserve">“</w:t>
      </w:r>
      <w:r>
        <w:rPr>
          <w:rFonts w:ascii="Calibri" w:hAnsi="Calibri"/>
          <w:sz w:val="20"/>
        </w:rPr>
        <w:t xml:space="preserve">Permitted Transfer.</w:t>
      </w:r>
      <w:r>
        <w:rPr>
          <w:rFonts w:ascii="Calibri" w:hAnsi="Calibri"/>
          <w:sz w:val="20"/>
        </w:rPr>
        <w:t xml:space="preserve">”</w:t>
      </w:r>
      <w:r>
        <w:rPr>
          <w:rFonts w:ascii="Calibri" w:hAnsi="Calibri"/>
          <w:sz w:val="20"/>
        </w:rPr>
        <w:t xml:space="preserve"> </w:t>
      </w:r>
      <w:r>
        <w:rPr>
          <w:rFonts w:ascii="Calibri" w:hAnsi="Calibri"/>
          <w:sz w:val="20"/>
        </w:rPr>
        <w:t xml:space="preserve">Co-sale expressly does not apply to Permitted Transfers (§2.3(d)). The merger is a Sale of the Company (Area 1).</w:t>
      </w:r>
    </w:p>
    <w:bookmarkEnd w:id="48"/>
    <w:bookmarkStart w:id="49" w:name="Xe566febdf5b61fbd884a809d3d2d6a04a5c1257"/>
    <w:p>
      <w:pPr>
        <w:pStyle w:val="Heading3"/>
        <w:keepNext w:val="0"/>
        <w:keepLines w:val="0"/>
        <w:spacing w:before="100" w:after="20" w:line="240" w:lineRule="auto"/>
      </w:pPr>
      <w:r>
        <w:rPr>
          <w:rFonts w:ascii="Calibri" w:hAnsi="Calibri"/>
          <w:sz w:val="22"/>
        </w:rPr>
        <w:t xml:space="preserve">B. The</w:t>
      </w:r>
      <w:r>
        <w:rPr>
          <w:rFonts w:ascii="Calibri" w:hAnsi="Calibri"/>
          <w:sz w:val="22"/>
        </w:rPr>
        <w:t xml:space="preserve"> </w:t>
      </w:r>
      <w:r>
        <w:rPr>
          <w:rFonts w:ascii="Calibri" w:hAnsi="Calibri"/>
          <w:sz w:val="22"/>
        </w:rPr>
        <w:t xml:space="preserve">“</w:t>
      </w:r>
      <w:r>
        <w:rPr>
          <w:rFonts w:ascii="Calibri" w:hAnsi="Calibri"/>
          <w:sz w:val="22"/>
        </w:rPr>
        <w:t xml:space="preserve">Consummated in Accordance with Article 3</w:t>
      </w:r>
      <w:r>
        <w:rPr>
          <w:rFonts w:ascii="Calibri" w:hAnsi="Calibri"/>
          <w:sz w:val="22"/>
        </w:rPr>
        <w:t xml:space="preserve">”</w:t>
      </w:r>
      <w:r>
        <w:rPr>
          <w:rFonts w:ascii="Calibri" w:hAnsi="Calibri"/>
          <w:sz w:val="22"/>
        </w:rPr>
        <w:t xml:space="preserve"> </w:t>
      </w:r>
      <w:r>
        <w:rPr>
          <w:rFonts w:ascii="Calibri" w:hAnsi="Calibri"/>
          <w:sz w:val="22"/>
        </w:rPr>
        <w:t xml:space="preserve">Qualifier — Minor Ambiguity</w:t>
      </w:r>
    </w:p>
    <w:p>
      <w:pPr>
        <w:pStyle w:val="FirstParagraph"/>
        <w:keepNext w:val="0"/>
        <w:keepLines w:val="0"/>
        <w:spacing w:before="0" w:after="60" w:line="240" w:lineRule="auto"/>
      </w:pPr>
      <w:r>
        <w:rPr>
          <w:rFonts w:ascii="Calibri" w:hAnsi="Calibri"/>
          <w:sz w:val="20"/>
        </w:rPr>
        <w:t xml:space="preserve">Both §2.1(c) and §2.7(e) condition the carve-out on the Sale of the Company being</w:t>
      </w:r>
      <w:r>
        <w:rPr>
          <w:rFonts w:ascii="Calibri" w:hAnsi="Calibri"/>
          <w:sz w:val="20"/>
        </w:rPr>
        <w:t xml:space="preserve"> </w:t>
      </w:r>
      <w:r>
        <w:rPr>
          <w:rFonts w:ascii="Calibri" w:hAnsi="Calibri"/>
          <w:sz w:val="20"/>
        </w:rPr>
        <w:t xml:space="preserve">“</w:t>
      </w:r>
      <w:r>
        <w:rPr>
          <w:rFonts w:ascii="Calibri" w:hAnsi="Calibri"/>
          <w:sz w:val="20"/>
        </w:rPr>
        <w:t xml:space="preserve">consummated in accordance with Article 3</w:t>
      </w:r>
      <w:r>
        <w:rPr>
          <w:rFonts w:ascii="Calibri" w:hAnsi="Calibri"/>
          <w:sz w:val="20"/>
        </w:rPr>
        <w:t xml:space="preserve">”</w:t>
      </w:r>
      <w:r>
        <w:rPr>
          <w:rFonts w:ascii="Calibri" w:hAnsi="Calibri"/>
          <w:sz w:val="20"/>
        </w:rPr>
        <w:t xml:space="preserve"> </w:t>
      </w:r>
      <w:r>
        <w:rPr>
          <w:rFonts w:ascii="Calibri" w:hAnsi="Calibri"/>
          <w:sz w:val="20"/>
        </w:rPr>
        <w:t xml:space="preserve">(the drag-along article). Two readings:</w:t>
      </w:r>
    </w:p>
    <w:p>
      <w:pPr>
        <w:pStyle w:val="Compact"/>
        <w:keepNext w:val="0"/>
        <w:keepLines w:val="0"/>
        <w:numPr>
          <w:ilvl w:val="0"/>
          <w:numId w:val="1009"/>
        </w:numPr>
        <w:spacing w:before="0" w:after="60" w:line="240" w:lineRule="auto"/>
      </w:pPr>
      <w:r>
        <w:rPr>
          <w:rFonts w:ascii="Calibri" w:hAnsi="Calibri"/>
          <w:b/>
          <w:bCs/>
          <w:sz w:val="20"/>
        </w:rPr>
        <w:t xml:space="preserve">Better reading:</w:t>
      </w:r>
      <w:r>
        <w:rPr>
          <w:rFonts w:ascii="Calibri" w:hAnsi="Calibri"/>
          <w:sz w:val="20"/>
        </w:rPr>
        <w:t xml:space="preserve"> </w:t>
      </w:r>
      <w:r>
        <w:rPr>
          <w:rFonts w:ascii="Calibri" w:hAnsi="Calibri"/>
          <w:sz w:val="20"/>
        </w:rPr>
        <w:t xml:space="preserve">“</w:t>
      </w:r>
      <w:r>
        <w:rPr>
          <w:rFonts w:ascii="Calibri" w:hAnsi="Calibri"/>
          <w:sz w:val="20"/>
        </w:rPr>
        <w:t xml:space="preserve">in accordance with Article 3</w:t>
      </w:r>
      <w:r>
        <w:rPr>
          <w:rFonts w:ascii="Calibri" w:hAnsi="Calibri"/>
          <w:sz w:val="20"/>
        </w:rPr>
        <w:t xml:space="preserve">”</w:t>
      </w:r>
      <w:r>
        <w:rPr>
          <w:rFonts w:ascii="Calibri" w:hAnsi="Calibri"/>
          <w:sz w:val="20"/>
        </w:rPr>
        <w:t xml:space="preserve"> </w:t>
      </w:r>
      <w:r>
        <w:rPr>
          <w:rFonts w:ascii="Calibri" w:hAnsi="Calibri"/>
          <w:sz w:val="20"/>
        </w:rPr>
        <w:t xml:space="preserve">requires compliance with Article 3’s</w:t>
      </w:r>
      <w:r>
        <w:rPr>
          <w:rFonts w:ascii="Calibri" w:hAnsi="Calibri"/>
          <w:sz w:val="20"/>
        </w:rPr>
        <w:t xml:space="preserve"> </w:t>
      </w:r>
      <w:r>
        <w:rPr>
          <w:rFonts w:ascii="Calibri" w:hAnsi="Calibri"/>
          <w:i/>
          <w:iCs/>
          <w:sz w:val="20"/>
        </w:rPr>
        <w:t xml:space="preserve">terms</w:t>
      </w:r>
      <w:r>
        <w:rPr>
          <w:rFonts w:ascii="Calibri" w:hAnsi="Calibri"/>
          <w:sz w:val="20"/>
        </w:rPr>
        <w:t xml:space="preserve"> </w:t>
      </w:r>
      <w:r>
        <w:rPr>
          <w:rFonts w:ascii="Calibri" w:hAnsi="Calibri"/>
          <w:sz w:val="20"/>
        </w:rPr>
        <w:t xml:space="preserve">(§3.2 — same per-share consideration on an as-converted basis, waterfall distribution, pro rata cost-sharing, limited reps, capped several indemnity), not that the drag-along must be</w:t>
      </w:r>
      <w:r>
        <w:rPr>
          <w:rFonts w:ascii="Calibri" w:hAnsi="Calibri"/>
          <w:sz w:val="20"/>
        </w:rPr>
        <w:t xml:space="preserve"> </w:t>
      </w:r>
      <w:r>
        <w:rPr>
          <w:rFonts w:ascii="Calibri" w:hAnsi="Calibri"/>
          <w:i/>
          <w:iCs/>
          <w:sz w:val="20"/>
        </w:rPr>
        <w:t xml:space="preserve">affirmatively triggered</w:t>
      </w:r>
      <w:r>
        <w:rPr>
          <w:rFonts w:ascii="Calibri" w:hAnsi="Calibri"/>
          <w:sz w:val="20"/>
        </w:rPr>
        <w:t xml:space="preserve">. A Sale of the Company in which all stockholders voluntarily consent still complies with Article 3’s terms.</w:t>
      </w:r>
    </w:p>
    <w:p>
      <w:pPr>
        <w:pStyle w:val="Compact"/>
        <w:keepNext w:val="0"/>
        <w:keepLines w:val="0"/>
        <w:numPr>
          <w:ilvl w:val="0"/>
          <w:numId w:val="1009"/>
        </w:numPr>
        <w:spacing w:before="0" w:after="60" w:line="240" w:lineRule="auto"/>
      </w:pPr>
      <w:r>
        <w:rPr>
          <w:rFonts w:ascii="Calibri" w:hAnsi="Calibri"/>
          <w:b/>
          <w:bCs/>
          <w:sz w:val="20"/>
        </w:rPr>
        <w:t xml:space="preserve">Alternative reading:</w:t>
      </w:r>
      <w:r>
        <w:rPr>
          <w:rFonts w:ascii="Calibri" w:hAnsi="Calibri"/>
          <w:sz w:val="20"/>
        </w:rPr>
        <w:t xml:space="preserve"> </w:t>
      </w:r>
      <w:r>
        <w:rPr>
          <w:rFonts w:ascii="Calibri" w:hAnsi="Calibri"/>
          <w:sz w:val="20"/>
        </w:rPr>
        <w:t xml:space="preserve">the drag-along must be triggered (Drag-Along Approval obtained) for the carve-out to apply. Under this reading, because the drag-along cannot reliably be triggered without Stonemill (Area 2), the transfer-restriction carve-out would be unavailable without Stonemill — a circular and odd result.</w:t>
      </w:r>
    </w:p>
    <w:p>
      <w:pPr>
        <w:pStyle w:val="FirstParagraph"/>
        <w:keepNext w:val="0"/>
        <w:keepLines w:val="0"/>
        <w:spacing w:before="0" w:after="60" w:line="240" w:lineRule="auto"/>
      </w:pPr>
      <w:r>
        <w:rPr>
          <w:rFonts w:ascii="Calibri" w:hAnsi="Calibri"/>
          <w:sz w:val="20"/>
        </w:rPr>
        <w:t xml:space="preserve">We recommend the better reading, but the ambiguity should be</w:t>
      </w:r>
      <w:r>
        <w:rPr>
          <w:rFonts w:ascii="Calibri" w:hAnsi="Calibri"/>
          <w:sz w:val="20"/>
        </w:rPr>
        <w:t xml:space="preserve"> </w:t>
      </w:r>
      <w:r>
        <w:rPr>
          <w:rFonts w:ascii="Calibri" w:hAnsi="Calibri"/>
          <w:b/>
          <w:bCs/>
          <w:sz w:val="20"/>
        </w:rPr>
        <w:t xml:space="preserve">clarified in the merger agreement</w:t>
      </w:r>
      <w:r>
        <w:rPr>
          <w:rFonts w:ascii="Calibri" w:hAnsi="Calibri"/>
          <w:sz w:val="20"/>
        </w:rPr>
        <w:t xml:space="preserve"> </w:t>
      </w:r>
      <w:r>
        <w:rPr>
          <w:rFonts w:ascii="Calibri" w:hAnsi="Calibri"/>
          <w:sz w:val="20"/>
        </w:rPr>
        <w:t xml:space="preserve">(e.g., by obtaining a waiver/consent from the parties or a confirmatory interpretation) to eliminate any argument that ROFR/co-sale apply.</w:t>
      </w:r>
    </w:p>
    <w:bookmarkEnd w:id="49"/>
    <w:bookmarkStart w:id="50" w:name="c.-tag-along-does-not-apply"/>
    <w:p>
      <w:pPr>
        <w:pStyle w:val="Heading3"/>
        <w:keepNext w:val="0"/>
        <w:keepLines w:val="0"/>
        <w:spacing w:before="100" w:after="20" w:line="240" w:lineRule="auto"/>
      </w:pPr>
      <w:r>
        <w:rPr>
          <w:rFonts w:ascii="Calibri" w:hAnsi="Calibri"/>
          <w:sz w:val="22"/>
        </w:rPr>
        <w:t xml:space="preserve">C. Tag-Along Does Not Apply</w:t>
      </w:r>
    </w:p>
    <w:p>
      <w:pPr>
        <w:pStyle w:val="FirstParagraph"/>
        <w:keepNext w:val="0"/>
        <w:keepLines w:val="0"/>
        <w:spacing w:before="0" w:after="60" w:line="240" w:lineRule="auto"/>
      </w:pPr>
      <w:r>
        <w:rPr>
          <w:rFonts w:ascii="Calibri" w:hAnsi="Calibri"/>
          <w:sz w:val="20"/>
        </w:rPr>
        <w:t xml:space="preserve">Tag-along (§2.4) applies only to a</w:t>
      </w:r>
      <w:r>
        <w:rPr>
          <w:rFonts w:ascii="Calibri" w:hAnsi="Calibri"/>
          <w:sz w:val="20"/>
        </w:rPr>
        <w:t xml:space="preserve"> </w:t>
      </w:r>
      <w:r>
        <w:rPr>
          <w:rFonts w:ascii="Calibri" w:hAnsi="Calibri"/>
          <w:sz w:val="20"/>
        </w:rPr>
        <w:t xml:space="preserve">“</w:t>
      </w:r>
      <w:r>
        <w:rPr>
          <w:rFonts w:ascii="Calibri" w:hAnsi="Calibri"/>
          <w:sz w:val="20"/>
        </w:rPr>
        <w:t xml:space="preserve">Founder Transfer</w:t>
      </w:r>
      <w:r>
        <w:rPr>
          <w:rFonts w:ascii="Calibri" w:hAnsi="Calibri"/>
          <w:sz w:val="20"/>
        </w:rPr>
        <w:t xml:space="preserve">”</w:t>
      </w:r>
      <w:r>
        <w:rPr>
          <w:rFonts w:ascii="Calibri" w:hAnsi="Calibri"/>
          <w:sz w:val="20"/>
        </w:rPr>
        <w:t xml:space="preserve"> </w:t>
      </w:r>
      <w:r>
        <w:rPr>
          <w:rFonts w:ascii="Calibri" w:hAnsi="Calibri"/>
          <w:sz w:val="20"/>
        </w:rPr>
        <w:t xml:space="preserve">— a Founder’s transfer of &gt;5% of outstanding Shares to a third party. The merger is a Sale of the Company, not a Founder Transfer, and results in all stockholders receiving consideration. Tag-along is inapplicable.</w:t>
      </w:r>
    </w:p>
    <w:bookmarkEnd w:id="50"/>
    <w:bookmarkStart w:id="51" w:name="X24f7c6df66cb99750ecad7a263da1b15961345b"/>
    <w:p>
      <w:pPr>
        <w:pStyle w:val="Heading3"/>
        <w:keepNext w:val="0"/>
        <w:keepLines w:val="0"/>
        <w:spacing w:before="100" w:after="20" w:line="240" w:lineRule="auto"/>
      </w:pPr>
      <w:r>
        <w:rPr>
          <w:rFonts w:ascii="Calibri" w:hAnsi="Calibri"/>
          <w:sz w:val="22"/>
        </w:rPr>
        <w:t xml:space="preserve">D. Termination of the Stockholders’ Agreement</w:t>
      </w:r>
    </w:p>
    <w:p>
      <w:pPr>
        <w:pStyle w:val="FirstParagraph"/>
        <w:keepNext w:val="0"/>
        <w:keepLines w:val="0"/>
        <w:spacing w:before="0" w:after="60" w:line="240" w:lineRule="auto"/>
      </w:pPr>
      <w:r>
        <w:rPr>
          <w:rFonts w:ascii="Calibri" w:hAnsi="Calibri"/>
          <w:sz w:val="20"/>
        </w:rPr>
        <w:t xml:space="preserve">The Stockholders’ Agreement</w:t>
      </w:r>
      <w:r>
        <w:rPr>
          <w:rFonts w:ascii="Calibri" w:hAnsi="Calibri"/>
          <w:sz w:val="20"/>
        </w:rPr>
        <w:t xml:space="preserve"> </w:t>
      </w:r>
      <w:r>
        <w:rPr>
          <w:rFonts w:ascii="Calibri" w:hAnsi="Calibri"/>
          <w:b/>
          <w:bCs/>
          <w:sz w:val="20"/>
        </w:rPr>
        <w:t xml:space="preserve">terminates upon a Sale of the Company</w:t>
      </w:r>
      <w:r>
        <w:rPr>
          <w:rFonts w:ascii="Calibri" w:hAnsi="Calibri"/>
          <w:sz w:val="20"/>
        </w:rPr>
        <w:t xml:space="preserve"> </w:t>
      </w:r>
      <w:r>
        <w:rPr>
          <w:rFonts w:ascii="Calibri" w:hAnsi="Calibri"/>
          <w:sz w:val="20"/>
        </w:rPr>
        <w:t xml:space="preserve">(§6.1(b)). Upon termination, all transfer restrictions, ROFR, co-sale, tag-along, and drag-along rights</w:t>
      </w:r>
      <w:r>
        <w:rPr>
          <w:rFonts w:ascii="Calibri" w:hAnsi="Calibri"/>
          <w:sz w:val="20"/>
        </w:rPr>
        <w:t xml:space="preserve"> </w:t>
      </w:r>
      <w:r>
        <w:rPr>
          <w:rFonts w:ascii="Calibri" w:hAnsi="Calibri"/>
          <w:sz w:val="20"/>
        </w:rPr>
        <w:t xml:space="preserve">“</w:t>
      </w:r>
      <w:r>
        <w:rPr>
          <w:rFonts w:ascii="Calibri" w:hAnsi="Calibri"/>
          <w:sz w:val="20"/>
        </w:rPr>
        <w:t xml:space="preserve">cease to be of any further force and effect,</w:t>
      </w:r>
      <w:r>
        <w:rPr>
          <w:rFonts w:ascii="Calibri" w:hAnsi="Calibri"/>
          <w:sz w:val="20"/>
        </w:rPr>
        <w:t xml:space="preserve">”</w:t>
      </w:r>
      <w:r>
        <w:rPr>
          <w:rFonts w:ascii="Calibri" w:hAnsi="Calibri"/>
          <w:sz w:val="20"/>
        </w:rPr>
        <w:t xml:space="preserve"> </w:t>
      </w:r>
      <w:r>
        <w:rPr>
          <w:rFonts w:ascii="Calibri" w:hAnsi="Calibri"/>
          <w:sz w:val="20"/>
        </w:rPr>
        <w:t xml:space="preserve">and the Company must remove related legends (§6.3). Because the merger is a Sale of the Company, the Stockholders’ Agreement terminates at closing. ✓</w:t>
      </w:r>
    </w:p>
    <w:p>
      <w:pPr>
        <w:pStyle w:val="BodyText"/>
        <w:keepNext w:val="0"/>
        <w:keepLines w:val="0"/>
        <w:spacing w:before="0" w:after="60" w:line="240" w:lineRule="auto"/>
      </w:pPr>
      <w:r>
        <w:rPr>
          <w:rFonts w:ascii="Calibri" w:hAnsi="Calibri"/>
          <w:b/>
          <w:bCs/>
          <w:sz w:val="20"/>
        </w:rPr>
        <w:t xml:space="preserve">Net result (Area 4):</w:t>
      </w:r>
      <w:r>
        <w:rPr>
          <w:rFonts w:ascii="Calibri" w:hAnsi="Calibri"/>
          <w:sz w:val="20"/>
        </w:rPr>
        <w:t xml:space="preserve"> </w:t>
      </w:r>
      <w:r>
        <w:rPr>
          <w:rFonts w:ascii="Calibri" w:hAnsi="Calibri"/>
          <w:sz w:val="20"/>
        </w:rPr>
        <w:t xml:space="preserve">The merger does not trigger ROFR, co-sale, or tag-along; the Stockholders’ Agreement terminates at closing. The only open item is the minor</w:t>
      </w:r>
      <w:r>
        <w:rPr>
          <w:rFonts w:ascii="Calibri" w:hAnsi="Calibri"/>
          <w:sz w:val="20"/>
        </w:rPr>
        <w:t xml:space="preserve"> </w:t>
      </w:r>
      <w:r>
        <w:rPr>
          <w:rFonts w:ascii="Calibri" w:hAnsi="Calibri"/>
          <w:sz w:val="20"/>
        </w:rPr>
        <w:t xml:space="preserve">“</w:t>
      </w:r>
      <w:r>
        <w:rPr>
          <w:rFonts w:ascii="Calibri" w:hAnsi="Calibri"/>
          <w:sz w:val="20"/>
        </w:rPr>
        <w:t xml:space="preserve">Article 3</w:t>
      </w:r>
      <w:r>
        <w:rPr>
          <w:rFonts w:ascii="Calibri" w:hAnsi="Calibri"/>
          <w:sz w:val="20"/>
        </w:rPr>
        <w:t xml:space="preserve">”</w:t>
      </w:r>
      <w:r>
        <w:rPr>
          <w:rFonts w:ascii="Calibri" w:hAnsi="Calibri"/>
          <w:sz w:val="20"/>
        </w:rPr>
        <w:t xml:space="preserve"> </w:t>
      </w:r>
      <w:r>
        <w:rPr>
          <w:rFonts w:ascii="Calibri" w:hAnsi="Calibri"/>
          <w:sz w:val="20"/>
        </w:rPr>
        <w:t xml:space="preserve">qualifier, which should be clarified in the merger agreement.</w:t>
      </w:r>
      <w:r>
        <w:rPr>
          <w:rFonts w:ascii="Calibri" w:hAnsi="Calibri"/>
          <w:sz w:val="20"/>
        </w:rPr>
        <w:t xml:space="preserve"> </w:t>
      </w:r>
      <w:r>
        <w:rPr>
          <w:rFonts w:ascii="Calibri" w:hAnsi="Calibri"/>
          <w:b/>
          <w:bCs/>
          <w:sz w:val="20"/>
        </w:rPr>
        <w:t xml:space="preserve">Severity: Moderate.</w:t>
      </w:r>
    </w:p>
    <w:p>
      <w:pPr>
        <w:keepNext w:val="0"/>
        <w:keepLines w:val="0"/>
        <w:spacing w:before="0" w:after="60" w:line="240" w:lineRule="auto"/>
      </w:pPr>
      <w:r>
        <w:rPr>
          <w:rFonts w:ascii="Calibri" w:hAnsi="Calibri"/>
          <w:sz w:val="20"/>
        </w:rPr>
        <w:pict>
          <v:rect style="width:0;height:1.5pt" o:hralign="center" o:hrstd="t" o:hr="t"/>
        </w:pict>
      </w:r>
    </w:p>
    <w:bookmarkEnd w:id="51"/>
    <w:bookmarkEnd w:id="52"/>
    <w:bookmarkStart w:id="57" w:name="Xcb38ea13c43230afa67425d1dfe8bd236c63cb1"/>
    <w:p>
      <w:pPr>
        <w:pStyle w:val="Heading2"/>
        <w:keepNext w:val="0"/>
        <w:keepLines w:val="0"/>
        <w:spacing w:before="140" w:after="40" w:line="240" w:lineRule="auto"/>
      </w:pPr>
      <w:r>
        <w:rPr>
          <w:rFonts w:ascii="Calibri" w:hAnsi="Calibri"/>
          <w:sz w:val="25"/>
        </w:rPr>
        <w:t xml:space="preserve">VIII. Area 5 — Board Composition: Post-Closing Implications</w:t>
      </w:r>
    </w:p>
    <w:bookmarkStart w:id="53" w:name="Xd6e492974ce9c914db3d10fcfebea03785a8cc9"/>
    <w:p>
      <w:pPr>
        <w:pStyle w:val="Heading3"/>
        <w:keepNext w:val="0"/>
        <w:keepLines w:val="0"/>
        <w:spacing w:before="100" w:after="20" w:line="240" w:lineRule="auto"/>
      </w:pPr>
      <w:r>
        <w:rPr>
          <w:rFonts w:ascii="Calibri" w:hAnsi="Calibri"/>
          <w:sz w:val="22"/>
        </w:rPr>
        <w:t xml:space="preserve">A. Current Board Composition (Voting Ag. §2.2)</w:t>
      </w:r>
    </w:p>
    <w:p>
      <w:pPr>
        <w:pStyle w:val="FirstParagraph"/>
        <w:keepNext w:val="0"/>
        <w:keepLines w:val="0"/>
        <w:spacing w:before="0" w:after="60" w:line="240" w:lineRule="auto"/>
      </w:pPr>
      <w:r>
        <w:rPr>
          <w:rFonts w:ascii="Calibri" w:hAnsi="Calibri"/>
          <w:sz w:val="20"/>
        </w:rPr>
        <w:t xml:space="preserve">The Voting Agreement fixes the Board at seven (7) directors with the following designation rights:</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2412"/>
        <w:gridCol w:w="2412"/>
        <w:gridCol w:w="2412"/>
        <w:gridCol w:w="2412"/>
      </w:tblGrid>
      <w:tr>
        <w:tc>
          <w:tcPr>
            <w:tcW w:w="2412" w:type="dxa"/>
          </w:tcPr>
          <w:p>
            <w:pPr>
              <w:spacing w:before="0" w:after="0" w:line="240" w:lineRule="auto"/>
            </w:pPr>
            <w:r>
              <w:rPr>
                <w:rFonts w:ascii="Calibri" w:hAnsi="Calibri"/>
                <w:sz w:val="17"/>
              </w:rPr>
            </w:r>
            <w:r>
              <w:rPr>
                <w:rFonts w:ascii="Calibri" w:hAnsi="Calibri"/>
                <w:sz w:val="17"/>
              </w:rPr>
              <w:t>Seat</w:t>
            </w:r>
          </w:p>
        </w:tc>
        <w:tc>
          <w:tcPr>
            <w:tcW w:w="2412" w:type="dxa"/>
          </w:tcPr>
          <w:p>
            <w:pPr>
              <w:spacing w:before="0" w:after="0" w:line="240" w:lineRule="auto"/>
            </w:pPr>
            <w:r>
              <w:rPr>
                <w:rFonts w:ascii="Calibri" w:hAnsi="Calibri"/>
                <w:sz w:val="17"/>
              </w:rPr>
            </w:r>
            <w:r>
              <w:rPr>
                <w:rFonts w:ascii="Calibri" w:hAnsi="Calibri"/>
                <w:sz w:val="17"/>
              </w:rPr>
              <w:t>Designator</w:t>
            </w:r>
          </w:p>
        </w:tc>
        <w:tc>
          <w:tcPr>
            <w:tcW w:w="2412" w:type="dxa"/>
          </w:tcPr>
          <w:p>
            <w:pPr>
              <w:spacing w:before="0" w:after="0" w:line="240" w:lineRule="auto"/>
            </w:pPr>
            <w:r>
              <w:rPr>
                <w:rFonts w:ascii="Calibri" w:hAnsi="Calibri"/>
                <w:sz w:val="17"/>
              </w:rPr>
            </w:r>
            <w:r>
              <w:rPr>
                <w:rFonts w:ascii="Calibri" w:hAnsi="Calibri"/>
                <w:sz w:val="17"/>
              </w:rPr>
              <w:t>Initial Designee</w:t>
            </w:r>
          </w:p>
        </w:tc>
        <w:tc>
          <w:tcPr>
            <w:tcW w:w="2412" w:type="dxa"/>
          </w:tcPr>
          <w:p>
            <w:pPr>
              <w:spacing w:before="0" w:after="0" w:line="240" w:lineRule="auto"/>
            </w:pPr>
            <w:r>
              <w:rPr>
                <w:rFonts w:ascii="Calibri" w:hAnsi="Calibri"/>
                <w:sz w:val="17"/>
              </w:rPr>
            </w:r>
            <w:r>
              <w:rPr>
                <w:rFonts w:ascii="Calibri" w:hAnsi="Calibri"/>
                <w:sz w:val="17"/>
              </w:rPr>
              <w:t>Threshold to Retain Right</w:t>
            </w:r>
          </w:p>
        </w:tc>
      </w:tr>
      <w:tr>
        <w:tc>
          <w:tcPr>
            <w:tcW w:w="2412" w:type="dxa"/>
          </w:tcPr>
          <w:p>
            <w:pPr>
              <w:spacing w:before="0" w:after="0" w:line="240" w:lineRule="auto"/>
            </w:pPr>
            <w:r>
              <w:rPr>
                <w:rFonts w:ascii="Calibri" w:hAnsi="Calibri"/>
                <w:sz w:val="17"/>
              </w:rPr>
            </w:r>
            <w:r>
              <w:rPr>
                <w:rFonts w:ascii="Calibri" w:hAnsi="Calibri"/>
                <w:sz w:val="17"/>
              </w:rPr>
              <w:t>Series A Director</w:t>
            </w:r>
          </w:p>
        </w:tc>
        <w:tc>
          <w:tcPr>
            <w:tcW w:w="2412" w:type="dxa"/>
          </w:tcPr>
          <w:p>
            <w:pPr>
              <w:spacing w:before="0" w:after="0" w:line="240" w:lineRule="auto"/>
            </w:pPr>
            <w:r>
              <w:rPr>
                <w:rFonts w:ascii="Calibri" w:hAnsi="Calibri"/>
                <w:sz w:val="17"/>
              </w:rPr>
            </w:r>
            <w:r>
              <w:rPr>
                <w:rFonts w:ascii="Calibri" w:hAnsi="Calibri"/>
                <w:sz w:val="17"/>
              </w:rPr>
              <w:t>Ridgeline</w:t>
            </w:r>
          </w:p>
        </w:tc>
        <w:tc>
          <w:tcPr>
            <w:tcW w:w="2412" w:type="dxa"/>
          </w:tcPr>
          <w:p>
            <w:pPr>
              <w:spacing w:before="0" w:after="0" w:line="240" w:lineRule="auto"/>
            </w:pPr>
            <w:r>
              <w:rPr>
                <w:rFonts w:ascii="Calibri" w:hAnsi="Calibri"/>
                <w:sz w:val="17"/>
              </w:rPr>
            </w:r>
            <w:r>
              <w:rPr>
                <w:rFonts w:ascii="Calibri" w:hAnsi="Calibri"/>
                <w:sz w:val="17"/>
              </w:rPr>
              <w:t>David Kleinhans</w:t>
            </w:r>
          </w:p>
        </w:tc>
        <w:tc>
          <w:tcPr>
            <w:tcW w:w="2412" w:type="dxa"/>
          </w:tcPr>
          <w:p>
            <w:pPr>
              <w:spacing w:before="0" w:after="0" w:line="240" w:lineRule="auto"/>
            </w:pPr>
            <w:r>
              <w:rPr>
                <w:rFonts w:ascii="Calibri" w:hAnsi="Calibri"/>
                <w:sz w:val="17"/>
              </w:rPr>
            </w:r>
            <w:r>
              <w:rPr>
                <w:rFonts w:ascii="Calibri" w:hAnsi="Calibri"/>
                <w:sz w:val="17"/>
              </w:rPr>
              <w:t>Ridgeline holds ≥1.0M Series A (or converted Common)</w:t>
            </w:r>
          </w:p>
        </w:tc>
      </w:tr>
      <w:tr>
        <w:tc>
          <w:tcPr>
            <w:tcW w:w="2412" w:type="dxa"/>
          </w:tcPr>
          <w:p>
            <w:pPr>
              <w:spacing w:before="0" w:after="0" w:line="240" w:lineRule="auto"/>
            </w:pPr>
            <w:r>
              <w:rPr>
                <w:rFonts w:ascii="Calibri" w:hAnsi="Calibri"/>
                <w:sz w:val="17"/>
              </w:rPr>
            </w:r>
            <w:r>
              <w:rPr>
                <w:rFonts w:ascii="Calibri" w:hAnsi="Calibri"/>
                <w:sz w:val="17"/>
              </w:rPr>
              <w:t>Series B Director</w:t>
            </w:r>
          </w:p>
        </w:tc>
        <w:tc>
          <w:tcPr>
            <w:tcW w:w="2412" w:type="dxa"/>
          </w:tcPr>
          <w:p>
            <w:pPr>
              <w:spacing w:before="0" w:after="0" w:line="240" w:lineRule="auto"/>
            </w:pPr>
            <w:r>
              <w:rPr>
                <w:rFonts w:ascii="Calibri" w:hAnsi="Calibri"/>
                <w:sz w:val="17"/>
              </w:rPr>
            </w:r>
            <w:r>
              <w:rPr>
                <w:rFonts w:ascii="Calibri" w:hAnsi="Calibri"/>
                <w:sz w:val="17"/>
              </w:rPr>
              <w:t>Northbridge</w:t>
            </w:r>
          </w:p>
        </w:tc>
        <w:tc>
          <w:tcPr>
            <w:tcW w:w="2412" w:type="dxa"/>
          </w:tcPr>
          <w:p>
            <w:pPr>
              <w:spacing w:before="0" w:after="0" w:line="240" w:lineRule="auto"/>
            </w:pPr>
            <w:r>
              <w:rPr>
                <w:rFonts w:ascii="Calibri" w:hAnsi="Calibri"/>
                <w:sz w:val="17"/>
              </w:rPr>
            </w:r>
            <w:r>
              <w:rPr>
                <w:rFonts w:ascii="Calibri" w:hAnsi="Calibri"/>
                <w:sz w:val="17"/>
              </w:rPr>
              <w:t>Sandra Okafor</w:t>
            </w:r>
          </w:p>
        </w:tc>
        <w:tc>
          <w:tcPr>
            <w:tcW w:w="2412" w:type="dxa"/>
          </w:tcPr>
          <w:p>
            <w:pPr>
              <w:spacing w:before="0" w:after="0" w:line="240" w:lineRule="auto"/>
            </w:pPr>
            <w:r>
              <w:rPr>
                <w:rFonts w:ascii="Calibri" w:hAnsi="Calibri"/>
                <w:sz w:val="17"/>
              </w:rPr>
            </w:r>
            <w:r>
              <w:rPr>
                <w:rFonts w:ascii="Calibri" w:hAnsi="Calibri"/>
                <w:sz w:val="17"/>
              </w:rPr>
              <w:t>Northbridge holds ≥1.0M Series B (or converted Common)</w:t>
            </w:r>
          </w:p>
        </w:tc>
      </w:tr>
      <w:tr>
        <w:tc>
          <w:tcPr>
            <w:tcW w:w="2412" w:type="dxa"/>
          </w:tcPr>
          <w:p>
            <w:pPr>
              <w:spacing w:before="0" w:after="0" w:line="240" w:lineRule="auto"/>
            </w:pPr>
            <w:r>
              <w:rPr>
                <w:rFonts w:ascii="Calibri" w:hAnsi="Calibri"/>
                <w:sz w:val="17"/>
              </w:rPr>
            </w:r>
            <w:r>
              <w:rPr>
                <w:rFonts w:ascii="Calibri" w:hAnsi="Calibri"/>
                <w:sz w:val="17"/>
              </w:rPr>
              <w:t>Series C Director</w:t>
            </w:r>
          </w:p>
        </w:tc>
        <w:tc>
          <w:tcPr>
            <w:tcW w:w="2412" w:type="dxa"/>
          </w:tcPr>
          <w:p>
            <w:pPr>
              <w:spacing w:before="0" w:after="0" w:line="240" w:lineRule="auto"/>
            </w:pPr>
            <w:r>
              <w:rPr>
                <w:rFonts w:ascii="Calibri" w:hAnsi="Calibri"/>
                <w:sz w:val="17"/>
              </w:rPr>
            </w:r>
            <w:r>
              <w:rPr>
                <w:rFonts w:ascii="Calibri" w:hAnsi="Calibri"/>
                <w:sz w:val="17"/>
              </w:rPr>
              <w:t>Stonemill</w:t>
            </w:r>
          </w:p>
        </w:tc>
        <w:tc>
          <w:tcPr>
            <w:tcW w:w="2412" w:type="dxa"/>
          </w:tcPr>
          <w:p>
            <w:pPr>
              <w:spacing w:before="0" w:after="0" w:line="240" w:lineRule="auto"/>
            </w:pPr>
            <w:r>
              <w:rPr>
                <w:rFonts w:ascii="Calibri" w:hAnsi="Calibri"/>
                <w:sz w:val="17"/>
              </w:rPr>
            </w:r>
            <w:r>
              <w:rPr>
                <w:rFonts w:ascii="Calibri" w:hAnsi="Calibri"/>
                <w:sz w:val="17"/>
              </w:rPr>
              <w:t>Julian Trask</w:t>
            </w:r>
          </w:p>
        </w:tc>
        <w:tc>
          <w:tcPr>
            <w:tcW w:w="2412" w:type="dxa"/>
          </w:tcPr>
          <w:p>
            <w:pPr>
              <w:spacing w:before="0" w:after="0" w:line="240" w:lineRule="auto"/>
            </w:pPr>
            <w:r>
              <w:rPr>
                <w:rFonts w:ascii="Calibri" w:hAnsi="Calibri"/>
                <w:sz w:val="17"/>
              </w:rPr>
            </w:r>
            <w:r>
              <w:rPr>
                <w:rFonts w:ascii="Calibri" w:hAnsi="Calibri"/>
                <w:sz w:val="17"/>
              </w:rPr>
              <w:t>Stonemill holds ≥1.0M Series C (or converted Common)</w:t>
            </w:r>
          </w:p>
        </w:tc>
      </w:tr>
      <w:tr>
        <w:tc>
          <w:tcPr>
            <w:tcW w:w="2412" w:type="dxa"/>
          </w:tcPr>
          <w:p>
            <w:pPr>
              <w:spacing w:before="0" w:after="0" w:line="240" w:lineRule="auto"/>
            </w:pPr>
            <w:r>
              <w:rPr>
                <w:rFonts w:ascii="Calibri" w:hAnsi="Calibri"/>
                <w:sz w:val="17"/>
              </w:rPr>
            </w:r>
            <w:r>
              <w:rPr>
                <w:rFonts w:ascii="Calibri" w:hAnsi="Calibri"/>
                <w:sz w:val="17"/>
              </w:rPr>
              <w:t>CEO Director</w:t>
            </w:r>
          </w:p>
        </w:tc>
        <w:tc>
          <w:tcPr>
            <w:tcW w:w="2412" w:type="dxa"/>
          </w:tcPr>
          <w:p>
            <w:pPr>
              <w:spacing w:before="0" w:after="0" w:line="240" w:lineRule="auto"/>
            </w:pPr>
            <w:r>
              <w:rPr>
                <w:rFonts w:ascii="Calibri" w:hAnsi="Calibri"/>
                <w:sz w:val="17"/>
              </w:rPr>
            </w:r>
            <w:r>
              <w:rPr>
                <w:rFonts w:ascii="Calibri" w:hAnsi="Calibri"/>
                <w:sz w:val="17"/>
              </w:rPr>
              <w:t>n/a (CEO)</w:t>
            </w:r>
          </w:p>
        </w:tc>
        <w:tc>
          <w:tcPr>
            <w:tcW w:w="2412" w:type="dxa"/>
          </w:tcPr>
          <w:p>
            <w:pPr>
              <w:spacing w:before="0" w:after="0" w:line="240" w:lineRule="auto"/>
            </w:pPr>
            <w:r>
              <w:rPr>
                <w:rFonts w:ascii="Calibri" w:hAnsi="Calibri"/>
                <w:sz w:val="17"/>
              </w:rPr>
            </w:r>
            <w:r>
              <w:rPr>
                <w:rFonts w:ascii="Calibri" w:hAnsi="Calibri"/>
                <w:sz w:val="17"/>
              </w:rPr>
              <w:t>Marcus Ellery</w:t>
            </w:r>
          </w:p>
        </w:tc>
        <w:tc>
          <w:tcPr>
            <w:tcW w:w="2412" w:type="dxa"/>
          </w:tcPr>
          <w:p>
            <w:pPr>
              <w:spacing w:before="0" w:after="0" w:line="240" w:lineRule="auto"/>
            </w:pPr>
            <w:r>
              <w:rPr>
                <w:rFonts w:ascii="Calibri" w:hAnsi="Calibri"/>
                <w:sz w:val="17"/>
              </w:rPr>
            </w:r>
            <w:r>
              <w:rPr>
                <w:rFonts w:ascii="Calibri" w:hAnsi="Calibri"/>
                <w:sz w:val="17"/>
              </w:rPr>
              <w:t>n/a</w:t>
            </w:r>
          </w:p>
        </w:tc>
      </w:tr>
      <w:tr>
        <w:tc>
          <w:tcPr>
            <w:tcW w:w="2412" w:type="dxa"/>
          </w:tcPr>
          <w:p>
            <w:pPr>
              <w:spacing w:before="0" w:after="0" w:line="240" w:lineRule="auto"/>
            </w:pPr>
            <w:r>
              <w:rPr>
                <w:rFonts w:ascii="Calibri" w:hAnsi="Calibri"/>
                <w:sz w:val="17"/>
              </w:rPr>
            </w:r>
            <w:r>
              <w:rPr>
                <w:rFonts w:ascii="Calibri" w:hAnsi="Calibri"/>
                <w:sz w:val="17"/>
              </w:rPr>
              <w:t>Founder Director</w:t>
            </w:r>
          </w:p>
        </w:tc>
        <w:tc>
          <w:tcPr>
            <w:tcW w:w="2412" w:type="dxa"/>
          </w:tcPr>
          <w:p>
            <w:pPr>
              <w:spacing w:before="0" w:after="0" w:line="240" w:lineRule="auto"/>
            </w:pPr>
            <w:r>
              <w:rPr>
                <w:rFonts w:ascii="Calibri" w:hAnsi="Calibri"/>
                <w:sz w:val="17"/>
              </w:rPr>
            </w:r>
            <w:r>
              <w:rPr>
                <w:rFonts w:ascii="Calibri" w:hAnsi="Calibri"/>
                <w:sz w:val="17"/>
              </w:rPr>
              <w:t>Founders</w:t>
            </w:r>
          </w:p>
        </w:tc>
        <w:tc>
          <w:tcPr>
            <w:tcW w:w="2412" w:type="dxa"/>
          </w:tcPr>
          <w:p>
            <w:pPr>
              <w:spacing w:before="0" w:after="0" w:line="240" w:lineRule="auto"/>
            </w:pPr>
            <w:r>
              <w:rPr>
                <w:rFonts w:ascii="Calibri" w:hAnsi="Calibri"/>
                <w:sz w:val="17"/>
              </w:rPr>
            </w:r>
            <w:r>
              <w:rPr>
                <w:rFonts w:ascii="Calibri" w:hAnsi="Calibri"/>
                <w:sz w:val="17"/>
              </w:rPr>
              <w:t>Priya Chandrasekaran</w:t>
            </w:r>
          </w:p>
        </w:tc>
        <w:tc>
          <w:tcPr>
            <w:tcW w:w="2412" w:type="dxa"/>
          </w:tcPr>
          <w:p>
            <w:pPr>
              <w:spacing w:before="0" w:after="0" w:line="240" w:lineRule="auto"/>
            </w:pPr>
            <w:r>
              <w:rPr>
                <w:rFonts w:ascii="Calibri" w:hAnsi="Calibri"/>
                <w:sz w:val="17"/>
              </w:rPr>
            </w:r>
            <w:r>
              <w:rPr>
                <w:rFonts w:ascii="Calibri" w:hAnsi="Calibri"/>
                <w:sz w:val="17"/>
              </w:rPr>
              <w:t>n/a</w:t>
            </w:r>
          </w:p>
        </w:tc>
      </w:tr>
      <w:tr>
        <w:tc>
          <w:tcPr>
            <w:tcW w:w="2412" w:type="dxa"/>
          </w:tcPr>
          <w:p>
            <w:pPr>
              <w:spacing w:before="0" w:after="0" w:line="240" w:lineRule="auto"/>
            </w:pPr>
            <w:r>
              <w:rPr>
                <w:rFonts w:ascii="Calibri" w:hAnsi="Calibri"/>
                <w:sz w:val="17"/>
              </w:rPr>
            </w:r>
            <w:r>
              <w:rPr>
                <w:rFonts w:ascii="Calibri" w:hAnsi="Calibri"/>
                <w:sz w:val="17"/>
              </w:rPr>
              <w:t>Independent Director #1</w:t>
            </w:r>
          </w:p>
        </w:tc>
        <w:tc>
          <w:tcPr>
            <w:tcW w:w="2412" w:type="dxa"/>
          </w:tcPr>
          <w:p>
            <w:pPr>
              <w:spacing w:before="0" w:after="0" w:line="240" w:lineRule="auto"/>
            </w:pPr>
            <w:r>
              <w:rPr>
                <w:rFonts w:ascii="Calibri" w:hAnsi="Calibri"/>
                <w:sz w:val="17"/>
              </w:rPr>
            </w:r>
            <w:r>
              <w:rPr>
                <w:rFonts w:ascii="Calibri" w:hAnsi="Calibri"/>
                <w:sz w:val="17"/>
              </w:rPr>
              <w:t>CEO + majority of Investors</w:t>
            </w:r>
          </w:p>
        </w:tc>
        <w:tc>
          <w:tcPr>
            <w:tcW w:w="2412" w:type="dxa"/>
          </w:tcPr>
          <w:p>
            <w:pPr>
              <w:spacing w:before="0" w:after="0" w:line="240" w:lineRule="auto"/>
            </w:pPr>
            <w:r>
              <w:rPr>
                <w:rFonts w:ascii="Calibri" w:hAnsi="Calibri"/>
                <w:sz w:val="17"/>
              </w:rPr>
            </w:r>
            <w:r>
              <w:rPr>
                <w:rFonts w:ascii="Calibri" w:hAnsi="Calibri"/>
                <w:sz w:val="17"/>
              </w:rPr>
              <w:t>Rebecca Lau</w:t>
            </w:r>
          </w:p>
        </w:tc>
        <w:tc>
          <w:tcPr>
            <w:tcW w:w="2412" w:type="dxa"/>
          </w:tcPr>
          <w:p>
            <w:pPr>
              <w:spacing w:before="0" w:after="0" w:line="240" w:lineRule="auto"/>
            </w:pPr>
            <w:r>
              <w:rPr>
                <w:rFonts w:ascii="Calibri" w:hAnsi="Calibri"/>
                <w:sz w:val="17"/>
              </w:rPr>
            </w:r>
            <w:r>
              <w:rPr>
                <w:rFonts w:ascii="Calibri" w:hAnsi="Calibri"/>
                <w:sz w:val="17"/>
              </w:rPr>
              <w:t>n/a</w:t>
            </w:r>
          </w:p>
        </w:tc>
      </w:tr>
      <w:tr>
        <w:tc>
          <w:tcPr>
            <w:tcW w:w="2412" w:type="dxa"/>
          </w:tcPr>
          <w:p>
            <w:pPr>
              <w:spacing w:before="0" w:after="0" w:line="240" w:lineRule="auto"/>
            </w:pPr>
            <w:r>
              <w:rPr>
                <w:rFonts w:ascii="Calibri" w:hAnsi="Calibri"/>
                <w:sz w:val="17"/>
              </w:rPr>
            </w:r>
            <w:r>
              <w:rPr>
                <w:rFonts w:ascii="Calibri" w:hAnsi="Calibri"/>
                <w:sz w:val="17"/>
              </w:rPr>
              <w:t>Independent Director #2</w:t>
            </w:r>
          </w:p>
        </w:tc>
        <w:tc>
          <w:tcPr>
            <w:tcW w:w="2412" w:type="dxa"/>
          </w:tcPr>
          <w:p>
            <w:pPr>
              <w:spacing w:before="0" w:after="0" w:line="240" w:lineRule="auto"/>
            </w:pPr>
            <w:r>
              <w:rPr>
                <w:rFonts w:ascii="Calibri" w:hAnsi="Calibri"/>
                <w:sz w:val="17"/>
              </w:rPr>
            </w:r>
            <w:r>
              <w:rPr>
                <w:rFonts w:ascii="Calibri" w:hAnsi="Calibri"/>
                <w:sz w:val="17"/>
              </w:rPr>
              <w:t>CEO + majority of Investors</w:t>
            </w:r>
          </w:p>
        </w:tc>
        <w:tc>
          <w:tcPr>
            <w:tcW w:w="2412" w:type="dxa"/>
          </w:tcPr>
          <w:p>
            <w:pPr>
              <w:spacing w:before="0" w:after="0" w:line="240" w:lineRule="auto"/>
            </w:pPr>
            <w:r>
              <w:rPr>
                <w:rFonts w:ascii="Calibri" w:hAnsi="Calibri"/>
                <w:sz w:val="17"/>
              </w:rPr>
            </w:r>
            <w:r>
              <w:rPr>
                <w:rFonts w:ascii="Calibri" w:hAnsi="Calibri"/>
                <w:sz w:val="17"/>
              </w:rPr>
              <w:t>Thomas Garrett</w:t>
            </w:r>
          </w:p>
        </w:tc>
        <w:tc>
          <w:tcPr>
            <w:tcW w:w="2412" w:type="dxa"/>
          </w:tcPr>
          <w:p>
            <w:pPr>
              <w:spacing w:before="0" w:after="0" w:line="240" w:lineRule="auto"/>
            </w:pPr>
            <w:r>
              <w:rPr>
                <w:rFonts w:ascii="Calibri" w:hAnsi="Calibri"/>
                <w:sz w:val="17"/>
              </w:rPr>
            </w:r>
            <w:r>
              <w:rPr>
                <w:rFonts w:ascii="Calibri" w:hAnsi="Calibri"/>
                <w:sz w:val="17"/>
              </w:rPr>
              <w:t>n/a</w:t>
            </w:r>
          </w:p>
        </w:tc>
      </w:tr>
    </w:tbl>
    <w:p>
      <w:pPr>
        <w:pStyle w:val="BodyText"/>
        <w:keepNext w:val="0"/>
        <w:keepLines w:val="0"/>
        <w:spacing w:before="0" w:after="60" w:line="240" w:lineRule="auto"/>
      </w:pPr>
      <w:r>
        <w:rPr>
          <w:rFonts w:ascii="Calibri" w:hAnsi="Calibri"/>
          <w:sz w:val="20"/>
        </w:rPr>
        <w:t xml:space="preserve">Committees must include at least one Investor Stockholder designee unless the Investor Stockholders agree otherwise in writing (§2.4).</w:t>
      </w:r>
    </w:p>
    <w:bookmarkEnd w:id="53"/>
    <w:bookmarkStart w:id="54" w:name="X328eb9f28e90cd1ce8f1ce02df8f8e1f1e774dc"/>
    <w:p>
      <w:pPr>
        <w:pStyle w:val="Heading3"/>
        <w:keepNext w:val="0"/>
        <w:keepLines w:val="0"/>
        <w:spacing w:before="100" w:after="20" w:line="240" w:lineRule="auto"/>
      </w:pPr>
      <w:r>
        <w:rPr>
          <w:rFonts w:ascii="Calibri" w:hAnsi="Calibri"/>
          <w:sz w:val="22"/>
        </w:rPr>
        <w:t xml:space="preserve">B. Effect of the Merger on Designation Rights</w:t>
      </w:r>
    </w:p>
    <w:p>
      <w:pPr>
        <w:pStyle w:val="FirstParagraph"/>
        <w:keepNext w:val="0"/>
        <w:keepLines w:val="0"/>
        <w:spacing w:before="0" w:after="60" w:line="240" w:lineRule="auto"/>
      </w:pPr>
      <w:r>
        <w:rPr>
          <w:rFonts w:ascii="Calibri" w:hAnsi="Calibri"/>
          <w:sz w:val="20"/>
        </w:rPr>
        <w:t xml:space="preserve">Upon closing of the merger:</w:t>
      </w:r>
      <w:r>
        <w:rPr>
          <w:rFonts w:ascii="Calibri" w:hAnsi="Calibri"/>
          <w:sz w:val="20"/>
        </w:rPr>
        <w:t xml:space="preserve"> </w:t>
      </w:r>
      <w:r>
        <w:rPr>
          <w:rFonts w:ascii="Calibri" w:hAnsi="Calibri"/>
          <w:sz w:val="20"/>
        </w:rPr>
        <w:t xml:space="preserve">- All Terravox equity is cancelled and converted into cash. The Investor Stockholders will no longer hold Preferred Stock, so the ≥1.0M-share thresholds lapse and the designation rights</w:t>
      </w:r>
      <w:r>
        <w:rPr>
          <w:rFonts w:ascii="Calibri" w:hAnsi="Calibri"/>
          <w:sz w:val="20"/>
        </w:rPr>
        <w:t xml:space="preserve"> </w:t>
      </w:r>
      <w:r>
        <w:rPr>
          <w:rFonts w:ascii="Calibri" w:hAnsi="Calibri"/>
          <w:b/>
          <w:bCs/>
          <w:sz w:val="20"/>
        </w:rPr>
        <w:t xml:space="preserve">terminate</w:t>
      </w:r>
      <w:r>
        <w:rPr>
          <w:rFonts w:ascii="Calibri" w:hAnsi="Calibri"/>
          <w:sz w:val="20"/>
        </w:rPr>
        <w:t xml:space="preserve"> </w:t>
      </w:r>
      <w:r>
        <w:rPr>
          <w:rFonts w:ascii="Calibri" w:hAnsi="Calibri"/>
          <w:sz w:val="20"/>
        </w:rPr>
        <w:t xml:space="preserve">(§2.3; §7.3).</w:t>
      </w:r>
      <w:r>
        <w:rPr>
          <w:rFonts w:ascii="Calibri" w:hAnsi="Calibri"/>
          <w:sz w:val="20"/>
        </w:rPr>
        <w:t xml:space="preserve"> </w:t>
      </w:r>
      <w:r>
        <w:rPr>
          <w:rFonts w:ascii="Calibri" w:hAnsi="Calibri"/>
          <w:sz w:val="20"/>
        </w:rPr>
        <w:t xml:space="preserve">- The Voting Agreement</w:t>
      </w:r>
      <w:r>
        <w:rPr>
          <w:rFonts w:ascii="Calibri" w:hAnsi="Calibri"/>
          <w:sz w:val="20"/>
        </w:rPr>
        <w:t xml:space="preserve"> </w:t>
      </w:r>
      <w:r>
        <w:rPr>
          <w:rFonts w:ascii="Calibri" w:hAnsi="Calibri"/>
          <w:b/>
          <w:bCs/>
          <w:sz w:val="20"/>
        </w:rPr>
        <w:t xml:space="preserve">terminates upon consummation of a Sale of the Company</w:t>
      </w:r>
      <w:r>
        <w:rPr>
          <w:rFonts w:ascii="Calibri" w:hAnsi="Calibri"/>
          <w:sz w:val="20"/>
        </w:rPr>
        <w:t xml:space="preserve"> </w:t>
      </w:r>
      <w:r>
        <w:rPr>
          <w:rFonts w:ascii="Calibri" w:hAnsi="Calibri"/>
          <w:sz w:val="20"/>
        </w:rPr>
        <w:t xml:space="preserve">(§7.1(b)). The merger is a Sale of the Company (§1). Accordingly, all designation rights, voting obligations, and the observer right terminate at closing. ✓</w:t>
      </w:r>
      <w:r>
        <w:rPr>
          <w:rFonts w:ascii="Calibri" w:hAnsi="Calibri"/>
          <w:sz w:val="20"/>
        </w:rPr>
        <w:t xml:space="preserve"> </w:t>
      </w:r>
      <w:r>
        <w:rPr>
          <w:rFonts w:ascii="Calibri" w:hAnsi="Calibri"/>
          <w:sz w:val="20"/>
        </w:rPr>
        <w:t xml:space="preserve">- Post-closing, Terravox (as a wholly-owned subsidiary) will have its board determined by Hargrove as sole stockholder. The former designated directors’ rights expire.</w:t>
      </w:r>
    </w:p>
    <w:bookmarkEnd w:id="54"/>
    <w:bookmarkStart w:id="55" w:name="c.-the-five-year-sunset-7.1d"/>
    <w:p>
      <w:pPr>
        <w:pStyle w:val="Heading3"/>
        <w:keepNext w:val="0"/>
        <w:keepLines w:val="0"/>
        <w:spacing w:before="100" w:after="20" w:line="240" w:lineRule="auto"/>
      </w:pPr>
      <w:r>
        <w:rPr>
          <w:rFonts w:ascii="Calibri" w:hAnsi="Calibri"/>
          <w:sz w:val="22"/>
        </w:rPr>
        <w:t xml:space="preserve">C. The Five-Year Sunset (§7.1(d))</w:t>
      </w:r>
    </w:p>
    <w:p>
      <w:pPr>
        <w:pStyle w:val="FirstParagraph"/>
        <w:keepNext w:val="0"/>
        <w:keepLines w:val="0"/>
        <w:spacing w:before="0" w:after="60" w:line="240" w:lineRule="auto"/>
      </w:pPr>
      <w:r>
        <w:rPr>
          <w:rFonts w:ascii="Calibri" w:hAnsi="Calibri"/>
          <w:sz w:val="20"/>
        </w:rPr>
        <w:t xml:space="preserve">The Voting Agreement also sunsets on</w:t>
      </w:r>
      <w:r>
        <w:rPr>
          <w:rFonts w:ascii="Calibri" w:hAnsi="Calibri"/>
          <w:sz w:val="20"/>
        </w:rPr>
        <w:t xml:space="preserve"> </w:t>
      </w:r>
      <w:r>
        <w:rPr>
          <w:rFonts w:ascii="Calibri" w:hAnsi="Calibri"/>
          <w:b/>
          <w:bCs/>
          <w:sz w:val="20"/>
        </w:rPr>
        <w:t xml:space="preserve">November 3, 2026</w:t>
      </w:r>
      <w:r>
        <w:rPr>
          <w:rFonts w:ascii="Calibri" w:hAnsi="Calibri"/>
          <w:sz w:val="20"/>
        </w:rPr>
        <w:t xml:space="preserve"> </w:t>
      </w:r>
      <w:r>
        <w:rPr>
          <w:rFonts w:ascii="Calibri" w:hAnsi="Calibri"/>
          <w:sz w:val="20"/>
        </w:rPr>
        <w:t xml:space="preserve">(the fifth anniversary). The email flagged a concern that the Voting Agreement</w:t>
      </w:r>
      <w:r>
        <w:rPr>
          <w:rFonts w:ascii="Calibri" w:hAnsi="Calibri"/>
          <w:sz w:val="20"/>
        </w:rPr>
        <w:t xml:space="preserve"> </w:t>
      </w:r>
      <w:r>
        <w:rPr>
          <w:rFonts w:ascii="Calibri" w:hAnsi="Calibri"/>
          <w:sz w:val="20"/>
        </w:rPr>
        <w:t xml:space="preserve">“</w:t>
      </w:r>
      <w:r>
        <w:rPr>
          <w:rFonts w:ascii="Calibri" w:hAnsi="Calibri"/>
          <w:sz w:val="20"/>
        </w:rPr>
        <w:t xml:space="preserve">could theoretically linger until 2026</w:t>
      </w:r>
      <w:r>
        <w:rPr>
          <w:rFonts w:ascii="Calibri" w:hAnsi="Calibri"/>
          <w:sz w:val="20"/>
        </w:rPr>
        <w:t xml:space="preserve">”</w:t>
      </w:r>
      <w:r>
        <w:rPr>
          <w:rFonts w:ascii="Calibri" w:hAnsi="Calibri"/>
          <w:sz w:val="20"/>
        </w:rPr>
        <w:t xml:space="preserve"> </w:t>
      </w:r>
      <w:r>
        <w:rPr>
          <w:rFonts w:ascii="Calibri" w:hAnsi="Calibri"/>
          <w:sz w:val="20"/>
        </w:rPr>
        <w:t xml:space="preserve">if it does not clearly terminate on the merger.</w:t>
      </w:r>
      <w:r>
        <w:rPr>
          <w:rFonts w:ascii="Calibri" w:hAnsi="Calibri"/>
          <w:sz w:val="20"/>
        </w:rPr>
        <w:t xml:space="preserve"> </w:t>
      </w:r>
      <w:r>
        <w:rPr>
          <w:rFonts w:ascii="Calibri" w:hAnsi="Calibri"/>
          <w:b/>
          <w:bCs/>
          <w:sz w:val="20"/>
        </w:rPr>
        <w:t xml:space="preserve">It does clearly terminate:</w:t>
      </w:r>
      <w:r>
        <w:rPr>
          <w:rFonts w:ascii="Calibri" w:hAnsi="Calibri"/>
          <w:sz w:val="20"/>
        </w:rPr>
        <w:t xml:space="preserve"> </w:t>
      </w:r>
      <w:r>
        <w:rPr>
          <w:rFonts w:ascii="Calibri" w:hAnsi="Calibri"/>
          <w:sz w:val="20"/>
        </w:rPr>
        <w:t xml:space="preserve">§7.1(b) terminates the agreement on</w:t>
      </w:r>
      <w:r>
        <w:rPr>
          <w:rFonts w:ascii="Calibri" w:hAnsi="Calibri"/>
          <w:sz w:val="20"/>
        </w:rPr>
        <w:t xml:space="preserve"> </w:t>
      </w:r>
      <w:r>
        <w:rPr>
          <w:rFonts w:ascii="Calibri" w:hAnsi="Calibri"/>
          <w:sz w:val="20"/>
        </w:rPr>
        <w:t xml:space="preserve">“</w:t>
      </w:r>
      <w:r>
        <w:rPr>
          <w:rFonts w:ascii="Calibri" w:hAnsi="Calibri"/>
          <w:sz w:val="20"/>
        </w:rPr>
        <w:t xml:space="preserve">the consummation of a Sale of the Company,</w:t>
      </w:r>
      <w:r>
        <w:rPr>
          <w:rFonts w:ascii="Calibri" w:hAnsi="Calibri"/>
          <w:sz w:val="20"/>
        </w:rPr>
        <w:t xml:space="preserve">”</w:t>
      </w:r>
      <w:r>
        <w:rPr>
          <w:rFonts w:ascii="Calibri" w:hAnsi="Calibri"/>
          <w:sz w:val="20"/>
        </w:rPr>
        <w:t xml:space="preserve"> </w:t>
      </w:r>
      <w:r>
        <w:rPr>
          <w:rFonts w:ascii="Calibri" w:hAnsi="Calibri"/>
          <w:sz w:val="20"/>
        </w:rPr>
        <w:t xml:space="preserve">and the Sale of the Company definition (§1) captures the merger. With a target closing in Q1 2025 (before November 3, 2026), the Sale-of-the-Company termination governs, and the sunset is moot.</w:t>
      </w:r>
      <w:r>
        <w:rPr>
          <w:rFonts w:ascii="Calibri" w:hAnsi="Calibri"/>
          <w:sz w:val="20"/>
        </w:rPr>
        <w:t xml:space="preserve"> </w:t>
      </w:r>
      <w:r>
        <w:rPr>
          <w:rFonts w:ascii="Calibri" w:hAnsi="Calibri"/>
          <w:b/>
          <w:bCs/>
          <w:sz w:val="20"/>
        </w:rPr>
        <w:t xml:space="preserve">No lingering governance rights</w:t>
      </w:r>
      <w:r>
        <w:rPr>
          <w:rFonts w:ascii="Calibri" w:hAnsi="Calibri"/>
          <w:sz w:val="20"/>
        </w:rPr>
        <w:t xml:space="preserve"> </w:t>
      </w:r>
      <w:r>
        <w:rPr>
          <w:rFonts w:ascii="Calibri" w:hAnsi="Calibri"/>
          <w:sz w:val="20"/>
        </w:rPr>
        <w:t xml:space="preserve">— provided the merger closes. If the merger fails to close, the Voting Agreement (and the observer right) continue until November 3, 2026.</w:t>
      </w:r>
    </w:p>
    <w:bookmarkEnd w:id="55"/>
    <w:bookmarkStart w:id="56" w:name="d.-board-observer-right-4"/>
    <w:p>
      <w:pPr>
        <w:pStyle w:val="Heading3"/>
        <w:keepNext w:val="0"/>
        <w:keepLines w:val="0"/>
        <w:spacing w:before="100" w:after="20" w:line="240" w:lineRule="auto"/>
      </w:pPr>
      <w:r>
        <w:rPr>
          <w:rFonts w:ascii="Calibri" w:hAnsi="Calibri"/>
          <w:sz w:val="22"/>
        </w:rPr>
        <w:t xml:space="preserve">D. Board Observer Right (§4)</w:t>
      </w:r>
    </w:p>
    <w:p>
      <w:pPr>
        <w:pStyle w:val="FirstParagraph"/>
        <w:keepNext w:val="0"/>
        <w:keepLines w:val="0"/>
        <w:spacing w:before="0" w:after="60" w:line="240" w:lineRule="auto"/>
      </w:pPr>
      <w:r>
        <w:rPr>
          <w:rFonts w:ascii="Calibri" w:hAnsi="Calibri"/>
          <w:sz w:val="20"/>
        </w:rPr>
        <w:t xml:space="preserve">Stonemill’s non-voting observer right (entitled to attend all Board meetings and receive all Board materials) terminates upon closing for the same reasons (Stonemill ceases to hold ≥1.0M Series C; the Voting Agreement terminates).</w:t>
      </w:r>
      <w:r>
        <w:rPr>
          <w:rFonts w:ascii="Calibri" w:hAnsi="Calibri"/>
          <w:sz w:val="20"/>
        </w:rPr>
        <w:t xml:space="preserve"> </w:t>
      </w:r>
      <w:r>
        <w:rPr>
          <w:rFonts w:ascii="Calibri" w:hAnsi="Calibri"/>
          <w:b/>
          <w:bCs/>
          <w:sz w:val="20"/>
        </w:rPr>
        <w:t xml:space="preserve">The observer right does not survive the merger.</w:t>
      </w:r>
      <w:r>
        <w:rPr>
          <w:rFonts w:ascii="Calibri" w:hAnsi="Calibri"/>
          <w:sz w:val="20"/>
        </w:rPr>
        <w:t xml:space="preserve"> </w:t>
      </w:r>
      <w:r>
        <w:rPr>
          <w:rFonts w:ascii="Calibri" w:hAnsi="Calibri"/>
          <w:sz w:val="20"/>
        </w:rPr>
        <w:t xml:space="preserve">✓</w:t>
      </w:r>
    </w:p>
    <w:p>
      <w:pPr>
        <w:pStyle w:val="BodyText"/>
        <w:keepNext w:val="0"/>
        <w:keepLines w:val="0"/>
        <w:spacing w:before="0" w:after="60" w:line="240" w:lineRule="auto"/>
      </w:pPr>
      <w:r>
        <w:rPr>
          <w:rFonts w:ascii="Calibri" w:hAnsi="Calibri"/>
          <w:sz w:val="20"/>
        </w:rPr>
        <w:t xml:space="preserve">Two process points during the pre-closing period:</w:t>
      </w:r>
      <w:r>
        <w:rPr>
          <w:rFonts w:ascii="Calibri" w:hAnsi="Calibri"/>
          <w:sz w:val="20"/>
        </w:rPr>
        <w:t xml:space="preserve"> </w:t>
      </w:r>
      <w:r>
        <w:rPr>
          <w:rFonts w:ascii="Calibri" w:hAnsi="Calibri"/>
          <w:sz w:val="20"/>
        </w:rPr>
        <w:t xml:space="preserve">- The observer was</w:t>
      </w:r>
      <w:r>
        <w:rPr>
          <w:rFonts w:ascii="Calibri" w:hAnsi="Calibri"/>
          <w:sz w:val="20"/>
        </w:rPr>
        <w:t xml:space="preserve"> </w:t>
      </w:r>
      <w:r>
        <w:rPr>
          <w:rFonts w:ascii="Calibri" w:hAnsi="Calibri"/>
          <w:b/>
          <w:bCs/>
          <w:sz w:val="20"/>
        </w:rPr>
        <w:t xml:space="preserve">absent from the April 17, 2024 meeting</w:t>
      </w:r>
      <w:r>
        <w:rPr>
          <w:rFonts w:ascii="Calibri" w:hAnsi="Calibri"/>
          <w:sz w:val="20"/>
        </w:rPr>
        <w:t xml:space="preserve"> </w:t>
      </w:r>
      <w:r>
        <w:rPr>
          <w:rFonts w:ascii="Calibri" w:hAnsi="Calibri"/>
          <w:sz w:val="20"/>
        </w:rPr>
        <w:t xml:space="preserve">(where the Board authorized Hargrove engagement). We must confirm the observer was properly notified and received materials for that meeting; if not, Stonemill may claim a breach of its contractual information rights, reinforcing its objection. (§4.2 permits exclusion only to preserve privilege or address a bona fide conflict — the minutes do not indicate any such exclusion.)</w:t>
      </w:r>
      <w:r>
        <w:rPr>
          <w:rFonts w:ascii="Calibri" w:hAnsi="Calibri"/>
          <w:sz w:val="20"/>
        </w:rPr>
        <w:t xml:space="preserve"> </w:t>
      </w:r>
      <w:r>
        <w:rPr>
          <w:rFonts w:ascii="Calibri" w:hAnsi="Calibri"/>
          <w:sz w:val="20"/>
        </w:rPr>
        <w:t xml:space="preserve">- During the period between signing and closing, the observer right remains in effect, and Stonemill is entitled to Board materials relating to the Transaction. The Company should expect Stonemill to exercise this right aggressively.</w:t>
      </w:r>
    </w:p>
    <w:p>
      <w:pPr>
        <w:pStyle w:val="BodyText"/>
        <w:keepNext w:val="0"/>
        <w:keepLines w:val="0"/>
        <w:spacing w:before="0" w:after="60" w:line="240" w:lineRule="auto"/>
      </w:pPr>
      <w:r>
        <w:rPr>
          <w:rFonts w:ascii="Calibri" w:hAnsi="Calibri"/>
          <w:b/>
          <w:bCs/>
          <w:sz w:val="20"/>
        </w:rPr>
        <w:t xml:space="preserve">Net result (Area 5):</w:t>
      </w:r>
      <w:r>
        <w:rPr>
          <w:rFonts w:ascii="Calibri" w:hAnsi="Calibri"/>
          <w:sz w:val="20"/>
        </w:rPr>
        <w:t xml:space="preserve"> </w:t>
      </w:r>
      <w:r>
        <w:rPr>
          <w:rFonts w:ascii="Calibri" w:hAnsi="Calibri"/>
          <w:sz w:val="20"/>
        </w:rPr>
        <w:t xml:space="preserve">The Voting Agreement and all designation/observer rights terminate at closing; no lingering rights if the merger closes before November 3, 2026.</w:t>
      </w:r>
      <w:r>
        <w:rPr>
          <w:rFonts w:ascii="Calibri" w:hAnsi="Calibri"/>
          <w:sz w:val="20"/>
        </w:rPr>
        <w:t xml:space="preserve"> </w:t>
      </w:r>
      <w:r>
        <w:rPr>
          <w:rFonts w:ascii="Calibri" w:hAnsi="Calibri"/>
          <w:b/>
          <w:bCs/>
          <w:sz w:val="20"/>
        </w:rPr>
        <w:t xml:space="preserve">Severity: Moderate</w:t>
      </w:r>
      <w:r>
        <w:rPr>
          <w:rFonts w:ascii="Calibri" w:hAnsi="Calibri"/>
          <w:sz w:val="20"/>
        </w:rPr>
        <w:t xml:space="preserve"> </w:t>
      </w:r>
      <w:r>
        <w:rPr>
          <w:rFonts w:ascii="Calibri" w:hAnsi="Calibri"/>
          <w:sz w:val="20"/>
        </w:rPr>
        <w:t xml:space="preserve">(clean termination; main risk is the pre-closing observer/information dynamic and the failure-to-close scenario).</w:t>
      </w:r>
    </w:p>
    <w:p>
      <w:pPr>
        <w:keepNext w:val="0"/>
        <w:keepLines w:val="0"/>
        <w:spacing w:before="0" w:after="60" w:line="240" w:lineRule="auto"/>
      </w:pPr>
      <w:r>
        <w:rPr>
          <w:rFonts w:ascii="Calibri" w:hAnsi="Calibri"/>
          <w:sz w:val="20"/>
        </w:rPr>
        <w:pict>
          <v:rect style="width:0;height:1.5pt" o:hralign="center" o:hrstd="t" o:hr="t"/>
        </w:pict>
      </w:r>
    </w:p>
    <w:bookmarkEnd w:id="56"/>
    <w:bookmarkEnd w:id="57"/>
    <w:bookmarkStart w:id="61" w:name="Xb5c8894ca0a7523972a6e2943ac65957535918f"/>
    <w:p>
      <w:pPr>
        <w:pStyle w:val="Heading2"/>
        <w:keepNext w:val="0"/>
        <w:keepLines w:val="0"/>
        <w:spacing w:before="140" w:after="40" w:line="240" w:lineRule="auto"/>
      </w:pPr>
      <w:r>
        <w:rPr>
          <w:rFonts w:ascii="Calibri" w:hAnsi="Calibri"/>
          <w:sz w:val="25"/>
        </w:rPr>
        <w:t xml:space="preserve">IX. Area 6 — Cross-Document Definitional Inconsistencies</w:t>
      </w:r>
    </w:p>
    <w:bookmarkStart w:id="58" w:name="Xf241b1cdcf1d078d6571f710026ed0eaf7b3f80"/>
    <w:p>
      <w:pPr>
        <w:pStyle w:val="Heading3"/>
        <w:keepNext w:val="0"/>
        <w:keepLines w:val="0"/>
        <w:spacing w:before="100" w:after="20" w:line="240" w:lineRule="auto"/>
      </w:pPr>
      <w:r>
        <w:rPr>
          <w:rFonts w:ascii="Calibri" w:hAnsi="Calibri"/>
          <w:sz w:val="22"/>
        </w:rPr>
        <w:t xml:space="preserve">A.</w:t>
      </w:r>
      <w:r>
        <w:rPr>
          <w:rFonts w:ascii="Calibri" w:hAnsi="Calibri"/>
          <w:sz w:val="22"/>
        </w:rPr>
        <w:t xml:space="preserve"> </w:t>
      </w:r>
      <w:r>
        <w:rPr>
          <w:rFonts w:ascii="Calibri" w:hAnsi="Calibri"/>
          <w:sz w:val="22"/>
        </w:rPr>
        <w:t xml:space="preserve">“</w:t>
      </w:r>
      <w:r>
        <w:rPr>
          <w:rFonts w:ascii="Calibri" w:hAnsi="Calibri"/>
          <w:sz w:val="22"/>
        </w:rPr>
        <w:t xml:space="preserve">Liquidation Event</w:t>
      </w:r>
      <w:r>
        <w:rPr>
          <w:rFonts w:ascii="Calibri" w:hAnsi="Calibri"/>
          <w:sz w:val="22"/>
        </w:rPr>
        <w:t xml:space="preserve">”</w:t>
      </w:r>
      <w:r>
        <w:rPr>
          <w:rFonts w:ascii="Calibri" w:hAnsi="Calibri"/>
          <w:sz w:val="22"/>
        </w:rPr>
        <w:t xml:space="preserve"> </w:t>
      </w:r>
      <w:r>
        <w:rPr>
          <w:rFonts w:ascii="Calibri" w:hAnsi="Calibri"/>
          <w:sz w:val="22"/>
        </w:rPr>
        <w:t xml:space="preserve">vs. </w:t>
      </w:r>
      <w:r>
        <w:rPr>
          <w:rFonts w:ascii="Calibri" w:hAnsi="Calibri"/>
          <w:sz w:val="22"/>
        </w:rPr>
        <w:t xml:space="preserve">“</w:t>
      </w:r>
      <w:r>
        <w:rPr>
          <w:rFonts w:ascii="Calibri" w:hAnsi="Calibri"/>
          <w:sz w:val="22"/>
        </w:rPr>
        <w:t xml:space="preserve">Sale of the Company</w:t>
      </w:r>
      <w:r>
        <w:rPr>
          <w:rFonts w:ascii="Calibri" w:hAnsi="Calibri"/>
          <w:sz w:val="22"/>
        </w:rPr>
        <w:t xml:space="preserve">”</w:t>
      </w:r>
      <w:r>
        <w:rPr>
          <w:rFonts w:ascii="Calibri" w:hAnsi="Calibri"/>
          <w:sz w:val="22"/>
        </w:rPr>
        <w:t xml:space="preserve"> </w:t>
      </w:r>
      <w:r>
        <w:rPr>
          <w:rFonts w:ascii="Calibri" w:hAnsi="Calibri"/>
          <w:sz w:val="22"/>
        </w:rPr>
        <w:t xml:space="preserve">vs. </w:t>
      </w:r>
      <w:r>
        <w:rPr>
          <w:rFonts w:ascii="Calibri" w:hAnsi="Calibri"/>
          <w:sz w:val="22"/>
        </w:rPr>
        <w:t xml:space="preserve">“</w:t>
      </w:r>
      <w:r>
        <w:rPr>
          <w:rFonts w:ascii="Calibri" w:hAnsi="Calibri"/>
          <w:sz w:val="22"/>
        </w:rPr>
        <w:t xml:space="preserve">Deemed Liquidation Event</w:t>
      </w:r>
      <w:r>
        <w:rPr>
          <w:rFonts w:ascii="Calibri" w:hAnsi="Calibri"/>
          <w:sz w:val="22"/>
        </w:rPr>
        <w:t xml:space="preserve">”</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3216"/>
        <w:gridCol w:w="3216"/>
        <w:gridCol w:w="3216"/>
      </w:tblGrid>
      <w:tr>
        <w:tc>
          <w:tcPr>
            <w:tcW w:w="3216" w:type="dxa"/>
          </w:tcPr>
          <w:p>
            <w:pPr>
              <w:spacing w:before="0" w:after="0" w:line="240" w:lineRule="auto"/>
            </w:pPr>
            <w:r>
              <w:rPr>
                <w:rFonts w:ascii="Calibri" w:hAnsi="Calibri"/>
                <w:sz w:val="17"/>
              </w:rPr>
            </w:r>
            <w:r>
              <w:rPr>
                <w:rFonts w:ascii="Calibri" w:hAnsi="Calibri"/>
                <w:sz w:val="17"/>
              </w:rPr>
              <w:t>Term</w:t>
            </w:r>
          </w:p>
        </w:tc>
        <w:tc>
          <w:tcPr>
            <w:tcW w:w="3216" w:type="dxa"/>
          </w:tcPr>
          <w:p>
            <w:pPr>
              <w:spacing w:before="0" w:after="0" w:line="240" w:lineRule="auto"/>
            </w:pPr>
            <w:r>
              <w:rPr>
                <w:rFonts w:ascii="Calibri" w:hAnsi="Calibri"/>
                <w:sz w:val="17"/>
              </w:rPr>
            </w:r>
            <w:r>
              <w:rPr>
                <w:rFonts w:ascii="Calibri" w:hAnsi="Calibri"/>
                <w:sz w:val="17"/>
              </w:rPr>
              <w:t>Document</w:t>
            </w:r>
          </w:p>
        </w:tc>
        <w:tc>
          <w:tcPr>
            <w:tcW w:w="3216" w:type="dxa"/>
          </w:tcPr>
          <w:p>
            <w:pPr>
              <w:spacing w:before="0" w:after="0" w:line="240" w:lineRule="auto"/>
            </w:pPr>
            <w:r>
              <w:rPr>
                <w:rFonts w:ascii="Calibri" w:hAnsi="Calibri"/>
                <w:sz w:val="17"/>
              </w:rPr>
            </w:r>
            <w:r>
              <w:rPr>
                <w:rFonts w:ascii="Calibri" w:hAnsi="Calibri"/>
                <w:sz w:val="17"/>
              </w:rPr>
              <w:t>Definition</w:t>
            </w:r>
          </w:p>
        </w:tc>
      </w:tr>
      <w:tr>
        <w:tc>
          <w:tcPr>
            <w:tcW w:w="3216" w:type="dxa"/>
          </w:tcPr>
          <w:p>
            <w:pPr>
              <w:spacing w:before="0" w:after="0" w:line="240" w:lineRule="auto"/>
            </w:pPr>
            <w:r>
              <w:rPr>
                <w:rFonts w:ascii="Calibri" w:hAnsi="Calibri"/>
                <w:sz w:val="17"/>
              </w:rPr>
            </w:r>
            <w:r>
              <w:rPr>
                <w:rFonts w:ascii="Calibri" w:hAnsi="Calibri"/>
                <w:sz w:val="17"/>
              </w:rPr>
              <w:t>Liquidation Event</w:t>
            </w:r>
          </w:p>
        </w:tc>
        <w:tc>
          <w:tcPr>
            <w:tcW w:w="3216" w:type="dxa"/>
          </w:tcPr>
          <w:p>
            <w:pPr>
              <w:spacing w:before="0" w:after="0" w:line="240" w:lineRule="auto"/>
            </w:pPr>
            <w:r>
              <w:rPr>
                <w:rFonts w:ascii="Calibri" w:hAnsi="Calibri"/>
                <w:sz w:val="17"/>
              </w:rPr>
            </w:r>
            <w:r>
              <w:rPr>
                <w:rFonts w:ascii="Calibri" w:hAnsi="Calibri"/>
                <w:sz w:val="17"/>
              </w:rPr>
              <w:t>Restated Cert. §4.3.2(d)</w:t>
            </w:r>
          </w:p>
        </w:tc>
        <w:tc>
          <w:tcPr>
            <w:tcW w:w="3216" w:type="dxa"/>
          </w:tcPr>
          <w:p>
            <w:pPr>
              <w:spacing w:before="0" w:after="0" w:line="240" w:lineRule="auto"/>
            </w:pPr>
            <w:r>
              <w:rPr>
                <w:rFonts w:ascii="Calibri" w:hAnsi="Calibri"/>
                <w:sz w:val="17"/>
              </w:rPr>
            </w:r>
            <w:r>
              <w:rPr>
                <w:rFonts w:ascii="Calibri" w:hAnsi="Calibri"/>
                <w:sz w:val="17"/>
              </w:rPr>
              <w:t>(i) merger/combination where stockholders retain &lt;50% voting power of survivor; (ii) sale/lease/transfer/exclusive license of all or substantially all assets; (iii) transaction transferring &gt;50% voting power (other than an equity financing primarily for capital-raising); (iv) voluntary/involuntary liquidation/dissolution/winding up.</w:t>
            </w:r>
          </w:p>
        </w:tc>
      </w:tr>
      <w:tr>
        <w:tc>
          <w:tcPr>
            <w:tcW w:w="3216" w:type="dxa"/>
          </w:tcPr>
          <w:p>
            <w:pPr>
              <w:spacing w:before="0" w:after="0" w:line="240" w:lineRule="auto"/>
            </w:pPr>
            <w:r>
              <w:rPr>
                <w:rFonts w:ascii="Calibri" w:hAnsi="Calibri"/>
                <w:sz w:val="17"/>
              </w:rPr>
            </w:r>
            <w:r>
              <w:rPr>
                <w:rFonts w:ascii="Calibri" w:hAnsi="Calibri"/>
                <w:sz w:val="17"/>
              </w:rPr>
              <w:t>Sale of the Company</w:t>
            </w:r>
          </w:p>
        </w:tc>
        <w:tc>
          <w:tcPr>
            <w:tcW w:w="3216" w:type="dxa"/>
          </w:tcPr>
          <w:p>
            <w:pPr>
              <w:spacing w:before="0" w:after="0" w:line="240" w:lineRule="auto"/>
            </w:pPr>
            <w:r>
              <w:rPr>
                <w:rFonts w:ascii="Calibri" w:hAnsi="Calibri"/>
                <w:sz w:val="17"/>
              </w:rPr>
            </w:r>
            <w:r>
              <w:rPr>
                <w:rFonts w:ascii="Calibri" w:hAnsi="Calibri"/>
                <w:sz w:val="17"/>
              </w:rPr>
              <w:t>Stockholders’ Ag. §1.1; Voting Ag. §1</w:t>
            </w:r>
          </w:p>
        </w:tc>
        <w:tc>
          <w:tcPr>
            <w:tcW w:w="3216" w:type="dxa"/>
          </w:tcPr>
          <w:p>
            <w:pPr>
              <w:spacing w:before="0" w:after="0" w:line="240" w:lineRule="auto"/>
            </w:pPr>
            <w:r>
              <w:rPr>
                <w:rFonts w:ascii="Calibri" w:hAnsi="Calibri"/>
                <w:sz w:val="17"/>
              </w:rPr>
            </w:r>
            <w:r>
              <w:rPr>
                <w:rFonts w:ascii="Calibri" w:hAnsi="Calibri"/>
                <w:sz w:val="17"/>
              </w:rPr>
              <w:t>(i) merger/consolidation/reorganization where stockholders retain &lt;majority voting power of survivor; (ii) sale/lease/exclusive license/disposition of all or substantially all assets; (iii) transaction transferring &gt;50% voting power. No capital-raising exception; no liquidation/dissolution prong.</w:t>
            </w:r>
          </w:p>
        </w:tc>
      </w:tr>
      <w:tr>
        <w:tc>
          <w:tcPr>
            <w:tcW w:w="3216" w:type="dxa"/>
          </w:tcPr>
          <w:p>
            <w:pPr>
              <w:spacing w:before="0" w:after="0" w:line="240" w:lineRule="auto"/>
            </w:pPr>
            <w:r>
              <w:rPr>
                <w:rFonts w:ascii="Calibri" w:hAnsi="Calibri"/>
                <w:sz w:val="17"/>
              </w:rPr>
            </w:r>
            <w:r>
              <w:rPr>
                <w:rFonts w:ascii="Calibri" w:hAnsi="Calibri"/>
                <w:sz w:val="17"/>
              </w:rPr>
              <w:t>Deemed Liquidation Event</w:t>
            </w:r>
          </w:p>
        </w:tc>
        <w:tc>
          <w:tcPr>
            <w:tcW w:w="3216" w:type="dxa"/>
          </w:tcPr>
          <w:p>
            <w:pPr>
              <w:spacing w:before="0" w:after="0" w:line="240" w:lineRule="auto"/>
            </w:pPr>
            <w:r>
              <w:rPr>
                <w:rFonts w:ascii="Calibri" w:hAnsi="Calibri"/>
                <w:sz w:val="17"/>
              </w:rPr>
            </w:r>
            <w:r>
              <w:rPr>
                <w:rFonts w:ascii="Calibri" w:hAnsi="Calibri"/>
                <w:sz w:val="17"/>
              </w:rPr>
              <w:t>RRA §9(c)</w:t>
            </w:r>
          </w:p>
        </w:tc>
        <w:tc>
          <w:tcPr>
            <w:tcW w:w="3216" w:type="dxa"/>
          </w:tcPr>
          <w:p>
            <w:pPr>
              <w:spacing w:before="0" w:after="0" w:line="240" w:lineRule="auto"/>
            </w:pPr>
            <w:r>
              <w:rPr>
                <w:rFonts w:ascii="Calibri" w:hAnsi="Calibri"/>
                <w:sz w:val="17"/>
              </w:rPr>
            </w:r>
            <w:r>
              <w:rPr>
                <w:rFonts w:ascii="Calibri" w:hAnsi="Calibri"/>
                <w:sz w:val="17"/>
              </w:rPr>
              <w:t>Undefined.</w:t>
            </w:r>
          </w:p>
        </w:tc>
      </w:tr>
    </w:tbl>
    <w:p>
      <w:pPr>
        <w:pStyle w:val="BodyText"/>
        <w:keepNext w:val="0"/>
        <w:keepLines w:val="0"/>
        <w:spacing w:before="0" w:after="60" w:line="240" w:lineRule="auto"/>
      </w:pPr>
      <w:r>
        <w:rPr>
          <w:rFonts w:ascii="Calibri" w:hAnsi="Calibri"/>
          <w:b/>
          <w:bCs/>
          <w:sz w:val="20"/>
        </w:rPr>
        <w:t xml:space="preserve">Inconsistencies:</w:t>
      </w:r>
    </w:p>
    <w:p>
      <w:pPr>
        <w:keepNext w:val="0"/>
        <w:keepLines w:val="0"/>
        <w:numPr>
          <w:ilvl w:val="0"/>
          <w:numId w:val="1010"/>
        </w:numPr>
        <w:spacing w:before="0" w:after="60" w:line="240" w:lineRule="auto"/>
      </w:pPr>
      <w:r>
        <w:rPr>
          <w:rFonts w:ascii="Calibri" w:hAnsi="Calibri"/>
          <w:b/>
          <w:bCs/>
          <w:sz w:val="20"/>
        </w:rPr>
        <w:t xml:space="preserve">Capital-raising exception.</w:t>
      </w:r>
      <w:r>
        <w:rPr>
          <w:rFonts w:ascii="Calibri" w:hAnsi="Calibri"/>
          <w:sz w:val="20"/>
        </w:rPr>
        <w:t xml:space="preserve"> </w:t>
      </w:r>
      <w:r>
        <w:rPr>
          <w:rFonts w:ascii="Calibri" w:hAnsi="Calibri"/>
          <w:sz w:val="20"/>
        </w:rPr>
        <w:t xml:space="preserve">The Restated Certificate’s</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excludes equity financements primarily for capital-raising (§4.3.2(d)(iii)); the Stockholders’/Voting Agreement</w:t>
      </w:r>
      <w:r>
        <w:rPr>
          <w:rFonts w:ascii="Calibri" w:hAnsi="Calibri"/>
          <w:sz w:val="20"/>
        </w:rPr>
        <w:t xml:space="preserve"> </w:t>
      </w:r>
      <w:r>
        <w:rPr>
          <w:rFonts w:ascii="Calibri" w:hAnsi="Calibri"/>
          <w:sz w:val="20"/>
        </w:rPr>
        <w:t xml:space="preserve">“</w:t>
      </w:r>
      <w:r>
        <w:rPr>
          <w:rFonts w:ascii="Calibri" w:hAnsi="Calibri"/>
          <w:sz w:val="20"/>
        </w:rPr>
        <w:t xml:space="preserve">Sale of the Company</w:t>
      </w:r>
      <w:r>
        <w:rPr>
          <w:rFonts w:ascii="Calibri" w:hAnsi="Calibri"/>
          <w:sz w:val="20"/>
        </w:rPr>
        <w:t xml:space="preserve">”</w:t>
      </w:r>
      <w:r>
        <w:rPr>
          <w:rFonts w:ascii="Calibri" w:hAnsi="Calibri"/>
          <w:sz w:val="20"/>
        </w:rPr>
        <w:t xml:space="preserve"> </w:t>
      </w:r>
      <w:r>
        <w:rPr>
          <w:rFonts w:ascii="Calibri" w:hAnsi="Calibri"/>
          <w:sz w:val="20"/>
        </w:rPr>
        <w:t xml:space="preserve">contains</w:t>
      </w:r>
      <w:r>
        <w:rPr>
          <w:rFonts w:ascii="Calibri" w:hAnsi="Calibri"/>
          <w:sz w:val="20"/>
        </w:rPr>
        <w:t xml:space="preserve"> </w:t>
      </w:r>
      <w:r>
        <w:rPr>
          <w:rFonts w:ascii="Calibri" w:hAnsi="Calibri"/>
          <w:b/>
          <w:bCs/>
          <w:sz w:val="20"/>
        </w:rPr>
        <w:t xml:space="preserve">no such exception.</w:t>
      </w:r>
      <w:r>
        <w:rPr>
          <w:rFonts w:ascii="Calibri" w:hAnsi="Calibri"/>
          <w:sz w:val="20"/>
        </w:rPr>
        <w:t xml:space="preserve"> </w:t>
      </w:r>
      <w:r>
        <w:rPr>
          <w:rFonts w:ascii="Calibri" w:hAnsi="Calibri"/>
          <w:sz w:val="20"/>
        </w:rPr>
        <w:t xml:space="preserve">A capital-raising transaction that transfers &gt;50% voting power (e.g., a heavily dilutive down round) would be a</w:t>
      </w:r>
      <w:r>
        <w:rPr>
          <w:rFonts w:ascii="Calibri" w:hAnsi="Calibri"/>
          <w:sz w:val="20"/>
        </w:rPr>
        <w:t xml:space="preserve"> </w:t>
      </w:r>
      <w:r>
        <w:rPr>
          <w:rFonts w:ascii="Calibri" w:hAnsi="Calibri"/>
          <w:sz w:val="20"/>
        </w:rPr>
        <w:t xml:space="preserve">“</w:t>
      </w:r>
      <w:r>
        <w:rPr>
          <w:rFonts w:ascii="Calibri" w:hAnsi="Calibri"/>
          <w:sz w:val="20"/>
        </w:rPr>
        <w:t xml:space="preserve">Sale of the Company</w:t>
      </w:r>
      <w:r>
        <w:rPr>
          <w:rFonts w:ascii="Calibri" w:hAnsi="Calibri"/>
          <w:sz w:val="20"/>
        </w:rPr>
        <w:t xml:space="preserve">”</w:t>
      </w:r>
      <w:r>
        <w:rPr>
          <w:rFonts w:ascii="Calibri" w:hAnsi="Calibri"/>
          <w:sz w:val="20"/>
        </w:rPr>
        <w:t xml:space="preserve"> </w:t>
      </w:r>
      <w:r>
        <w:rPr>
          <w:rFonts w:ascii="Calibri" w:hAnsi="Calibri"/>
          <w:sz w:val="20"/>
        </w:rPr>
        <w:t xml:space="preserve">(triggering drag-along/termination) but</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a</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(no preference/waterfall). This divergence does not affect the all-cash Hargrove merger (which is captured by both), but it is a latent inconsistency that could matter in other scenarios.</w:t>
      </w:r>
    </w:p>
    <w:p>
      <w:pPr>
        <w:keepNext w:val="0"/>
        <w:keepLines w:val="0"/>
        <w:numPr>
          <w:ilvl w:val="0"/>
          <w:numId w:val="1010"/>
        </w:numPr>
        <w:spacing w:before="0" w:after="60" w:line="240" w:lineRule="auto"/>
      </w:pPr>
      <w:r>
        <w:rPr>
          <w:rFonts w:ascii="Calibri" w:hAnsi="Calibri"/>
          <w:b/>
          <w:bCs/>
          <w:sz w:val="20"/>
        </w:rPr>
        <w:t xml:space="preserve">Liquidation/dissolution.</w:t>
      </w:r>
      <w:r>
        <w:rPr>
          <w:rFonts w:ascii="Calibri" w:hAnsi="Calibri"/>
          <w:sz w:val="20"/>
        </w:rPr>
        <w:t xml:space="preserve"> </w:t>
      </w:r>
      <w:r>
        <w:rPr>
          <w:rFonts w:ascii="Calibri" w:hAnsi="Calibri"/>
          <w:sz w:val="20"/>
        </w:rPr>
        <w:t xml:space="preserve">The Restated Certificate’s</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includes voluntary/involuntary liquidation, dissolution, or winding up (§4.3.2(d)(iv)); the</w:t>
      </w:r>
      <w:r>
        <w:rPr>
          <w:rFonts w:ascii="Calibri" w:hAnsi="Calibri"/>
          <w:sz w:val="20"/>
        </w:rPr>
        <w:t xml:space="preserve"> </w:t>
      </w:r>
      <w:r>
        <w:rPr>
          <w:rFonts w:ascii="Calibri" w:hAnsi="Calibri"/>
          <w:sz w:val="20"/>
        </w:rPr>
        <w:t xml:space="preserve">“</w:t>
      </w:r>
      <w:r>
        <w:rPr>
          <w:rFonts w:ascii="Calibri" w:hAnsi="Calibri"/>
          <w:sz w:val="20"/>
        </w:rPr>
        <w:t xml:space="preserve">Sale of the Company</w:t>
      </w:r>
      <w:r>
        <w:rPr>
          <w:rFonts w:ascii="Calibri" w:hAnsi="Calibri"/>
          <w:sz w:val="20"/>
        </w:rPr>
        <w:t xml:space="preserve">”</w:t>
      </w:r>
      <w:r>
        <w:rPr>
          <w:rFonts w:ascii="Calibri" w:hAnsi="Calibri"/>
          <w:sz w:val="20"/>
        </w:rPr>
        <w:t xml:space="preserve"> </w:t>
      </w:r>
      <w:r>
        <w:rPr>
          <w:rFonts w:ascii="Calibri" w:hAnsi="Calibri"/>
          <w:sz w:val="20"/>
        </w:rPr>
        <w:t xml:space="preserve">definitions do</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A dissolution would trigger liquidation preferences but would not be a</w:t>
      </w:r>
      <w:r>
        <w:rPr>
          <w:rFonts w:ascii="Calibri" w:hAnsi="Calibri"/>
          <w:sz w:val="20"/>
        </w:rPr>
        <w:t xml:space="preserve"> </w:t>
      </w:r>
      <w:r>
        <w:rPr>
          <w:rFonts w:ascii="Calibri" w:hAnsi="Calibri"/>
          <w:sz w:val="20"/>
        </w:rPr>
        <w:t xml:space="preserve">“</w:t>
      </w:r>
      <w:r>
        <w:rPr>
          <w:rFonts w:ascii="Calibri" w:hAnsi="Calibri"/>
          <w:sz w:val="20"/>
        </w:rPr>
        <w:t xml:space="preserve">Sale of the Company</w:t>
      </w:r>
      <w:r>
        <w:rPr>
          <w:rFonts w:ascii="Calibri" w:hAnsi="Calibri"/>
          <w:sz w:val="20"/>
        </w:rPr>
        <w:t xml:space="preserve">”</w:t>
      </w:r>
      <w:r>
        <w:rPr>
          <w:rFonts w:ascii="Calibri" w:hAnsi="Calibri"/>
          <w:sz w:val="20"/>
        </w:rPr>
        <w:t xml:space="preserve"> </w:t>
      </w:r>
      <w:r>
        <w:rPr>
          <w:rFonts w:ascii="Calibri" w:hAnsi="Calibri"/>
          <w:sz w:val="20"/>
        </w:rPr>
        <w:t xml:space="preserve">(no drag-along, no Stockholders’/Voting Agreement termination). Again, not relevant to the merger, but a latent gap.</w:t>
      </w:r>
    </w:p>
    <w:p>
      <w:pPr>
        <w:keepNext w:val="0"/>
        <w:keepLines w:val="0"/>
        <w:numPr>
          <w:ilvl w:val="0"/>
          <w:numId w:val="1010"/>
        </w:numPr>
        <w:spacing w:before="0" w:after="60" w:line="240" w:lineRule="auto"/>
      </w:pPr>
      <w:r>
        <w:rPr>
          <w:rFonts w:ascii="Calibri" w:hAnsi="Calibri"/>
          <w:b/>
          <w:bCs/>
          <w:sz w:val="20"/>
        </w:rPr>
        <w:t xml:space="preserve">“</w:t>
      </w:r>
      <w:r>
        <w:rPr>
          <w:rFonts w:ascii="Calibri" w:hAnsi="Calibri"/>
          <w:b/>
          <w:bCs/>
          <w:sz w:val="20"/>
        </w:rPr>
        <w:t xml:space="preserve">Deemed Liquidation Event</w:t>
      </w:r>
      <w:r>
        <w:rPr>
          <w:rFonts w:ascii="Calibri" w:hAnsi="Calibri"/>
          <w:b/>
          <w:bCs/>
          <w:sz w:val="20"/>
        </w:rPr>
        <w:t xml:space="preserve">”</w:t>
      </w:r>
      <w:r>
        <w:rPr>
          <w:rFonts w:ascii="Calibri" w:hAnsi="Calibri"/>
          <w:b/>
          <w:bCs/>
          <w:sz w:val="20"/>
        </w:rPr>
        <w:t xml:space="preserve"> </w:t>
      </w:r>
      <w:r>
        <w:rPr>
          <w:rFonts w:ascii="Calibri" w:hAnsi="Calibri"/>
          <w:b/>
          <w:bCs/>
          <w:sz w:val="20"/>
        </w:rPr>
        <w:t xml:space="preserve">is undefined in the RRA.</w:t>
      </w:r>
      <w:r>
        <w:rPr>
          <w:rFonts w:ascii="Calibri" w:hAnsi="Calibri"/>
          <w:sz w:val="20"/>
        </w:rPr>
        <w:t xml:space="preserve"> </w:t>
      </w:r>
      <w:r>
        <w:rPr>
          <w:rFonts w:ascii="Calibri" w:hAnsi="Calibri"/>
          <w:sz w:val="20"/>
        </w:rPr>
        <w:t xml:space="preserve">This is the most consequential inconsistency for the Transaction. The RRA terminates registration rights on a</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w:t>
      </w:r>
      <w:r>
        <w:rPr>
          <w:rFonts w:ascii="Calibri" w:hAnsi="Calibri"/>
          <w:sz w:val="20"/>
        </w:rPr>
        <w:t xml:space="preserve">(§9(c)) but never defines the term. The Restated Certificate uses</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(not</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The</w:t>
      </w:r>
      <w:r>
        <w:rPr>
          <w:rFonts w:ascii="Calibri" w:hAnsi="Calibri"/>
          <w:sz w:val="20"/>
        </w:rPr>
        <w:t xml:space="preserve"> </w:t>
      </w:r>
      <w:r>
        <w:rPr>
          <w:rFonts w:ascii="Calibri" w:hAnsi="Calibri"/>
          <w:sz w:val="20"/>
        </w:rPr>
        <w:t xml:space="preserve">“</w:t>
      </w:r>
      <w:r>
        <w:rPr>
          <w:rFonts w:ascii="Calibri" w:hAnsi="Calibri"/>
          <w:sz w:val="20"/>
        </w:rPr>
        <w:t xml:space="preserve">Deemed</w:t>
      </w:r>
      <w:r>
        <w:rPr>
          <w:rFonts w:ascii="Calibri" w:hAnsi="Calibri"/>
          <w:sz w:val="20"/>
        </w:rPr>
        <w:t xml:space="preserve">”</w:t>
      </w:r>
      <w:r>
        <w:rPr>
          <w:rFonts w:ascii="Calibri" w:hAnsi="Calibri"/>
          <w:sz w:val="20"/>
        </w:rPr>
        <w:t xml:space="preserve"> </w:t>
      </w:r>
      <w:r>
        <w:rPr>
          <w:rFonts w:ascii="Calibri" w:hAnsi="Calibri"/>
          <w:sz w:val="20"/>
        </w:rPr>
        <w:t xml:space="preserve">prefix signals an intent to capture</w:t>
      </w:r>
      <w:r>
        <w:rPr>
          <w:rFonts w:ascii="Calibri" w:hAnsi="Calibri"/>
          <w:sz w:val="20"/>
        </w:rPr>
        <w:t xml:space="preserve"> </w:t>
      </w:r>
      <w:r>
        <w:rPr>
          <w:rFonts w:ascii="Calibri" w:hAnsi="Calibri"/>
          <w:i/>
          <w:iCs/>
          <w:sz w:val="20"/>
        </w:rPr>
        <w:t xml:space="preserve">deemed</w:t>
      </w:r>
      <w:r>
        <w:rPr>
          <w:rFonts w:ascii="Calibri" w:hAnsi="Calibri"/>
          <w:sz w:val="20"/>
        </w:rPr>
        <w:t xml:space="preserve"> </w:t>
      </w:r>
      <w:r>
        <w:rPr>
          <w:rFonts w:ascii="Calibri" w:hAnsi="Calibri"/>
          <w:sz w:val="20"/>
        </w:rPr>
        <w:t xml:space="preserve">liquidations (i.e., change-of-control transactions treated as liquidations), which aligns with the Restated Certificate’s</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 but the term is not cross-referenced or defined.</w:t>
      </w:r>
      <w:r>
        <w:rPr>
          <w:rFonts w:ascii="Calibri" w:hAnsi="Calibri"/>
          <w:sz w:val="20"/>
        </w:rPr>
        <w:t xml:space="preserve"> </w:t>
      </w:r>
      <w:r>
        <w:rPr>
          <w:rFonts w:ascii="Calibri" w:hAnsi="Calibri"/>
          <w:b/>
          <w:bCs/>
          <w:sz w:val="20"/>
        </w:rPr>
        <w:t xml:space="preserve">This creates ambiguity about whether the RRA terminates on the merger.</w:t>
      </w:r>
      <w:r>
        <w:rPr>
          <w:rFonts w:ascii="Calibri" w:hAnsi="Calibri"/>
          <w:sz w:val="20"/>
        </w:rPr>
        <w:t xml:space="preserve"> </w:t>
      </w:r>
      <w:r>
        <w:rPr>
          <w:rFonts w:ascii="Calibri" w:hAnsi="Calibri"/>
          <w:sz w:val="20"/>
        </w:rPr>
        <w:t xml:space="preserve">See Area 10.</w:t>
      </w:r>
    </w:p>
    <w:bookmarkEnd w:id="58"/>
    <w:bookmarkStart w:id="59" w:name="b.-ipo-definitions-vary"/>
    <w:p>
      <w:pPr>
        <w:pStyle w:val="Heading3"/>
        <w:keepNext w:val="0"/>
        <w:keepLines w:val="0"/>
        <w:spacing w:before="100" w:after="20" w:line="240" w:lineRule="auto"/>
      </w:pPr>
      <w:r>
        <w:rPr>
          <w:rFonts w:ascii="Calibri" w:hAnsi="Calibri"/>
          <w:sz w:val="22"/>
        </w:rPr>
        <w:t xml:space="preserve">B.</w:t>
      </w:r>
      <w:r>
        <w:rPr>
          <w:rFonts w:ascii="Calibri" w:hAnsi="Calibri"/>
          <w:sz w:val="22"/>
        </w:rPr>
        <w:t xml:space="preserve"> </w:t>
      </w:r>
      <w:r>
        <w:rPr>
          <w:rFonts w:ascii="Calibri" w:hAnsi="Calibri"/>
          <w:sz w:val="22"/>
        </w:rPr>
        <w:t xml:space="preserve">“</w:t>
      </w:r>
      <w:r>
        <w:rPr>
          <w:rFonts w:ascii="Calibri" w:hAnsi="Calibri"/>
          <w:sz w:val="22"/>
        </w:rPr>
        <w:t xml:space="preserve">IPO</w:t>
      </w:r>
      <w:r>
        <w:rPr>
          <w:rFonts w:ascii="Calibri" w:hAnsi="Calibri"/>
          <w:sz w:val="22"/>
        </w:rPr>
        <w:t xml:space="preserve">”</w:t>
      </w:r>
      <w:r>
        <w:rPr>
          <w:rFonts w:ascii="Calibri" w:hAnsi="Calibri"/>
          <w:sz w:val="22"/>
        </w:rPr>
        <w:t xml:space="preserve"> </w:t>
      </w:r>
      <w:r>
        <w:rPr>
          <w:rFonts w:ascii="Calibri" w:hAnsi="Calibri"/>
          <w:sz w:val="22"/>
        </w:rPr>
        <w:t xml:space="preserve">Definitions Vary</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4825"/>
        <w:gridCol w:w="4823"/>
      </w:tblGrid>
      <w:tr>
        <w:tc>
          <w:tcPr>
            <w:tcW w:w="4825" w:type="dxa"/>
          </w:tcPr>
          <w:p>
            <w:pPr>
              <w:spacing w:before="0" w:after="0" w:line="240" w:lineRule="auto"/>
            </w:pPr>
            <w:r>
              <w:rPr>
                <w:rFonts w:ascii="Calibri" w:hAnsi="Calibri"/>
                <w:sz w:val="17"/>
              </w:rPr>
            </w:r>
            <w:r>
              <w:rPr>
                <w:rFonts w:ascii="Calibri" w:hAnsi="Calibri"/>
                <w:sz w:val="17"/>
              </w:rPr>
              <w:t>Document</w:t>
            </w:r>
          </w:p>
        </w:tc>
        <w:tc>
          <w:tcPr>
            <w:tcW w:w="4823" w:type="dxa"/>
          </w:tcPr>
          <w:p>
            <w:pPr>
              <w:spacing w:before="0" w:after="0" w:line="240" w:lineRule="auto"/>
            </w:pPr>
            <w:r>
              <w:rPr>
                <w:rFonts w:ascii="Calibri" w:hAnsi="Calibri"/>
                <w:sz w:val="17"/>
              </w:rPr>
            </w:r>
            <w:r>
              <w:rPr>
                <w:rFonts w:ascii="Calibri" w:hAnsi="Calibri"/>
                <w:sz w:val="17"/>
              </w:rPr>
              <w:t>IPO Definition</w:t>
            </w:r>
          </w:p>
        </w:tc>
      </w:tr>
      <w:tr>
        <w:tc>
          <w:tcPr>
            <w:tcW w:w="4825" w:type="dxa"/>
          </w:tcPr>
          <w:p>
            <w:pPr>
              <w:spacing w:before="0" w:after="0" w:line="240" w:lineRule="auto"/>
            </w:pPr>
            <w:r>
              <w:rPr>
                <w:rFonts w:ascii="Calibri" w:hAnsi="Calibri"/>
                <w:sz w:val="17"/>
              </w:rPr>
            </w:r>
            <w:r>
              <w:rPr>
                <w:rFonts w:ascii="Calibri" w:hAnsi="Calibri"/>
                <w:sz w:val="17"/>
              </w:rPr>
              <w:t>Restated Cert. §4.3.3(b)(i)</w:t>
            </w:r>
          </w:p>
        </w:tc>
        <w:tc>
          <w:tcPr>
            <w:tcW w:w="4823" w:type="dxa"/>
          </w:tcPr>
          <w:p>
            <w:pPr>
              <w:spacing w:before="0" w:after="0" w:line="240" w:lineRule="auto"/>
            </w:pPr>
            <w:r>
              <w:rPr>
                <w:rFonts w:ascii="Calibri" w:hAnsi="Calibri"/>
                <w:sz w:val="17"/>
              </w:rPr>
            </w:r>
            <w:r>
              <w:rPr>
                <w:rFonts w:ascii="Calibri" w:hAnsi="Calibri"/>
                <w:sz w:val="17"/>
              </w:rPr>
              <w:t>Firm-commitment underwritten IPO; ≥$75M gross proceeds AND ≥$55.50/share (3x Series C OIP)</w:t>
            </w:r>
          </w:p>
        </w:tc>
      </w:tr>
      <w:tr>
        <w:tc>
          <w:tcPr>
            <w:tcW w:w="4825" w:type="dxa"/>
          </w:tcPr>
          <w:p>
            <w:pPr>
              <w:spacing w:before="0" w:after="0" w:line="240" w:lineRule="auto"/>
            </w:pPr>
            <w:r>
              <w:rPr>
                <w:rFonts w:ascii="Calibri" w:hAnsi="Calibri"/>
                <w:sz w:val="17"/>
              </w:rPr>
            </w:r>
            <w:r>
              <w:rPr>
                <w:rFonts w:ascii="Calibri" w:hAnsi="Calibri"/>
                <w:sz w:val="17"/>
              </w:rPr>
              <w:t>Stockholders’ Ag. §6.1(a)</w:t>
            </w:r>
          </w:p>
        </w:tc>
        <w:tc>
          <w:tcPr>
            <w:tcW w:w="4823" w:type="dxa"/>
          </w:tcPr>
          <w:p>
            <w:pPr>
              <w:spacing w:before="0" w:after="0" w:line="240" w:lineRule="auto"/>
            </w:pPr>
            <w:r>
              <w:rPr>
                <w:rFonts w:ascii="Calibri" w:hAnsi="Calibri"/>
                <w:sz w:val="17"/>
              </w:rPr>
            </w:r>
            <w:r>
              <w:rPr>
                <w:rFonts w:ascii="Calibri" w:hAnsi="Calibri"/>
                <w:sz w:val="17"/>
              </w:rPr>
              <w:t>Firm-commitment underwritten public offering; ≥$75M gross proceeds (no price threshold)</w:t>
            </w:r>
          </w:p>
        </w:tc>
      </w:tr>
      <w:tr>
        <w:tc>
          <w:tcPr>
            <w:tcW w:w="4825" w:type="dxa"/>
          </w:tcPr>
          <w:p>
            <w:pPr>
              <w:spacing w:before="0" w:after="0" w:line="240" w:lineRule="auto"/>
            </w:pPr>
            <w:r>
              <w:rPr>
                <w:rFonts w:ascii="Calibri" w:hAnsi="Calibri"/>
                <w:sz w:val="17"/>
              </w:rPr>
            </w:r>
            <w:r>
              <w:rPr>
                <w:rFonts w:ascii="Calibri" w:hAnsi="Calibri"/>
                <w:sz w:val="17"/>
              </w:rPr>
              <w:t>Voting Ag. §7.1(a)</w:t>
            </w:r>
          </w:p>
        </w:tc>
        <w:tc>
          <w:tcPr>
            <w:tcW w:w="4823" w:type="dxa"/>
          </w:tcPr>
          <w:p>
            <w:pPr>
              <w:spacing w:before="0" w:after="0" w:line="240" w:lineRule="auto"/>
            </w:pPr>
            <w:r>
              <w:rPr>
                <w:rFonts w:ascii="Calibri" w:hAnsi="Calibri"/>
                <w:sz w:val="17"/>
              </w:rPr>
            </w:r>
            <w:r>
              <w:rPr>
                <w:rFonts w:ascii="Calibri" w:hAnsi="Calibri"/>
                <w:sz w:val="17"/>
              </w:rPr>
              <w:t>Firm-commitment underwritten IPO; ≥$75M gross proceeds (no price threshold)</w:t>
            </w:r>
          </w:p>
        </w:tc>
      </w:tr>
      <w:tr>
        <w:tc>
          <w:tcPr>
            <w:tcW w:w="4825" w:type="dxa"/>
          </w:tcPr>
          <w:p>
            <w:pPr>
              <w:spacing w:before="0" w:after="0" w:line="240" w:lineRule="auto"/>
            </w:pPr>
            <w:r>
              <w:rPr>
                <w:rFonts w:ascii="Calibri" w:hAnsi="Calibri"/>
                <w:sz w:val="17"/>
              </w:rPr>
            </w:r>
            <w:r>
              <w:rPr>
                <w:rFonts w:ascii="Calibri" w:hAnsi="Calibri"/>
                <w:sz w:val="17"/>
              </w:rPr>
              <w:t>RRA §1</w:t>
            </w:r>
          </w:p>
        </w:tc>
        <w:tc>
          <w:tcPr>
            <w:tcW w:w="4823" w:type="dxa"/>
          </w:tcPr>
          <w:p>
            <w:pPr>
              <w:spacing w:before="0" w:after="0" w:line="240" w:lineRule="auto"/>
            </w:pPr>
            <w:r>
              <w:rPr>
                <w:rFonts w:ascii="Calibri" w:hAnsi="Calibri"/>
                <w:sz w:val="17"/>
              </w:rPr>
            </w:r>
            <w:r>
              <w:rPr>
                <w:rFonts w:ascii="Calibri" w:hAnsi="Calibri"/>
                <w:sz w:val="17"/>
              </w:rPr>
              <w:t>“First underwritten public offering of Common Stock under the Securities Act” (no proceeds threshold)</w:t>
            </w:r>
          </w:p>
        </w:tc>
      </w:tr>
    </w:tbl>
    <w:p>
      <w:pPr>
        <w:pStyle w:val="BodyText"/>
        <w:keepNext w:val="0"/>
        <w:keepLines w:val="0"/>
        <w:spacing w:before="0" w:after="60" w:line="240" w:lineRule="auto"/>
      </w:pPr>
      <w:r>
        <w:rPr>
          <w:rFonts w:ascii="Calibri" w:hAnsi="Calibri"/>
          <w:sz w:val="20"/>
        </w:rPr>
        <w:t xml:space="preserve">These divergences affect when mandatory conversion (charter) and agreement terminations fire, but they are</w:t>
      </w:r>
      <w:r>
        <w:rPr>
          <w:rFonts w:ascii="Calibri" w:hAnsi="Calibri"/>
          <w:sz w:val="20"/>
        </w:rPr>
        <w:t xml:space="preserve"> </w:t>
      </w:r>
      <w:r>
        <w:rPr>
          <w:rFonts w:ascii="Calibri" w:hAnsi="Calibri"/>
          <w:b/>
          <w:bCs/>
          <w:sz w:val="20"/>
        </w:rPr>
        <w:t xml:space="preserve">not directly relevant to the all-cash merger</w:t>
      </w:r>
      <w:r>
        <w:rPr>
          <w:rFonts w:ascii="Calibri" w:hAnsi="Calibri"/>
          <w:sz w:val="20"/>
        </w:rPr>
        <w:t xml:space="preserve"> </w:t>
      </w:r>
      <w:r>
        <w:rPr>
          <w:rFonts w:ascii="Calibri" w:hAnsi="Calibri"/>
          <w:sz w:val="20"/>
        </w:rPr>
        <w:t xml:space="preserve">(which is not an IPO). Noted for completeness as a Moderate inconsistency.</w:t>
      </w:r>
    </w:p>
    <w:bookmarkEnd w:id="59"/>
    <w:bookmarkStart w:id="60" w:name="c.-recommendation"/>
    <w:p>
      <w:pPr>
        <w:pStyle w:val="Heading3"/>
        <w:keepNext w:val="0"/>
        <w:keepLines w:val="0"/>
        <w:spacing w:before="100" w:after="20" w:line="240" w:lineRule="auto"/>
      </w:pPr>
      <w:r>
        <w:rPr>
          <w:rFonts w:ascii="Calibri" w:hAnsi="Calibri"/>
          <w:sz w:val="22"/>
        </w:rPr>
        <w:t xml:space="preserve">C. Recommendation</w:t>
      </w:r>
    </w:p>
    <w:p>
      <w:pPr>
        <w:pStyle w:val="FirstParagraph"/>
        <w:keepNext w:val="0"/>
        <w:keepLines w:val="0"/>
        <w:spacing w:before="0" w:after="60" w:line="240" w:lineRule="auto"/>
      </w:pPr>
      <w:r>
        <w:rPr>
          <w:rFonts w:ascii="Calibri" w:hAnsi="Calibri"/>
          <w:sz w:val="20"/>
        </w:rPr>
        <w:t xml:space="preserve">The merger agreement should (i) include a clear statement that the Transaction constitutes a Liquidation Event / Sale of the Company / Deemed Liquidation Event for all purposes, and (ii) include express terminations/waivers of the RRA and the other governance agreements at closing to eliminate any definitional ambiguity.</w:t>
      </w:r>
      <w:r>
        <w:rPr>
          <w:rFonts w:ascii="Calibri" w:hAnsi="Calibri"/>
          <w:sz w:val="20"/>
        </w:rPr>
        <w:t xml:space="preserve"> </w:t>
      </w:r>
      <w:r>
        <w:rPr>
          <w:rFonts w:ascii="Calibri" w:hAnsi="Calibri"/>
          <w:b/>
          <w:bCs/>
          <w:sz w:val="20"/>
        </w:rPr>
        <w:t xml:space="preserve">Severity: Moderate</w:t>
      </w:r>
      <w:r>
        <w:rPr>
          <w:rFonts w:ascii="Calibri" w:hAnsi="Calibri"/>
          <w:sz w:val="20"/>
        </w:rPr>
        <w:t xml:space="preserve"> </w:t>
      </w:r>
      <w:r>
        <w:rPr>
          <w:rFonts w:ascii="Calibri" w:hAnsi="Calibri"/>
          <w:sz w:val="20"/>
        </w:rPr>
        <w:t xml:space="preserve">(with the</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w:t>
      </w:r>
      <w:r>
        <w:rPr>
          <w:rFonts w:ascii="Calibri" w:hAnsi="Calibri"/>
          <w:sz w:val="20"/>
        </w:rPr>
        <w:t xml:space="preserve">gap elevated to Significant in the Area 10 context).</w:t>
      </w:r>
    </w:p>
    <w:p>
      <w:pPr>
        <w:keepNext w:val="0"/>
        <w:keepLines w:val="0"/>
        <w:spacing w:before="0" w:after="60" w:line="240" w:lineRule="auto"/>
      </w:pPr>
      <w:r>
        <w:rPr>
          <w:rFonts w:ascii="Calibri" w:hAnsi="Calibri"/>
          <w:sz w:val="20"/>
        </w:rPr>
        <w:pict>
          <v:rect style="width:0;height:1.5pt" o:hralign="center" o:hrstd="t" o:hr="t"/>
        </w:pict>
      </w:r>
    </w:p>
    <w:bookmarkEnd w:id="60"/>
    <w:bookmarkEnd w:id="61"/>
    <w:bookmarkStart w:id="67" w:name="X5e5b0550a6a9f46300e1589cd228a8163554e17"/>
    <w:p>
      <w:pPr>
        <w:pStyle w:val="Heading2"/>
        <w:keepNext w:val="0"/>
        <w:keepLines w:val="0"/>
        <w:spacing w:before="140" w:after="40" w:line="240" w:lineRule="auto"/>
      </w:pPr>
      <w:r>
        <w:rPr>
          <w:rFonts w:ascii="Calibri" w:hAnsi="Calibri"/>
          <w:sz w:val="25"/>
        </w:rPr>
        <w:t xml:space="preserve">X. Area 7 — Outstanding Equity Awards and Change-of-Control Acceleration</w:t>
      </w:r>
    </w:p>
    <w:bookmarkStart w:id="62" w:name="a.-document-gap-critical"/>
    <w:p>
      <w:pPr>
        <w:pStyle w:val="Heading3"/>
        <w:keepNext w:val="0"/>
        <w:keepLines w:val="0"/>
        <w:spacing w:before="100" w:after="20" w:line="240" w:lineRule="auto"/>
      </w:pPr>
      <w:r>
        <w:rPr>
          <w:rFonts w:ascii="Calibri" w:hAnsi="Calibri"/>
          <w:sz w:val="22"/>
        </w:rPr>
        <w:t xml:space="preserve">A. Document Gap — Critical</w:t>
      </w:r>
    </w:p>
    <w:p>
      <w:pPr>
        <w:pStyle w:val="FirstParagraph"/>
        <w:keepNext w:val="0"/>
        <w:keepLines w:val="0"/>
        <w:spacing w:before="0" w:after="60" w:line="240" w:lineRule="auto"/>
      </w:pPr>
      <w:r>
        <w:rPr>
          <w:rFonts w:ascii="Calibri" w:hAnsi="Calibri"/>
          <w:sz w:val="20"/>
        </w:rPr>
        <w:t xml:space="preserve">We have</w:t>
      </w:r>
      <w:r>
        <w:rPr>
          <w:rFonts w:ascii="Calibri" w:hAnsi="Calibri"/>
          <w:sz w:val="20"/>
        </w:rPr>
        <w:t xml:space="preserve"> </w:t>
      </w:r>
      <w:r>
        <w:rPr>
          <w:rFonts w:ascii="Calibri" w:hAnsi="Calibri"/>
          <w:b/>
          <w:bCs/>
          <w:sz w:val="20"/>
        </w:rPr>
        <w:t xml:space="preserve">not received</w:t>
      </w:r>
      <w:r>
        <w:rPr>
          <w:rFonts w:ascii="Calibri" w:hAnsi="Calibri"/>
          <w:sz w:val="20"/>
        </w:rPr>
        <w:t xml:space="preserve"> </w:t>
      </w:r>
      <w:r>
        <w:rPr>
          <w:rFonts w:ascii="Calibri" w:hAnsi="Calibri"/>
          <w:sz w:val="20"/>
        </w:rPr>
        <w:t xml:space="preserve">the 2021 Equity Incentive Plan (the</w:t>
      </w:r>
      <w:r>
        <w:rPr>
          <w:rFonts w:ascii="Calibri" w:hAnsi="Calibri"/>
          <w:sz w:val="20"/>
        </w:rPr>
        <w:t xml:space="preserve"> </w:t>
      </w:r>
      <w:r>
        <w:rPr>
          <w:rFonts w:ascii="Calibri" w:hAnsi="Calibri"/>
          <w:sz w:val="20"/>
        </w:rPr>
        <w:t xml:space="preserve">“</w:t>
      </w:r>
      <w:r>
        <w:rPr>
          <w:rFonts w:ascii="Calibri" w:hAnsi="Calibri"/>
          <w:sz w:val="20"/>
        </w:rPr>
        <w:t xml:space="preserve">Plan</w:t>
      </w:r>
      <w:r>
        <w:rPr>
          <w:rFonts w:ascii="Calibri" w:hAnsi="Calibri"/>
          <w:sz w:val="20"/>
        </w:rPr>
        <w:t xml:space="preserve">”</w:t>
      </w:r>
      <w:r>
        <w:rPr>
          <w:rFonts w:ascii="Calibri" w:hAnsi="Calibri"/>
          <w:sz w:val="20"/>
        </w:rPr>
        <w:t xml:space="preserve">) or any individual award agreements (option agreements, RSU agreements). Without these, we</w:t>
      </w:r>
      <w:r>
        <w:rPr>
          <w:rFonts w:ascii="Calibri" w:hAnsi="Calibri"/>
          <w:sz w:val="20"/>
        </w:rPr>
        <w:t xml:space="preserve"> </w:t>
      </w:r>
      <w:r>
        <w:rPr>
          <w:rFonts w:ascii="Calibri" w:hAnsi="Calibri"/>
          <w:b/>
          <w:bCs/>
          <w:sz w:val="20"/>
        </w:rPr>
        <w:t xml:space="preserve">cannot determine</w:t>
      </w:r>
      <w:r>
        <w:rPr>
          <w:rFonts w:ascii="Calibri" w:hAnsi="Calibri"/>
          <w:sz w:val="20"/>
        </w:rPr>
        <w:t xml:space="preserve">:</w:t>
      </w:r>
      <w:r>
        <w:rPr>
          <w:rFonts w:ascii="Calibri" w:hAnsi="Calibri"/>
          <w:sz w:val="20"/>
        </w:rPr>
        <w:t xml:space="preserve"> </w:t>
      </w:r>
      <w:r>
        <w:rPr>
          <w:rFonts w:ascii="Calibri" w:hAnsi="Calibri"/>
          <w:sz w:val="20"/>
        </w:rPr>
        <w:t xml:space="preserve">- (a) whether the merger constitutes a</w:t>
      </w:r>
      <w:r>
        <w:rPr>
          <w:rFonts w:ascii="Calibri" w:hAnsi="Calibri"/>
          <w:sz w:val="20"/>
        </w:rPr>
        <w:t xml:space="preserve"> </w:t>
      </w:r>
      <w:r>
        <w:rPr>
          <w:rFonts w:ascii="Calibri" w:hAnsi="Calibri"/>
          <w:sz w:val="20"/>
        </w:rPr>
        <w:t xml:space="preserve">“</w:t>
      </w:r>
      <w:r>
        <w:rPr>
          <w:rFonts w:ascii="Calibri" w:hAnsi="Calibri"/>
          <w:sz w:val="20"/>
        </w:rPr>
        <w:t xml:space="preserve">change of control</w:t>
      </w:r>
      <w:r>
        <w:rPr>
          <w:rFonts w:ascii="Calibri" w:hAnsi="Calibri"/>
          <w:sz w:val="20"/>
        </w:rPr>
        <w:t xml:space="preserve">”</w:t>
      </w:r>
      <w:r>
        <w:rPr>
          <w:rFonts w:ascii="Calibri" w:hAnsi="Calibri"/>
          <w:sz w:val="20"/>
        </w:rPr>
        <w:t xml:space="preserve"> </w:t>
      </w:r>
      <w:r>
        <w:rPr>
          <w:rFonts w:ascii="Calibri" w:hAnsi="Calibri"/>
          <w:sz w:val="20"/>
        </w:rPr>
        <w:t xml:space="preserve">under the Plan;</w:t>
      </w:r>
      <w:r>
        <w:rPr>
          <w:rFonts w:ascii="Calibri" w:hAnsi="Calibri"/>
          <w:sz w:val="20"/>
        </w:rPr>
        <w:t xml:space="preserve"> </w:t>
      </w:r>
      <w:r>
        <w:rPr>
          <w:rFonts w:ascii="Calibri" w:hAnsi="Calibri"/>
          <w:sz w:val="20"/>
        </w:rPr>
        <w:t xml:space="preserve">- (b) whether unvested awards accelerate on a</w:t>
      </w:r>
      <w:r>
        <w:rPr>
          <w:rFonts w:ascii="Calibri" w:hAnsi="Calibri"/>
          <w:sz w:val="20"/>
        </w:rPr>
        <w:t xml:space="preserve"> </w:t>
      </w:r>
      <w:r>
        <w:rPr>
          <w:rFonts w:ascii="Calibri" w:hAnsi="Calibri"/>
          <w:b/>
          <w:bCs/>
          <w:sz w:val="20"/>
        </w:rPr>
        <w:t xml:space="preserve">single-trigger</w:t>
      </w:r>
      <w:r>
        <w:rPr>
          <w:rFonts w:ascii="Calibri" w:hAnsi="Calibri"/>
          <w:sz w:val="20"/>
        </w:rPr>
        <w:t xml:space="preserve"> </w:t>
      </w:r>
      <w:r>
        <w:rPr>
          <w:rFonts w:ascii="Calibri" w:hAnsi="Calibri"/>
          <w:sz w:val="20"/>
        </w:rPr>
        <w:t xml:space="preserve">or</w:t>
      </w:r>
      <w:r>
        <w:rPr>
          <w:rFonts w:ascii="Calibri" w:hAnsi="Calibri"/>
          <w:sz w:val="20"/>
        </w:rPr>
        <w:t xml:space="preserve"> </w:t>
      </w:r>
      <w:r>
        <w:rPr>
          <w:rFonts w:ascii="Calibri" w:hAnsi="Calibri"/>
          <w:b/>
          <w:bCs/>
          <w:sz w:val="20"/>
        </w:rPr>
        <w:t xml:space="preserve">double-trigger</w:t>
      </w:r>
      <w:r>
        <w:rPr>
          <w:rFonts w:ascii="Calibri" w:hAnsi="Calibri"/>
          <w:sz w:val="20"/>
        </w:rPr>
        <w:t xml:space="preserve"> </w:t>
      </w:r>
      <w:r>
        <w:rPr>
          <w:rFonts w:ascii="Calibri" w:hAnsi="Calibri"/>
          <w:sz w:val="20"/>
        </w:rPr>
        <w:t xml:space="preserve">basis (or are cancelled/cashed out/rolled over);</w:t>
      </w:r>
      <w:r>
        <w:rPr>
          <w:rFonts w:ascii="Calibri" w:hAnsi="Calibri"/>
          <w:sz w:val="20"/>
        </w:rPr>
        <w:t xml:space="preserve"> </w:t>
      </w:r>
      <w:r>
        <w:rPr>
          <w:rFonts w:ascii="Calibri" w:hAnsi="Calibri"/>
          <w:sz w:val="20"/>
        </w:rPr>
        <w:t xml:space="preserve">- (c) the aggregate dollar impact of any acceleration on deal economics; and</w:t>
      </w:r>
      <w:r>
        <w:rPr>
          <w:rFonts w:ascii="Calibri" w:hAnsi="Calibri"/>
          <w:sz w:val="20"/>
        </w:rPr>
        <w:t xml:space="preserve"> </w:t>
      </w:r>
      <w:r>
        <w:rPr>
          <w:rFonts w:ascii="Calibri" w:hAnsi="Calibri"/>
          <w:sz w:val="20"/>
        </w:rPr>
        <w:t xml:space="preserve">- (d) whether the Plan grants option holders voting or consent rights in a merger.</w:t>
      </w:r>
    </w:p>
    <w:p>
      <w:pPr>
        <w:pStyle w:val="BodyText"/>
        <w:keepNext w:val="0"/>
        <w:keepLines w:val="0"/>
        <w:spacing w:before="0" w:after="60" w:line="240" w:lineRule="auto"/>
      </w:pPr>
      <w:r>
        <w:rPr>
          <w:rFonts w:ascii="Calibri" w:hAnsi="Calibri"/>
          <w:b/>
          <w:bCs/>
          <w:sz w:val="20"/>
        </w:rPr>
        <w:t xml:space="preserve">This is a Critical document gap.</w:t>
      </w:r>
      <w:r>
        <w:rPr>
          <w:rFonts w:ascii="Calibri" w:hAnsi="Calibri"/>
          <w:sz w:val="20"/>
        </w:rPr>
        <w:t xml:space="preserve"> </w:t>
      </w:r>
      <w:r>
        <w:rPr>
          <w:rFonts w:ascii="Calibri" w:hAnsi="Calibri"/>
          <w:sz w:val="20"/>
        </w:rPr>
        <w:t xml:space="preserve">The Plan and all individual award agreements must be requested immediately (see document request list, Section XV).</w:t>
      </w:r>
    </w:p>
    <w:bookmarkEnd w:id="62"/>
    <w:bookmarkStart w:id="63" w:name="b.-awards-disclosed-in-the-board-minutes"/>
    <w:p>
      <w:pPr>
        <w:pStyle w:val="Heading3"/>
        <w:keepNext w:val="0"/>
        <w:keepLines w:val="0"/>
        <w:spacing w:before="100" w:after="20" w:line="240" w:lineRule="auto"/>
      </w:pPr>
      <w:r>
        <w:rPr>
          <w:rFonts w:ascii="Calibri" w:hAnsi="Calibri"/>
          <w:sz w:val="22"/>
        </w:rPr>
        <w:t xml:space="preserve">B. Awards Disclosed in the Board Minutes</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1447"/>
        <w:gridCol w:w="1447"/>
        <w:gridCol w:w="1447"/>
        <w:gridCol w:w="1930"/>
        <w:gridCol w:w="1930"/>
        <w:gridCol w:w="1447"/>
      </w:tblGrid>
      <w:tr>
        <w:tc>
          <w:tcPr>
            <w:tcW w:w="1447" w:type="dxa"/>
          </w:tcPr>
          <w:p>
            <w:pPr>
              <w:spacing w:before="0" w:after="0" w:line="240" w:lineRule="auto"/>
            </w:pPr>
            <w:r>
              <w:rPr>
                <w:rFonts w:ascii="Calibri" w:hAnsi="Calibri"/>
                <w:sz w:val="17"/>
              </w:rPr>
            </w:r>
            <w:r>
              <w:rPr>
                <w:rFonts w:ascii="Calibri" w:hAnsi="Calibri"/>
                <w:sz w:val="17"/>
              </w:rPr>
              <w:t>Award</w:t>
            </w:r>
          </w:p>
        </w:tc>
        <w:tc>
          <w:tcPr>
            <w:tcW w:w="1447" w:type="dxa"/>
          </w:tcPr>
          <w:p>
            <w:pPr>
              <w:spacing w:before="0" w:after="0" w:line="240" w:lineRule="auto"/>
            </w:pPr>
            <w:r>
              <w:rPr>
                <w:rFonts w:ascii="Calibri" w:hAnsi="Calibri"/>
                <w:sz w:val="17"/>
              </w:rPr>
            </w:r>
            <w:r>
              <w:rPr>
                <w:rFonts w:ascii="Calibri" w:hAnsi="Calibri"/>
                <w:sz w:val="17"/>
              </w:rPr>
              <w:t>Holder</w:t>
            </w:r>
          </w:p>
        </w:tc>
        <w:tc>
          <w:tcPr>
            <w:tcW w:w="1447" w:type="dxa"/>
          </w:tcPr>
          <w:p>
            <w:pPr>
              <w:spacing w:before="0" w:after="0" w:line="240" w:lineRule="auto"/>
            </w:pPr>
            <w:r>
              <w:rPr>
                <w:rFonts w:ascii="Calibri" w:hAnsi="Calibri"/>
                <w:sz w:val="17"/>
              </w:rPr>
            </w:r>
            <w:r>
              <w:rPr>
                <w:rFonts w:ascii="Calibri" w:hAnsi="Calibri"/>
                <w:sz w:val="17"/>
              </w:rPr>
              <w:t>Grant Date</w:t>
            </w:r>
          </w:p>
        </w:tc>
        <w:tc>
          <w:tcPr>
            <w:tcW w:w="1930" w:type="dxa"/>
          </w:tcPr>
          <w:p>
            <w:pPr>
              <w:spacing w:before="0" w:after="0" w:line="240" w:lineRule="auto"/>
            </w:pPr>
            <w:r>
              <w:rPr>
                <w:rFonts w:ascii="Calibri" w:hAnsi="Calibri"/>
                <w:sz w:val="17"/>
              </w:rPr>
            </w:r>
            <w:r>
              <w:rPr>
                <w:rFonts w:ascii="Calibri" w:hAnsi="Calibri"/>
                <w:sz w:val="17"/>
              </w:rPr>
              <w:t>Shares</w:t>
            </w:r>
          </w:p>
        </w:tc>
        <w:tc>
          <w:tcPr>
            <w:tcW w:w="1930" w:type="dxa"/>
          </w:tcPr>
          <w:p>
            <w:pPr>
              <w:spacing w:before="0" w:after="0" w:line="240" w:lineRule="auto"/>
            </w:pPr>
            <w:r>
              <w:rPr>
                <w:rFonts w:ascii="Calibri" w:hAnsi="Calibri"/>
                <w:sz w:val="17"/>
              </w:rPr>
            </w:r>
            <w:r>
              <w:rPr>
                <w:rFonts w:ascii="Calibri" w:hAnsi="Calibri"/>
                <w:sz w:val="17"/>
              </w:rPr>
              <w:t>Exercise/Strike</w:t>
            </w:r>
          </w:p>
        </w:tc>
        <w:tc>
          <w:tcPr>
            <w:tcW w:w="1447" w:type="dxa"/>
          </w:tcPr>
          <w:p>
            <w:pPr>
              <w:spacing w:before="0" w:after="0" w:line="240" w:lineRule="auto"/>
            </w:pPr>
            <w:r>
              <w:rPr>
                <w:rFonts w:ascii="Calibri" w:hAnsi="Calibri"/>
                <w:sz w:val="17"/>
              </w:rPr>
            </w:r>
            <w:r>
              <w:rPr>
                <w:rFonts w:ascii="Calibri" w:hAnsi="Calibri"/>
                <w:sz w:val="17"/>
              </w:rPr>
              <w:t>Vesting</w:t>
            </w:r>
          </w:p>
        </w:tc>
      </w:tr>
      <w:tr>
        <w:tc>
          <w:tcPr>
            <w:tcW w:w="1447" w:type="dxa"/>
          </w:tcPr>
          <w:p>
            <w:pPr>
              <w:spacing w:before="0" w:after="0" w:line="240" w:lineRule="auto"/>
            </w:pPr>
            <w:r>
              <w:rPr>
                <w:rFonts w:ascii="Calibri" w:hAnsi="Calibri"/>
                <w:sz w:val="17"/>
              </w:rPr>
            </w:r>
            <w:r>
              <w:rPr>
                <w:rFonts w:ascii="Calibri" w:hAnsi="Calibri"/>
                <w:sz w:val="17"/>
              </w:rPr>
              <w:t>Stock options</w:t>
            </w:r>
          </w:p>
        </w:tc>
        <w:tc>
          <w:tcPr>
            <w:tcW w:w="1447" w:type="dxa"/>
          </w:tcPr>
          <w:p>
            <w:pPr>
              <w:spacing w:before="0" w:after="0" w:line="240" w:lineRule="auto"/>
            </w:pPr>
            <w:r>
              <w:rPr>
                <w:rFonts w:ascii="Calibri" w:hAnsi="Calibri"/>
                <w:sz w:val="17"/>
              </w:rPr>
            </w:r>
            <w:r>
              <w:rPr>
                <w:rFonts w:ascii="Calibri" w:hAnsi="Calibri"/>
                <w:sz w:val="17"/>
              </w:rPr>
              <w:t>Raj Malhotra (VP Engineering)</w:t>
            </w:r>
          </w:p>
        </w:tc>
        <w:tc>
          <w:tcPr>
            <w:tcW w:w="1447" w:type="dxa"/>
          </w:tcPr>
          <w:p>
            <w:pPr>
              <w:spacing w:before="0" w:after="0" w:line="240" w:lineRule="auto"/>
            </w:pPr>
            <w:r>
              <w:rPr>
                <w:rFonts w:ascii="Calibri" w:hAnsi="Calibri"/>
                <w:sz w:val="17"/>
              </w:rPr>
            </w:r>
            <w:r>
              <w:rPr>
                <w:rFonts w:ascii="Calibri" w:hAnsi="Calibri"/>
                <w:sz w:val="17"/>
              </w:rPr>
              <w:t>Apr. 12, 2023</w:t>
            </w:r>
          </w:p>
        </w:tc>
        <w:tc>
          <w:tcPr>
            <w:tcW w:w="1930" w:type="dxa"/>
          </w:tcPr>
          <w:p>
            <w:pPr>
              <w:spacing w:before="0" w:after="0" w:line="240" w:lineRule="auto"/>
            </w:pPr>
            <w:r>
              <w:rPr>
                <w:rFonts w:ascii="Calibri" w:hAnsi="Calibri"/>
                <w:sz w:val="17"/>
              </w:rPr>
            </w:r>
            <w:r>
              <w:rPr>
                <w:rFonts w:ascii="Calibri" w:hAnsi="Calibri"/>
                <w:sz w:val="17"/>
              </w:rPr>
              <w:t>350,000</w:t>
            </w:r>
          </w:p>
        </w:tc>
        <w:tc>
          <w:tcPr>
            <w:tcW w:w="1930" w:type="dxa"/>
          </w:tcPr>
          <w:p>
            <w:pPr>
              <w:spacing w:before="0" w:after="0" w:line="240" w:lineRule="auto"/>
            </w:pPr>
            <w:r>
              <w:rPr>
                <w:rFonts w:ascii="Calibri" w:hAnsi="Calibri"/>
                <w:sz w:val="17"/>
              </w:rPr>
            </w:r>
            <w:r>
              <w:rPr>
                <w:rFonts w:ascii="Calibri" w:hAnsi="Calibri"/>
                <w:sz w:val="17"/>
              </w:rPr>
              <w:t>$14.30</w:t>
            </w:r>
          </w:p>
        </w:tc>
        <w:tc>
          <w:tcPr>
            <w:tcW w:w="1447" w:type="dxa"/>
          </w:tcPr>
          <w:p>
            <w:pPr>
              <w:spacing w:before="0" w:after="0" w:line="240" w:lineRule="auto"/>
            </w:pPr>
            <w:r>
              <w:rPr>
                <w:rFonts w:ascii="Calibri" w:hAnsi="Calibri"/>
                <w:sz w:val="17"/>
              </w:rPr>
            </w:r>
            <w:r>
              <w:rPr>
                <w:rFonts w:ascii="Calibri" w:hAnsi="Calibri"/>
                <w:sz w:val="17"/>
              </w:rPr>
              <w:t>4-yr, 1-yr cliff, monthly thereafter</w:t>
            </w:r>
          </w:p>
        </w:tc>
      </w:tr>
      <w:tr>
        <w:tc>
          <w:tcPr>
            <w:tcW w:w="1447" w:type="dxa"/>
          </w:tcPr>
          <w:p>
            <w:pPr>
              <w:spacing w:before="0" w:after="0" w:line="240" w:lineRule="auto"/>
            </w:pPr>
            <w:r>
              <w:rPr>
                <w:rFonts w:ascii="Calibri" w:hAnsi="Calibri"/>
                <w:sz w:val="17"/>
              </w:rPr>
            </w:r>
            <w:r>
              <w:rPr>
                <w:rFonts w:ascii="Calibri" w:hAnsi="Calibri"/>
                <w:sz w:val="17"/>
              </w:rPr>
              <w:t>RSUs</w:t>
            </w:r>
          </w:p>
        </w:tc>
        <w:tc>
          <w:tcPr>
            <w:tcW w:w="1447" w:type="dxa"/>
          </w:tcPr>
          <w:p>
            <w:pPr>
              <w:spacing w:before="0" w:after="0" w:line="240" w:lineRule="auto"/>
            </w:pPr>
            <w:r>
              <w:rPr>
                <w:rFonts w:ascii="Calibri" w:hAnsi="Calibri"/>
                <w:sz w:val="17"/>
              </w:rPr>
            </w:r>
            <w:r>
              <w:rPr>
                <w:rFonts w:ascii="Calibri" w:hAnsi="Calibri"/>
                <w:sz w:val="17"/>
              </w:rPr>
              <w:t>Linda Yeung (CFO)</w:t>
            </w:r>
          </w:p>
        </w:tc>
        <w:tc>
          <w:tcPr>
            <w:tcW w:w="1447" w:type="dxa"/>
          </w:tcPr>
          <w:p>
            <w:pPr>
              <w:spacing w:before="0" w:after="0" w:line="240" w:lineRule="auto"/>
            </w:pPr>
            <w:r>
              <w:rPr>
                <w:rFonts w:ascii="Calibri" w:hAnsi="Calibri"/>
                <w:sz w:val="17"/>
              </w:rPr>
            </w:r>
            <w:r>
              <w:rPr>
                <w:rFonts w:ascii="Calibri" w:hAnsi="Calibri"/>
                <w:sz w:val="17"/>
              </w:rPr>
              <w:t>Apr. 17, 2024</w:t>
            </w:r>
          </w:p>
        </w:tc>
        <w:tc>
          <w:tcPr>
            <w:tcW w:w="1930" w:type="dxa"/>
          </w:tcPr>
          <w:p>
            <w:pPr>
              <w:spacing w:before="0" w:after="0" w:line="240" w:lineRule="auto"/>
            </w:pPr>
            <w:r>
              <w:rPr>
                <w:rFonts w:ascii="Calibri" w:hAnsi="Calibri"/>
                <w:sz w:val="17"/>
              </w:rPr>
            </w:r>
            <w:r>
              <w:rPr>
                <w:rFonts w:ascii="Calibri" w:hAnsi="Calibri"/>
                <w:sz w:val="17"/>
              </w:rPr>
              <w:t>200,000</w:t>
            </w:r>
          </w:p>
        </w:tc>
        <w:tc>
          <w:tcPr>
            <w:tcW w:w="1930" w:type="dxa"/>
          </w:tcPr>
          <w:p>
            <w:pPr>
              <w:spacing w:before="0" w:after="0" w:line="240" w:lineRule="auto"/>
            </w:pPr>
            <w:r>
              <w:rPr>
                <w:rFonts w:ascii="Calibri" w:hAnsi="Calibri"/>
                <w:sz w:val="17"/>
              </w:rPr>
            </w:r>
            <w:r>
              <w:rPr>
                <w:rFonts w:ascii="Calibri" w:hAnsi="Calibri"/>
                <w:sz w:val="17"/>
              </w:rPr>
              <w:t>n/a</w:t>
            </w:r>
          </w:p>
        </w:tc>
        <w:tc>
          <w:tcPr>
            <w:tcW w:w="1447" w:type="dxa"/>
          </w:tcPr>
          <w:p>
            <w:pPr>
              <w:spacing w:before="0" w:after="0" w:line="240" w:lineRule="auto"/>
            </w:pPr>
            <w:r>
              <w:rPr>
                <w:rFonts w:ascii="Calibri" w:hAnsi="Calibri"/>
                <w:sz w:val="17"/>
              </w:rPr>
            </w:r>
            <w:r>
              <w:rPr>
                <w:rFonts w:ascii="Calibri" w:hAnsi="Calibri"/>
                <w:sz w:val="17"/>
              </w:rPr>
              <w:t>3-yr, 1/3 per year</w:t>
            </w:r>
          </w:p>
        </w:tc>
      </w:tr>
    </w:tbl>
    <w:bookmarkEnd w:id="63"/>
    <w:bookmarkStart w:id="64" w:name="X65be6b619822d896dce58cc0d3976fd71c2189a"/>
    <w:p>
      <w:pPr>
        <w:pStyle w:val="Heading3"/>
        <w:keepNext w:val="0"/>
        <w:keepLines w:val="0"/>
        <w:spacing w:before="100" w:after="20" w:line="240" w:lineRule="auto"/>
      </w:pPr>
      <w:r>
        <w:rPr>
          <w:rFonts w:ascii="Calibri" w:hAnsi="Calibri"/>
          <w:sz w:val="22"/>
        </w:rPr>
        <w:t xml:space="preserve">C. Preliminary Economic Observations (Subject to Plan Terms)</w:t>
      </w:r>
    </w:p>
    <w:p>
      <w:pPr>
        <w:pStyle w:val="Compact"/>
        <w:keepNext w:val="0"/>
        <w:keepLines w:val="0"/>
        <w:numPr>
          <w:ilvl w:val="0"/>
          <w:numId w:val="1011"/>
        </w:numPr>
        <w:spacing w:before="0" w:after="60" w:line="240" w:lineRule="auto"/>
      </w:pPr>
      <w:r>
        <w:rPr>
          <w:rFonts w:ascii="Calibri" w:hAnsi="Calibri"/>
          <w:b/>
          <w:bCs/>
          <w:sz w:val="20"/>
        </w:rPr>
        <w:t xml:space="preserve">Malhotra options (350,000 @ $14.30).</w:t>
      </w:r>
      <w:r>
        <w:rPr>
          <w:rFonts w:ascii="Calibri" w:hAnsi="Calibri"/>
          <w:sz w:val="20"/>
        </w:rPr>
        <w:t xml:space="preserve"> </w:t>
      </w:r>
      <w:r>
        <w:rPr>
          <w:rFonts w:ascii="Calibri" w:hAnsi="Calibri"/>
          <w:sz w:val="20"/>
        </w:rPr>
        <w:t xml:space="preserve">The implied common per-share value in the waterfall is ~$12.59 (and the simple as-converted value is ~$13.95). Both are</w:t>
      </w:r>
      <w:r>
        <w:rPr>
          <w:rFonts w:ascii="Calibri" w:hAnsi="Calibri"/>
          <w:sz w:val="20"/>
        </w:rPr>
        <w:t xml:space="preserve"> </w:t>
      </w:r>
      <w:r>
        <w:rPr>
          <w:rFonts w:ascii="Calibri" w:hAnsi="Calibri"/>
          <w:b/>
          <w:bCs/>
          <w:sz w:val="20"/>
        </w:rPr>
        <w:t xml:space="preserve">below</w:t>
      </w:r>
      <w:r>
        <w:rPr>
          <w:rFonts w:ascii="Calibri" w:hAnsi="Calibri"/>
          <w:sz w:val="20"/>
        </w:rPr>
        <w:t xml:space="preserve"> </w:t>
      </w:r>
      <w:r>
        <w:rPr>
          <w:rFonts w:ascii="Calibri" w:hAnsi="Calibri"/>
          <w:sz w:val="20"/>
        </w:rPr>
        <w:t xml:space="preserve">the $14.30 exercise price, so these options are</w:t>
      </w:r>
      <w:r>
        <w:rPr>
          <w:rFonts w:ascii="Calibri" w:hAnsi="Calibri"/>
          <w:sz w:val="20"/>
        </w:rPr>
        <w:t xml:space="preserve"> </w:t>
      </w:r>
      <w:r>
        <w:rPr>
          <w:rFonts w:ascii="Calibri" w:hAnsi="Calibri"/>
          <w:b/>
          <w:bCs/>
          <w:sz w:val="20"/>
        </w:rPr>
        <w:t xml:space="preserve">underwater</w:t>
      </w:r>
      <w:r>
        <w:rPr>
          <w:rFonts w:ascii="Calibri" w:hAnsi="Calibri"/>
          <w:sz w:val="20"/>
        </w:rPr>
        <w:t xml:space="preserve"> </w:t>
      </w:r>
      <w:r>
        <w:rPr>
          <w:rFonts w:ascii="Calibri" w:hAnsi="Calibri"/>
          <w:sz w:val="20"/>
        </w:rPr>
        <w:t xml:space="preserve">at the Transaction price. If the consideration per common share is ~$12.59, the options have</w:t>
      </w:r>
      <w:r>
        <w:rPr>
          <w:rFonts w:ascii="Calibri" w:hAnsi="Calibri"/>
          <w:sz w:val="20"/>
        </w:rPr>
        <w:t xml:space="preserve"> </w:t>
      </w:r>
      <w:r>
        <w:rPr>
          <w:rFonts w:ascii="Calibri" w:hAnsi="Calibri"/>
          <w:b/>
          <w:bCs/>
          <w:sz w:val="20"/>
        </w:rPr>
        <w:t xml:space="preserve">no intrinsic value</w:t>
      </w:r>
      <w:r>
        <w:rPr>
          <w:rFonts w:ascii="Calibri" w:hAnsi="Calibri"/>
          <w:sz w:val="20"/>
        </w:rPr>
        <w:t xml:space="preserve"> </w:t>
      </w:r>
      <w:r>
        <w:rPr>
          <w:rFonts w:ascii="Calibri" w:hAnsi="Calibri"/>
          <w:sz w:val="20"/>
        </w:rPr>
        <w:t xml:space="preserve">and would likely be cancelled for no consideration (or cashed out at $0) at closing, unless the Plan provides otherwise. Acceleration would add</w:t>
      </w:r>
      <w:r>
        <w:rPr>
          <w:rFonts w:ascii="Calibri" w:hAnsi="Calibri"/>
          <w:sz w:val="20"/>
        </w:rPr>
        <w:t xml:space="preserve"> </w:t>
      </w:r>
      <w:r>
        <w:rPr>
          <w:rFonts w:ascii="Calibri" w:hAnsi="Calibri"/>
          <w:b/>
          <w:bCs/>
          <w:sz w:val="20"/>
        </w:rPr>
        <w:t xml:space="preserve">~$0</w:t>
      </w:r>
      <w:r>
        <w:rPr>
          <w:rFonts w:ascii="Calibri" w:hAnsi="Calibri"/>
          <w:sz w:val="20"/>
        </w:rPr>
        <w:t xml:space="preserve"> </w:t>
      </w:r>
      <w:r>
        <w:rPr>
          <w:rFonts w:ascii="Calibri" w:hAnsi="Calibri"/>
          <w:sz w:val="20"/>
        </w:rPr>
        <w:t xml:space="preserve">to deal economics for these options. (Confirm the exact per-common-share consideration and Plan treatment.)</w:t>
      </w:r>
    </w:p>
    <w:p>
      <w:pPr>
        <w:pStyle w:val="Compact"/>
        <w:keepNext w:val="0"/>
        <w:keepLines w:val="0"/>
        <w:numPr>
          <w:ilvl w:val="0"/>
          <w:numId w:val="1011"/>
        </w:numPr>
        <w:spacing w:before="0" w:after="60" w:line="240" w:lineRule="auto"/>
      </w:pPr>
      <w:r>
        <w:rPr>
          <w:rFonts w:ascii="Calibri" w:hAnsi="Calibri"/>
          <w:b/>
          <w:bCs/>
          <w:sz w:val="20"/>
        </w:rPr>
        <w:t xml:space="preserve">Yeung RSUs (200,000).</w:t>
      </w:r>
      <w:r>
        <w:rPr>
          <w:rFonts w:ascii="Calibri" w:hAnsi="Calibri"/>
          <w:sz w:val="20"/>
        </w:rPr>
        <w:t xml:space="preserve"> </w:t>
      </w:r>
      <w:r>
        <w:rPr>
          <w:rFonts w:ascii="Calibri" w:hAnsi="Calibri"/>
          <w:sz w:val="20"/>
        </w:rPr>
        <w:t xml:space="preserve">RSUs have no exercise price. As of the target closing (Q1 2025, ~10 months after the April 17, 2024 grant),</w:t>
      </w:r>
      <w:r>
        <w:rPr>
          <w:rFonts w:ascii="Calibri" w:hAnsi="Calibri"/>
          <w:sz w:val="20"/>
        </w:rPr>
        <w:t xml:space="preserve"> </w:t>
      </w:r>
      <w:r>
        <w:rPr>
          <w:rFonts w:ascii="Calibri" w:hAnsi="Calibri"/>
          <w:b/>
          <w:bCs/>
          <w:sz w:val="20"/>
        </w:rPr>
        <w:t xml:space="preserve">no tranche will have vested</w:t>
      </w:r>
      <w:r>
        <w:rPr>
          <w:rFonts w:ascii="Calibri" w:hAnsi="Calibri"/>
          <w:sz w:val="20"/>
        </w:rPr>
        <w:t xml:space="preserve"> </w:t>
      </w:r>
      <w:r>
        <w:rPr>
          <w:rFonts w:ascii="Calibri" w:hAnsi="Calibri"/>
          <w:sz w:val="20"/>
        </w:rPr>
        <w:t xml:space="preserve">(first tranche vests April 17, 2025). If the Plan provides</w:t>
      </w:r>
      <w:r>
        <w:rPr>
          <w:rFonts w:ascii="Calibri" w:hAnsi="Calibri"/>
          <w:sz w:val="20"/>
        </w:rPr>
        <w:t xml:space="preserve"> </w:t>
      </w:r>
      <w:r>
        <w:rPr>
          <w:rFonts w:ascii="Calibri" w:hAnsi="Calibri"/>
          <w:b/>
          <w:bCs/>
          <w:sz w:val="20"/>
        </w:rPr>
        <w:t xml:space="preserve">single-trigger</w:t>
      </w:r>
      <w:r>
        <w:rPr>
          <w:rFonts w:ascii="Calibri" w:hAnsi="Calibri"/>
          <w:sz w:val="20"/>
        </w:rPr>
        <w:t xml:space="preserve"> </w:t>
      </w:r>
      <w:r>
        <w:rPr>
          <w:rFonts w:ascii="Calibri" w:hAnsi="Calibri"/>
          <w:sz w:val="20"/>
        </w:rPr>
        <w:t xml:space="preserve">acceleration on a change of control, all 200,000 RSUs would accelerate and cash out at ~$12.59/share ≈</w:t>
      </w:r>
      <w:r>
        <w:rPr>
          <w:rFonts w:ascii="Calibri" w:hAnsi="Calibri"/>
          <w:sz w:val="20"/>
        </w:rPr>
        <w:t xml:space="preserve"> </w:t>
      </w:r>
      <w:r>
        <w:rPr>
          <w:rFonts w:ascii="Calibri" w:hAnsi="Calibri"/>
          <w:b/>
          <w:bCs/>
          <w:sz w:val="20"/>
        </w:rPr>
        <w:t xml:space="preserve">~$2.5M</w:t>
      </w:r>
      <w:r>
        <w:rPr>
          <w:rFonts w:ascii="Calibri" w:hAnsi="Calibri"/>
          <w:sz w:val="20"/>
        </w:rPr>
        <w:t xml:space="preserve">. If</w:t>
      </w:r>
      <w:r>
        <w:rPr>
          <w:rFonts w:ascii="Calibri" w:hAnsi="Calibri"/>
          <w:sz w:val="20"/>
        </w:rPr>
        <w:t xml:space="preserve"> </w:t>
      </w:r>
      <w:r>
        <w:rPr>
          <w:rFonts w:ascii="Calibri" w:hAnsi="Calibri"/>
          <w:b/>
          <w:bCs/>
          <w:sz w:val="20"/>
        </w:rPr>
        <w:t xml:space="preserve">double-trigger</w:t>
      </w:r>
      <w:r>
        <w:rPr>
          <w:rFonts w:ascii="Calibri" w:hAnsi="Calibri"/>
          <w:sz w:val="20"/>
        </w:rPr>
        <w:t xml:space="preserve"> </w:t>
      </w:r>
      <w:r>
        <w:rPr>
          <w:rFonts w:ascii="Calibri" w:hAnsi="Calibri"/>
          <w:sz w:val="20"/>
        </w:rPr>
        <w:t xml:space="preserve">(change of control + termination), acceleration would occur only if Yeung is terminated in connection with the closing — likely $0 if she is retained. The treatment of unvested RSUs in the merger (cash-out vs. cancellation vs. rollover) is governed by the Plan and merger agreement.</w:t>
      </w:r>
    </w:p>
    <w:p>
      <w:pPr>
        <w:pStyle w:val="Compact"/>
        <w:keepNext w:val="0"/>
        <w:keepLines w:val="0"/>
        <w:numPr>
          <w:ilvl w:val="0"/>
          <w:numId w:val="1011"/>
        </w:numPr>
        <w:spacing w:before="0" w:after="60" w:line="240" w:lineRule="auto"/>
      </w:pPr>
      <w:r>
        <w:rPr>
          <w:rFonts w:ascii="Calibri" w:hAnsi="Calibri"/>
          <w:b/>
          <w:bCs/>
          <w:sz w:val="20"/>
        </w:rPr>
        <w:t xml:space="preserve">Aggregate option pool.</w:t>
      </w:r>
      <w:r>
        <w:rPr>
          <w:rFonts w:ascii="Calibri" w:hAnsi="Calibri"/>
          <w:sz w:val="20"/>
        </w:rPr>
        <w:t xml:space="preserve"> </w:t>
      </w:r>
      <w:r>
        <w:rPr>
          <w:rFonts w:ascii="Calibri" w:hAnsi="Calibri"/>
          <w:sz w:val="20"/>
        </w:rPr>
        <w:t xml:space="preserve">The</w:t>
      </w:r>
      <w:r>
        <w:rPr>
          <w:rFonts w:ascii="Calibri" w:hAnsi="Calibri"/>
          <w:sz w:val="20"/>
        </w:rPr>
        <w:t xml:space="preserve"> </w:t>
      </w:r>
      <w:r>
        <w:rPr>
          <w:rFonts w:ascii="Calibri" w:hAnsi="Calibri"/>
          <w:sz w:val="20"/>
        </w:rPr>
        <w:t xml:space="preserve">“</w:t>
      </w:r>
      <w:r>
        <w:rPr>
          <w:rFonts w:ascii="Calibri" w:hAnsi="Calibri"/>
          <w:sz w:val="20"/>
        </w:rPr>
        <w:t xml:space="preserve">Various Common Holders / Option Pool</w:t>
      </w:r>
      <w:r>
        <w:rPr>
          <w:rFonts w:ascii="Calibri" w:hAnsi="Calibri"/>
          <w:sz w:val="20"/>
        </w:rPr>
        <w:t xml:space="preserve">”</w:t>
      </w:r>
      <w:r>
        <w:rPr>
          <w:rFonts w:ascii="Calibri" w:hAnsi="Calibri"/>
          <w:sz w:val="20"/>
        </w:rPr>
        <w:t xml:space="preserve"> </w:t>
      </w:r>
      <w:r>
        <w:rPr>
          <w:rFonts w:ascii="Calibri" w:hAnsi="Calibri"/>
          <w:sz w:val="20"/>
        </w:rPr>
        <w:t xml:space="preserve">line (10,100,000 shares) includes both actual common shares and options/RSUs. Based on the July 2023 minutes (~7.42M shares subject to outstanding awards or exercised under the then-8.0M reserve, plus the 200,000 Yeung RSU grant), outstanding options/RSUs are roughly</w:t>
      </w:r>
      <w:r>
        <w:rPr>
          <w:rFonts w:ascii="Calibri" w:hAnsi="Calibri"/>
          <w:sz w:val="20"/>
        </w:rPr>
        <w:t xml:space="preserve"> </w:t>
      </w:r>
      <w:r>
        <w:rPr>
          <w:rFonts w:ascii="Calibri" w:hAnsi="Calibri"/>
          <w:b/>
          <w:bCs/>
          <w:sz w:val="20"/>
        </w:rPr>
        <w:t xml:space="preserve">~7.6–8.0M shares.</w:t>
      </w:r>
      <w:r>
        <w:rPr>
          <w:rFonts w:ascii="Calibri" w:hAnsi="Calibri"/>
          <w:sz w:val="20"/>
        </w:rPr>
        <w:t xml:space="preserve"> </w:t>
      </w:r>
      <w:r>
        <w:rPr>
          <w:rFonts w:ascii="Calibri" w:hAnsi="Calibri"/>
          <w:sz w:val="20"/>
        </w:rPr>
        <w:t xml:space="preserve">The aggregate acceleration impact cannot be quantified without the Plan, award agreements, and a current cap table with vesting detail.</w:t>
      </w:r>
      <w:r>
        <w:rPr>
          <w:rFonts w:ascii="Calibri" w:hAnsi="Calibri"/>
          <w:sz w:val="20"/>
        </w:rPr>
        <w:t xml:space="preserve"> </w:t>
      </w:r>
      <w:r>
        <w:rPr>
          <w:rFonts w:ascii="Calibri" w:hAnsi="Calibri"/>
          <w:b/>
          <w:bCs/>
          <w:sz w:val="20"/>
        </w:rPr>
        <w:t xml:space="preserve">This must be quantified for deal economics.</w:t>
      </w:r>
    </w:p>
    <w:bookmarkEnd w:id="64"/>
    <w:bookmarkStart w:id="65" w:name="Xd677fab79ac3b58009ca8bfc6ecbc9f1c57dfd1"/>
    <w:p>
      <w:pPr>
        <w:pStyle w:val="Heading3"/>
        <w:keepNext w:val="0"/>
        <w:keepLines w:val="0"/>
        <w:spacing w:before="100" w:after="20" w:line="240" w:lineRule="auto"/>
      </w:pPr>
      <w:r>
        <w:rPr>
          <w:rFonts w:ascii="Calibri" w:hAnsi="Calibri"/>
          <w:sz w:val="22"/>
        </w:rPr>
        <w:t xml:space="preserve">D. Equity Plan Share Reserve Increase (July 19, 2023) — Stockholder Approval Status Unknown</w:t>
      </w:r>
    </w:p>
    <w:p>
      <w:pPr>
        <w:pStyle w:val="FirstParagraph"/>
        <w:keepNext w:val="0"/>
        <w:keepLines w:val="0"/>
        <w:spacing w:before="0" w:after="60" w:line="240" w:lineRule="auto"/>
      </w:pPr>
      <w:r>
        <w:rPr>
          <w:rFonts w:ascii="Calibri" w:hAnsi="Calibri"/>
          <w:sz w:val="20"/>
        </w:rPr>
        <w:t xml:space="preserve">At the July 19, 2023 meeting, the Board approved increasing the Plan share reserve from 8,000,000 to 9,500,000 shares (a 1,500,000-share increase). The minutes reflect</w:t>
      </w:r>
      <w:r>
        <w:rPr>
          <w:rFonts w:ascii="Calibri" w:hAnsi="Calibri"/>
          <w:sz w:val="20"/>
        </w:rPr>
        <w:t xml:space="preserve"> </w:t>
      </w:r>
      <w:r>
        <w:rPr>
          <w:rFonts w:ascii="Calibri" w:hAnsi="Calibri"/>
          <w:b/>
          <w:bCs/>
          <w:sz w:val="20"/>
        </w:rPr>
        <w:t xml:space="preserve">Board approval only (7-0)</w:t>
      </w:r>
      <w:r>
        <w:rPr>
          <w:rFonts w:ascii="Calibri" w:hAnsi="Calibri"/>
          <w:sz w:val="20"/>
        </w:rPr>
        <w:t xml:space="preserve">; outside counsel Rourke</w:t>
      </w:r>
      <w:r>
        <w:rPr>
          <w:rFonts w:ascii="Calibri" w:hAnsi="Calibri"/>
          <w:sz w:val="20"/>
        </w:rPr>
        <w:t xml:space="preserve"> </w:t>
      </w:r>
      <w:r>
        <w:rPr>
          <w:rFonts w:ascii="Calibri" w:hAnsi="Calibri"/>
          <w:sz w:val="20"/>
        </w:rPr>
        <w:t xml:space="preserve">“</w:t>
      </w:r>
      <w:r>
        <w:rPr>
          <w:rFonts w:ascii="Calibri" w:hAnsi="Calibri"/>
          <w:sz w:val="20"/>
        </w:rPr>
        <w:t xml:space="preserve">noted that the amendment required Board approval</w:t>
      </w:r>
      <w:r>
        <w:rPr>
          <w:rFonts w:ascii="Calibri" w:hAnsi="Calibri"/>
          <w:sz w:val="20"/>
        </w:rPr>
        <w:t xml:space="preserve">”</w:t>
      </w:r>
      <w:r>
        <w:rPr>
          <w:rFonts w:ascii="Calibri" w:hAnsi="Calibri"/>
          <w:sz w:val="20"/>
        </w:rPr>
        <w:t xml:space="preserve"> </w:t>
      </w:r>
      <w:r>
        <w:rPr>
          <w:rFonts w:ascii="Calibri" w:hAnsi="Calibri"/>
          <w:sz w:val="20"/>
        </w:rPr>
        <w:t xml:space="preserve">but</w:t>
      </w:r>
      <w:r>
        <w:rPr>
          <w:rFonts w:ascii="Calibri" w:hAnsi="Calibri"/>
          <w:sz w:val="20"/>
        </w:rPr>
        <w:t xml:space="preserve"> </w:t>
      </w:r>
      <w:r>
        <w:rPr>
          <w:rFonts w:ascii="Calibri" w:hAnsi="Calibri"/>
          <w:b/>
          <w:bCs/>
          <w:sz w:val="20"/>
        </w:rPr>
        <w:t xml:space="preserve">did not address stockholder approval.</w:t>
      </w:r>
    </w:p>
    <w:p>
      <w:pPr>
        <w:pStyle w:val="Compact"/>
        <w:keepNext w:val="0"/>
        <w:keepLines w:val="0"/>
        <w:numPr>
          <w:ilvl w:val="0"/>
          <w:numId w:val="1012"/>
        </w:numPr>
        <w:spacing w:before="0" w:after="60" w:line="240" w:lineRule="auto"/>
      </w:pPr>
      <w:r>
        <w:rPr>
          <w:rFonts w:ascii="Calibri" w:hAnsi="Calibri"/>
          <w:b/>
          <w:bCs/>
          <w:sz w:val="20"/>
        </w:rPr>
        <w:t xml:space="preserve">Charter protective provisions:</w:t>
      </w:r>
      <w:r>
        <w:rPr>
          <w:rFonts w:ascii="Calibri" w:hAnsi="Calibri"/>
          <w:sz w:val="20"/>
        </w:rPr>
        <w:t xml:space="preserve"> </w:t>
      </w:r>
      <w:r>
        <w:rPr>
          <w:rFonts w:ascii="Calibri" w:hAnsi="Calibri"/>
          <w:sz w:val="20"/>
        </w:rPr>
        <w:t xml:space="preserve">The increase is a</w:t>
      </w:r>
      <w:r>
        <w:rPr>
          <w:rFonts w:ascii="Calibri" w:hAnsi="Calibri"/>
          <w:sz w:val="20"/>
        </w:rPr>
        <w:t xml:space="preserve"> </w:t>
      </w:r>
      <w:r>
        <w:rPr>
          <w:rFonts w:ascii="Calibri" w:hAnsi="Calibri"/>
          <w:i/>
          <w:iCs/>
          <w:sz w:val="20"/>
        </w:rPr>
        <w:t xml:space="preserve">Plan</w:t>
      </w:r>
      <w:r>
        <w:rPr>
          <w:rFonts w:ascii="Calibri" w:hAnsi="Calibri"/>
          <w:sz w:val="20"/>
        </w:rPr>
        <w:t xml:space="preserve"> </w:t>
      </w:r>
      <w:r>
        <w:rPr>
          <w:rFonts w:ascii="Calibri" w:hAnsi="Calibri"/>
          <w:sz w:val="20"/>
        </w:rPr>
        <w:t xml:space="preserve">amendment, not an increase in</w:t>
      </w:r>
      <w:r>
        <w:rPr>
          <w:rFonts w:ascii="Calibri" w:hAnsi="Calibri"/>
          <w:sz w:val="20"/>
        </w:rPr>
        <w:t xml:space="preserve"> </w:t>
      </w:r>
      <w:r>
        <w:rPr>
          <w:rFonts w:ascii="Calibri" w:hAnsi="Calibri"/>
          <w:i/>
          <w:iCs/>
          <w:sz w:val="20"/>
        </w:rPr>
        <w:t xml:space="preserve">authorized</w:t>
      </w:r>
      <w:r>
        <w:rPr>
          <w:rFonts w:ascii="Calibri" w:hAnsi="Calibri"/>
          <w:sz w:val="20"/>
        </w:rPr>
        <w:t xml:space="preserve"> </w:t>
      </w:r>
      <w:r>
        <w:rPr>
          <w:rFonts w:ascii="Calibri" w:hAnsi="Calibri"/>
          <w:sz w:val="20"/>
        </w:rPr>
        <w:t xml:space="preserve">capital stock (authorized Common remains 50,000,000). Accordingly, Restated Cert. §4.3.6(a)(ii) (consent to change authorized shares) likely does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apply. The anti-dilution exception (§4.3.4(b)(i)) exempts shares issued under Board-approved equity plans (including at least one Preferred-designated director), so Plan issuances do not trigger anti-dilution adjustments. No Preferred consent appears required for the reserve increase itself.</w:t>
      </w:r>
    </w:p>
    <w:p>
      <w:pPr>
        <w:pStyle w:val="Compact"/>
        <w:keepNext w:val="0"/>
        <w:keepLines w:val="0"/>
        <w:numPr>
          <w:ilvl w:val="0"/>
          <w:numId w:val="1012"/>
        </w:numPr>
        <w:spacing w:before="0" w:after="60" w:line="240" w:lineRule="auto"/>
      </w:pPr>
      <w:r>
        <w:rPr>
          <w:rFonts w:ascii="Calibri" w:hAnsi="Calibri"/>
          <w:b/>
          <w:bCs/>
          <w:sz w:val="20"/>
        </w:rPr>
        <w:t xml:space="preserve">Stockholder approval:</w:t>
      </w:r>
      <w:r>
        <w:rPr>
          <w:rFonts w:ascii="Calibri" w:hAnsi="Calibri"/>
          <w:sz w:val="20"/>
        </w:rPr>
        <w:t xml:space="preserve"> </w:t>
      </w:r>
      <w:r>
        <w:rPr>
          <w:rFonts w:ascii="Calibri" w:hAnsi="Calibri"/>
          <w:sz w:val="20"/>
        </w:rPr>
        <w:t xml:space="preserve">Whether stockholder approval was</w:t>
      </w:r>
      <w:r>
        <w:rPr>
          <w:rFonts w:ascii="Calibri" w:hAnsi="Calibri"/>
          <w:sz w:val="20"/>
        </w:rPr>
        <w:t xml:space="preserve"> </w:t>
      </w:r>
      <w:r>
        <w:rPr>
          <w:rFonts w:ascii="Calibri" w:hAnsi="Calibri"/>
          <w:i/>
          <w:iCs/>
          <w:sz w:val="20"/>
        </w:rPr>
        <w:t xml:space="preserve">required</w:t>
      </w:r>
      <w:r>
        <w:rPr>
          <w:rFonts w:ascii="Calibri" w:hAnsi="Calibri"/>
          <w:sz w:val="20"/>
        </w:rPr>
        <w:t xml:space="preserve"> </w:t>
      </w:r>
      <w:r>
        <w:rPr>
          <w:rFonts w:ascii="Calibri" w:hAnsi="Calibri"/>
          <w:sz w:val="20"/>
        </w:rPr>
        <w:t xml:space="preserve">(under the Plan terms, DGCL, or applicable tax/409A rules) and, if required,</w:t>
      </w:r>
      <w:r>
        <w:rPr>
          <w:rFonts w:ascii="Calibri" w:hAnsi="Calibri"/>
          <w:sz w:val="20"/>
        </w:rPr>
        <w:t xml:space="preserve"> </w:t>
      </w:r>
      <w:r>
        <w:rPr>
          <w:rFonts w:ascii="Calibri" w:hAnsi="Calibri"/>
          <w:i/>
          <w:iCs/>
          <w:sz w:val="20"/>
        </w:rPr>
        <w:t xml:space="preserve">obtained</w:t>
      </w:r>
      <w:r>
        <w:rPr>
          <w:rFonts w:ascii="Calibri" w:hAnsi="Calibri"/>
          <w:sz w:val="20"/>
        </w:rPr>
        <w:t xml:space="preserve">, is</w:t>
      </w:r>
      <w:r>
        <w:rPr>
          <w:rFonts w:ascii="Calibri" w:hAnsi="Calibri"/>
          <w:sz w:val="20"/>
        </w:rPr>
        <w:t xml:space="preserve"> </w:t>
      </w:r>
      <w:r>
        <w:rPr>
          <w:rFonts w:ascii="Calibri" w:hAnsi="Calibri"/>
          <w:b/>
          <w:bCs/>
          <w:sz w:val="20"/>
        </w:rPr>
        <w:t xml:space="preserve">unknown.</w:t>
      </w:r>
      <w:r>
        <w:rPr>
          <w:rFonts w:ascii="Calibri" w:hAnsi="Calibri"/>
          <w:sz w:val="20"/>
        </w:rPr>
        <w:t xml:space="preserve"> </w:t>
      </w:r>
      <w:r>
        <w:rPr>
          <w:rFonts w:ascii="Calibri" w:hAnsi="Calibri"/>
          <w:sz w:val="20"/>
        </w:rPr>
        <w:t xml:space="preserve">Many equity plans require stockholder approval for share-reserve increases. If stockholder approval was required and not obtained, the increase — and grants made from the increased reserve (including potentially the Yeung RSUs) — could be vulnerable to challenge.</w:t>
      </w:r>
      <w:r>
        <w:rPr>
          <w:rFonts w:ascii="Calibri" w:hAnsi="Calibri"/>
          <w:sz w:val="20"/>
        </w:rPr>
        <w:t xml:space="preserve"> </w:t>
      </w:r>
      <w:r>
        <w:rPr>
          <w:rFonts w:ascii="Calibri" w:hAnsi="Calibri"/>
          <w:b/>
          <w:bCs/>
          <w:sz w:val="20"/>
        </w:rPr>
        <w:t xml:space="preserve">We must obtain the Plan and any stockholder consent records.</w:t>
      </w:r>
      <w:r>
        <w:rPr>
          <w:rFonts w:ascii="Calibri" w:hAnsi="Calibri"/>
          <w:sz w:val="20"/>
        </w:rPr>
        <w:t xml:space="preserve"> </w:t>
      </w:r>
      <w:r>
        <w:rPr>
          <w:rFonts w:ascii="Calibri" w:hAnsi="Calibri"/>
          <w:b/>
          <w:bCs/>
          <w:sz w:val="20"/>
        </w:rPr>
        <w:t xml:space="preserve">Severity: Significant.</w:t>
      </w:r>
    </w:p>
    <w:bookmarkEnd w:id="65"/>
    <w:bookmarkStart w:id="66" w:name="e.-recommendations"/>
    <w:p>
      <w:pPr>
        <w:pStyle w:val="Heading3"/>
        <w:keepNext w:val="0"/>
        <w:keepLines w:val="0"/>
        <w:spacing w:before="100" w:after="20" w:line="240" w:lineRule="auto"/>
      </w:pPr>
      <w:r>
        <w:rPr>
          <w:rFonts w:ascii="Calibri" w:hAnsi="Calibri"/>
          <w:sz w:val="22"/>
        </w:rPr>
        <w:t xml:space="preserve">E. Recommendations</w:t>
      </w:r>
    </w:p>
    <w:p>
      <w:pPr>
        <w:pStyle w:val="Compact"/>
        <w:keepNext w:val="0"/>
        <w:keepLines w:val="0"/>
        <w:numPr>
          <w:ilvl w:val="0"/>
          <w:numId w:val="1013"/>
        </w:numPr>
        <w:spacing w:before="0" w:after="60" w:line="240" w:lineRule="auto"/>
      </w:pPr>
      <w:r>
        <w:rPr>
          <w:rFonts w:ascii="Calibri" w:hAnsi="Calibri"/>
          <w:sz w:val="20"/>
        </w:rPr>
        <w:t xml:space="preserve">Request the 2021 Equity Incentive Plan (as amended), all individual award agreements, the current cap table with vesting schedules, and any stockholder consent records relating to the Plan or the July 2023 amendment.</w:t>
      </w:r>
    </w:p>
    <w:p>
      <w:pPr>
        <w:pStyle w:val="Compact"/>
        <w:keepNext w:val="0"/>
        <w:keepLines w:val="0"/>
        <w:numPr>
          <w:ilvl w:val="0"/>
          <w:numId w:val="1013"/>
        </w:numPr>
        <w:spacing w:before="0" w:after="60" w:line="240" w:lineRule="auto"/>
      </w:pPr>
      <w:r>
        <w:rPr>
          <w:rFonts w:ascii="Calibri" w:hAnsi="Calibri"/>
          <w:sz w:val="20"/>
        </w:rPr>
        <w:t xml:space="preserve">Quantify the aggregate acceleration/cash-out exposure and reflect it in the deal model and the merger agreement’s treatment-of-awards provisions.</w:t>
      </w:r>
    </w:p>
    <w:p>
      <w:pPr>
        <w:pStyle w:val="Compact"/>
        <w:keepNext w:val="0"/>
        <w:keepLines w:val="0"/>
        <w:numPr>
          <w:ilvl w:val="0"/>
          <w:numId w:val="1013"/>
        </w:numPr>
        <w:spacing w:before="0" w:after="60" w:line="240" w:lineRule="auto"/>
      </w:pPr>
      <w:r>
        <w:rPr>
          <w:rFonts w:ascii="Calibri" w:hAnsi="Calibri"/>
          <w:sz w:val="20"/>
        </w:rPr>
        <w:t xml:space="preserve">Confirm whether the merger agreement will provide for cash-out, cancellation, or rollover of unvested awards, and obtain the necessary Plan and award-level consents.</w:t>
      </w:r>
    </w:p>
    <w:p>
      <w:pPr>
        <w:pStyle w:val="Compact"/>
        <w:keepNext w:val="0"/>
        <w:keepLines w:val="0"/>
        <w:numPr>
          <w:ilvl w:val="0"/>
          <w:numId w:val="1013"/>
        </w:numPr>
        <w:spacing w:before="0" w:after="60" w:line="240" w:lineRule="auto"/>
      </w:pPr>
      <w:r>
        <w:rPr>
          <w:rFonts w:ascii="Calibri" w:hAnsi="Calibri"/>
          <w:sz w:val="20"/>
        </w:rPr>
        <w:t xml:space="preserve">Confirm the per-common-share merger consideration to assess whether options are in or out of the money.</w:t>
      </w:r>
    </w:p>
    <w:p>
      <w:pPr>
        <w:keepNext w:val="0"/>
        <w:keepLines w:val="0"/>
        <w:spacing w:before="0" w:after="60" w:line="240" w:lineRule="auto"/>
      </w:pPr>
      <w:r>
        <w:rPr>
          <w:rFonts w:ascii="Calibri" w:hAnsi="Calibri"/>
          <w:sz w:val="20"/>
        </w:rPr>
        <w:pict>
          <v:rect style="width:0;height:1.5pt" o:hralign="center" o:hrstd="t" o:hr="t"/>
        </w:pict>
      </w:r>
    </w:p>
    <w:bookmarkEnd w:id="66"/>
    <w:bookmarkEnd w:id="67"/>
    <w:bookmarkStart w:id="72" w:name="Xe1ba01046cf23e66e51b961a573e84b572fa87f"/>
    <w:p>
      <w:pPr>
        <w:pStyle w:val="Heading2"/>
        <w:keepNext w:val="0"/>
        <w:keepLines w:val="0"/>
        <w:spacing w:before="140" w:after="40" w:line="240" w:lineRule="auto"/>
      </w:pPr>
      <w:r>
        <w:rPr>
          <w:rFonts w:ascii="Calibri" w:hAnsi="Calibri"/>
          <w:sz w:val="25"/>
        </w:rPr>
        <w:t xml:space="preserve">XI. Area 8 — Authorization of Corporate Actions: Board Minutes Review</w:t>
      </w:r>
    </w:p>
    <w:p>
      <w:pPr>
        <w:pStyle w:val="FirstParagraph"/>
        <w:keepNext w:val="0"/>
        <w:keepLines w:val="0"/>
        <w:spacing w:before="0" w:after="60" w:line="240" w:lineRule="auto"/>
      </w:pPr>
      <w:r>
        <w:rPr>
          <w:rFonts w:ascii="Calibri" w:hAnsi="Calibri"/>
          <w:sz w:val="20"/>
        </w:rPr>
        <w:t xml:space="preserve">We reviewed all eight sets of Board minutes (January 18, 2023 through September 25, 2024). Most actions were properly authorized by a quorum of the Board. Three items require flagging.</w:t>
      </w:r>
    </w:p>
    <w:bookmarkStart w:id="68" w:name="Xd7a825578e790ab20f2b469e1c2f210ce57c77c"/>
    <w:p>
      <w:pPr>
        <w:pStyle w:val="Heading3"/>
        <w:keepNext w:val="0"/>
        <w:keepLines w:val="0"/>
        <w:spacing w:before="100" w:after="20" w:line="240" w:lineRule="auto"/>
      </w:pPr>
      <w:r>
        <w:rPr>
          <w:rFonts w:ascii="Calibri" w:hAnsi="Calibri"/>
          <w:sz w:val="22"/>
        </w:rPr>
        <w:t xml:space="preserve">A. Clearfield National Bank Term Loan ($12M, October 11, 2023) — CRITICAL</w:t>
      </w:r>
    </w:p>
    <w:p>
      <w:pPr>
        <w:pStyle w:val="FirstParagraph"/>
        <w:keepNext w:val="0"/>
        <w:keepLines w:val="0"/>
        <w:spacing w:before="0" w:after="60" w:line="240" w:lineRule="auto"/>
      </w:pPr>
      <w:r>
        <w:rPr>
          <w:rFonts w:ascii="Calibri" w:hAnsi="Calibri"/>
          <w:sz w:val="20"/>
        </w:rPr>
        <w:t xml:space="preserve">At the October 11, 2023 meeting, the Board approved a $12M secured term loan with Clearfield National Bank (5-year term, SOFR + 3.50%, secured by substantially all assets including accounts receivable, inventory, equipment, and IP). The resolution was approved 7-0.</w:t>
      </w:r>
    </w:p>
    <w:p>
      <w:pPr>
        <w:pStyle w:val="BodyText"/>
        <w:keepNext w:val="0"/>
        <w:keepLines w:val="0"/>
        <w:spacing w:before="0" w:after="60" w:line="240" w:lineRule="auto"/>
      </w:pPr>
      <w:r>
        <w:rPr>
          <w:rFonts w:ascii="Calibri" w:hAnsi="Calibri"/>
          <w:b/>
          <w:bCs/>
          <w:sz w:val="20"/>
        </w:rPr>
        <w:t xml:space="preserve">Problem:</w:t>
      </w:r>
      <w:r>
        <w:rPr>
          <w:rFonts w:ascii="Calibri" w:hAnsi="Calibri"/>
          <w:sz w:val="20"/>
        </w:rPr>
        <w:t xml:space="preserve"> </w:t>
      </w:r>
      <w:r>
        <w:rPr>
          <w:rFonts w:ascii="Calibri" w:hAnsi="Calibri"/>
          <w:sz w:val="20"/>
        </w:rPr>
        <w:t xml:space="preserve">Restated Cert. §4.3.6(a)(v) prohibits the Company from incurring</w:t>
      </w:r>
      <w:r>
        <w:rPr>
          <w:rFonts w:ascii="Calibri" w:hAnsi="Calibri"/>
          <w:sz w:val="20"/>
        </w:rPr>
        <w:t xml:space="preserve"> </w:t>
      </w:r>
      <w:r>
        <w:rPr>
          <w:rFonts w:ascii="Calibri" w:hAnsi="Calibri"/>
          <w:sz w:val="20"/>
        </w:rPr>
        <w:t xml:space="preserve">“</w:t>
      </w:r>
      <w:r>
        <w:rPr>
          <w:rFonts w:ascii="Calibri" w:hAnsi="Calibri"/>
          <w:sz w:val="20"/>
        </w:rPr>
        <w:t xml:space="preserve">indebtedness for borrowed money in excess of $5,000,000 in the aggregate outstanding at any time</w:t>
      </w:r>
      <w:r>
        <w:rPr>
          <w:rFonts w:ascii="Calibri" w:hAnsi="Calibri"/>
          <w:sz w:val="20"/>
        </w:rPr>
        <w:t xml:space="preserve">”</w:t>
      </w:r>
      <w:r>
        <w:rPr>
          <w:rFonts w:ascii="Calibri" w:hAnsi="Calibri"/>
          <w:sz w:val="20"/>
        </w:rPr>
        <w:t xml:space="preserve"> </w:t>
      </w:r>
      <w:r>
        <w:rPr>
          <w:rFonts w:ascii="Calibri" w:hAnsi="Calibri"/>
          <w:sz w:val="20"/>
        </w:rPr>
        <w:t xml:space="preserve">without the prior written consent or affirmative vote of holders of</w:t>
      </w:r>
      <w:r>
        <w:rPr>
          <w:rFonts w:ascii="Calibri" w:hAnsi="Calibri"/>
          <w:sz w:val="20"/>
        </w:rPr>
        <w:t xml:space="preserve"> </w:t>
      </w:r>
      <w:r>
        <w:rPr>
          <w:rFonts w:ascii="Calibri" w:hAnsi="Calibri"/>
          <w:b/>
          <w:bCs/>
          <w:sz w:val="20"/>
        </w:rPr>
        <w:t xml:space="preserve">more than 50% of the outstanding Preferred Stock</w:t>
      </w:r>
      <w:r>
        <w:rPr>
          <w:rFonts w:ascii="Calibri" w:hAnsi="Calibri"/>
          <w:sz w:val="20"/>
        </w:rPr>
        <w:t xml:space="preserve"> </w:t>
      </w:r>
      <w:r>
        <w:rPr>
          <w:rFonts w:ascii="Calibri" w:hAnsi="Calibri"/>
          <w:sz w:val="20"/>
        </w:rPr>
        <w:t xml:space="preserve">(voting as a single class on an as-converted basis; threshold &gt;8,250,000 shares). The $12M term loan</w:t>
      </w:r>
      <w:r>
        <w:rPr>
          <w:rFonts w:ascii="Calibri" w:hAnsi="Calibri"/>
          <w:sz w:val="20"/>
        </w:rPr>
        <w:t xml:space="preserve"> </w:t>
      </w:r>
      <w:r>
        <w:rPr>
          <w:rFonts w:ascii="Calibri" w:hAnsi="Calibri"/>
          <w:b/>
          <w:bCs/>
          <w:sz w:val="20"/>
        </w:rPr>
        <w:t xml:space="preserve">exceeds $5M</w:t>
      </w:r>
      <w:r>
        <w:rPr>
          <w:rFonts w:ascii="Calibri" w:hAnsi="Calibri"/>
          <w:sz w:val="20"/>
        </w:rPr>
        <w:t xml:space="preserve"> </w:t>
      </w:r>
      <w:r>
        <w:rPr>
          <w:rFonts w:ascii="Calibri" w:hAnsi="Calibri"/>
          <w:sz w:val="20"/>
        </w:rPr>
        <w:t xml:space="preserve">and does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fit either exception: (A) equipment financing/capital leases ≤ $2M (the loan is a general secured term loan, not equipment financing, and far exceeds $2M); (B) trade payables in the ordinary course (inapplicable).</w:t>
      </w:r>
    </w:p>
    <w:p>
      <w:pPr>
        <w:pStyle w:val="BodyText"/>
        <w:keepNext w:val="0"/>
        <w:keepLines w:val="0"/>
        <w:spacing w:before="0" w:after="60" w:line="240" w:lineRule="auto"/>
      </w:pPr>
      <w:r>
        <w:rPr>
          <w:rFonts w:ascii="Calibri" w:hAnsi="Calibri"/>
          <w:b/>
          <w:bCs/>
          <w:sz w:val="20"/>
        </w:rPr>
        <w:t xml:space="preserve">The minutes reflect Board approval but do not reflect any Preferred Stockholder consent.</w:t>
      </w:r>
      <w:r>
        <w:rPr>
          <w:rFonts w:ascii="Calibri" w:hAnsi="Calibri"/>
          <w:sz w:val="20"/>
        </w:rPr>
        <w:t xml:space="preserve"> </w:t>
      </w:r>
      <w:r>
        <w:rPr>
          <w:rFonts w:ascii="Calibri" w:hAnsi="Calibri"/>
          <w:sz w:val="20"/>
        </w:rPr>
        <w:t xml:space="preserve">Board approval (even unanimous, including the Preferred-designated directors voting as directors) is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the same as the stockholder-level consent required by §4.3.6(a)(v). The protective provision requires a separate written consent or affirmative vote of the Preferred holders as stockholders.</w:t>
      </w:r>
    </w:p>
    <w:p>
      <w:pPr>
        <w:pStyle w:val="BodyText"/>
        <w:keepNext w:val="0"/>
        <w:keepLines w:val="0"/>
        <w:spacing w:before="0" w:after="60" w:line="240" w:lineRule="auto"/>
      </w:pPr>
      <w:r>
        <w:rPr>
          <w:rFonts w:ascii="Calibri" w:hAnsi="Calibri"/>
          <w:b/>
          <w:bCs/>
          <w:sz w:val="20"/>
        </w:rPr>
        <w:t xml:space="preserve">Implications:</w:t>
      </w:r>
      <w:r>
        <w:rPr>
          <w:rFonts w:ascii="Calibri" w:hAnsi="Calibri"/>
          <w:sz w:val="20"/>
        </w:rPr>
        <w:t xml:space="preserve"> </w:t>
      </w:r>
      <w:r>
        <w:rPr>
          <w:rFonts w:ascii="Calibri" w:hAnsi="Calibri"/>
          <w:sz w:val="20"/>
        </w:rPr>
        <w:t xml:space="preserve">- If the Required Preferred consent was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obtained, the Company may have breached the charter protective provision in entering the term loan. Preferred holders (including Stonemill) may have a claim and could seek to challenge the loan or assert damages.</w:t>
      </w:r>
      <w:r>
        <w:rPr>
          <w:rFonts w:ascii="Calibri" w:hAnsi="Calibri"/>
          <w:sz w:val="20"/>
        </w:rPr>
        <w:t xml:space="preserve"> </w:t>
      </w:r>
      <w:r>
        <w:rPr>
          <w:rFonts w:ascii="Calibri" w:hAnsi="Calibri"/>
          <w:sz w:val="20"/>
        </w:rPr>
        <w:t xml:space="preserve">- This is</w:t>
      </w:r>
      <w:r>
        <w:rPr>
          <w:rFonts w:ascii="Calibri" w:hAnsi="Calibri"/>
          <w:sz w:val="20"/>
        </w:rPr>
        <w:t xml:space="preserve"> </w:t>
      </w:r>
      <w:r>
        <w:rPr>
          <w:rFonts w:ascii="Calibri" w:hAnsi="Calibri"/>
          <w:b/>
          <w:bCs/>
          <w:sz w:val="20"/>
        </w:rPr>
        <w:t xml:space="preserve">additional leverage for Stonemill:</w:t>
      </w:r>
      <w:r>
        <w:rPr>
          <w:rFonts w:ascii="Calibri" w:hAnsi="Calibri"/>
          <w:sz w:val="20"/>
        </w:rPr>
        <w:t xml:space="preserve"> </w:t>
      </w:r>
      <w:r>
        <w:rPr>
          <w:rFonts w:ascii="Calibri" w:hAnsi="Calibri"/>
          <w:sz w:val="20"/>
        </w:rPr>
        <w:t xml:space="preserve">a potential breach claim that Stonemill could waive in exchange for Transaction concessions.</w:t>
      </w:r>
      <w:r>
        <w:rPr>
          <w:rFonts w:ascii="Calibri" w:hAnsi="Calibri"/>
          <w:sz w:val="20"/>
        </w:rPr>
        <w:t xml:space="preserve"> </w:t>
      </w:r>
      <w:r>
        <w:rPr>
          <w:rFonts w:ascii="Calibri" w:hAnsi="Calibri"/>
          <w:sz w:val="20"/>
        </w:rPr>
        <w:t xml:space="preserve">- The loan is to be repaid at closing (reflected in the $473M equity value), so the consent issue does not directly block the Transaction, but it is a governance failure that must be disclosed and addressed.</w:t>
      </w:r>
      <w:r>
        <w:rPr>
          <w:rFonts w:ascii="Calibri" w:hAnsi="Calibri"/>
          <w:sz w:val="20"/>
        </w:rPr>
        <w:t xml:space="preserve"> </w:t>
      </w:r>
      <w:r>
        <w:rPr>
          <w:rFonts w:ascii="Calibri" w:hAnsi="Calibri"/>
          <w:sz w:val="20"/>
        </w:rPr>
        <w:t xml:space="preserve">- Confirm whether the loan agreement contains a change-of-control covenant that could trigger a default pre-closing (request the loan agreement).</w:t>
      </w:r>
    </w:p>
    <w:p>
      <w:pPr>
        <w:pStyle w:val="BodyText"/>
        <w:keepNext w:val="0"/>
        <w:keepLines w:val="0"/>
        <w:spacing w:before="0" w:after="60" w:line="240" w:lineRule="auto"/>
      </w:pPr>
      <w:r>
        <w:rPr>
          <w:rFonts w:ascii="Calibri" w:hAnsi="Calibri"/>
          <w:b/>
          <w:bCs/>
          <w:sz w:val="20"/>
        </w:rPr>
        <w:t xml:space="preserve">Action:</w:t>
      </w:r>
      <w:r>
        <w:rPr>
          <w:rFonts w:ascii="Calibri" w:hAnsi="Calibri"/>
          <w:sz w:val="20"/>
        </w:rPr>
        <w:t xml:space="preserve"> </w:t>
      </w:r>
      <w:r>
        <w:rPr>
          <w:rFonts w:ascii="Calibri" w:hAnsi="Calibri"/>
          <w:sz w:val="20"/>
        </w:rPr>
        <w:t xml:space="preserve">Request all Preferred Stockholder written-consent records relating to the Clearfield term loan. If no consent was obtained, assess remediation (e.g., a ratifying consent) and disclosure obligations.</w:t>
      </w:r>
      <w:r>
        <w:rPr>
          <w:rFonts w:ascii="Calibri" w:hAnsi="Calibri"/>
          <w:sz w:val="20"/>
        </w:rPr>
        <w:t xml:space="preserve"> </w:t>
      </w:r>
      <w:r>
        <w:rPr>
          <w:rFonts w:ascii="Calibri" w:hAnsi="Calibri"/>
          <w:b/>
          <w:bCs/>
          <w:sz w:val="20"/>
        </w:rPr>
        <w:t xml:space="preserve">Severity: Critical.</w:t>
      </w:r>
    </w:p>
    <w:bookmarkEnd w:id="68"/>
    <w:bookmarkStart w:id="69" w:name="Xa135f2df5c6be1e16f721eed56b2e3bf446fa6e"/>
    <w:p>
      <w:pPr>
        <w:pStyle w:val="Heading3"/>
        <w:keepNext w:val="0"/>
        <w:keepLines w:val="0"/>
        <w:spacing w:before="100" w:after="20" w:line="240" w:lineRule="auto"/>
      </w:pPr>
      <w:r>
        <w:rPr>
          <w:rFonts w:ascii="Calibri" w:hAnsi="Calibri"/>
          <w:sz w:val="22"/>
        </w:rPr>
        <w:t xml:space="preserve">B. Equity Plan Share Reserve Increase (July 19, 2023) — Significant</w:t>
      </w:r>
    </w:p>
    <w:p>
      <w:pPr>
        <w:pStyle w:val="FirstParagraph"/>
        <w:keepNext w:val="0"/>
        <w:keepLines w:val="0"/>
        <w:spacing w:before="0" w:after="60" w:line="240" w:lineRule="auto"/>
      </w:pPr>
      <w:r>
        <w:rPr>
          <w:rFonts w:ascii="Calibri" w:hAnsi="Calibri"/>
          <w:sz w:val="20"/>
        </w:rPr>
        <w:t xml:space="preserve">As discussed in Area 7, the Board approved the 8.0M → 9.5M reserve increase (7-0), but the minutes do not address stockholder approval.</w:t>
      </w:r>
      <w:r>
        <w:rPr>
          <w:rFonts w:ascii="Calibri" w:hAnsi="Calibri"/>
          <w:sz w:val="20"/>
        </w:rPr>
        <w:t xml:space="preserve"> </w:t>
      </w:r>
      <w:r>
        <w:rPr>
          <w:rFonts w:ascii="Calibri" w:hAnsi="Calibri"/>
          <w:b/>
          <w:bCs/>
          <w:sz w:val="20"/>
        </w:rPr>
        <w:t xml:space="preserve">Severity: Significant.</w:t>
      </w:r>
      <w:r>
        <w:rPr>
          <w:rFonts w:ascii="Calibri" w:hAnsi="Calibri"/>
          <w:sz w:val="20"/>
        </w:rPr>
        <w:t xml:space="preserve"> </w:t>
      </w:r>
      <w:r>
        <w:rPr>
          <w:rFonts w:ascii="Calibri" w:hAnsi="Calibri"/>
          <w:sz w:val="20"/>
        </w:rPr>
        <w:t xml:space="preserve">Action: request the Plan and stockholder consent records.</w:t>
      </w:r>
    </w:p>
    <w:bookmarkEnd w:id="69"/>
    <w:bookmarkStart w:id="70" w:name="Xbcb05ea1d6ba72ca212dcd71cdd8053e9bd91c5"/>
    <w:p>
      <w:pPr>
        <w:pStyle w:val="Heading3"/>
        <w:keepNext w:val="0"/>
        <w:keepLines w:val="0"/>
        <w:spacing w:before="100" w:after="20" w:line="240" w:lineRule="auto"/>
      </w:pPr>
      <w:r>
        <w:rPr>
          <w:rFonts w:ascii="Calibri" w:hAnsi="Calibri"/>
          <w:sz w:val="22"/>
        </w:rPr>
        <w:t xml:space="preserve">C. SensorLink Technologies LOI — CRITICAL / TIME-SENSITIVE</w:t>
      </w:r>
    </w:p>
    <w:p>
      <w:pPr>
        <w:pStyle w:val="FirstParagraph"/>
        <w:keepNext w:val="0"/>
        <w:keepLines w:val="0"/>
        <w:spacing w:before="0" w:after="60" w:line="240" w:lineRule="auto"/>
      </w:pPr>
      <w:r>
        <w:rPr>
          <w:rFonts w:ascii="Calibri" w:hAnsi="Calibri"/>
          <w:sz w:val="20"/>
        </w:rPr>
        <w:t xml:space="preserve">At the January 24, 2024 meeting, the Board authorized the CEO to negotiate and execute a non-binding LOI with SensorLink Technologies, Inc. for a potential acquisition (up to $22M). The LOI was executed</w:t>
      </w:r>
      <w:r>
        <w:rPr>
          <w:rFonts w:ascii="Calibri" w:hAnsi="Calibri"/>
          <w:sz w:val="20"/>
        </w:rPr>
        <w:t xml:space="preserve"> </w:t>
      </w:r>
      <w:r>
        <w:rPr>
          <w:rFonts w:ascii="Calibri" w:hAnsi="Calibri"/>
          <w:b/>
          <w:bCs/>
          <w:sz w:val="20"/>
        </w:rPr>
        <w:t xml:space="preserve">March 8, 2024.</w:t>
      </w:r>
      <w:r>
        <w:rPr>
          <w:rFonts w:ascii="Calibri" w:hAnsi="Calibri"/>
          <w:sz w:val="20"/>
        </w:rPr>
        <w:t xml:space="preserve"> </w:t>
      </w:r>
      <w:r>
        <w:rPr>
          <w:rFonts w:ascii="Calibri" w:hAnsi="Calibri"/>
          <w:sz w:val="20"/>
        </w:rPr>
        <w:t xml:space="preserve">At the September 25, 2024 meeting, the CEO reported that the LOI contained a</w:t>
      </w:r>
      <w:r>
        <w:rPr>
          <w:rFonts w:ascii="Calibri" w:hAnsi="Calibri"/>
          <w:sz w:val="20"/>
        </w:rPr>
        <w:t xml:space="preserve"> </w:t>
      </w:r>
      <w:r>
        <w:rPr>
          <w:rFonts w:ascii="Calibri" w:hAnsi="Calibri"/>
          <w:b/>
          <w:bCs/>
          <w:sz w:val="20"/>
        </w:rPr>
        <w:t xml:space="preserve">mutual exclusivity provision</w:t>
      </w:r>
      <w:r>
        <w:rPr>
          <w:rFonts w:ascii="Calibri" w:hAnsi="Calibri"/>
          <w:sz w:val="20"/>
        </w:rPr>
        <w:t xml:space="preserve"> </w:t>
      </w:r>
      <w:r>
        <w:rPr>
          <w:rFonts w:ascii="Calibri" w:hAnsi="Calibri"/>
          <w:sz w:val="20"/>
        </w:rPr>
        <w:t xml:space="preserve">with an initial six-month term expiring</w:t>
      </w:r>
      <w:r>
        <w:rPr>
          <w:rFonts w:ascii="Calibri" w:hAnsi="Calibri"/>
          <w:sz w:val="20"/>
        </w:rPr>
        <w:t xml:space="preserve"> </w:t>
      </w:r>
      <w:r>
        <w:rPr>
          <w:rFonts w:ascii="Calibri" w:hAnsi="Calibri"/>
          <w:b/>
          <w:bCs/>
          <w:sz w:val="20"/>
        </w:rPr>
        <w:t xml:space="preserve">September 8, 2024</w:t>
      </w:r>
      <w:r>
        <w:rPr>
          <w:rFonts w:ascii="Calibri" w:hAnsi="Calibri"/>
          <w:sz w:val="20"/>
        </w:rPr>
        <w:t xml:space="preserve">, and an</w:t>
      </w:r>
      <w:r>
        <w:rPr>
          <w:rFonts w:ascii="Calibri" w:hAnsi="Calibri"/>
          <w:sz w:val="20"/>
        </w:rPr>
        <w:t xml:space="preserve"> </w:t>
      </w:r>
      <w:r>
        <w:rPr>
          <w:rFonts w:ascii="Calibri" w:hAnsi="Calibri"/>
          <w:b/>
          <w:bCs/>
          <w:sz w:val="20"/>
        </w:rPr>
        <w:t xml:space="preserve">automatic renewal</w:t>
      </w:r>
      <w:r>
        <w:rPr>
          <w:rFonts w:ascii="Calibri" w:hAnsi="Calibri"/>
          <w:sz w:val="20"/>
        </w:rPr>
        <w:t xml:space="preserve"> </w:t>
      </w:r>
      <w:r>
        <w:rPr>
          <w:rFonts w:ascii="Calibri" w:hAnsi="Calibri"/>
          <w:sz w:val="20"/>
        </w:rPr>
        <w:t xml:space="preserve">clause: the exclusivity period</w:t>
      </w:r>
      <w:r>
        <w:rPr>
          <w:rFonts w:ascii="Calibri" w:hAnsi="Calibri"/>
          <w:sz w:val="20"/>
        </w:rPr>
        <w:t xml:space="preserve"> </w:t>
      </w:r>
      <w:r>
        <w:rPr>
          <w:rFonts w:ascii="Calibri" w:hAnsi="Calibri"/>
          <w:sz w:val="20"/>
        </w:rPr>
        <w:t xml:space="preserve">“</w:t>
      </w:r>
      <w:r>
        <w:rPr>
          <w:rFonts w:ascii="Calibri" w:hAnsi="Calibri"/>
          <w:sz w:val="20"/>
        </w:rPr>
        <w:t xml:space="preserve">automatically extended for successive ninety (90)-day periods unless either party provided written notice of termination to the other party at least fifteen (15) days prior to the expiration of the then-current exclusivity period.</w:t>
      </w:r>
      <w:r>
        <w:rPr>
          <w:rFonts w:ascii="Calibri" w:hAnsi="Calibri"/>
          <w:sz w:val="20"/>
        </w:rPr>
        <w:t xml:space="preserve">”</w:t>
      </w:r>
    </w:p>
    <w:p>
      <w:pPr>
        <w:pStyle w:val="BodyText"/>
        <w:keepNext w:val="0"/>
        <w:keepLines w:val="0"/>
        <w:spacing w:before="0" w:after="60" w:line="240" w:lineRule="auto"/>
      </w:pPr>
      <w:r>
        <w:rPr>
          <w:rFonts w:ascii="Calibri" w:hAnsi="Calibri"/>
          <w:b/>
          <w:bCs/>
          <w:sz w:val="20"/>
        </w:rPr>
        <w:t xml:space="preserve">Critical facts:</w:t>
      </w:r>
      <w:r>
        <w:rPr>
          <w:rFonts w:ascii="Calibri" w:hAnsi="Calibri"/>
          <w:sz w:val="20"/>
        </w:rPr>
        <w:t xml:space="preserve"> </w:t>
      </w:r>
      <w:r>
        <w:rPr>
          <w:rFonts w:ascii="Calibri" w:hAnsi="Calibri"/>
          <w:sz w:val="20"/>
        </w:rPr>
        <w:t xml:space="preserve">- To prevent the first auto-renewal, written termination notice had to be delivered</w:t>
      </w:r>
      <w:r>
        <w:rPr>
          <w:rFonts w:ascii="Calibri" w:hAnsi="Calibri"/>
          <w:sz w:val="20"/>
        </w:rPr>
        <w:t xml:space="preserve"> </w:t>
      </w:r>
      <w:r>
        <w:rPr>
          <w:rFonts w:ascii="Calibri" w:hAnsi="Calibri"/>
          <w:b/>
          <w:bCs/>
          <w:sz w:val="20"/>
        </w:rPr>
        <w:t xml:space="preserve">on or before August 24, 2024</w:t>
      </w:r>
      <w:r>
        <w:rPr>
          <w:rFonts w:ascii="Calibri" w:hAnsi="Calibri"/>
          <w:sz w:val="20"/>
        </w:rPr>
        <w:t xml:space="preserve"> </w:t>
      </w:r>
      <w:r>
        <w:rPr>
          <w:rFonts w:ascii="Calibri" w:hAnsi="Calibri"/>
          <w:sz w:val="20"/>
        </w:rPr>
        <w:t xml:space="preserve">(15 days before September 8, 2024).</w:t>
      </w:r>
      <w:r>
        <w:rPr>
          <w:rFonts w:ascii="Calibri" w:hAnsi="Calibri"/>
          <w:sz w:val="20"/>
        </w:rPr>
        <w:t xml:space="preserve"> </w:t>
      </w:r>
      <w:r>
        <w:rPr>
          <w:rFonts w:ascii="Calibri" w:hAnsi="Calibri"/>
          <w:sz w:val="20"/>
        </w:rPr>
        <w:t xml:space="preserve">- The CEO acknowledged at the September 25 meeting that he was</w:t>
      </w:r>
      <w:r>
        <w:rPr>
          <w:rFonts w:ascii="Calibri" w:hAnsi="Calibri"/>
          <w:sz w:val="20"/>
        </w:rPr>
        <w:t xml:space="preserve"> </w:t>
      </w:r>
      <w:r>
        <w:rPr>
          <w:rFonts w:ascii="Calibri" w:hAnsi="Calibri"/>
          <w:b/>
          <w:bCs/>
          <w:sz w:val="20"/>
        </w:rPr>
        <w:t xml:space="preserve">“</w:t>
      </w:r>
      <w:r>
        <w:rPr>
          <w:rFonts w:ascii="Calibri" w:hAnsi="Calibri"/>
          <w:b/>
          <w:bCs/>
          <w:sz w:val="20"/>
        </w:rPr>
        <w:t xml:space="preserve">not certain whether a formal written termination notice had been delivered.</w:t>
      </w:r>
      <w:r>
        <w:rPr>
          <w:rFonts w:ascii="Calibri" w:hAnsi="Calibri"/>
          <w:b/>
          <w:bCs/>
          <w:sz w:val="20"/>
        </w:rPr>
        <w:t xml:space="preserve">”</w:t>
      </w:r>
      <w:r>
        <w:rPr>
          <w:rFonts w:ascii="Calibri" w:hAnsi="Calibri"/>
          <w:sz w:val="20"/>
        </w:rPr>
        <w:t xml:space="preserve"> </w:t>
      </w:r>
      <w:r>
        <w:rPr>
          <w:rFonts w:ascii="Calibri" w:hAnsi="Calibri"/>
          <w:sz w:val="20"/>
        </w:rPr>
        <w:t xml:space="preserve">Outside counsel Rourke flagged the auto-renewal and recommended immediate confirmation/termination.</w:t>
      </w:r>
      <w:r>
        <w:rPr>
          <w:rFonts w:ascii="Calibri" w:hAnsi="Calibri"/>
          <w:sz w:val="20"/>
        </w:rPr>
        <w:t xml:space="preserve"> </w:t>
      </w:r>
      <w:r>
        <w:rPr>
          <w:rFonts w:ascii="Calibri" w:hAnsi="Calibri"/>
          <w:sz w:val="20"/>
        </w:rPr>
        <w:t xml:space="preserve">-</w:t>
      </w:r>
      <w:r>
        <w:rPr>
          <w:rFonts w:ascii="Calibri" w:hAnsi="Calibri"/>
          <w:sz w:val="20"/>
        </w:rPr>
        <w:t xml:space="preserve"> </w:t>
      </w:r>
      <w:r>
        <w:rPr>
          <w:rFonts w:ascii="Calibri" w:hAnsi="Calibri"/>
          <w:b/>
          <w:bCs/>
          <w:sz w:val="20"/>
        </w:rPr>
        <w:t xml:space="preserve">No termination notice appears to have been sent before September 8, 2024.</w:t>
      </w:r>
      <w:r>
        <w:rPr>
          <w:rFonts w:ascii="Calibri" w:hAnsi="Calibri"/>
          <w:sz w:val="20"/>
        </w:rPr>
        <w:t xml:space="preserve"> </w:t>
      </w:r>
      <w:r>
        <w:rPr>
          <w:rFonts w:ascii="Calibri" w:hAnsi="Calibri"/>
          <w:sz w:val="20"/>
        </w:rPr>
        <w:t xml:space="preserve">Accordingly, the exclusivity</w:t>
      </w:r>
      <w:r>
        <w:rPr>
          <w:rFonts w:ascii="Calibri" w:hAnsi="Calibri"/>
          <w:sz w:val="20"/>
        </w:rPr>
        <w:t xml:space="preserve"> </w:t>
      </w:r>
      <w:r>
        <w:rPr>
          <w:rFonts w:ascii="Calibri" w:hAnsi="Calibri"/>
          <w:b/>
          <w:bCs/>
          <w:sz w:val="20"/>
        </w:rPr>
        <w:t xml:space="preserve">auto-renewed on September 8, 2024</w:t>
      </w:r>
      <w:r>
        <w:rPr>
          <w:rFonts w:ascii="Calibri" w:hAnsi="Calibri"/>
          <w:sz w:val="20"/>
        </w:rPr>
        <w:t xml:space="preserve"> </w:t>
      </w:r>
      <w:r>
        <w:rPr>
          <w:rFonts w:ascii="Calibri" w:hAnsi="Calibri"/>
          <w:sz w:val="20"/>
        </w:rPr>
        <w:t xml:space="preserve">for a 90-day period running through approximately</w:t>
      </w:r>
      <w:r>
        <w:rPr>
          <w:rFonts w:ascii="Calibri" w:hAnsi="Calibri"/>
          <w:sz w:val="20"/>
        </w:rPr>
        <w:t xml:space="preserve"> </w:t>
      </w:r>
      <w:r>
        <w:rPr>
          <w:rFonts w:ascii="Calibri" w:hAnsi="Calibri"/>
          <w:b/>
          <w:bCs/>
          <w:sz w:val="20"/>
        </w:rPr>
        <w:t xml:space="preserve">December 7, 2024.</w:t>
      </w:r>
      <w:r>
        <w:rPr>
          <w:rFonts w:ascii="Calibri" w:hAnsi="Calibri"/>
          <w:sz w:val="20"/>
        </w:rPr>
        <w:t xml:space="preserve"> </w:t>
      </w:r>
      <w:r>
        <w:rPr>
          <w:rFonts w:ascii="Calibri" w:hAnsi="Calibri"/>
          <w:sz w:val="20"/>
        </w:rPr>
        <w:t xml:space="preserve">To prevent the</w:t>
      </w:r>
      <w:r>
        <w:rPr>
          <w:rFonts w:ascii="Calibri" w:hAnsi="Calibri"/>
          <w:sz w:val="20"/>
        </w:rPr>
        <w:t xml:space="preserve"> </w:t>
      </w:r>
      <w:r>
        <w:rPr>
          <w:rFonts w:ascii="Calibri" w:hAnsi="Calibri"/>
          <w:i/>
          <w:iCs/>
          <w:sz w:val="20"/>
        </w:rPr>
        <w:t xml:space="preserve">next</w:t>
      </w:r>
      <w:r>
        <w:rPr>
          <w:rFonts w:ascii="Calibri" w:hAnsi="Calibri"/>
          <w:sz w:val="20"/>
        </w:rPr>
        <w:t xml:space="preserve"> </w:t>
      </w:r>
      <w:r>
        <w:rPr>
          <w:rFonts w:ascii="Calibri" w:hAnsi="Calibri"/>
          <w:sz w:val="20"/>
        </w:rPr>
        <w:t xml:space="preserve">renewal, notice must be delivered on or before approximately</w:t>
      </w:r>
      <w:r>
        <w:rPr>
          <w:rFonts w:ascii="Calibri" w:hAnsi="Calibri"/>
          <w:sz w:val="20"/>
        </w:rPr>
        <w:t xml:space="preserve"> </w:t>
      </w:r>
      <w:r>
        <w:rPr>
          <w:rFonts w:ascii="Calibri" w:hAnsi="Calibri"/>
          <w:b/>
          <w:bCs/>
          <w:sz w:val="20"/>
        </w:rPr>
        <w:t xml:space="preserve">November 22, 2024.</w:t>
      </w:r>
    </w:p>
    <w:p>
      <w:pPr>
        <w:pStyle w:val="BodyText"/>
        <w:keepNext w:val="0"/>
        <w:keepLines w:val="0"/>
        <w:spacing w:before="0" w:after="60" w:line="240" w:lineRule="auto"/>
      </w:pPr>
      <w:r>
        <w:rPr>
          <w:rFonts w:ascii="Calibri" w:hAnsi="Calibri"/>
          <w:b/>
          <w:bCs/>
          <w:sz w:val="20"/>
        </w:rPr>
        <w:t xml:space="preserve">Implications — potential deal conflict:</w:t>
      </w:r>
      <w:r>
        <w:rPr>
          <w:rFonts w:ascii="Calibri" w:hAnsi="Calibri"/>
          <w:sz w:val="20"/>
        </w:rPr>
        <w:t xml:space="preserve"> </w:t>
      </w:r>
      <w:r>
        <w:rPr>
          <w:rFonts w:ascii="Calibri" w:hAnsi="Calibri"/>
          <w:sz w:val="20"/>
        </w:rPr>
        <w:t xml:space="preserve">- Terravox may be subject to a</w:t>
      </w:r>
      <w:r>
        <w:rPr>
          <w:rFonts w:ascii="Calibri" w:hAnsi="Calibri"/>
          <w:sz w:val="20"/>
        </w:rPr>
        <w:t xml:space="preserve"> </w:t>
      </w:r>
      <w:r>
        <w:rPr>
          <w:rFonts w:ascii="Calibri" w:hAnsi="Calibri"/>
          <w:b/>
          <w:bCs/>
          <w:sz w:val="20"/>
        </w:rPr>
        <w:t xml:space="preserve">live exclusivity obligation to SensorLink</w:t>
      </w:r>
      <w:r>
        <w:rPr>
          <w:rFonts w:ascii="Calibri" w:hAnsi="Calibri"/>
          <w:sz w:val="20"/>
        </w:rPr>
        <w:t xml:space="preserve"> </w:t>
      </w:r>
      <w:r>
        <w:rPr>
          <w:rFonts w:ascii="Calibri" w:hAnsi="Calibri"/>
          <w:sz w:val="20"/>
        </w:rPr>
        <w:t xml:space="preserve">that runs through at least December 7, 2024 (and continues to auto-renew unless terminated). If the LOI’s exclusivity prohibits Terravox from negotiating or signing a definitive agreement with another party (Hargrove) during the exclusivity period,</w:t>
      </w:r>
      <w:r>
        <w:rPr>
          <w:rFonts w:ascii="Calibri" w:hAnsi="Calibri"/>
          <w:sz w:val="20"/>
        </w:rPr>
        <w:t xml:space="preserve"> </w:t>
      </w:r>
      <w:r>
        <w:rPr>
          <w:rFonts w:ascii="Calibri" w:hAnsi="Calibri"/>
          <w:b/>
          <w:bCs/>
          <w:sz w:val="20"/>
        </w:rPr>
        <w:t xml:space="preserve">Terravox’s signing of a definitive merger agreement with Hargrove could breach the SensorLink LOI</w:t>
      </w:r>
      <w:r>
        <w:rPr>
          <w:rFonts w:ascii="Calibri" w:hAnsi="Calibri"/>
          <w:sz w:val="20"/>
        </w:rPr>
        <w:t xml:space="preserve">, exposing Terravox to contractual liability and giving SensorLink a potential claim (and possibly a basis to seek to enjoin or delay the Hargrove transaction).</w:t>
      </w:r>
      <w:r>
        <w:rPr>
          <w:rFonts w:ascii="Calibri" w:hAnsi="Calibri"/>
          <w:sz w:val="20"/>
        </w:rPr>
        <w:t xml:space="preserve"> </w:t>
      </w:r>
      <w:r>
        <w:rPr>
          <w:rFonts w:ascii="Calibri" w:hAnsi="Calibri"/>
          <w:sz w:val="20"/>
        </w:rPr>
        <w:t xml:space="preserve">- This is a</w:t>
      </w:r>
      <w:r>
        <w:rPr>
          <w:rFonts w:ascii="Calibri" w:hAnsi="Calibri"/>
          <w:sz w:val="20"/>
        </w:rPr>
        <w:t xml:space="preserve"> </w:t>
      </w:r>
      <w:r>
        <w:rPr>
          <w:rFonts w:ascii="Calibri" w:hAnsi="Calibri"/>
          <w:b/>
          <w:bCs/>
          <w:sz w:val="20"/>
        </w:rPr>
        <w:t xml:space="preserve">time-sensitive issue that could directly conflict with the ability to sign a definitive agreement with Hargrove.</w:t>
      </w:r>
      <w:r>
        <w:rPr>
          <w:rFonts w:ascii="Calibri" w:hAnsi="Calibri"/>
          <w:sz w:val="20"/>
        </w:rPr>
        <w:t xml:space="preserve"> </w:t>
      </w:r>
      <w:r>
        <w:rPr>
          <w:rFonts w:ascii="Calibri" w:hAnsi="Calibri"/>
          <w:sz w:val="20"/>
        </w:rPr>
        <w:t xml:space="preserve">Per the engagement email, this should be flagged immediately.</w:t>
      </w:r>
    </w:p>
    <w:p>
      <w:pPr>
        <w:pStyle w:val="BodyText"/>
        <w:keepNext w:val="0"/>
        <w:keepLines w:val="0"/>
        <w:spacing w:before="0" w:after="60" w:line="240" w:lineRule="auto"/>
      </w:pPr>
      <w:r>
        <w:rPr>
          <w:rFonts w:ascii="Calibri" w:hAnsi="Calibri"/>
          <w:b/>
          <w:bCs/>
          <w:sz w:val="20"/>
        </w:rPr>
        <w:t xml:space="preserve">Action (urgent):</w:t>
      </w:r>
      <w:r>
        <w:rPr>
          <w:rFonts w:ascii="Calibri" w:hAnsi="Calibri"/>
          <w:sz w:val="20"/>
        </w:rPr>
        <w:t xml:space="preserve"> </w:t>
      </w:r>
      <w:r>
        <w:rPr>
          <w:rFonts w:ascii="Calibri" w:hAnsi="Calibri"/>
          <w:sz w:val="20"/>
        </w:rPr>
        <w:t xml:space="preserve">1. Immediately confirm whether a written termination notice was sent to SensorLink after the September 25 meeting, and the date and form of any such notice.</w:t>
      </w:r>
      <w:r>
        <w:rPr>
          <w:rFonts w:ascii="Calibri" w:hAnsi="Calibri"/>
          <w:sz w:val="20"/>
        </w:rPr>
        <w:t xml:space="preserve"> </w:t>
      </w:r>
      <w:r>
        <w:rPr>
          <w:rFonts w:ascii="Calibri" w:hAnsi="Calibri"/>
          <w:sz w:val="20"/>
        </w:rPr>
        <w:t xml:space="preserve">2. If no effective notice was sent,</w:t>
      </w:r>
      <w:r>
        <w:rPr>
          <w:rFonts w:ascii="Calibri" w:hAnsi="Calibri"/>
          <w:sz w:val="20"/>
        </w:rPr>
        <w:t xml:space="preserve"> </w:t>
      </w:r>
      <w:r>
        <w:rPr>
          <w:rFonts w:ascii="Calibri" w:hAnsi="Calibri"/>
          <w:b/>
          <w:bCs/>
          <w:sz w:val="20"/>
        </w:rPr>
        <w:t xml:space="preserve">send written termination notice immediately</w:t>
      </w:r>
      <w:r>
        <w:rPr>
          <w:rFonts w:ascii="Calibri" w:hAnsi="Calibri"/>
          <w:sz w:val="20"/>
        </w:rPr>
        <w:t xml:space="preserve"> </w:t>
      </w:r>
      <w:r>
        <w:rPr>
          <w:rFonts w:ascii="Calibri" w:hAnsi="Calibri"/>
          <w:sz w:val="20"/>
        </w:rPr>
        <w:t xml:space="preserve">(to be effective for the December 7, 2024 renewal, it must be delivered on or before ~November 22, 2024; earlier is better).</w:t>
      </w:r>
      <w:r>
        <w:rPr>
          <w:rFonts w:ascii="Calibri" w:hAnsi="Calibri"/>
          <w:sz w:val="20"/>
        </w:rPr>
        <w:t xml:space="preserve"> </w:t>
      </w:r>
      <w:r>
        <w:rPr>
          <w:rFonts w:ascii="Calibri" w:hAnsi="Calibri"/>
          <w:sz w:val="20"/>
        </w:rPr>
        <w:t xml:space="preserve">3.</w:t>
      </w:r>
      <w:r>
        <w:rPr>
          <w:rFonts w:ascii="Calibri" w:hAnsi="Calibri"/>
          <w:sz w:val="20"/>
        </w:rPr>
        <w:t xml:space="preserve"> </w:t>
      </w:r>
      <w:r>
        <w:rPr>
          <w:rFonts w:ascii="Calibri" w:hAnsi="Calibri"/>
          <w:b/>
          <w:bCs/>
          <w:sz w:val="20"/>
        </w:rPr>
        <w:t xml:space="preserve">Obtain a mutual termination/waiver agreement from SensorLink</w:t>
      </w:r>
      <w:r>
        <w:rPr>
          <w:rFonts w:ascii="Calibri" w:hAnsi="Calibri"/>
          <w:sz w:val="20"/>
        </w:rPr>
        <w:t xml:space="preserve"> </w:t>
      </w:r>
      <w:r>
        <w:rPr>
          <w:rFonts w:ascii="Calibri" w:hAnsi="Calibri"/>
          <w:sz w:val="20"/>
        </w:rPr>
        <w:t xml:space="preserve">— this is the cleanest and fastest path to extinguish the exclusivity and any associated obligations.</w:t>
      </w:r>
      <w:r>
        <w:rPr>
          <w:rFonts w:ascii="Calibri" w:hAnsi="Calibri"/>
          <w:sz w:val="20"/>
        </w:rPr>
        <w:t xml:space="preserve"> </w:t>
      </w:r>
      <w:r>
        <w:rPr>
          <w:rFonts w:ascii="Calibri" w:hAnsi="Calibri"/>
          <w:sz w:val="20"/>
        </w:rPr>
        <w:t xml:space="preserve">4.</w:t>
      </w:r>
      <w:r>
        <w:rPr>
          <w:rFonts w:ascii="Calibri" w:hAnsi="Calibri"/>
          <w:sz w:val="20"/>
        </w:rPr>
        <w:t xml:space="preserve"> </w:t>
      </w:r>
      <w:r>
        <w:rPr>
          <w:rFonts w:ascii="Calibri" w:hAnsi="Calibri"/>
          <w:b/>
          <w:bCs/>
          <w:sz w:val="20"/>
        </w:rPr>
        <w:t xml:space="preserve">Request and review the full SensorLink LOI</w:t>
      </w:r>
      <w:r>
        <w:rPr>
          <w:rFonts w:ascii="Calibri" w:hAnsi="Calibri"/>
          <w:sz w:val="20"/>
        </w:rPr>
        <w:t xml:space="preserve"> </w:t>
      </w:r>
      <w:r>
        <w:rPr>
          <w:rFonts w:ascii="Calibri" w:hAnsi="Calibri"/>
          <w:sz w:val="20"/>
        </w:rPr>
        <w:t xml:space="preserve">to identify (a) the exact scope of the exclusivity (what activities are prohibited), (b) any standstill, non-solicitation, expense-reimbursement, or break-up fee provisions, (c) the governing law and dispute-resolution mechanism, and (d) the survival of any obligations post-termination.</w:t>
      </w:r>
      <w:r>
        <w:rPr>
          <w:rFonts w:ascii="Calibri" w:hAnsi="Calibri"/>
          <w:sz w:val="20"/>
        </w:rPr>
        <w:t xml:space="preserve"> </w:t>
      </w:r>
      <w:r>
        <w:rPr>
          <w:rFonts w:ascii="Calibri" w:hAnsi="Calibri"/>
          <w:sz w:val="20"/>
        </w:rPr>
        <w:t xml:space="preserve">5. Assess whether any breach has already occurred (e.g., if Terravox engaged with Hargrove during the exclusivity period) and the resulting exposure.</w:t>
      </w:r>
      <w:r>
        <w:rPr>
          <w:rFonts w:ascii="Calibri" w:hAnsi="Calibri"/>
          <w:sz w:val="20"/>
        </w:rPr>
        <w:t xml:space="preserve"> </w:t>
      </w:r>
      <w:r>
        <w:rPr>
          <w:rFonts w:ascii="Calibri" w:hAnsi="Calibri"/>
          <w:sz w:val="20"/>
        </w:rPr>
        <w:t xml:space="preserve">6. Address the SensorLink exclusivity in the merger agreement (e.g., as a disclosure schedule item and a closing condition / bring-down).</w:t>
      </w:r>
    </w:p>
    <w:p>
      <w:pPr>
        <w:pStyle w:val="BodyText"/>
        <w:keepNext w:val="0"/>
        <w:keepLines w:val="0"/>
        <w:spacing w:before="0" w:after="60" w:line="240" w:lineRule="auto"/>
      </w:pPr>
      <w:r>
        <w:rPr>
          <w:rFonts w:ascii="Calibri" w:hAnsi="Calibri"/>
          <w:b/>
          <w:bCs/>
          <w:sz w:val="20"/>
        </w:rPr>
        <w:t xml:space="preserve">Severity: Critical / time-sensitive.</w:t>
      </w:r>
      <w:r>
        <w:rPr>
          <w:rFonts w:ascii="Calibri" w:hAnsi="Calibri"/>
          <w:sz w:val="20"/>
        </w:rPr>
        <w:t xml:space="preserve"> </w:t>
      </w:r>
      <w:r>
        <w:rPr>
          <w:rFonts w:ascii="Calibri" w:hAnsi="Calibri"/>
          <w:sz w:val="20"/>
        </w:rPr>
        <w:t xml:space="preserve">This is the item most likely to be a deal-breaker or to delay signing, and it should be escalated to Jonathan Hsieh immediately, ahead of the full memo.</w:t>
      </w:r>
    </w:p>
    <w:bookmarkEnd w:id="70"/>
    <w:bookmarkStart w:id="71" w:name="Xca657b7cfd5af7ec2442042d378dc286691933f"/>
    <w:p>
      <w:pPr>
        <w:pStyle w:val="Heading3"/>
        <w:keepNext w:val="0"/>
        <w:keepLines w:val="0"/>
        <w:spacing w:before="100" w:after="20" w:line="240" w:lineRule="auto"/>
      </w:pPr>
      <w:r>
        <w:rPr>
          <w:rFonts w:ascii="Calibri" w:hAnsi="Calibri"/>
          <w:sz w:val="22"/>
        </w:rPr>
        <w:t xml:space="preserve">D. Other Board Actions — Properly Authorized</w:t>
      </w:r>
    </w:p>
    <w:p>
      <w:pPr>
        <w:pStyle w:val="FirstParagraph"/>
        <w:keepNext w:val="0"/>
        <w:keepLines w:val="0"/>
        <w:spacing w:before="0" w:after="60" w:line="240" w:lineRule="auto"/>
      </w:pPr>
      <w:r>
        <w:rPr>
          <w:rFonts w:ascii="Calibri" w:hAnsi="Calibri"/>
          <w:sz w:val="20"/>
        </w:rPr>
        <w:t xml:space="preserve">For completeness, the following actions were properly authorized by a quorum of the Board and do not, on their face, trigger separate consent requirements (subject to the equity-plan and term-loan items above): FY2023 and FY2024 operating budgets; Permian Basin Energy Co. MSA (up to $15M, a commercial contract, not</w:t>
      </w:r>
      <w:r>
        <w:rPr>
          <w:rFonts w:ascii="Calibri" w:hAnsi="Calibri"/>
          <w:sz w:val="20"/>
        </w:rPr>
        <w:t xml:space="preserve"> </w:t>
      </w:r>
      <w:r>
        <w:rPr>
          <w:rFonts w:ascii="Calibri" w:hAnsi="Calibri"/>
          <w:sz w:val="20"/>
        </w:rPr>
        <w:t xml:space="preserve">“</w:t>
      </w:r>
      <w:r>
        <w:rPr>
          <w:rFonts w:ascii="Calibri" w:hAnsi="Calibri"/>
          <w:sz w:val="20"/>
        </w:rPr>
        <w:t xml:space="preserve">indebtedness for borrowed money</w:t>
      </w:r>
      <w:r>
        <w:rPr>
          <w:rFonts w:ascii="Calibri" w:hAnsi="Calibri"/>
          <w:sz w:val="20"/>
        </w:rPr>
        <w:t xml:space="preserve">”</w:t>
      </w:r>
      <w:r>
        <w:rPr>
          <w:rFonts w:ascii="Calibri" w:hAnsi="Calibri"/>
          <w:sz w:val="20"/>
        </w:rPr>
        <w:t xml:space="preserve">); Meridian Partners engagement; Special Committee formation; Malhotra option grant and Yeung RSU grant (Plan-approved grants); quarterly and annual financial reviews; Hargrove engagement, exclusivity, and definitive-doc authorization; and Thornbury &amp; Associates engagement. The April 17, 2024 meeting had 5 of 7 directors present (quorum of 4 satisfied); the Hargrove-engagement resolution passed 5-0 and is valid Board action notwithstanding Trask’s absence (see Area 9).</w:t>
      </w:r>
    </w:p>
    <w:p>
      <w:pPr>
        <w:keepNext w:val="0"/>
        <w:keepLines w:val="0"/>
        <w:spacing w:before="0" w:after="60" w:line="240" w:lineRule="auto"/>
      </w:pPr>
      <w:r>
        <w:rPr>
          <w:rFonts w:ascii="Calibri" w:hAnsi="Calibri"/>
          <w:sz w:val="20"/>
        </w:rPr>
        <w:pict>
          <v:rect style="width:0;height:1.5pt" o:hralign="center" o:hrstd="t" o:hr="t"/>
        </w:pict>
      </w:r>
    </w:p>
    <w:bookmarkEnd w:id="71"/>
    <w:bookmarkEnd w:id="72"/>
    <w:bookmarkStart w:id="78" w:name="X19a1a396040e7b26ea1490973dd6178e8efe908"/>
    <w:p>
      <w:pPr>
        <w:pStyle w:val="Heading2"/>
        <w:keepNext w:val="0"/>
        <w:keepLines w:val="0"/>
        <w:spacing w:before="140" w:after="40" w:line="240" w:lineRule="auto"/>
      </w:pPr>
      <w:r>
        <w:rPr>
          <w:rFonts w:ascii="Calibri" w:hAnsi="Calibri"/>
          <w:sz w:val="25"/>
        </w:rPr>
        <w:t xml:space="preserve">XII. Area 9 — Fiduciary Duty and Sale-Process Concerns</w:t>
      </w:r>
    </w:p>
    <w:bookmarkStart w:id="73" w:name="Xbe14a9756deee82b307de8909daf1c0497a1591"/>
    <w:p>
      <w:pPr>
        <w:pStyle w:val="Heading3"/>
        <w:keepNext w:val="0"/>
        <w:keepLines w:val="0"/>
        <w:spacing w:before="100" w:after="20" w:line="240" w:lineRule="auto"/>
      </w:pPr>
      <w:r>
        <w:rPr>
          <w:rFonts w:ascii="Calibri" w:hAnsi="Calibri"/>
          <w:sz w:val="22"/>
        </w:rPr>
        <w:t xml:space="preserve">A. Special Committee Composition — Significant Vulnerability</w:t>
      </w:r>
    </w:p>
    <w:p>
      <w:pPr>
        <w:pStyle w:val="FirstParagraph"/>
        <w:keepNext w:val="0"/>
        <w:keepLines w:val="0"/>
        <w:spacing w:before="0" w:after="60" w:line="240" w:lineRule="auto"/>
      </w:pPr>
      <w:r>
        <w:rPr>
          <w:rFonts w:ascii="Calibri" w:hAnsi="Calibri"/>
          <w:sz w:val="20"/>
        </w:rPr>
        <w:t xml:space="preserve">The Special Committee, formed at the April 12, 2023 meeting, consists of</w:t>
      </w:r>
      <w:r>
        <w:rPr>
          <w:rFonts w:ascii="Calibri" w:hAnsi="Calibri"/>
          <w:sz w:val="20"/>
        </w:rPr>
        <w:t xml:space="preserve"> </w:t>
      </w:r>
      <w:r>
        <w:rPr>
          <w:rFonts w:ascii="Calibri" w:hAnsi="Calibri"/>
          <w:b/>
          <w:bCs/>
          <w:sz w:val="20"/>
        </w:rPr>
        <w:t xml:space="preserve">Rebecca Lau (Chair), Thomas Garrett, and Sandra Okafor.</w:t>
      </w:r>
      <w:r>
        <w:rPr>
          <w:rFonts w:ascii="Calibri" w:hAnsi="Calibri"/>
          <w:sz w:val="20"/>
        </w:rPr>
        <w:t xml:space="preserve"> </w:t>
      </w:r>
      <w:r>
        <w:rPr>
          <w:rFonts w:ascii="Calibri" w:hAnsi="Calibri"/>
          <w:sz w:val="20"/>
        </w:rPr>
        <w:t xml:space="preserve">The minutes expressly note that Okafor</w:t>
      </w:r>
      <w:r>
        <w:rPr>
          <w:rFonts w:ascii="Calibri" w:hAnsi="Calibri"/>
          <w:sz w:val="20"/>
        </w:rPr>
        <w:t xml:space="preserve"> </w:t>
      </w:r>
      <w:r>
        <w:rPr>
          <w:rFonts w:ascii="Calibri" w:hAnsi="Calibri"/>
          <w:sz w:val="20"/>
        </w:rPr>
        <w:t xml:space="preserve">“</w:t>
      </w:r>
      <w:r>
        <w:rPr>
          <w:rFonts w:ascii="Calibri" w:hAnsi="Calibri"/>
          <w:sz w:val="20"/>
        </w:rPr>
        <w:t xml:space="preserve">is a director designated by Northbridge Growth Equity Fund IV, LP pursuant to [the Voting Agreement].</w:t>
      </w:r>
      <w:r>
        <w:rPr>
          <w:rFonts w:ascii="Calibri" w:hAnsi="Calibri"/>
          <w:sz w:val="20"/>
        </w:rPr>
        <w:t xml:space="preserve">”</w:t>
      </w:r>
    </w:p>
    <w:p>
      <w:pPr>
        <w:pStyle w:val="BodyText"/>
        <w:keepNext w:val="0"/>
        <w:keepLines w:val="0"/>
        <w:spacing w:before="0" w:after="60" w:line="240" w:lineRule="auto"/>
      </w:pPr>
      <w:r>
        <w:rPr>
          <w:rFonts w:ascii="Calibri" w:hAnsi="Calibri"/>
          <w:b/>
          <w:bCs/>
          <w:sz w:val="20"/>
        </w:rPr>
        <w:t xml:space="preserve">Concern.</w:t>
      </w:r>
      <w:r>
        <w:rPr>
          <w:rFonts w:ascii="Calibri" w:hAnsi="Calibri"/>
          <w:sz w:val="20"/>
        </w:rPr>
        <w:t xml:space="preserve"> </w:t>
      </w:r>
      <w:r>
        <w:rPr>
          <w:rFonts w:ascii="Calibri" w:hAnsi="Calibri"/>
          <w:sz w:val="20"/>
        </w:rPr>
        <w:t xml:space="preserve">Under Delaware law (Revlon, CNX Gas, et al.), a special committee evaluating a sale-of-control transaction should be composed of</w:t>
      </w:r>
      <w:r>
        <w:rPr>
          <w:rFonts w:ascii="Calibri" w:hAnsi="Calibri"/>
          <w:sz w:val="20"/>
        </w:rPr>
        <w:t xml:space="preserve"> </w:t>
      </w:r>
      <w:r>
        <w:rPr>
          <w:rFonts w:ascii="Calibri" w:hAnsi="Calibri"/>
          <w:b/>
          <w:bCs/>
          <w:sz w:val="20"/>
        </w:rPr>
        <w:t xml:space="preserve">disinterested and independent</w:t>
      </w:r>
      <w:r>
        <w:rPr>
          <w:rFonts w:ascii="Calibri" w:hAnsi="Calibri"/>
          <w:sz w:val="20"/>
        </w:rPr>
        <w:t xml:space="preserve"> </w:t>
      </w:r>
      <w:r>
        <w:rPr>
          <w:rFonts w:ascii="Calibri" w:hAnsi="Calibri"/>
          <w:sz w:val="20"/>
        </w:rPr>
        <w:t xml:space="preserve">directors to invoke the business judgment rule and withstand fiduciary-duty challenges. Okafor is</w:t>
      </w:r>
      <w:r>
        <w:rPr>
          <w:rFonts w:ascii="Calibri" w:hAnsi="Calibri"/>
          <w:sz w:val="20"/>
        </w:rPr>
        <w:t xml:space="preserve"> </w:t>
      </w:r>
      <w:r>
        <w:rPr>
          <w:rFonts w:ascii="Calibri" w:hAnsi="Calibri"/>
          <w:b/>
          <w:bCs/>
          <w:sz w:val="20"/>
        </w:rPr>
        <w:t xml:space="preserve">neither disinterested nor independent</w:t>
      </w:r>
      <w:r>
        <w:rPr>
          <w:rFonts w:ascii="Calibri" w:hAnsi="Calibri"/>
          <w:sz w:val="20"/>
        </w:rPr>
        <w:t xml:space="preserve">: she is a Principal at Northbridge and Northbridge’s Board designee, and Northbridge holds 5,200,000 shares of Series B Preferred with a $48.1M liquidation preference and a distinct economic position in the waterfall (Series B converts and receives upside). Her duty as a director runs to all stockholders, but her structural role as a specific stockholder’s designee creates a conflict and undermines the committee’s independence.</w:t>
      </w:r>
    </w:p>
    <w:p>
      <w:pPr>
        <w:pStyle w:val="BodyText"/>
        <w:keepNext w:val="0"/>
        <w:keepLines w:val="0"/>
        <w:spacing w:before="0" w:after="60" w:line="240" w:lineRule="auto"/>
      </w:pPr>
      <w:r>
        <w:rPr>
          <w:rFonts w:ascii="Calibri" w:hAnsi="Calibri"/>
          <w:b/>
          <w:bCs/>
          <w:sz w:val="20"/>
        </w:rPr>
        <w:t xml:space="preserve">Why it matters.</w:t>
      </w:r>
      <w:r>
        <w:rPr>
          <w:rFonts w:ascii="Calibri" w:hAnsi="Calibri"/>
          <w:sz w:val="20"/>
        </w:rPr>
        <w:t xml:space="preserve"> </w:t>
      </w:r>
      <w:r>
        <w:rPr>
          <w:rFonts w:ascii="Calibri" w:hAnsi="Calibri"/>
          <w:sz w:val="20"/>
        </w:rPr>
        <w:t xml:space="preserve">A compromised Special Committee weakens the defense against a fiduciary-duty challenge — precisely the kind of challenge Stonemill (via Trask) is positioned to bring, and has signaled it may bring. The conflict is exacerbated by the Voting Agreement’s committee-composition requirement (§2.4): each committee must include at least one Investor Stockholder designee unless the Investor Stockholders agree otherwise in writing. This creates a</w:t>
      </w:r>
      <w:r>
        <w:rPr>
          <w:rFonts w:ascii="Calibri" w:hAnsi="Calibri"/>
          <w:sz w:val="20"/>
        </w:rPr>
        <w:t xml:space="preserve"> </w:t>
      </w:r>
      <w:r>
        <w:rPr>
          <w:rFonts w:ascii="Calibri" w:hAnsi="Calibri"/>
          <w:b/>
          <w:bCs/>
          <w:sz w:val="20"/>
        </w:rPr>
        <w:t xml:space="preserve">tension between the Voting Agreement’s mandate and fiduciary best practices.</w:t>
      </w:r>
    </w:p>
    <w:p>
      <w:pPr>
        <w:pStyle w:val="BodyText"/>
        <w:keepNext w:val="0"/>
        <w:keepLines w:val="0"/>
        <w:spacing w:before="0" w:after="60" w:line="240" w:lineRule="auto"/>
      </w:pPr>
      <w:r>
        <w:rPr>
          <w:rFonts w:ascii="Calibri" w:hAnsi="Calibri"/>
          <w:b/>
          <w:bCs/>
          <w:sz w:val="20"/>
        </w:rPr>
        <w:t xml:space="preserve">Recommendations:</w:t>
      </w:r>
      <w:r>
        <w:rPr>
          <w:rFonts w:ascii="Calibri" w:hAnsi="Calibri"/>
          <w:sz w:val="20"/>
        </w:rPr>
        <w:t xml:space="preserve"> </w:t>
      </w:r>
      <w:r>
        <w:rPr>
          <w:rFonts w:ascii="Calibri" w:hAnsi="Calibri"/>
          <w:sz w:val="20"/>
        </w:rPr>
        <w:t xml:space="preserve">1.</w:t>
      </w:r>
      <w:r>
        <w:rPr>
          <w:rFonts w:ascii="Calibri" w:hAnsi="Calibri"/>
          <w:sz w:val="20"/>
        </w:rPr>
        <w:t xml:space="preserve"> </w:t>
      </w:r>
      <w:r>
        <w:rPr>
          <w:rFonts w:ascii="Calibri" w:hAnsi="Calibri"/>
          <w:b/>
          <w:bCs/>
          <w:sz w:val="20"/>
        </w:rPr>
        <w:t xml:space="preserve">Reconstitute the Special Committee</w:t>
      </w:r>
      <w:r>
        <w:rPr>
          <w:rFonts w:ascii="Calibri" w:hAnsi="Calibri"/>
          <w:sz w:val="20"/>
        </w:rPr>
        <w:t xml:space="preserve"> </w:t>
      </w:r>
      <w:r>
        <w:rPr>
          <w:rFonts w:ascii="Calibri" w:hAnsi="Calibri"/>
          <w:sz w:val="20"/>
        </w:rPr>
        <w:t xml:space="preserve">to exclude Okafor, leaving Lau and Garrett (both independent), and obtain the</w:t>
      </w:r>
      <w:r>
        <w:rPr>
          <w:rFonts w:ascii="Calibri" w:hAnsi="Calibri"/>
          <w:sz w:val="20"/>
        </w:rPr>
        <w:t xml:space="preserve"> </w:t>
      </w:r>
      <w:r>
        <w:rPr>
          <w:rFonts w:ascii="Calibri" w:hAnsi="Calibri"/>
          <w:b/>
          <w:bCs/>
          <w:sz w:val="20"/>
        </w:rPr>
        <w:t xml:space="preserve">written agreement of the Investor Stockholders</w:t>
      </w:r>
      <w:r>
        <w:rPr>
          <w:rFonts w:ascii="Calibri" w:hAnsi="Calibri"/>
          <w:sz w:val="20"/>
        </w:rPr>
        <w:t xml:space="preserve"> </w:t>
      </w:r>
      <w:r>
        <w:rPr>
          <w:rFonts w:ascii="Calibri" w:hAnsi="Calibri"/>
          <w:sz w:val="20"/>
        </w:rPr>
        <w:t xml:space="preserve">to waive the §2.4 Investor-designee requirement (or substitute a truly independent director). If a third member is needed, add a new independent director rather than another Investor designee.</w:t>
      </w:r>
      <w:r>
        <w:rPr>
          <w:rFonts w:ascii="Calibri" w:hAnsi="Calibri"/>
          <w:sz w:val="20"/>
        </w:rPr>
        <w:t xml:space="preserve"> </w:t>
      </w:r>
      <w:r>
        <w:rPr>
          <w:rFonts w:ascii="Calibri" w:hAnsi="Calibri"/>
          <w:sz w:val="20"/>
        </w:rPr>
        <w:t xml:space="preserve">2.</w:t>
      </w:r>
      <w:r>
        <w:rPr>
          <w:rFonts w:ascii="Calibri" w:hAnsi="Calibri"/>
          <w:sz w:val="20"/>
        </w:rPr>
        <w:t xml:space="preserve"> </w:t>
      </w:r>
      <w:r>
        <w:rPr>
          <w:rFonts w:ascii="Calibri" w:hAnsi="Calibri"/>
          <w:b/>
          <w:bCs/>
          <w:sz w:val="20"/>
        </w:rPr>
        <w:t xml:space="preserve">Engage independent legal counsel for the Special Committee</w:t>
      </w:r>
      <w:r>
        <w:rPr>
          <w:rFonts w:ascii="Calibri" w:hAnsi="Calibri"/>
          <w:sz w:val="20"/>
        </w:rPr>
        <w:t xml:space="preserve">, separate from Avery, Pollard &amp; Glenn (which is Company counsel). The minutes show Rourke (Company counsel) advising the committee — this is a process weakness. Independent committee counsel is a standard Revlon protection.</w:t>
      </w:r>
      <w:r>
        <w:rPr>
          <w:rFonts w:ascii="Calibri" w:hAnsi="Calibri"/>
          <w:sz w:val="20"/>
        </w:rPr>
        <w:t xml:space="preserve"> </w:t>
      </w:r>
      <w:r>
        <w:rPr>
          <w:rFonts w:ascii="Calibri" w:hAnsi="Calibri"/>
          <w:sz w:val="20"/>
        </w:rPr>
        <w:t xml:space="preserve">3. Ensure the</w:t>
      </w:r>
      <w:r>
        <w:rPr>
          <w:rFonts w:ascii="Calibri" w:hAnsi="Calibri"/>
          <w:sz w:val="20"/>
        </w:rPr>
        <w:t xml:space="preserve"> </w:t>
      </w:r>
      <w:r>
        <w:rPr>
          <w:rFonts w:ascii="Calibri" w:hAnsi="Calibri"/>
          <w:b/>
          <w:bCs/>
          <w:sz w:val="20"/>
        </w:rPr>
        <w:t xml:space="preserve">Thornbury &amp; Associates fairness opinion</w:t>
      </w:r>
      <w:r>
        <w:rPr>
          <w:rFonts w:ascii="Calibri" w:hAnsi="Calibri"/>
          <w:sz w:val="20"/>
        </w:rPr>
        <w:t xml:space="preserve"> </w:t>
      </w:r>
      <w:r>
        <w:rPr>
          <w:rFonts w:ascii="Calibri" w:hAnsi="Calibri"/>
          <w:sz w:val="20"/>
        </w:rPr>
        <w:t xml:space="preserve">is finalized, delivered, and considered by the (reconstituted) committee before any approval of definitive documentation.</w:t>
      </w:r>
      <w:r>
        <w:rPr>
          <w:rFonts w:ascii="Calibri" w:hAnsi="Calibri"/>
          <w:sz w:val="20"/>
        </w:rPr>
        <w:t xml:space="preserve"> </w:t>
      </w:r>
      <w:r>
        <w:rPr>
          <w:rFonts w:ascii="Calibri" w:hAnsi="Calibri"/>
          <w:sz w:val="20"/>
        </w:rPr>
        <w:t xml:space="preserve">4. Document the sale process thoroughly (market check, alternatives considered, negotiation history) to support Revlon compliance.</w:t>
      </w:r>
      <w:r>
        <w:rPr>
          <w:rFonts w:ascii="Calibri" w:hAnsi="Calibri"/>
          <w:sz w:val="20"/>
        </w:rPr>
        <w:t xml:space="preserve"> </w:t>
      </w:r>
      <w:r>
        <w:rPr>
          <w:rFonts w:ascii="Calibri" w:hAnsi="Calibri"/>
          <w:sz w:val="20"/>
        </w:rPr>
        <w:t xml:space="preserve">5. Consider whether Okafor’s participation to date taints prior committee actions and whether ratification or re-approval by a clean committee is advisable.</w:t>
      </w:r>
    </w:p>
    <w:p>
      <w:pPr>
        <w:pStyle w:val="BodyText"/>
        <w:keepNext w:val="0"/>
        <w:keepLines w:val="0"/>
        <w:spacing w:before="0" w:after="60" w:line="240" w:lineRule="auto"/>
      </w:pPr>
      <w:r>
        <w:rPr>
          <w:rFonts w:ascii="Calibri" w:hAnsi="Calibri"/>
          <w:b/>
          <w:bCs/>
          <w:sz w:val="20"/>
        </w:rPr>
        <w:t xml:space="preserve">Severity: Significant.</w:t>
      </w:r>
    </w:p>
    <w:bookmarkEnd w:id="73"/>
    <w:bookmarkStart w:id="74" w:name="Xab45b2d368b9ceda723439153f18fdc391529c1"/>
    <w:p>
      <w:pPr>
        <w:pStyle w:val="Heading3"/>
        <w:keepNext w:val="0"/>
        <w:keepLines w:val="0"/>
        <w:spacing w:before="100" w:after="20" w:line="240" w:lineRule="auto"/>
      </w:pPr>
      <w:r>
        <w:rPr>
          <w:rFonts w:ascii="Calibri" w:hAnsi="Calibri"/>
          <w:sz w:val="22"/>
        </w:rPr>
        <w:t xml:space="preserve">B. Trask’s Absence and Objection — Process Vulnerability</w:t>
      </w:r>
    </w:p>
    <w:p>
      <w:pPr>
        <w:pStyle w:val="FirstParagraph"/>
        <w:keepNext w:val="0"/>
        <w:keepLines w:val="0"/>
        <w:spacing w:before="0" w:after="60" w:line="240" w:lineRule="auto"/>
      </w:pPr>
      <w:r>
        <w:rPr>
          <w:rFonts w:ascii="Calibri" w:hAnsi="Calibri"/>
          <w:sz w:val="20"/>
        </w:rPr>
        <w:t xml:space="preserve">At the April 17, 2024 meeting (where the Board authorized engagement with Hargrove), Trask was absent (as was Garrett). The Stonemill observer was also absent. The resolution passed 5-0 and is</w:t>
      </w:r>
      <w:r>
        <w:rPr>
          <w:rFonts w:ascii="Calibri" w:hAnsi="Calibri"/>
          <w:sz w:val="20"/>
        </w:rPr>
        <w:t xml:space="preserve"> </w:t>
      </w:r>
      <w:r>
        <w:rPr>
          <w:rFonts w:ascii="Calibri" w:hAnsi="Calibri"/>
          <w:b/>
          <w:bCs/>
          <w:sz w:val="20"/>
        </w:rPr>
        <w:t xml:space="preserve">valid Board action</w:t>
      </w:r>
      <w:r>
        <w:rPr>
          <w:rFonts w:ascii="Calibri" w:hAnsi="Calibri"/>
          <w:sz w:val="20"/>
        </w:rPr>
        <w:t xml:space="preserve"> </w:t>
      </w:r>
      <w:r>
        <w:rPr>
          <w:rFonts w:ascii="Calibri" w:hAnsi="Calibri"/>
          <w:sz w:val="20"/>
        </w:rPr>
        <w:t xml:space="preserve">(quorum of 4 satisfied; 5 present). Trask’s absence does not invalidate the action.</w:t>
      </w:r>
    </w:p>
    <w:p>
      <w:pPr>
        <w:pStyle w:val="BodyText"/>
        <w:keepNext w:val="0"/>
        <w:keepLines w:val="0"/>
        <w:spacing w:before="0" w:after="60" w:line="240" w:lineRule="auto"/>
      </w:pPr>
      <w:r>
        <w:rPr>
          <w:rFonts w:ascii="Calibri" w:hAnsi="Calibri"/>
          <w:sz w:val="20"/>
        </w:rPr>
        <w:t xml:space="preserve">However, Trask objected by email on</w:t>
      </w:r>
      <w:r>
        <w:rPr>
          <w:rFonts w:ascii="Calibri" w:hAnsi="Calibri"/>
          <w:sz w:val="20"/>
        </w:rPr>
        <w:t xml:space="preserve"> </w:t>
      </w:r>
      <w:r>
        <w:rPr>
          <w:rFonts w:ascii="Calibri" w:hAnsi="Calibri"/>
          <w:b/>
          <w:bCs/>
          <w:sz w:val="20"/>
        </w:rPr>
        <w:t xml:space="preserve">April 19, 2024</w:t>
      </w:r>
      <w:r>
        <w:rPr>
          <w:rFonts w:ascii="Calibri" w:hAnsi="Calibri"/>
          <w:sz w:val="20"/>
        </w:rPr>
        <w:t xml:space="preserve">, stating that the Board acted</w:t>
      </w:r>
      <w:r>
        <w:rPr>
          <w:rFonts w:ascii="Calibri" w:hAnsi="Calibri"/>
          <w:sz w:val="20"/>
        </w:rPr>
        <w:t xml:space="preserve"> </w:t>
      </w:r>
      <w:r>
        <w:rPr>
          <w:rFonts w:ascii="Calibri" w:hAnsi="Calibri"/>
          <w:sz w:val="20"/>
        </w:rPr>
        <w:t xml:space="preserve">“</w:t>
      </w:r>
      <w:r>
        <w:rPr>
          <w:rFonts w:ascii="Calibri" w:hAnsi="Calibri"/>
          <w:sz w:val="20"/>
        </w:rPr>
        <w:t xml:space="preserve">without the full Board’s consideration and without Stonemill’s input,</w:t>
      </w:r>
      <w:r>
        <w:rPr>
          <w:rFonts w:ascii="Calibri" w:hAnsi="Calibri"/>
          <w:sz w:val="20"/>
        </w:rPr>
        <w:t xml:space="preserve">”</w:t>
      </w:r>
      <w:r>
        <w:rPr>
          <w:rFonts w:ascii="Calibri" w:hAnsi="Calibri"/>
          <w:sz w:val="20"/>
        </w:rPr>
        <w:t xml:space="preserve"> </w:t>
      </w:r>
      <w:r>
        <w:rPr>
          <w:rFonts w:ascii="Calibri" w:hAnsi="Calibri"/>
          <w:sz w:val="20"/>
        </w:rPr>
        <w:t xml:space="preserve">that Stonemill</w:t>
      </w:r>
      <w:r>
        <w:rPr>
          <w:rFonts w:ascii="Calibri" w:hAnsi="Calibri"/>
          <w:sz w:val="20"/>
        </w:rPr>
        <w:t xml:space="preserve"> </w:t>
      </w:r>
      <w:r>
        <w:rPr>
          <w:rFonts w:ascii="Calibri" w:hAnsi="Calibri"/>
          <w:sz w:val="20"/>
        </w:rPr>
        <w:t xml:space="preserve">“</w:t>
      </w:r>
      <w:r>
        <w:rPr>
          <w:rFonts w:ascii="Calibri" w:hAnsi="Calibri"/>
          <w:sz w:val="20"/>
        </w:rPr>
        <w:t xml:space="preserve">has significant economic and governance rights in connection with any potential change-of-control transaction,</w:t>
      </w:r>
      <w:r>
        <w:rPr>
          <w:rFonts w:ascii="Calibri" w:hAnsi="Calibri"/>
          <w:sz w:val="20"/>
        </w:rPr>
        <w:t xml:space="preserve">”</w:t>
      </w:r>
      <w:r>
        <w:rPr>
          <w:rFonts w:ascii="Calibri" w:hAnsi="Calibri"/>
          <w:sz w:val="20"/>
        </w:rPr>
        <w:t xml:space="preserve"> </w:t>
      </w:r>
      <w:r>
        <w:rPr>
          <w:rFonts w:ascii="Calibri" w:hAnsi="Calibri"/>
          <w:sz w:val="20"/>
        </w:rPr>
        <w:t xml:space="preserve">and that</w:t>
      </w:r>
      <w:r>
        <w:rPr>
          <w:rFonts w:ascii="Calibri" w:hAnsi="Calibri"/>
          <w:sz w:val="20"/>
        </w:rPr>
        <w:t xml:space="preserve"> </w:t>
      </w:r>
      <w:r>
        <w:rPr>
          <w:rFonts w:ascii="Calibri" w:hAnsi="Calibri"/>
          <w:sz w:val="20"/>
        </w:rPr>
        <w:t xml:space="preserve">“</w:t>
      </w:r>
      <w:r>
        <w:rPr>
          <w:rFonts w:ascii="Calibri" w:hAnsi="Calibri"/>
          <w:sz w:val="20"/>
        </w:rPr>
        <w:t xml:space="preserve">no further substantive steps be taken … without Stonemill’s participation.</w:t>
      </w:r>
      <w:r>
        <w:rPr>
          <w:rFonts w:ascii="Calibri" w:hAnsi="Calibri"/>
          <w:sz w:val="20"/>
        </w:rPr>
        <w:t xml:space="preserve">”</w:t>
      </w:r>
      <w:r>
        <w:rPr>
          <w:rFonts w:ascii="Calibri" w:hAnsi="Calibri"/>
          <w:sz w:val="20"/>
        </w:rPr>
        <w:t xml:space="preserve"> </w:t>
      </w:r>
      <w:r>
        <w:rPr>
          <w:rFonts w:ascii="Calibri" w:hAnsi="Calibri"/>
          <w:sz w:val="20"/>
        </w:rPr>
        <w:t xml:space="preserve">This objection is appended to the April 17 minutes.</w:t>
      </w:r>
    </w:p>
    <w:p>
      <w:pPr>
        <w:pStyle w:val="BodyText"/>
        <w:keepNext w:val="0"/>
        <w:keepLines w:val="0"/>
        <w:spacing w:before="0" w:after="60" w:line="240" w:lineRule="auto"/>
      </w:pPr>
      <w:r>
        <w:rPr>
          <w:rFonts w:ascii="Calibri" w:hAnsi="Calibri"/>
          <w:sz w:val="20"/>
        </w:rPr>
        <w:t xml:space="preserve">Trask subsequently</w:t>
      </w:r>
      <w:r>
        <w:rPr>
          <w:rFonts w:ascii="Calibri" w:hAnsi="Calibri"/>
          <w:sz w:val="20"/>
        </w:rPr>
        <w:t xml:space="preserve"> </w:t>
      </w:r>
      <w:r>
        <w:rPr>
          <w:rFonts w:ascii="Calibri" w:hAnsi="Calibri"/>
          <w:b/>
          <w:bCs/>
          <w:sz w:val="20"/>
        </w:rPr>
        <w:t xml:space="preserve">voted against</w:t>
      </w:r>
      <w:r>
        <w:rPr>
          <w:rFonts w:ascii="Calibri" w:hAnsi="Calibri"/>
          <w:sz w:val="20"/>
        </w:rPr>
        <w:t xml:space="preserve"> </w:t>
      </w:r>
      <w:r>
        <w:rPr>
          <w:rFonts w:ascii="Calibri" w:hAnsi="Calibri"/>
          <w:sz w:val="20"/>
        </w:rPr>
        <w:t xml:space="preserve">the Hargrove exclusivity (July 10, 2024) and the definitive-doc authorization (September 25, 2024), and</w:t>
      </w:r>
      <w:r>
        <w:rPr>
          <w:rFonts w:ascii="Calibri" w:hAnsi="Calibri"/>
          <w:sz w:val="20"/>
        </w:rPr>
        <w:t xml:space="preserve"> </w:t>
      </w:r>
      <w:r>
        <w:rPr>
          <w:rFonts w:ascii="Calibri" w:hAnsi="Calibri"/>
          <w:b/>
          <w:bCs/>
          <w:sz w:val="20"/>
        </w:rPr>
        <w:t xml:space="preserve">abstained</w:t>
      </w:r>
      <w:r>
        <w:rPr>
          <w:rFonts w:ascii="Calibri" w:hAnsi="Calibri"/>
          <w:sz w:val="20"/>
        </w:rPr>
        <w:t xml:space="preserve"> </w:t>
      </w:r>
      <w:r>
        <w:rPr>
          <w:rFonts w:ascii="Calibri" w:hAnsi="Calibri"/>
          <w:sz w:val="20"/>
        </w:rPr>
        <w:t xml:space="preserve">on the approval of the April 17 and July 10 minutes. This establishes a</w:t>
      </w:r>
      <w:r>
        <w:rPr>
          <w:rFonts w:ascii="Calibri" w:hAnsi="Calibri"/>
          <w:sz w:val="20"/>
        </w:rPr>
        <w:t xml:space="preserve"> </w:t>
      </w:r>
      <w:r>
        <w:rPr>
          <w:rFonts w:ascii="Calibri" w:hAnsi="Calibri"/>
          <w:b/>
          <w:bCs/>
          <w:sz w:val="20"/>
        </w:rPr>
        <w:t xml:space="preserve">consistent record of dissent</w:t>
      </w:r>
      <w:r>
        <w:rPr>
          <w:rFonts w:ascii="Calibri" w:hAnsi="Calibri"/>
          <w:sz w:val="20"/>
        </w:rPr>
        <w:t xml:space="preserve"> </w:t>
      </w:r>
      <w:r>
        <w:rPr>
          <w:rFonts w:ascii="Calibri" w:hAnsi="Calibri"/>
          <w:sz w:val="20"/>
        </w:rPr>
        <w:t xml:space="preserve">that Stonemill can use to argue the sale process was procedurally deficient — that the Board proceeded without full participation and without consulting a major stockholder holding governance rights. While not legally invalidating, this record is</w:t>
      </w:r>
      <w:r>
        <w:rPr>
          <w:rFonts w:ascii="Calibri" w:hAnsi="Calibri"/>
          <w:sz w:val="20"/>
        </w:rPr>
        <w:t xml:space="preserve"> </w:t>
      </w:r>
      <w:r>
        <w:rPr>
          <w:rFonts w:ascii="Calibri" w:hAnsi="Calibri"/>
          <w:b/>
          <w:bCs/>
          <w:sz w:val="20"/>
        </w:rPr>
        <w:t xml:space="preserve">exploitable ammunition</w:t>
      </w:r>
      <w:r>
        <w:rPr>
          <w:rFonts w:ascii="Calibri" w:hAnsi="Calibri"/>
          <w:sz w:val="20"/>
        </w:rPr>
        <w:t xml:space="preserve"> </w:t>
      </w:r>
      <w:r>
        <w:rPr>
          <w:rFonts w:ascii="Calibri" w:hAnsi="Calibri"/>
          <w:sz w:val="20"/>
        </w:rPr>
        <w:t xml:space="preserve">for Stonemill in any challenge or negotiation.</w:t>
      </w:r>
    </w:p>
    <w:p>
      <w:pPr>
        <w:pStyle w:val="BodyText"/>
        <w:keepNext w:val="0"/>
        <w:keepLines w:val="0"/>
        <w:spacing w:before="0" w:after="60" w:line="240" w:lineRule="auto"/>
      </w:pPr>
      <w:r>
        <w:rPr>
          <w:rFonts w:ascii="Calibri" w:hAnsi="Calibri"/>
          <w:b/>
          <w:bCs/>
          <w:sz w:val="20"/>
        </w:rPr>
        <w:t xml:space="preserve">Recommendations:</w:t>
      </w:r>
      <w:r>
        <w:rPr>
          <w:rFonts w:ascii="Calibri" w:hAnsi="Calibri"/>
          <w:sz w:val="20"/>
        </w:rPr>
        <w:t xml:space="preserve"> </w:t>
      </w:r>
      <w:r>
        <w:rPr>
          <w:rFonts w:ascii="Calibri" w:hAnsi="Calibri"/>
          <w:sz w:val="20"/>
        </w:rPr>
        <w:t xml:space="preserve">Ensure all future Board actions on the Transaction are taken with full participation where possible; document Trask’s opportunities to participate and any refusals; ensure the Stonemill observer receives all materials going forward; and preserve a clean record of the process.</w:t>
      </w:r>
      <w:r>
        <w:rPr>
          <w:rFonts w:ascii="Calibri" w:hAnsi="Calibri"/>
          <w:sz w:val="20"/>
        </w:rPr>
        <w:t xml:space="preserve"> </w:t>
      </w:r>
      <w:r>
        <w:rPr>
          <w:rFonts w:ascii="Calibri" w:hAnsi="Calibri"/>
          <w:b/>
          <w:bCs/>
          <w:sz w:val="20"/>
        </w:rPr>
        <w:t xml:space="preserve">Severity: Significant.</w:t>
      </w:r>
    </w:p>
    <w:bookmarkEnd w:id="74"/>
    <w:bookmarkStart w:id="75" w:name="X17d116566a8c90fd4b41d409d0808f86f8d5cf6"/>
    <w:p>
      <w:pPr>
        <w:pStyle w:val="Heading3"/>
        <w:keepNext w:val="0"/>
        <w:keepLines w:val="0"/>
        <w:spacing w:before="100" w:after="20" w:line="240" w:lineRule="auto"/>
      </w:pPr>
      <w:r>
        <w:rPr>
          <w:rFonts w:ascii="Calibri" w:hAnsi="Calibri"/>
          <w:sz w:val="22"/>
        </w:rPr>
        <w:t xml:space="preserve">C. Limited Auction / Exclusivity — Revlon Exposure</w:t>
      </w:r>
    </w:p>
    <w:p>
      <w:pPr>
        <w:pStyle w:val="FirstParagraph"/>
        <w:keepNext w:val="0"/>
        <w:keepLines w:val="0"/>
        <w:spacing w:before="0" w:after="60" w:line="240" w:lineRule="auto"/>
      </w:pPr>
      <w:r>
        <w:rPr>
          <w:rFonts w:ascii="Calibri" w:hAnsi="Calibri"/>
          <w:sz w:val="20"/>
        </w:rPr>
        <w:t xml:space="preserve">The sale process involved periods of exclusivity (first with</w:t>
      </w:r>
      <w:r>
        <w:rPr>
          <w:rFonts w:ascii="Calibri" w:hAnsi="Calibri"/>
          <w:sz w:val="20"/>
        </w:rPr>
        <w:t xml:space="preserve"> </w:t>
      </w:r>
      <w:r>
        <w:rPr>
          <w:rFonts w:ascii="Calibri" w:hAnsi="Calibri"/>
          <w:sz w:val="20"/>
        </w:rPr>
        <w:t xml:space="preserve">“</w:t>
      </w:r>
      <w:r>
        <w:rPr>
          <w:rFonts w:ascii="Calibri" w:hAnsi="Calibri"/>
          <w:sz w:val="20"/>
        </w:rPr>
        <w:t xml:space="preserve">Beta,</w:t>
      </w:r>
      <w:r>
        <w:rPr>
          <w:rFonts w:ascii="Calibri" w:hAnsi="Calibri"/>
          <w:sz w:val="20"/>
        </w:rPr>
        <w:t xml:space="preserve">”</w:t>
      </w:r>
      <w:r>
        <w:rPr>
          <w:rFonts w:ascii="Calibri" w:hAnsi="Calibri"/>
          <w:sz w:val="20"/>
        </w:rPr>
        <w:t xml:space="preserve"> </w:t>
      </w:r>
      <w:r>
        <w:rPr>
          <w:rFonts w:ascii="Calibri" w:hAnsi="Calibri"/>
          <w:sz w:val="20"/>
        </w:rPr>
        <w:t xml:space="preserve">terminated October 2023; then with Hargrove, 60 days from July 2024) without a broad public auction. Trask objected to the Beta exclusivity (July 2023) as</w:t>
      </w:r>
      <w:r>
        <w:rPr>
          <w:rFonts w:ascii="Calibri" w:hAnsi="Calibri"/>
          <w:sz w:val="20"/>
        </w:rPr>
        <w:t xml:space="preserve"> </w:t>
      </w:r>
      <w:r>
        <w:rPr>
          <w:rFonts w:ascii="Calibri" w:hAnsi="Calibri"/>
          <w:sz w:val="20"/>
        </w:rPr>
        <w:t xml:space="preserve">“</w:t>
      </w:r>
      <w:r>
        <w:rPr>
          <w:rFonts w:ascii="Calibri" w:hAnsi="Calibri"/>
          <w:sz w:val="20"/>
        </w:rPr>
        <w:t xml:space="preserve">insufficiently broad.</w:t>
      </w:r>
      <w:r>
        <w:rPr>
          <w:rFonts w:ascii="Calibri" w:hAnsi="Calibri"/>
          <w:sz w:val="20"/>
        </w:rPr>
        <w:t xml:space="preserve">”</w:t>
      </w:r>
      <w:r>
        <w:rPr>
          <w:rFonts w:ascii="Calibri" w:hAnsi="Calibri"/>
          <w:sz w:val="20"/>
        </w:rPr>
        <w:t xml:space="preserve"> </w:t>
      </w:r>
      <w:r>
        <w:rPr>
          <w:rFonts w:ascii="Calibri" w:hAnsi="Calibri"/>
          <w:sz w:val="20"/>
        </w:rPr>
        <w:t xml:space="preserve">A limited-auction process is</w:t>
      </w:r>
      <w:r>
        <w:rPr>
          <w:rFonts w:ascii="Calibri" w:hAnsi="Calibri"/>
          <w:sz w:val="20"/>
        </w:rPr>
        <w:t xml:space="preserve"> </w:t>
      </w:r>
      <w:r>
        <w:rPr>
          <w:rFonts w:ascii="Calibri" w:hAnsi="Calibri"/>
          <w:b/>
          <w:bCs/>
          <w:sz w:val="20"/>
        </w:rPr>
        <w:t xml:space="preserve">defensible</w:t>
      </w:r>
      <w:r>
        <w:rPr>
          <w:rFonts w:ascii="Calibri" w:hAnsi="Calibri"/>
          <w:sz w:val="20"/>
        </w:rPr>
        <w:t xml:space="preserve"> </w:t>
      </w:r>
      <w:r>
        <w:rPr>
          <w:rFonts w:ascii="Calibri" w:hAnsi="Calibri"/>
          <w:sz w:val="20"/>
        </w:rPr>
        <w:t xml:space="preserve">— the Board engaged Meridian, contacted multiple parties, received multiple indications of interest, and the Hargrove interest was inbound — but it is a</w:t>
      </w:r>
      <w:r>
        <w:rPr>
          <w:rFonts w:ascii="Calibri" w:hAnsi="Calibri"/>
          <w:sz w:val="20"/>
        </w:rPr>
        <w:t xml:space="preserve"> </w:t>
      </w:r>
      <w:r>
        <w:rPr>
          <w:rFonts w:ascii="Calibri" w:hAnsi="Calibri"/>
          <w:b/>
          <w:bCs/>
          <w:sz w:val="20"/>
        </w:rPr>
        <w:t xml:space="preserve">Revlon vulnerability</w:t>
      </w:r>
      <w:r>
        <w:rPr>
          <w:rFonts w:ascii="Calibri" w:hAnsi="Calibri"/>
          <w:sz w:val="20"/>
        </w:rPr>
        <w:t xml:space="preserve"> </w:t>
      </w:r>
      <w:r>
        <w:rPr>
          <w:rFonts w:ascii="Calibri" w:hAnsi="Calibri"/>
          <w:sz w:val="20"/>
        </w:rPr>
        <w:t xml:space="preserve">if the price or process is challenged. The reconstituted independent committee, independent counsel, and Thornbury fairness opinion are the principal mitigants.</w:t>
      </w:r>
      <w:r>
        <w:rPr>
          <w:rFonts w:ascii="Calibri" w:hAnsi="Calibri"/>
          <w:sz w:val="20"/>
        </w:rPr>
        <w:t xml:space="preserve"> </w:t>
      </w:r>
      <w:r>
        <w:rPr>
          <w:rFonts w:ascii="Calibri" w:hAnsi="Calibri"/>
          <w:b/>
          <w:bCs/>
          <w:sz w:val="20"/>
        </w:rPr>
        <w:t xml:space="preserve">Severity: Moderate.</w:t>
      </w:r>
    </w:p>
    <w:bookmarkEnd w:id="75"/>
    <w:bookmarkStart w:id="76" w:name="d.-indemnification-and-do-insurance"/>
    <w:p>
      <w:pPr>
        <w:pStyle w:val="Heading3"/>
        <w:keepNext w:val="0"/>
        <w:keepLines w:val="0"/>
        <w:spacing w:before="100" w:after="20" w:line="240" w:lineRule="auto"/>
      </w:pPr>
      <w:r>
        <w:rPr>
          <w:rFonts w:ascii="Calibri" w:hAnsi="Calibri"/>
          <w:sz w:val="22"/>
        </w:rPr>
        <w:t xml:space="preserve">D. Indemnification and D&amp;O Insurance</w:t>
      </w:r>
    </w:p>
    <w:p>
      <w:pPr>
        <w:pStyle w:val="FirstParagraph"/>
        <w:keepNext w:val="0"/>
        <w:keepLines w:val="0"/>
        <w:spacing w:before="0" w:after="60" w:line="240" w:lineRule="auto"/>
      </w:pPr>
      <w:r>
        <w:rPr>
          <w:rFonts w:ascii="Calibri" w:hAnsi="Calibri"/>
          <w:sz w:val="20"/>
        </w:rPr>
        <w:t xml:space="preserve">The Restated Certificate (Art. VII) and Bylaws (Art. VI) provide broad D&amp;O indemnification and advancement, and the Company has entered individual indemnification agreements with each director (Bylaws §6.4) and maintains D&amp;O insurance of at least $5M per occurrence (Stockholders’ Ag. §5.3). Post-closing, former directors (including Trask, Lau, Garrett, Okafor, Kleinhans, Ellery, Chandrasekaran) may face claims arising from the Transaction. The merger agreement should provide for a</w:t>
      </w:r>
      <w:r>
        <w:rPr>
          <w:rFonts w:ascii="Calibri" w:hAnsi="Calibri"/>
          <w:sz w:val="20"/>
        </w:rPr>
        <w:t xml:space="preserve"> </w:t>
      </w:r>
      <w:r>
        <w:rPr>
          <w:rFonts w:ascii="Calibri" w:hAnsi="Calibri"/>
          <w:b/>
          <w:bCs/>
          <w:sz w:val="20"/>
        </w:rPr>
        <w:t xml:space="preserve">tail (run-off) D&amp;O insurance policy</w:t>
      </w:r>
      <w:r>
        <w:rPr>
          <w:rFonts w:ascii="Calibri" w:hAnsi="Calibri"/>
          <w:sz w:val="20"/>
        </w:rPr>
        <w:t xml:space="preserve"> </w:t>
      </w:r>
      <w:r>
        <w:rPr>
          <w:rFonts w:ascii="Calibri" w:hAnsi="Calibri"/>
          <w:sz w:val="20"/>
        </w:rPr>
        <w:t xml:space="preserve">(typically six years) for former directors and officers, and should address the survival of indemnification obligations.</w:t>
      </w:r>
      <w:r>
        <w:rPr>
          <w:rFonts w:ascii="Calibri" w:hAnsi="Calibri"/>
          <w:sz w:val="20"/>
        </w:rPr>
        <w:t xml:space="preserve"> </w:t>
      </w:r>
      <w:r>
        <w:rPr>
          <w:rFonts w:ascii="Calibri" w:hAnsi="Calibri"/>
          <w:b/>
          <w:bCs/>
          <w:sz w:val="20"/>
        </w:rPr>
        <w:t xml:space="preserve">Severity: Moderate.</w:t>
      </w:r>
    </w:p>
    <w:bookmarkEnd w:id="76"/>
    <w:bookmarkStart w:id="77" w:name="e.-exclusive-forum"/>
    <w:p>
      <w:pPr>
        <w:pStyle w:val="Heading3"/>
        <w:keepNext w:val="0"/>
        <w:keepLines w:val="0"/>
        <w:spacing w:before="100" w:after="20" w:line="240" w:lineRule="auto"/>
      </w:pPr>
      <w:r>
        <w:rPr>
          <w:rFonts w:ascii="Calibri" w:hAnsi="Calibri"/>
          <w:sz w:val="22"/>
        </w:rPr>
        <w:t xml:space="preserve">E. Exclusive Forum</w:t>
      </w:r>
    </w:p>
    <w:p>
      <w:pPr>
        <w:pStyle w:val="FirstParagraph"/>
        <w:keepNext w:val="0"/>
        <w:keepLines w:val="0"/>
        <w:spacing w:before="0" w:after="60" w:line="240" w:lineRule="auto"/>
      </w:pPr>
      <w:r>
        <w:rPr>
          <w:rFonts w:ascii="Calibri" w:hAnsi="Calibri"/>
          <w:sz w:val="20"/>
        </w:rPr>
        <w:t xml:space="preserve">The Bylaws (Art. VIII) select the Delaware Court of Chancery as the exclusive forum for derivative and fiduciary-duty claims and internal-affairs claims, and federal courts for Securities Act claims. Any Stonemill challenge to the Transaction or the sale process would be brought in Delaware Chancery, which is favorable for predictability. Note: the federal-forum provision for Securities Act claims was held unenforceable in</w:t>
      </w:r>
      <w:r>
        <w:rPr>
          <w:rFonts w:ascii="Calibri" w:hAnsi="Calibri"/>
          <w:sz w:val="20"/>
        </w:rPr>
        <w:t xml:space="preserve"> </w:t>
      </w:r>
      <w:r>
        <w:rPr>
          <w:rFonts w:ascii="Calibri" w:hAnsi="Calibri"/>
          <w:i/>
          <w:iCs/>
          <w:sz w:val="20"/>
        </w:rPr>
        <w:t xml:space="preserve">Cohen v. Brown-Forman</w:t>
      </w:r>
      <w:r>
        <w:rPr>
          <w:rFonts w:ascii="Calibri" w:hAnsi="Calibri"/>
          <w:sz w:val="20"/>
        </w:rPr>
        <w:t xml:space="preserve"> </w:t>
      </w:r>
      <w:r>
        <w:rPr>
          <w:rFonts w:ascii="Calibri" w:hAnsi="Calibri"/>
          <w:sz w:val="20"/>
        </w:rPr>
        <w:t xml:space="preserve">(Del. Ch. 2021) as to non-consenting stockholders, but this does not affect the Delaware-forum provision for fiduciary/internal-affairs claims, which is the relevant provision for a Stonemill challenge.</w:t>
      </w:r>
    </w:p>
    <w:p>
      <w:pPr>
        <w:keepNext w:val="0"/>
        <w:keepLines w:val="0"/>
        <w:spacing w:before="0" w:after="60" w:line="240" w:lineRule="auto"/>
      </w:pPr>
      <w:r>
        <w:rPr>
          <w:rFonts w:ascii="Calibri" w:hAnsi="Calibri"/>
          <w:sz w:val="20"/>
        </w:rPr>
        <w:pict>
          <v:rect style="width:0;height:1.5pt" o:hralign="center" o:hrstd="t" o:hr="t"/>
        </w:pict>
      </w:r>
    </w:p>
    <w:bookmarkEnd w:id="77"/>
    <w:bookmarkEnd w:id="78"/>
    <w:bookmarkStart w:id="83" w:name="Xcaec2837b2f325919b5980973667295080f7a2e"/>
    <w:p>
      <w:pPr>
        <w:pStyle w:val="Heading2"/>
        <w:keepNext w:val="0"/>
        <w:keepLines w:val="0"/>
        <w:spacing w:before="140" w:after="40" w:line="240" w:lineRule="auto"/>
      </w:pPr>
      <w:r>
        <w:rPr>
          <w:rFonts w:ascii="Calibri" w:hAnsi="Calibri"/>
          <w:sz w:val="25"/>
        </w:rPr>
        <w:t xml:space="preserve">XIII. Area 10 — Registration Rights Post-Transaction</w:t>
      </w:r>
    </w:p>
    <w:bookmarkStart w:id="79" w:name="a.-rra-termination-triggers-9"/>
    <w:p>
      <w:pPr>
        <w:pStyle w:val="Heading3"/>
        <w:keepNext w:val="0"/>
        <w:keepLines w:val="0"/>
        <w:spacing w:before="100" w:after="20" w:line="240" w:lineRule="auto"/>
      </w:pPr>
      <w:r>
        <w:rPr>
          <w:rFonts w:ascii="Calibri" w:hAnsi="Calibri"/>
          <w:sz w:val="22"/>
        </w:rPr>
        <w:t xml:space="preserve">A. RRA Termination Triggers (§9)</w:t>
      </w:r>
    </w:p>
    <w:p>
      <w:pPr>
        <w:pStyle w:val="FirstParagraph"/>
        <w:keepNext w:val="0"/>
        <w:keepLines w:val="0"/>
        <w:spacing w:before="0" w:after="60" w:line="240" w:lineRule="auto"/>
      </w:pPr>
      <w:r>
        <w:rPr>
          <w:rFonts w:ascii="Calibri" w:hAnsi="Calibri"/>
          <w:sz w:val="20"/>
        </w:rPr>
        <w:t xml:space="preserve">Registration rights terminate with respect to a particular Holder upon the earliest of: (a) the Holder can sell all Registrable Securities in a single three-month period under Rule 144 without volume/manner-of-sale restrictions and without the current-public-information requirement; (b) the fifth anniversary of the closing of the Company’s IPO; or (c)</w:t>
      </w:r>
      <w:r>
        <w:rPr>
          <w:rFonts w:ascii="Calibri" w:hAnsi="Calibri"/>
          <w:sz w:val="20"/>
        </w:rPr>
        <w:t xml:space="preserve"> </w:t>
      </w:r>
      <w:r>
        <w:rPr>
          <w:rFonts w:ascii="Calibri" w:hAnsi="Calibri"/>
          <w:b/>
          <w:bCs/>
          <w:sz w:val="20"/>
        </w:rPr>
        <w:t xml:space="preserve">a</w:t>
      </w:r>
      <w:r>
        <w:rPr>
          <w:rFonts w:ascii="Calibri" w:hAnsi="Calibri"/>
          <w:b/>
          <w:bCs/>
          <w:sz w:val="20"/>
        </w:rPr>
        <w:t xml:space="preserve"> </w:t>
      </w:r>
      <w:r>
        <w:rPr>
          <w:rFonts w:ascii="Calibri" w:hAnsi="Calibri"/>
          <w:b/>
          <w:bCs/>
          <w:sz w:val="20"/>
        </w:rPr>
        <w:t xml:space="preserve">“</w:t>
      </w:r>
      <w:r>
        <w:rPr>
          <w:rFonts w:ascii="Calibri" w:hAnsi="Calibri"/>
          <w:b/>
          <w:bCs/>
          <w:sz w:val="20"/>
        </w:rPr>
        <w:t xml:space="preserve">Deemed Liquidation Event.</w:t>
      </w:r>
      <w:r>
        <w:rPr>
          <w:rFonts w:ascii="Calibri" w:hAnsi="Calibri"/>
          <w:b/>
          <w:bCs/>
          <w:sz w:val="20"/>
        </w:rPr>
        <w:t xml:space="preserve">”</w:t>
      </w:r>
    </w:p>
    <w:bookmarkEnd w:id="79"/>
    <w:bookmarkStart w:id="80" w:name="b.-the-deemed-liquidation-event-problem"/>
    <w:p>
      <w:pPr>
        <w:pStyle w:val="Heading3"/>
        <w:keepNext w:val="0"/>
        <w:keepLines w:val="0"/>
        <w:spacing w:before="100" w:after="20" w:line="240" w:lineRule="auto"/>
      </w:pPr>
      <w:r>
        <w:rPr>
          <w:rFonts w:ascii="Calibri" w:hAnsi="Calibri"/>
          <w:sz w:val="22"/>
        </w:rPr>
        <w:t xml:space="preserve">B. The</w:t>
      </w:r>
      <w:r>
        <w:rPr>
          <w:rFonts w:ascii="Calibri" w:hAnsi="Calibri"/>
          <w:sz w:val="22"/>
        </w:rPr>
        <w:t xml:space="preserve"> </w:t>
      </w:r>
      <w:r>
        <w:rPr>
          <w:rFonts w:ascii="Calibri" w:hAnsi="Calibri"/>
          <w:sz w:val="22"/>
        </w:rPr>
        <w:t xml:space="preserve">“</w:t>
      </w:r>
      <w:r>
        <w:rPr>
          <w:rFonts w:ascii="Calibri" w:hAnsi="Calibri"/>
          <w:sz w:val="22"/>
        </w:rPr>
        <w:t xml:space="preserve">Deemed Liquidation Event</w:t>
      </w:r>
      <w:r>
        <w:rPr>
          <w:rFonts w:ascii="Calibri" w:hAnsi="Calibri"/>
          <w:sz w:val="22"/>
        </w:rPr>
        <w:t xml:space="preserve">”</w:t>
      </w:r>
      <w:r>
        <w:rPr>
          <w:rFonts w:ascii="Calibri" w:hAnsi="Calibri"/>
          <w:sz w:val="22"/>
        </w:rPr>
        <w:t xml:space="preserve"> </w:t>
      </w:r>
      <w:r>
        <w:rPr>
          <w:rFonts w:ascii="Calibri" w:hAnsi="Calibri"/>
          <w:sz w:val="22"/>
        </w:rPr>
        <w:t xml:space="preserve">Problem</w:t>
      </w:r>
    </w:p>
    <w:p>
      <w:pPr>
        <w:pStyle w:val="FirstParagraph"/>
        <w:keepNext w:val="0"/>
        <w:keepLines w:val="0"/>
        <w:spacing w:before="0" w:after="60" w:line="240" w:lineRule="auto"/>
      </w:pPr>
      <w:r>
        <w:rPr>
          <w:rFonts w:ascii="Calibri" w:hAnsi="Calibri"/>
          <w:sz w:val="20"/>
        </w:rPr>
        <w:t xml:space="preserve">The RRA uses the term</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w:t>
      </w:r>
      <w:r>
        <w:rPr>
          <w:rFonts w:ascii="Calibri" w:hAnsi="Calibri"/>
          <w:sz w:val="20"/>
        </w:rPr>
        <w:t xml:space="preserve">in §9(c) but</w:t>
      </w:r>
      <w:r>
        <w:rPr>
          <w:rFonts w:ascii="Calibri" w:hAnsi="Calibri"/>
          <w:sz w:val="20"/>
        </w:rPr>
        <w:t xml:space="preserve"> </w:t>
      </w:r>
      <w:r>
        <w:rPr>
          <w:rFonts w:ascii="Calibri" w:hAnsi="Calibri"/>
          <w:b/>
          <w:bCs/>
          <w:sz w:val="20"/>
        </w:rPr>
        <w:t xml:space="preserve">does not define it</w:t>
      </w:r>
      <w:r>
        <w:rPr>
          <w:rFonts w:ascii="Calibri" w:hAnsi="Calibri"/>
          <w:sz w:val="20"/>
        </w:rPr>
        <w:t xml:space="preserve"> </w:t>
      </w:r>
      <w:r>
        <w:rPr>
          <w:rFonts w:ascii="Calibri" w:hAnsi="Calibri"/>
          <w:sz w:val="20"/>
        </w:rPr>
        <w:t xml:space="preserve">(Area 6). The Restated Certificate uses</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(not</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The intent is presumably that registration rights terminate on a change-of-control transaction (the</w:t>
      </w:r>
      <w:r>
        <w:rPr>
          <w:rFonts w:ascii="Calibri" w:hAnsi="Calibri"/>
          <w:sz w:val="20"/>
        </w:rPr>
        <w:t xml:space="preserve"> </w:t>
      </w:r>
      <w:r>
        <w:rPr>
          <w:rFonts w:ascii="Calibri" w:hAnsi="Calibri"/>
          <w:sz w:val="20"/>
        </w:rPr>
        <w:t xml:space="preserve">“</w:t>
      </w:r>
      <w:r>
        <w:rPr>
          <w:rFonts w:ascii="Calibri" w:hAnsi="Calibri"/>
          <w:sz w:val="20"/>
        </w:rPr>
        <w:t xml:space="preserve">Deemed</w:t>
      </w:r>
      <w:r>
        <w:rPr>
          <w:rFonts w:ascii="Calibri" w:hAnsi="Calibri"/>
          <w:sz w:val="20"/>
        </w:rPr>
        <w:t xml:space="preserve">”</w:t>
      </w:r>
      <w:r>
        <w:rPr>
          <w:rFonts w:ascii="Calibri" w:hAnsi="Calibri"/>
          <w:sz w:val="20"/>
        </w:rPr>
        <w:t xml:space="preserve"> </w:t>
      </w:r>
      <w:r>
        <w:rPr>
          <w:rFonts w:ascii="Calibri" w:hAnsi="Calibri"/>
          <w:sz w:val="20"/>
        </w:rPr>
        <w:t xml:space="preserve">prefix signals deemed-liquidation treatment), which would align with the Restated Certificate’s</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and capture the merger. But because the term is undefined, there is</w:t>
      </w:r>
      <w:r>
        <w:rPr>
          <w:rFonts w:ascii="Calibri" w:hAnsi="Calibri"/>
          <w:sz w:val="20"/>
        </w:rPr>
        <w:t xml:space="preserve"> </w:t>
      </w:r>
      <w:r>
        <w:rPr>
          <w:rFonts w:ascii="Calibri" w:hAnsi="Calibri"/>
          <w:b/>
          <w:bCs/>
          <w:sz w:val="20"/>
        </w:rPr>
        <w:t xml:space="preserve">ambiguity</w:t>
      </w:r>
      <w:r>
        <w:rPr>
          <w:rFonts w:ascii="Calibri" w:hAnsi="Calibri"/>
          <w:sz w:val="20"/>
        </w:rPr>
        <w:t xml:space="preserve"> </w:t>
      </w:r>
      <w:r>
        <w:rPr>
          <w:rFonts w:ascii="Calibri" w:hAnsi="Calibri"/>
          <w:sz w:val="20"/>
        </w:rPr>
        <w:t xml:space="preserve">about whether the RRA terminates on the merger:</w:t>
      </w:r>
      <w:r>
        <w:rPr>
          <w:rFonts w:ascii="Calibri" w:hAnsi="Calibri"/>
          <w:sz w:val="20"/>
        </w:rPr>
        <w:t xml:space="preserve"> </w:t>
      </w:r>
      <w:r>
        <w:rPr>
          <w:rFonts w:ascii="Calibri" w:hAnsi="Calibri"/>
          <w:sz w:val="20"/>
        </w:rPr>
        <w:t xml:space="preserve">- If</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w:t>
      </w:r>
      <w:r>
        <w:rPr>
          <w:rFonts w:ascii="Calibri" w:hAnsi="Calibri"/>
          <w:sz w:val="20"/>
        </w:rPr>
        <w:t xml:space="preserve">= the Restated Certificate’s</w:t>
      </w:r>
      <w:r>
        <w:rPr>
          <w:rFonts w:ascii="Calibri" w:hAnsi="Calibri"/>
          <w:sz w:val="20"/>
        </w:rPr>
        <w:t xml:space="preserve"> </w:t>
      </w:r>
      <w:r>
        <w:rPr>
          <w:rFonts w:ascii="Calibri" w:hAnsi="Calibri"/>
          <w:sz w:val="20"/>
        </w:rPr>
        <w:t xml:space="preserve">“</w:t>
      </w:r>
      <w:r>
        <w:rPr>
          <w:rFonts w:ascii="Calibri" w:hAnsi="Calibri"/>
          <w:sz w:val="20"/>
        </w:rPr>
        <w:t xml:space="preserve">Liquidation Event</w:t>
      </w:r>
      <w:r>
        <w:rPr>
          <w:rFonts w:ascii="Calibri" w:hAnsi="Calibri"/>
          <w:sz w:val="20"/>
        </w:rPr>
        <w:t xml:space="preserve">”</w:t>
      </w:r>
      <w:r>
        <w:rPr>
          <w:rFonts w:ascii="Calibri" w:hAnsi="Calibri"/>
          <w:sz w:val="20"/>
        </w:rPr>
        <w:t xml:space="preserve"> </w:t>
      </w:r>
      <w:r>
        <w:rPr>
          <w:rFonts w:ascii="Calibri" w:hAnsi="Calibri"/>
          <w:sz w:val="20"/>
        </w:rPr>
        <w:t xml:space="preserve">(which captures the merger), the RRA terminates on the merger. ✓</w:t>
      </w:r>
      <w:r>
        <w:rPr>
          <w:rFonts w:ascii="Calibri" w:hAnsi="Calibri"/>
          <w:sz w:val="20"/>
        </w:rPr>
        <w:t xml:space="preserve"> </w:t>
      </w:r>
      <w:r>
        <w:rPr>
          <w:rFonts w:ascii="Calibri" w:hAnsi="Calibri"/>
          <w:sz w:val="20"/>
        </w:rPr>
        <w:t xml:space="preserve">- If</w:t>
      </w:r>
      <w:r>
        <w:rPr>
          <w:rFonts w:ascii="Calibri" w:hAnsi="Calibri"/>
          <w:sz w:val="20"/>
        </w:rPr>
        <w:t xml:space="preserve"> </w:t>
      </w:r>
      <w:r>
        <w:rPr>
          <w:rFonts w:ascii="Calibri" w:hAnsi="Calibri"/>
          <w:sz w:val="20"/>
        </w:rPr>
        <w:t xml:space="preserve">“</w:t>
      </w:r>
      <w:r>
        <w:rPr>
          <w:rFonts w:ascii="Calibri" w:hAnsi="Calibri"/>
          <w:sz w:val="20"/>
        </w:rPr>
        <w:t xml:space="preserve">Deemed Liquidation Event</w:t>
      </w:r>
      <w:r>
        <w:rPr>
          <w:rFonts w:ascii="Calibri" w:hAnsi="Calibri"/>
          <w:sz w:val="20"/>
        </w:rPr>
        <w:t xml:space="preserve">”</w:t>
      </w:r>
      <w:r>
        <w:rPr>
          <w:rFonts w:ascii="Calibri" w:hAnsi="Calibri"/>
          <w:sz w:val="20"/>
        </w:rPr>
        <w:t xml:space="preserve"> </w:t>
      </w:r>
      <w:r>
        <w:rPr>
          <w:rFonts w:ascii="Calibri" w:hAnsi="Calibri"/>
          <w:sz w:val="20"/>
        </w:rPr>
        <w:t xml:space="preserve">is read narrowly (e.g., only an actual liquidation/dissolution), the RRA would</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terminate on the merger, creating post-closing registration-rights liability.</w:t>
      </w:r>
    </w:p>
    <w:bookmarkEnd w:id="80"/>
    <w:bookmarkStart w:id="81" w:name="c.-practical-effect-in-an-all-cash-deal"/>
    <w:p>
      <w:pPr>
        <w:pStyle w:val="Heading3"/>
        <w:keepNext w:val="0"/>
        <w:keepLines w:val="0"/>
        <w:spacing w:before="100" w:after="20" w:line="240" w:lineRule="auto"/>
      </w:pPr>
      <w:r>
        <w:rPr>
          <w:rFonts w:ascii="Calibri" w:hAnsi="Calibri"/>
          <w:sz w:val="22"/>
        </w:rPr>
        <w:t xml:space="preserve">C. Practical Effect in an All-Cash Deal</w:t>
      </w:r>
    </w:p>
    <w:p>
      <w:pPr>
        <w:pStyle w:val="FirstParagraph"/>
        <w:keepNext w:val="0"/>
        <w:keepLines w:val="0"/>
        <w:spacing w:before="0" w:after="60" w:line="240" w:lineRule="auto"/>
      </w:pPr>
      <w:r>
        <w:rPr>
          <w:rFonts w:ascii="Calibri" w:hAnsi="Calibri"/>
          <w:sz w:val="20"/>
        </w:rPr>
        <w:t xml:space="preserve">In the Transaction, all Terravox equity is cancelled and converted into the right to receive</w:t>
      </w:r>
      <w:r>
        <w:rPr>
          <w:rFonts w:ascii="Calibri" w:hAnsi="Calibri"/>
          <w:sz w:val="20"/>
        </w:rPr>
        <w:t xml:space="preserve"> </w:t>
      </w:r>
      <w:r>
        <w:rPr>
          <w:rFonts w:ascii="Calibri" w:hAnsi="Calibri"/>
          <w:b/>
          <w:bCs/>
          <w:sz w:val="20"/>
        </w:rPr>
        <w:t xml:space="preserve">cash</w:t>
      </w:r>
      <w:r>
        <w:rPr>
          <w:rFonts w:ascii="Calibri" w:hAnsi="Calibri"/>
          <w:sz w:val="20"/>
        </w:rPr>
        <w:t xml:space="preserve">.</w:t>
      </w:r>
      <w:r>
        <w:rPr>
          <w:rFonts w:ascii="Calibri" w:hAnsi="Calibri"/>
          <w:sz w:val="20"/>
        </w:rPr>
        <w:t xml:space="preserve"> </w:t>
      </w:r>
      <w:r>
        <w:rPr>
          <w:rFonts w:ascii="Calibri" w:hAnsi="Calibri"/>
          <w:sz w:val="20"/>
        </w:rPr>
        <w:t xml:space="preserve">“</w:t>
      </w:r>
      <w:r>
        <w:rPr>
          <w:rFonts w:ascii="Calibri" w:hAnsi="Calibri"/>
          <w:sz w:val="20"/>
        </w:rPr>
        <w:t xml:space="preserve">Registrable Securities</w:t>
      </w:r>
      <w:r>
        <w:rPr>
          <w:rFonts w:ascii="Calibri" w:hAnsi="Calibri"/>
          <w:sz w:val="20"/>
        </w:rPr>
        <w:t xml:space="preserve">”</w:t>
      </w:r>
      <w:r>
        <w:rPr>
          <w:rFonts w:ascii="Calibri" w:hAnsi="Calibri"/>
          <w:sz w:val="20"/>
        </w:rPr>
        <w:t xml:space="preserve"> </w:t>
      </w:r>
      <w:r>
        <w:rPr>
          <w:rFonts w:ascii="Calibri" w:hAnsi="Calibri"/>
          <w:sz w:val="20"/>
        </w:rPr>
        <w:t xml:space="preserve">are defined (RRA §1) as shares of Common Stock issued or issuable upon conversion of the Preferred held by the Holders (and related dividend/exchange shares). After the merger, the Preferred is cancelled and no Registrable Securities remain. Accordingly,</w:t>
      </w:r>
      <w:r>
        <w:rPr>
          <w:rFonts w:ascii="Calibri" w:hAnsi="Calibri"/>
          <w:sz w:val="20"/>
        </w:rPr>
        <w:t xml:space="preserve"> </w:t>
      </w:r>
      <w:r>
        <w:rPr>
          <w:rFonts w:ascii="Calibri" w:hAnsi="Calibri"/>
          <w:b/>
          <w:bCs/>
          <w:sz w:val="20"/>
        </w:rPr>
        <w:t xml:space="preserve">even if the RRA does not formally terminate, there are no Registrable Securities to register post-closing</w:t>
      </w:r>
      <w:r>
        <w:rPr>
          <w:rFonts w:ascii="Calibri" w:hAnsi="Calibri"/>
          <w:sz w:val="20"/>
        </w:rPr>
        <w:t xml:space="preserve">, rendering the registration rights effectively moot in an all-cash deal. (The analysis would differ if the consideration included Hargrove equity, but it does not.)</w:t>
      </w:r>
    </w:p>
    <w:bookmarkEnd w:id="81"/>
    <w:bookmarkStart w:id="82" w:name="d.-recommendation"/>
    <w:p>
      <w:pPr>
        <w:pStyle w:val="Heading3"/>
        <w:keepNext w:val="0"/>
        <w:keepLines w:val="0"/>
        <w:spacing w:before="100" w:after="20" w:line="240" w:lineRule="auto"/>
      </w:pPr>
      <w:r>
        <w:rPr>
          <w:rFonts w:ascii="Calibri" w:hAnsi="Calibri"/>
          <w:sz w:val="22"/>
        </w:rPr>
        <w:t xml:space="preserve">D. Recommendation</w:t>
      </w:r>
    </w:p>
    <w:p>
      <w:pPr>
        <w:pStyle w:val="FirstParagraph"/>
        <w:keepNext w:val="0"/>
        <w:keepLines w:val="0"/>
        <w:spacing w:before="0" w:after="60" w:line="240" w:lineRule="auto"/>
      </w:pPr>
      <w:r>
        <w:rPr>
          <w:rFonts w:ascii="Calibri" w:hAnsi="Calibri"/>
          <w:sz w:val="20"/>
        </w:rPr>
        <w:t xml:space="preserve">To eliminate ambiguity and avoid any post-closing argument, the</w:t>
      </w:r>
      <w:r>
        <w:rPr>
          <w:rFonts w:ascii="Calibri" w:hAnsi="Calibri"/>
          <w:sz w:val="20"/>
        </w:rPr>
        <w:t xml:space="preserve"> </w:t>
      </w:r>
      <w:r>
        <w:rPr>
          <w:rFonts w:ascii="Calibri" w:hAnsi="Calibri"/>
          <w:b/>
          <w:bCs/>
          <w:sz w:val="20"/>
        </w:rPr>
        <w:t xml:space="preserve">merger agreement should include an express termination and waiver of the RRA at closing</w:t>
      </w:r>
      <w:r>
        <w:rPr>
          <w:rFonts w:ascii="Calibri" w:hAnsi="Calibri"/>
          <w:sz w:val="20"/>
        </w:rPr>
        <w:t xml:space="preserve">, with the Holders’ consents obtained (the RRA can be terminated by written consent of the Company and Holders of at least a majority of the then-outstanding Registrable Securities — §9). The drag-along, if validly triggered, could be argued to compel Holder consent to RRA termination as a matter</w:t>
      </w:r>
      <w:r>
        <w:rPr>
          <w:rFonts w:ascii="Calibri" w:hAnsi="Calibri"/>
          <w:sz w:val="20"/>
        </w:rPr>
        <w:t xml:space="preserve"> </w:t>
      </w:r>
      <w:r>
        <w:rPr>
          <w:rFonts w:ascii="Calibri" w:hAnsi="Calibri"/>
          <w:sz w:val="20"/>
        </w:rPr>
        <w:t xml:space="preserve">“</w:t>
      </w:r>
      <w:r>
        <w:rPr>
          <w:rFonts w:ascii="Calibri" w:hAnsi="Calibri"/>
          <w:sz w:val="20"/>
        </w:rPr>
        <w:t xml:space="preserve">required to be approved in connection with</w:t>
      </w:r>
      <w:r>
        <w:rPr>
          <w:rFonts w:ascii="Calibri" w:hAnsi="Calibri"/>
          <w:sz w:val="20"/>
        </w:rPr>
        <w:t xml:space="preserve">”</w:t>
      </w:r>
      <w:r>
        <w:rPr>
          <w:rFonts w:ascii="Calibri" w:hAnsi="Calibri"/>
          <w:sz w:val="20"/>
        </w:rPr>
        <w:t xml:space="preserve"> </w:t>
      </w:r>
      <w:r>
        <w:rPr>
          <w:rFonts w:ascii="Calibri" w:hAnsi="Calibri"/>
          <w:sz w:val="20"/>
        </w:rPr>
        <w:t xml:space="preserve">the Sale (§3.1(a)(A)), but reliance on the drag-along is uncertain (Area 2). The cleaner approach is to obtain the Holder consents directly at closing.</w:t>
      </w:r>
      <w:r>
        <w:rPr>
          <w:rFonts w:ascii="Calibri" w:hAnsi="Calibri"/>
          <w:sz w:val="20"/>
        </w:rPr>
        <w:t xml:space="preserve"> </w:t>
      </w:r>
      <w:r>
        <w:rPr>
          <w:rFonts w:ascii="Calibri" w:hAnsi="Calibri"/>
          <w:b/>
          <w:bCs/>
          <w:sz w:val="20"/>
        </w:rPr>
        <w:t xml:space="preserve">Severity: Significant</w:t>
      </w:r>
      <w:r>
        <w:rPr>
          <w:rFonts w:ascii="Calibri" w:hAnsi="Calibri"/>
          <w:sz w:val="20"/>
        </w:rPr>
        <w:t xml:space="preserve"> </w:t>
      </w:r>
      <w:r>
        <w:rPr>
          <w:rFonts w:ascii="Calibri" w:hAnsi="Calibri"/>
          <w:sz w:val="20"/>
        </w:rPr>
        <w:t xml:space="preserve">(ambiguity) /</w:t>
      </w:r>
      <w:r>
        <w:rPr>
          <w:rFonts w:ascii="Calibri" w:hAnsi="Calibri"/>
          <w:sz w:val="20"/>
        </w:rPr>
        <w:t xml:space="preserve"> </w:t>
      </w:r>
      <w:r>
        <w:rPr>
          <w:rFonts w:ascii="Calibri" w:hAnsi="Calibri"/>
          <w:b/>
          <w:bCs/>
          <w:sz w:val="20"/>
        </w:rPr>
        <w:t xml:space="preserve">Moderate</w:t>
      </w:r>
      <w:r>
        <w:rPr>
          <w:rFonts w:ascii="Calibri" w:hAnsi="Calibri"/>
          <w:sz w:val="20"/>
        </w:rPr>
        <w:t xml:space="preserve"> </w:t>
      </w:r>
      <w:r>
        <w:rPr>
          <w:rFonts w:ascii="Calibri" w:hAnsi="Calibri"/>
          <w:sz w:val="20"/>
        </w:rPr>
        <w:t xml:space="preserve">(practical effect moot in all-cash deal).</w:t>
      </w:r>
    </w:p>
    <w:p>
      <w:pPr>
        <w:keepNext w:val="0"/>
        <w:keepLines w:val="0"/>
        <w:spacing w:before="0" w:after="60" w:line="240" w:lineRule="auto"/>
      </w:pPr>
      <w:r>
        <w:rPr>
          <w:rFonts w:ascii="Calibri" w:hAnsi="Calibri"/>
          <w:sz w:val="20"/>
        </w:rPr>
        <w:pict>
          <v:rect style="width:0;height:1.5pt" o:hralign="center" o:hrstd="t" o:hr="t"/>
        </w:pict>
      </w:r>
    </w:p>
    <w:bookmarkEnd w:id="82"/>
    <w:bookmarkEnd w:id="83"/>
    <w:bookmarkStart w:id="88" w:name="X3f9848a7c8da72b6e795d9bd46afffe9fccd37c"/>
    <w:p>
      <w:pPr>
        <w:pStyle w:val="Heading2"/>
        <w:keepNext w:val="0"/>
        <w:keepLines w:val="0"/>
        <w:spacing w:before="140" w:after="40" w:line="240" w:lineRule="auto"/>
      </w:pPr>
      <w:r>
        <w:rPr>
          <w:rFonts w:ascii="Calibri" w:hAnsi="Calibri"/>
          <w:sz w:val="25"/>
        </w:rPr>
        <w:t xml:space="preserve">XIV. Recommended Next Steps and Action Items</w:t>
      </w:r>
    </w:p>
    <w:bookmarkStart w:id="84" w:name="a.-immediate-time-sensitive-escalate-now"/>
    <w:p>
      <w:pPr>
        <w:pStyle w:val="Heading3"/>
        <w:keepNext w:val="0"/>
        <w:keepLines w:val="0"/>
        <w:spacing w:before="100" w:after="20" w:line="240" w:lineRule="auto"/>
      </w:pPr>
      <w:r>
        <w:rPr>
          <w:rFonts w:ascii="Calibri" w:hAnsi="Calibri"/>
          <w:sz w:val="22"/>
        </w:rPr>
        <w:t xml:space="preserve">A. Immediate / Time-Sensitive (Escalate Now)</w:t>
      </w:r>
    </w:p>
    <w:p>
      <w:pPr>
        <w:pStyle w:val="Compact"/>
        <w:keepNext w:val="0"/>
        <w:keepLines w:val="0"/>
        <w:numPr>
          <w:ilvl w:val="0"/>
          <w:numId w:val="1014"/>
        </w:numPr>
        <w:spacing w:before="0" w:after="60" w:line="240" w:lineRule="auto"/>
      </w:pPr>
      <w:r>
        <w:rPr>
          <w:rFonts w:ascii="Calibri" w:hAnsi="Calibri"/>
          <w:b/>
          <w:bCs/>
          <w:sz w:val="20"/>
        </w:rPr>
        <w:t xml:space="preserve">SensorLink LOI exclusivity (Area 8.C).</w:t>
      </w:r>
      <w:r>
        <w:rPr>
          <w:rFonts w:ascii="Calibri" w:hAnsi="Calibri"/>
          <w:sz w:val="20"/>
        </w:rPr>
        <w:t xml:space="preserve"> </w:t>
      </w:r>
      <w:r>
        <w:rPr>
          <w:rFonts w:ascii="Calibri" w:hAnsi="Calibri"/>
          <w:sz w:val="20"/>
        </w:rPr>
        <w:t xml:space="preserve">Confirm termination-notice status; if not sent, send immediately; obtain a mutual termination/waiver from SensorLink; review the full LOI for the scope of exclusivity and other obligations.</w:t>
      </w:r>
      <w:r>
        <w:rPr>
          <w:rFonts w:ascii="Calibri" w:hAnsi="Calibri"/>
          <w:sz w:val="20"/>
        </w:rPr>
        <w:t xml:space="preserve"> </w:t>
      </w:r>
      <w:r>
        <w:rPr>
          <w:rFonts w:ascii="Calibri" w:hAnsi="Calibri"/>
          <w:b/>
          <w:bCs/>
          <w:sz w:val="20"/>
        </w:rPr>
        <w:t xml:space="preserve">Escalate to Jonathan Hsieh ahead of the full memo.</w:t>
      </w:r>
      <w:r>
        <w:rPr>
          <w:rFonts w:ascii="Calibri" w:hAnsi="Calibri"/>
          <w:sz w:val="20"/>
        </w:rPr>
        <w:t xml:space="preserve"> </w:t>
      </w:r>
      <w:r>
        <w:rPr>
          <w:rFonts w:ascii="Calibri" w:hAnsi="Calibri"/>
          <w:sz w:val="20"/>
        </w:rPr>
        <w:t xml:space="preserve">This is the most likely deal-conflict issue.</w:t>
      </w:r>
    </w:p>
    <w:p>
      <w:pPr>
        <w:pStyle w:val="Compact"/>
        <w:keepNext w:val="0"/>
        <w:keepLines w:val="0"/>
        <w:numPr>
          <w:ilvl w:val="0"/>
          <w:numId w:val="1014"/>
        </w:numPr>
        <w:spacing w:before="0" w:after="60" w:line="240" w:lineRule="auto"/>
      </w:pPr>
      <w:r>
        <w:rPr>
          <w:rFonts w:ascii="Calibri" w:hAnsi="Calibri"/>
          <w:b/>
          <w:bCs/>
          <w:sz w:val="20"/>
        </w:rPr>
        <w:t xml:space="preserve">Stonemill veto (Areas 1, 3).</w:t>
      </w:r>
      <w:r>
        <w:rPr>
          <w:rFonts w:ascii="Calibri" w:hAnsi="Calibri"/>
          <w:sz w:val="20"/>
        </w:rPr>
        <w:t xml:space="preserve"> </w:t>
      </w:r>
      <w:r>
        <w:rPr>
          <w:rFonts w:ascii="Calibri" w:hAnsi="Calibri"/>
          <w:sz w:val="20"/>
        </w:rPr>
        <w:t xml:space="preserve">Advise Katrina Voss that Stonemill holds an absolute charter veto via the Series C separate-class vote and that the drag-along is</w:t>
      </w:r>
      <w:r>
        <w:rPr>
          <w:rFonts w:ascii="Calibri" w:hAnsi="Calibri"/>
          <w:sz w:val="20"/>
        </w:rPr>
        <w:t xml:space="preserve"> </w:t>
      </w:r>
      <w:r>
        <w:rPr>
          <w:rFonts w:ascii="Calibri" w:hAnsi="Calibri"/>
          <w:b/>
          <w:bCs/>
          <w:sz w:val="20"/>
        </w:rPr>
        <w:t xml:space="preserve">not</w:t>
      </w:r>
      <w:r>
        <w:rPr>
          <w:rFonts w:ascii="Calibri" w:hAnsi="Calibri"/>
          <w:sz w:val="20"/>
        </w:rPr>
        <w:t xml:space="preserve"> </w:t>
      </w:r>
      <w:r>
        <w:rPr>
          <w:rFonts w:ascii="Calibri" w:hAnsi="Calibri"/>
          <w:sz w:val="20"/>
        </w:rPr>
        <w:t xml:space="preserve">a reliable path to closing over Stonemill’s objection. Reframe the negotiation strategy around obtaining Stonemill’s consent.</w:t>
      </w:r>
    </w:p>
    <w:p>
      <w:pPr>
        <w:pStyle w:val="Compact"/>
        <w:keepNext w:val="0"/>
        <w:keepLines w:val="0"/>
        <w:numPr>
          <w:ilvl w:val="0"/>
          <w:numId w:val="1014"/>
        </w:numPr>
        <w:spacing w:before="0" w:after="60" w:line="240" w:lineRule="auto"/>
      </w:pPr>
      <w:r>
        <w:rPr>
          <w:rFonts w:ascii="Calibri" w:hAnsi="Calibri"/>
          <w:b/>
          <w:bCs/>
          <w:sz w:val="20"/>
        </w:rPr>
        <w:t xml:space="preserve">Clearfield term loan consent (Area 8.A).</w:t>
      </w:r>
      <w:r>
        <w:rPr>
          <w:rFonts w:ascii="Calibri" w:hAnsi="Calibri"/>
          <w:sz w:val="20"/>
        </w:rPr>
        <w:t xml:space="preserve"> </w:t>
      </w:r>
      <w:r>
        <w:rPr>
          <w:rFonts w:ascii="Calibri" w:hAnsi="Calibri"/>
          <w:sz w:val="20"/>
        </w:rPr>
        <w:t xml:space="preserve">Request and review the Preferred Stockholder consent records for the $12M term loan; if no consent was obtained, assess remediation and disclosure.</w:t>
      </w:r>
    </w:p>
    <w:bookmarkEnd w:id="84"/>
    <w:bookmarkStart w:id="85" w:name="Xe77bea2609ae5913112b792f78b4b3fb08ba74b"/>
    <w:p>
      <w:pPr>
        <w:pStyle w:val="Heading3"/>
        <w:keepNext w:val="0"/>
        <w:keepLines w:val="0"/>
        <w:spacing w:before="100" w:after="20" w:line="240" w:lineRule="auto"/>
      </w:pPr>
      <w:r>
        <w:rPr>
          <w:rFonts w:ascii="Calibri" w:hAnsi="Calibri"/>
          <w:sz w:val="22"/>
        </w:rPr>
        <w:t xml:space="preserve">B. Document Requests (Route Through Jonathan Hsieh to Nathaniel Rourke)</w:t>
      </w:r>
    </w:p>
    <w:p>
      <w:pPr>
        <w:pStyle w:val="Compact"/>
        <w:keepNext w:val="0"/>
        <w:keepLines w:val="0"/>
        <w:numPr>
          <w:ilvl w:val="0"/>
          <w:numId w:val="1015"/>
        </w:numPr>
        <w:spacing w:before="0" w:after="60" w:line="240" w:lineRule="auto"/>
      </w:pPr>
      <w:r>
        <w:rPr>
          <w:rFonts w:ascii="Calibri" w:hAnsi="Calibri"/>
          <w:sz w:val="20"/>
        </w:rPr>
        <w:t xml:space="preserve">2021 Equity Incentive Plan, as amended (including the July 2023 amendment), and all related stockholder consent records.</w:t>
      </w:r>
    </w:p>
    <w:p>
      <w:pPr>
        <w:pStyle w:val="Compact"/>
        <w:keepNext w:val="0"/>
        <w:keepLines w:val="0"/>
        <w:numPr>
          <w:ilvl w:val="0"/>
          <w:numId w:val="1015"/>
        </w:numPr>
        <w:spacing w:before="0" w:after="60" w:line="240" w:lineRule="auto"/>
      </w:pPr>
      <w:r>
        <w:rPr>
          <w:rFonts w:ascii="Calibri" w:hAnsi="Calibri"/>
          <w:sz w:val="20"/>
        </w:rPr>
        <w:t xml:space="preserve">All individual award agreements (option agreements, RSU agreements) and a current cap table with vesting schedules.</w:t>
      </w:r>
    </w:p>
    <w:p>
      <w:pPr>
        <w:pStyle w:val="Compact"/>
        <w:keepNext w:val="0"/>
        <w:keepLines w:val="0"/>
        <w:numPr>
          <w:ilvl w:val="0"/>
          <w:numId w:val="1015"/>
        </w:numPr>
        <w:spacing w:before="0" w:after="60" w:line="240" w:lineRule="auto"/>
      </w:pPr>
      <w:r>
        <w:rPr>
          <w:rFonts w:ascii="Calibri" w:hAnsi="Calibri"/>
          <w:sz w:val="20"/>
        </w:rPr>
        <w:t xml:space="preserve">Preferred Stockholder written-consent records for the $12M Clearfield National Bank term loan (October 2023).</w:t>
      </w:r>
    </w:p>
    <w:p>
      <w:pPr>
        <w:pStyle w:val="Compact"/>
        <w:keepNext w:val="0"/>
        <w:keepLines w:val="0"/>
        <w:numPr>
          <w:ilvl w:val="0"/>
          <w:numId w:val="1015"/>
        </w:numPr>
        <w:spacing w:before="0" w:after="60" w:line="240" w:lineRule="auto"/>
      </w:pPr>
      <w:r>
        <w:rPr>
          <w:rFonts w:ascii="Calibri" w:hAnsi="Calibri"/>
          <w:sz w:val="20"/>
        </w:rPr>
        <w:t xml:space="preserve">The Clearfield National Bank loan agreement and related security agreements (to confirm change-of-control covenants and security interests).</w:t>
      </w:r>
    </w:p>
    <w:p>
      <w:pPr>
        <w:pStyle w:val="Compact"/>
        <w:keepNext w:val="0"/>
        <w:keepLines w:val="0"/>
        <w:numPr>
          <w:ilvl w:val="0"/>
          <w:numId w:val="1015"/>
        </w:numPr>
        <w:spacing w:before="0" w:after="60" w:line="240" w:lineRule="auto"/>
      </w:pPr>
      <w:r>
        <w:rPr>
          <w:rFonts w:ascii="Calibri" w:hAnsi="Calibri"/>
          <w:sz w:val="20"/>
        </w:rPr>
        <w:t xml:space="preserve">The full SensorLink Technologies LOI and any related correspondence/termination notices.</w:t>
      </w:r>
    </w:p>
    <w:p>
      <w:pPr>
        <w:pStyle w:val="Compact"/>
        <w:keepNext w:val="0"/>
        <w:keepLines w:val="0"/>
        <w:numPr>
          <w:ilvl w:val="0"/>
          <w:numId w:val="1015"/>
        </w:numPr>
        <w:spacing w:before="0" w:after="60" w:line="240" w:lineRule="auto"/>
      </w:pPr>
      <w:r>
        <w:rPr>
          <w:rFonts w:ascii="Calibri" w:hAnsi="Calibri"/>
          <w:sz w:val="20"/>
        </w:rPr>
        <w:t xml:space="preserve">Any stockholder consent records for the equity plan share-reserve increase (July 2023).</w:t>
      </w:r>
    </w:p>
    <w:p>
      <w:pPr>
        <w:pStyle w:val="Compact"/>
        <w:keepNext w:val="0"/>
        <w:keepLines w:val="0"/>
        <w:numPr>
          <w:ilvl w:val="0"/>
          <w:numId w:val="1015"/>
        </w:numPr>
        <w:spacing w:before="0" w:after="60" w:line="240" w:lineRule="auto"/>
      </w:pPr>
      <w:r>
        <w:rPr>
          <w:rFonts w:ascii="Calibri" w:hAnsi="Calibri"/>
          <w:sz w:val="20"/>
        </w:rPr>
        <w:t xml:space="preserve">Board observer notice records for the April 17, 2024 meeting (to confirm the Stonemill observer was notified and received materials).</w:t>
      </w:r>
    </w:p>
    <w:p>
      <w:pPr>
        <w:pStyle w:val="Compact"/>
        <w:keepNext w:val="0"/>
        <w:keepLines w:val="0"/>
        <w:numPr>
          <w:ilvl w:val="0"/>
          <w:numId w:val="1015"/>
        </w:numPr>
        <w:spacing w:before="0" w:after="60" w:line="240" w:lineRule="auto"/>
      </w:pPr>
      <w:r>
        <w:rPr>
          <w:rFonts w:ascii="Calibri" w:hAnsi="Calibri"/>
          <w:sz w:val="20"/>
        </w:rPr>
        <w:t xml:space="preserve">The Special Committee charter and any engagement letters for committee advisors (to confirm independence of counsel).</w:t>
      </w:r>
    </w:p>
    <w:p>
      <w:pPr>
        <w:pStyle w:val="Compact"/>
        <w:keepNext w:val="0"/>
        <w:keepLines w:val="0"/>
        <w:numPr>
          <w:ilvl w:val="0"/>
          <w:numId w:val="1015"/>
        </w:numPr>
        <w:spacing w:before="0" w:after="60" w:line="240" w:lineRule="auto"/>
      </w:pPr>
      <w:r>
        <w:rPr>
          <w:rFonts w:ascii="Calibri" w:hAnsi="Calibri"/>
          <w:sz w:val="20"/>
        </w:rPr>
        <w:t xml:space="preserve">The Thornbury &amp; Associates engagement letter and any preliminary/final fairness opinion.</w:t>
      </w:r>
    </w:p>
    <w:p>
      <w:pPr>
        <w:pStyle w:val="Compact"/>
        <w:keepNext w:val="0"/>
        <w:keepLines w:val="0"/>
        <w:numPr>
          <w:ilvl w:val="0"/>
          <w:numId w:val="1015"/>
        </w:numPr>
        <w:spacing w:before="0" w:after="60" w:line="240" w:lineRule="auto"/>
      </w:pPr>
      <w:r>
        <w:rPr>
          <w:rFonts w:ascii="Calibri" w:hAnsi="Calibri"/>
          <w:sz w:val="20"/>
        </w:rPr>
        <w:t xml:space="preserve">Any indemnification agreements between the Company and its directors/officers.</w:t>
      </w:r>
    </w:p>
    <w:p>
      <w:pPr>
        <w:pStyle w:val="Compact"/>
        <w:keepNext w:val="0"/>
        <w:keepLines w:val="0"/>
        <w:numPr>
          <w:ilvl w:val="0"/>
          <w:numId w:val="1015"/>
        </w:numPr>
        <w:spacing w:before="0" w:after="60" w:line="240" w:lineRule="auto"/>
      </w:pPr>
      <w:r>
        <w:rPr>
          <w:rFonts w:ascii="Calibri" w:hAnsi="Calibri"/>
          <w:sz w:val="20"/>
        </w:rPr>
        <w:t xml:space="preserve">The Company’s current D&amp;O insurance policy (for tail-insurance planning).</w:t>
      </w:r>
    </w:p>
    <w:p>
      <w:pPr>
        <w:pStyle w:val="Compact"/>
        <w:keepNext w:val="0"/>
        <w:keepLines w:val="0"/>
        <w:numPr>
          <w:ilvl w:val="0"/>
          <w:numId w:val="1015"/>
        </w:numPr>
        <w:spacing w:before="0" w:after="60" w:line="240" w:lineRule="auto"/>
      </w:pPr>
      <w:r>
        <w:rPr>
          <w:rFonts w:ascii="Calibri" w:hAnsi="Calibri"/>
          <w:sz w:val="20"/>
        </w:rPr>
        <w:t xml:space="preserve">A current capitalization table and schedule of outstanding convertible/equitable securities.</w:t>
      </w:r>
    </w:p>
    <w:bookmarkEnd w:id="85"/>
    <w:bookmarkStart w:id="86" w:name="c.-merger-agreement-drafting-points"/>
    <w:p>
      <w:pPr>
        <w:pStyle w:val="Heading3"/>
        <w:keepNext w:val="0"/>
        <w:keepLines w:val="0"/>
        <w:spacing w:before="100" w:after="20" w:line="240" w:lineRule="auto"/>
      </w:pPr>
      <w:r>
        <w:rPr>
          <w:rFonts w:ascii="Calibri" w:hAnsi="Calibri"/>
          <w:sz w:val="22"/>
        </w:rPr>
        <w:t xml:space="preserve">C. Merger-Agreement Drafting Points</w:t>
      </w:r>
    </w:p>
    <w:p>
      <w:pPr>
        <w:pStyle w:val="Compact"/>
        <w:keepNext w:val="0"/>
        <w:keepLines w:val="0"/>
        <w:numPr>
          <w:ilvl w:val="0"/>
          <w:numId w:val="1016"/>
        </w:numPr>
        <w:spacing w:before="0" w:after="60" w:line="240" w:lineRule="auto"/>
      </w:pPr>
      <w:r>
        <w:rPr>
          <w:rFonts w:ascii="Calibri" w:hAnsi="Calibri"/>
          <w:b/>
          <w:bCs/>
          <w:sz w:val="20"/>
        </w:rPr>
        <w:t xml:space="preserve">Consent mechanics:</w:t>
      </w:r>
      <w:r>
        <w:rPr>
          <w:rFonts w:ascii="Calibri" w:hAnsi="Calibri"/>
          <w:sz w:val="20"/>
        </w:rPr>
        <w:t xml:space="preserve"> </w:t>
      </w:r>
      <w:r>
        <w:rPr>
          <w:rFonts w:ascii="Calibri" w:hAnsi="Calibri"/>
          <w:sz w:val="20"/>
        </w:rPr>
        <w:t xml:space="preserve">Structure the stockholder consent solicitation to obtain, in parallel, (a) the DGCL §251 majority vote, (b) the all-Preferred class consent (§4.3.6(a)(vi)), and (c) the Series C separate-class consent (§4.3.6(b)(i)) — the last requiring Stonemill. Use written consents in lieu of a meeting (Bylaws §2.6).</w:t>
      </w:r>
    </w:p>
    <w:p>
      <w:pPr>
        <w:pStyle w:val="Compact"/>
        <w:keepNext w:val="0"/>
        <w:keepLines w:val="0"/>
        <w:numPr>
          <w:ilvl w:val="0"/>
          <w:numId w:val="1016"/>
        </w:numPr>
        <w:spacing w:before="0" w:after="60" w:line="240" w:lineRule="auto"/>
      </w:pPr>
      <w:r>
        <w:rPr>
          <w:rFonts w:ascii="Calibri" w:hAnsi="Calibri"/>
          <w:b/>
          <w:bCs/>
          <w:sz w:val="20"/>
        </w:rPr>
        <w:t xml:space="preserve">Waterfall allocation:</w:t>
      </w:r>
      <w:r>
        <w:rPr>
          <w:rFonts w:ascii="Calibri" w:hAnsi="Calibri"/>
          <w:sz w:val="20"/>
        </w:rPr>
        <w:t xml:space="preserve"> </w:t>
      </w:r>
      <w:r>
        <w:rPr>
          <w:rFonts w:ascii="Calibri" w:hAnsi="Calibri"/>
          <w:sz w:val="20"/>
        </w:rPr>
        <w:t xml:space="preserve">Ensure the merger agreement’s consideration-allocation mechanics track the Restated Certificate’s liquidation waterfall (§4.3.2), with Series C receiving its $18.50 preference and Series A/B and Common receiving the residual on an as-converted basis. Confirm the per-common-share amount.</w:t>
      </w:r>
    </w:p>
    <w:p>
      <w:pPr>
        <w:pStyle w:val="Compact"/>
        <w:keepNext w:val="0"/>
        <w:keepLines w:val="0"/>
        <w:numPr>
          <w:ilvl w:val="0"/>
          <w:numId w:val="1016"/>
        </w:numPr>
        <w:spacing w:before="0" w:after="60" w:line="240" w:lineRule="auto"/>
      </w:pPr>
      <w:r>
        <w:rPr>
          <w:rFonts w:ascii="Calibri" w:hAnsi="Calibri"/>
          <w:b/>
          <w:bCs/>
          <w:sz w:val="20"/>
        </w:rPr>
        <w:t xml:space="preserve">Termination of governance agreements:</w:t>
      </w:r>
      <w:r>
        <w:rPr>
          <w:rFonts w:ascii="Calibri" w:hAnsi="Calibri"/>
          <w:sz w:val="20"/>
        </w:rPr>
        <w:t xml:space="preserve"> </w:t>
      </w:r>
      <w:r>
        <w:rPr>
          <w:rFonts w:ascii="Calibri" w:hAnsi="Calibri"/>
          <w:sz w:val="20"/>
        </w:rPr>
        <w:t xml:space="preserve">Include express terminations/waivers of the Stockholders’ Agreement, Voting Agreement, and RRA at closing; confirm the Transaction constitutes a Liquidation Event / Sale of the Company / Deemed Liquidation Event for all purposes.</w:t>
      </w:r>
    </w:p>
    <w:p>
      <w:pPr>
        <w:pStyle w:val="Compact"/>
        <w:keepNext w:val="0"/>
        <w:keepLines w:val="0"/>
        <w:numPr>
          <w:ilvl w:val="0"/>
          <w:numId w:val="1016"/>
        </w:numPr>
        <w:spacing w:before="0" w:after="60" w:line="240" w:lineRule="auto"/>
      </w:pPr>
      <w:r>
        <w:rPr>
          <w:rFonts w:ascii="Calibri" w:hAnsi="Calibri"/>
          <w:b/>
          <w:bCs/>
          <w:sz w:val="20"/>
        </w:rPr>
        <w:t xml:space="preserve">Transfer-restriction clarity:</w:t>
      </w:r>
      <w:r>
        <w:rPr>
          <w:rFonts w:ascii="Calibri" w:hAnsi="Calibri"/>
          <w:sz w:val="20"/>
        </w:rPr>
        <w:t xml:space="preserve"> </w:t>
      </w:r>
      <w:r>
        <w:rPr>
          <w:rFonts w:ascii="Calibri" w:hAnsi="Calibri"/>
          <w:sz w:val="20"/>
        </w:rPr>
        <w:t xml:space="preserve">Obtain a confirmatory waiver/interpretation that the merger is exempt from ROFR/co-sale under §2.1(c)/§2.7(e) (resolving the</w:t>
      </w:r>
      <w:r>
        <w:rPr>
          <w:rFonts w:ascii="Calibri" w:hAnsi="Calibri"/>
          <w:sz w:val="20"/>
        </w:rPr>
        <w:t xml:space="preserve"> </w:t>
      </w:r>
      <w:r>
        <w:rPr>
          <w:rFonts w:ascii="Calibri" w:hAnsi="Calibri"/>
          <w:sz w:val="20"/>
        </w:rPr>
        <w:t xml:space="preserve">“</w:t>
      </w:r>
      <w:r>
        <w:rPr>
          <w:rFonts w:ascii="Calibri" w:hAnsi="Calibri"/>
          <w:sz w:val="20"/>
        </w:rPr>
        <w:t xml:space="preserve">Article 3</w:t>
      </w:r>
      <w:r>
        <w:rPr>
          <w:rFonts w:ascii="Calibri" w:hAnsi="Calibri"/>
          <w:sz w:val="20"/>
        </w:rPr>
        <w:t xml:space="preserve">”</w:t>
      </w:r>
      <w:r>
        <w:rPr>
          <w:rFonts w:ascii="Calibri" w:hAnsi="Calibri"/>
          <w:sz w:val="20"/>
        </w:rPr>
        <w:t xml:space="preserve"> </w:t>
      </w:r>
      <w:r>
        <w:rPr>
          <w:rFonts w:ascii="Calibri" w:hAnsi="Calibri"/>
          <w:sz w:val="20"/>
        </w:rPr>
        <w:t xml:space="preserve">ambiguity).</w:t>
      </w:r>
    </w:p>
    <w:p>
      <w:pPr>
        <w:pStyle w:val="Compact"/>
        <w:keepNext w:val="0"/>
        <w:keepLines w:val="0"/>
        <w:numPr>
          <w:ilvl w:val="0"/>
          <w:numId w:val="1016"/>
        </w:numPr>
        <w:spacing w:before="0" w:after="60" w:line="240" w:lineRule="auto"/>
      </w:pPr>
      <w:r>
        <w:rPr>
          <w:rFonts w:ascii="Calibri" w:hAnsi="Calibri"/>
          <w:b/>
          <w:bCs/>
          <w:sz w:val="20"/>
        </w:rPr>
        <w:t xml:space="preserve">Equity awards:</w:t>
      </w:r>
      <w:r>
        <w:rPr>
          <w:rFonts w:ascii="Calibri" w:hAnsi="Calibri"/>
          <w:sz w:val="20"/>
        </w:rPr>
        <w:t xml:space="preserve"> </w:t>
      </w:r>
      <w:r>
        <w:rPr>
          <w:rFonts w:ascii="Calibri" w:hAnsi="Calibri"/>
          <w:sz w:val="20"/>
        </w:rPr>
        <w:t xml:space="preserve">Specify the treatment of outstanding options/RSUs (cash-out, cancellation, rollover); obtain Plan and award-level consents; address acceleration.</w:t>
      </w:r>
    </w:p>
    <w:p>
      <w:pPr>
        <w:pStyle w:val="Compact"/>
        <w:keepNext w:val="0"/>
        <w:keepLines w:val="0"/>
        <w:numPr>
          <w:ilvl w:val="0"/>
          <w:numId w:val="1016"/>
        </w:numPr>
        <w:spacing w:before="0" w:after="60" w:line="240" w:lineRule="auto"/>
      </w:pPr>
      <w:r>
        <w:rPr>
          <w:rFonts w:ascii="Calibri" w:hAnsi="Calibri"/>
          <w:b/>
          <w:bCs/>
          <w:sz w:val="20"/>
        </w:rPr>
        <w:t xml:space="preserve">D&amp;O tail insurance:</w:t>
      </w:r>
      <w:r>
        <w:rPr>
          <w:rFonts w:ascii="Calibri" w:hAnsi="Calibri"/>
          <w:sz w:val="20"/>
        </w:rPr>
        <w:t xml:space="preserve"> </w:t>
      </w:r>
      <w:r>
        <w:rPr>
          <w:rFonts w:ascii="Calibri" w:hAnsi="Calibri"/>
          <w:sz w:val="20"/>
        </w:rPr>
        <w:t xml:space="preserve">Provide a six-year run-off policy for former directors and officers; ensure indemnification obligations survive.</w:t>
      </w:r>
    </w:p>
    <w:p>
      <w:pPr>
        <w:pStyle w:val="Compact"/>
        <w:keepNext w:val="0"/>
        <w:keepLines w:val="0"/>
        <w:numPr>
          <w:ilvl w:val="0"/>
          <w:numId w:val="1016"/>
        </w:numPr>
        <w:spacing w:before="0" w:after="60" w:line="240" w:lineRule="auto"/>
      </w:pPr>
      <w:r>
        <w:rPr>
          <w:rFonts w:ascii="Calibri" w:hAnsi="Calibri"/>
          <w:b/>
          <w:bCs/>
          <w:sz w:val="20"/>
        </w:rPr>
        <w:t xml:space="preserve">SensorLink:</w:t>
      </w:r>
      <w:r>
        <w:rPr>
          <w:rFonts w:ascii="Calibri" w:hAnsi="Calibri"/>
          <w:sz w:val="20"/>
        </w:rPr>
        <w:t xml:space="preserve"> </w:t>
      </w:r>
      <w:r>
        <w:rPr>
          <w:rFonts w:ascii="Calibri" w:hAnsi="Calibri"/>
          <w:sz w:val="20"/>
        </w:rPr>
        <w:t xml:space="preserve">Disclose the SensorLink LOI and its status on the disclosure schedules; include a bring-down/closing condition that the exclusivity is terminated.</w:t>
      </w:r>
    </w:p>
    <w:p>
      <w:pPr>
        <w:pStyle w:val="Compact"/>
        <w:keepNext w:val="0"/>
        <w:keepLines w:val="0"/>
        <w:numPr>
          <w:ilvl w:val="0"/>
          <w:numId w:val="1016"/>
        </w:numPr>
        <w:spacing w:before="0" w:after="60" w:line="240" w:lineRule="auto"/>
      </w:pPr>
      <w:r>
        <w:rPr>
          <w:rFonts w:ascii="Calibri" w:hAnsi="Calibri"/>
          <w:b/>
          <w:bCs/>
          <w:sz w:val="20"/>
        </w:rPr>
        <w:t xml:space="preserve">Reps and indemnity:</w:t>
      </w:r>
      <w:r>
        <w:rPr>
          <w:rFonts w:ascii="Calibri" w:hAnsi="Calibri"/>
          <w:sz w:val="20"/>
        </w:rPr>
        <w:t xml:space="preserve"> </w:t>
      </w:r>
      <w:r>
        <w:rPr>
          <w:rFonts w:ascii="Calibri" w:hAnsi="Calibri"/>
          <w:sz w:val="20"/>
        </w:rPr>
        <w:t xml:space="preserve">Note that under the drag-along (if invoked), stockholder reps are limited to title, authority, and enforceability, with several (not joint) indemnity capped at each stockholder’s consideration (§3.2(c)–(d)); structure the merger agreement’s stockholder reps/indemnity consistently.</w:t>
      </w:r>
    </w:p>
    <w:p>
      <w:pPr>
        <w:pStyle w:val="Compact"/>
        <w:keepNext w:val="0"/>
        <w:keepLines w:val="0"/>
        <w:numPr>
          <w:ilvl w:val="0"/>
          <w:numId w:val="1016"/>
        </w:numPr>
        <w:spacing w:before="0" w:after="60" w:line="240" w:lineRule="auto"/>
      </w:pPr>
      <w:r>
        <w:rPr>
          <w:rFonts w:ascii="Calibri" w:hAnsi="Calibri"/>
          <w:b/>
          <w:bCs/>
          <w:sz w:val="20"/>
        </w:rPr>
        <w:t xml:space="preserve">20-day Liquidation Event notice:</w:t>
      </w:r>
      <w:r>
        <w:rPr>
          <w:rFonts w:ascii="Calibri" w:hAnsi="Calibri"/>
          <w:sz w:val="20"/>
        </w:rPr>
        <w:t xml:space="preserve"> </w:t>
      </w:r>
      <w:r>
        <w:rPr>
          <w:rFonts w:ascii="Calibri" w:hAnsi="Calibri"/>
          <w:sz w:val="20"/>
        </w:rPr>
        <w:t xml:space="preserve">Ensure the Company delivers the §4.3.2(d) notice (≥20 days before closing, with material terms and per-share estimates) to all Preferred holders.</w:t>
      </w:r>
    </w:p>
    <w:bookmarkEnd w:id="86"/>
    <w:bookmarkStart w:id="87" w:name="d.-open-questions-for-client-input"/>
    <w:p>
      <w:pPr>
        <w:pStyle w:val="Heading3"/>
        <w:keepNext w:val="0"/>
        <w:keepLines w:val="0"/>
        <w:spacing w:before="100" w:after="20" w:line="240" w:lineRule="auto"/>
      </w:pPr>
      <w:r>
        <w:rPr>
          <w:rFonts w:ascii="Calibri" w:hAnsi="Calibri"/>
          <w:sz w:val="22"/>
        </w:rPr>
        <w:t xml:space="preserve">D. Open Questions for Client Input</w:t>
      </w:r>
    </w:p>
    <w:p>
      <w:pPr>
        <w:pStyle w:val="Compact"/>
        <w:keepNext w:val="0"/>
        <w:keepLines w:val="0"/>
        <w:numPr>
          <w:ilvl w:val="0"/>
          <w:numId w:val="1017"/>
        </w:numPr>
        <w:spacing w:before="0" w:after="60" w:line="240" w:lineRule="auto"/>
      </w:pPr>
      <w:r>
        <w:rPr>
          <w:rFonts w:ascii="Calibri" w:hAnsi="Calibri"/>
          <w:sz w:val="20"/>
        </w:rPr>
        <w:t xml:space="preserve">Is Hargrove willing to make economic or governance concessions to Stonemill to secure its consent (given the absolute veto)? What is the ceiling on such concessions?</w:t>
      </w:r>
    </w:p>
    <w:p>
      <w:pPr>
        <w:pStyle w:val="Compact"/>
        <w:keepNext w:val="0"/>
        <w:keepLines w:val="0"/>
        <w:numPr>
          <w:ilvl w:val="0"/>
          <w:numId w:val="1017"/>
        </w:numPr>
        <w:spacing w:before="0" w:after="60" w:line="240" w:lineRule="auto"/>
      </w:pPr>
      <w:r>
        <w:rPr>
          <w:rFonts w:ascii="Calibri" w:hAnsi="Calibri"/>
          <w:sz w:val="20"/>
        </w:rPr>
        <w:t xml:space="preserve">Is Hargrove prepared to litigate the drag-along override question if Stonemill refuses — accepting the cost, delay, and uncertainty?</w:t>
      </w:r>
    </w:p>
    <w:p>
      <w:pPr>
        <w:pStyle w:val="Compact"/>
        <w:keepNext w:val="0"/>
        <w:keepLines w:val="0"/>
        <w:numPr>
          <w:ilvl w:val="0"/>
          <w:numId w:val="1017"/>
        </w:numPr>
        <w:spacing w:before="0" w:after="60" w:line="240" w:lineRule="auto"/>
      </w:pPr>
      <w:r>
        <w:rPr>
          <w:rFonts w:ascii="Calibri" w:hAnsi="Calibri"/>
          <w:sz w:val="20"/>
        </w:rPr>
        <w:t xml:space="preserve">What is Hargrove’s tolerance for the SensorLink exclusivity risk, and the desired timing for signing relative to resolving the SensorLink issue?</w:t>
      </w:r>
    </w:p>
    <w:p>
      <w:pPr>
        <w:pStyle w:val="Compact"/>
        <w:keepNext w:val="0"/>
        <w:keepLines w:val="0"/>
        <w:numPr>
          <w:ilvl w:val="0"/>
          <w:numId w:val="1017"/>
        </w:numPr>
        <w:spacing w:before="0" w:after="60" w:line="240" w:lineRule="auto"/>
      </w:pPr>
      <w:r>
        <w:rPr>
          <w:rFonts w:ascii="Calibri" w:hAnsi="Calibri"/>
          <w:sz w:val="20"/>
        </w:rPr>
        <w:t xml:space="preserve">Should we recommend that the Company reconstitute the Special Committee and engage independent committee counsel before definitive-doc approval (a condition Hargrove may want to impose)?</w:t>
      </w:r>
    </w:p>
    <w:p>
      <w:pPr>
        <w:keepNext w:val="0"/>
        <w:keepLines w:val="0"/>
        <w:spacing w:before="0" w:after="60" w:line="240" w:lineRule="auto"/>
      </w:pPr>
      <w:r>
        <w:rPr>
          <w:rFonts w:ascii="Calibri" w:hAnsi="Calibri"/>
          <w:sz w:val="20"/>
        </w:rPr>
        <w:pict>
          <v:rect style="width:0;height:1.5pt" o:hralign="center" o:hrstd="t" o:hr="t"/>
        </w:pict>
      </w:r>
    </w:p>
    <w:bookmarkEnd w:id="87"/>
    <w:bookmarkEnd w:id="88"/>
    <w:bookmarkStart w:id="89" w:name="xv.-severity-classification-summary"/>
    <w:p>
      <w:pPr>
        <w:pStyle w:val="Heading2"/>
        <w:keepNext w:val="0"/>
        <w:keepLines w:val="0"/>
        <w:spacing w:before="140" w:after="40" w:line="240" w:lineRule="auto"/>
      </w:pPr>
      <w:r>
        <w:rPr>
          <w:rFonts w:ascii="Calibri" w:hAnsi="Calibri"/>
          <w:sz w:val="25"/>
        </w:rPr>
        <w:t xml:space="preserve">XV. Severity Classification Summary</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2412"/>
        <w:gridCol w:w="2412"/>
        <w:gridCol w:w="2412"/>
        <w:gridCol w:w="2412"/>
      </w:tblGrid>
      <w:tr>
        <w:tc>
          <w:tcPr>
            <w:tcW w:w="2412" w:type="dxa"/>
          </w:tcPr>
          <w:p>
            <w:pPr>
              <w:spacing w:before="0" w:after="0" w:line="240" w:lineRule="auto"/>
            </w:pPr>
            <w:r>
              <w:rPr>
                <w:rFonts w:ascii="Calibri" w:hAnsi="Calibri"/>
                <w:sz w:val="17"/>
              </w:rPr>
            </w:r>
            <w:r>
              <w:rPr>
                <w:rFonts w:ascii="Calibri" w:hAnsi="Calibri"/>
                <w:sz w:val="17"/>
              </w:rPr>
              <w:t>#</w:t>
            </w:r>
          </w:p>
        </w:tc>
        <w:tc>
          <w:tcPr>
            <w:tcW w:w="2412" w:type="dxa"/>
          </w:tcPr>
          <w:p>
            <w:pPr>
              <w:spacing w:before="0" w:after="0" w:line="240" w:lineRule="auto"/>
            </w:pPr>
            <w:r>
              <w:rPr>
                <w:rFonts w:ascii="Calibri" w:hAnsi="Calibri"/>
                <w:sz w:val="17"/>
              </w:rPr>
            </w:r>
            <w:r>
              <w:rPr>
                <w:rFonts w:ascii="Calibri" w:hAnsi="Calibri"/>
                <w:sz w:val="17"/>
              </w:rPr>
              <w:t>Issue</w:t>
            </w:r>
          </w:p>
        </w:tc>
        <w:tc>
          <w:tcPr>
            <w:tcW w:w="2412" w:type="dxa"/>
          </w:tcPr>
          <w:p>
            <w:pPr>
              <w:spacing w:before="0" w:after="0" w:line="240" w:lineRule="auto"/>
            </w:pPr>
            <w:r>
              <w:rPr>
                <w:rFonts w:ascii="Calibri" w:hAnsi="Calibri"/>
                <w:sz w:val="17"/>
              </w:rPr>
            </w:r>
            <w:r>
              <w:rPr>
                <w:rFonts w:ascii="Calibri" w:hAnsi="Calibri"/>
                <w:sz w:val="17"/>
              </w:rPr>
              <w:t>Severity</w:t>
            </w:r>
          </w:p>
        </w:tc>
        <w:tc>
          <w:tcPr>
            <w:tcW w:w="2412" w:type="dxa"/>
          </w:tcPr>
          <w:p>
            <w:pPr>
              <w:spacing w:before="0" w:after="0" w:line="240" w:lineRule="auto"/>
            </w:pPr>
            <w:r>
              <w:rPr>
                <w:rFonts w:ascii="Calibri" w:hAnsi="Calibri"/>
                <w:sz w:val="17"/>
              </w:rPr>
            </w:r>
            <w:r>
              <w:rPr>
                <w:rFonts w:ascii="Calibri" w:hAnsi="Calibri"/>
                <w:sz w:val="17"/>
              </w:rPr>
              <w:t>Section</w:t>
            </w:r>
          </w:p>
        </w:tc>
      </w:tr>
      <w:tr>
        <w:tc>
          <w:tcPr>
            <w:tcW w:w="2412" w:type="dxa"/>
          </w:tcPr>
          <w:p>
            <w:pPr>
              <w:spacing w:before="0" w:after="0" w:line="240" w:lineRule="auto"/>
            </w:pPr>
            <w:r>
              <w:rPr>
                <w:rFonts w:ascii="Calibri" w:hAnsi="Calibri"/>
                <w:sz w:val="17"/>
              </w:rPr>
            </w:r>
            <w:r>
              <w:rPr>
                <w:rFonts w:ascii="Calibri" w:hAnsi="Calibri"/>
                <w:sz w:val="17"/>
              </w:rPr>
              <w:t>1</w:t>
            </w:r>
          </w:p>
        </w:tc>
        <w:tc>
          <w:tcPr>
            <w:tcW w:w="2412" w:type="dxa"/>
          </w:tcPr>
          <w:p>
            <w:pPr>
              <w:spacing w:before="0" w:after="0" w:line="240" w:lineRule="auto"/>
            </w:pPr>
            <w:r>
              <w:rPr>
                <w:rFonts w:ascii="Calibri" w:hAnsi="Calibri"/>
                <w:sz w:val="17"/>
              </w:rPr>
            </w:r>
            <w:r>
              <w:rPr>
                <w:rFonts w:ascii="Calibri" w:hAnsi="Calibri"/>
                <w:sz w:val="17"/>
              </w:rPr>
              <w:t>Stonemill’s absolute Series C separate-class veto over the Liquidation Event (Restated Cert. §4.3.6(b)(i))</w:t>
            </w:r>
          </w:p>
        </w:tc>
        <w:tc>
          <w:tcPr>
            <w:tcW w:w="2412" w:type="dxa"/>
          </w:tcPr>
          <w:p>
            <w:pPr>
              <w:spacing w:before="0" w:after="0" w:line="240" w:lineRule="auto"/>
            </w:pPr>
            <w:r>
              <w:rPr>
                <w:rFonts w:ascii="Calibri" w:hAnsi="Calibri"/>
                <w:sz w:val="17"/>
              </w:rPr>
            </w:r>
            <w:r>
              <w:rPr>
                <w:rFonts w:ascii="Calibri" w:hAnsi="Calibri"/>
                <w:sz w:val="17"/>
              </w:rPr>
              <w:t>Critical</w:t>
            </w:r>
          </w:p>
        </w:tc>
        <w:tc>
          <w:tcPr>
            <w:tcW w:w="2412" w:type="dxa"/>
          </w:tcPr>
          <w:p>
            <w:pPr>
              <w:spacing w:before="0" w:after="0" w:line="240" w:lineRule="auto"/>
            </w:pPr>
            <w:r>
              <w:rPr>
                <w:rFonts w:ascii="Calibri" w:hAnsi="Calibri"/>
                <w:sz w:val="17"/>
              </w:rPr>
            </w:r>
            <w:r>
              <w:rPr>
                <w:rFonts w:ascii="Calibri" w:hAnsi="Calibri"/>
                <w:sz w:val="17"/>
              </w:rPr>
              <w:t>I, III, IV</w:t>
            </w:r>
          </w:p>
        </w:tc>
      </w:tr>
      <w:tr>
        <w:tc>
          <w:tcPr>
            <w:tcW w:w="2412" w:type="dxa"/>
          </w:tcPr>
          <w:p>
            <w:pPr>
              <w:spacing w:before="0" w:after="0" w:line="240" w:lineRule="auto"/>
            </w:pPr>
            <w:r>
              <w:rPr>
                <w:rFonts w:ascii="Calibri" w:hAnsi="Calibri"/>
                <w:sz w:val="17"/>
              </w:rPr>
            </w:r>
            <w:r>
              <w:rPr>
                <w:rFonts w:ascii="Calibri" w:hAnsi="Calibri"/>
                <w:sz w:val="17"/>
              </w:rPr>
              <w:t>2</w:t>
            </w:r>
          </w:p>
        </w:tc>
        <w:tc>
          <w:tcPr>
            <w:tcW w:w="2412" w:type="dxa"/>
          </w:tcPr>
          <w:p>
            <w:pPr>
              <w:spacing w:before="0" w:after="0" w:line="240" w:lineRule="auto"/>
            </w:pPr>
            <w:r>
              <w:rPr>
                <w:rFonts w:ascii="Calibri" w:hAnsi="Calibri"/>
                <w:sz w:val="17"/>
              </w:rPr>
            </w:r>
            <w:r>
              <w:rPr>
                <w:rFonts w:ascii="Calibri" w:hAnsi="Calibri"/>
                <w:sz w:val="17"/>
              </w:rPr>
              <w:t>$12M Clearfield term loan entered without evidence of required Preferred consent (§4.3.6(a)(v))</w:t>
            </w:r>
          </w:p>
        </w:tc>
        <w:tc>
          <w:tcPr>
            <w:tcW w:w="2412" w:type="dxa"/>
          </w:tcPr>
          <w:p>
            <w:pPr>
              <w:spacing w:before="0" w:after="0" w:line="240" w:lineRule="auto"/>
            </w:pPr>
            <w:r>
              <w:rPr>
                <w:rFonts w:ascii="Calibri" w:hAnsi="Calibri"/>
                <w:sz w:val="17"/>
              </w:rPr>
            </w:r>
            <w:r>
              <w:rPr>
                <w:rFonts w:ascii="Calibri" w:hAnsi="Calibri"/>
                <w:sz w:val="17"/>
              </w:rPr>
              <w:t>Critical</w:t>
            </w:r>
          </w:p>
        </w:tc>
        <w:tc>
          <w:tcPr>
            <w:tcW w:w="2412" w:type="dxa"/>
          </w:tcPr>
          <w:p>
            <w:pPr>
              <w:spacing w:before="0" w:after="0" w:line="240" w:lineRule="auto"/>
            </w:pPr>
            <w:r>
              <w:rPr>
                <w:rFonts w:ascii="Calibri" w:hAnsi="Calibri"/>
                <w:sz w:val="17"/>
              </w:rPr>
            </w:r>
            <w:r>
              <w:rPr>
                <w:rFonts w:ascii="Calibri" w:hAnsi="Calibri"/>
                <w:sz w:val="17"/>
              </w:rPr>
              <w:t>XI.A</w:t>
            </w:r>
          </w:p>
        </w:tc>
      </w:tr>
      <w:tr>
        <w:tc>
          <w:tcPr>
            <w:tcW w:w="2412" w:type="dxa"/>
          </w:tcPr>
          <w:p>
            <w:pPr>
              <w:spacing w:before="0" w:after="0" w:line="240" w:lineRule="auto"/>
            </w:pPr>
            <w:r>
              <w:rPr>
                <w:rFonts w:ascii="Calibri" w:hAnsi="Calibri"/>
                <w:sz w:val="17"/>
              </w:rPr>
            </w:r>
            <w:r>
              <w:rPr>
                <w:rFonts w:ascii="Calibri" w:hAnsi="Calibri"/>
                <w:sz w:val="17"/>
              </w:rPr>
              <w:t>3</w:t>
            </w:r>
          </w:p>
        </w:tc>
        <w:tc>
          <w:tcPr>
            <w:tcW w:w="2412" w:type="dxa"/>
          </w:tcPr>
          <w:p>
            <w:pPr>
              <w:spacing w:before="0" w:after="0" w:line="240" w:lineRule="auto"/>
            </w:pPr>
            <w:r>
              <w:rPr>
                <w:rFonts w:ascii="Calibri" w:hAnsi="Calibri"/>
                <w:sz w:val="17"/>
              </w:rPr>
            </w:r>
            <w:r>
              <w:rPr>
                <w:rFonts w:ascii="Calibri" w:hAnsi="Calibri"/>
                <w:sz w:val="17"/>
              </w:rPr>
              <w:t>SensorLink LOI exclusivity auto-renewed; live exclusivity may conflict with Hargrove signing</w:t>
            </w:r>
          </w:p>
        </w:tc>
        <w:tc>
          <w:tcPr>
            <w:tcW w:w="2412" w:type="dxa"/>
          </w:tcPr>
          <w:p>
            <w:pPr>
              <w:spacing w:before="0" w:after="0" w:line="240" w:lineRule="auto"/>
            </w:pPr>
            <w:r>
              <w:rPr>
                <w:rFonts w:ascii="Calibri" w:hAnsi="Calibri"/>
                <w:sz w:val="17"/>
              </w:rPr>
            </w:r>
            <w:r>
              <w:rPr>
                <w:rFonts w:ascii="Calibri" w:hAnsi="Calibri"/>
                <w:sz w:val="17"/>
              </w:rPr>
              <w:t>Critical / time-sensitive</w:t>
            </w:r>
          </w:p>
        </w:tc>
        <w:tc>
          <w:tcPr>
            <w:tcW w:w="2412" w:type="dxa"/>
          </w:tcPr>
          <w:p>
            <w:pPr>
              <w:spacing w:before="0" w:after="0" w:line="240" w:lineRule="auto"/>
            </w:pPr>
            <w:r>
              <w:rPr>
                <w:rFonts w:ascii="Calibri" w:hAnsi="Calibri"/>
                <w:sz w:val="17"/>
              </w:rPr>
            </w:r>
            <w:r>
              <w:rPr>
                <w:rFonts w:ascii="Calibri" w:hAnsi="Calibri"/>
                <w:sz w:val="17"/>
              </w:rPr>
              <w:t>XI.C</w:t>
            </w:r>
          </w:p>
        </w:tc>
      </w:tr>
      <w:tr>
        <w:tc>
          <w:tcPr>
            <w:tcW w:w="2412" w:type="dxa"/>
          </w:tcPr>
          <w:p>
            <w:pPr>
              <w:spacing w:before="0" w:after="0" w:line="240" w:lineRule="auto"/>
            </w:pPr>
            <w:r>
              <w:rPr>
                <w:rFonts w:ascii="Calibri" w:hAnsi="Calibri"/>
                <w:sz w:val="17"/>
              </w:rPr>
            </w:r>
            <w:r>
              <w:rPr>
                <w:rFonts w:ascii="Calibri" w:hAnsi="Calibri"/>
                <w:sz w:val="17"/>
              </w:rPr>
              <w:t>4</w:t>
            </w:r>
          </w:p>
        </w:tc>
        <w:tc>
          <w:tcPr>
            <w:tcW w:w="2412" w:type="dxa"/>
          </w:tcPr>
          <w:p>
            <w:pPr>
              <w:spacing w:before="0" w:after="0" w:line="240" w:lineRule="auto"/>
            </w:pPr>
            <w:r>
              <w:rPr>
                <w:rFonts w:ascii="Calibri" w:hAnsi="Calibri"/>
                <w:sz w:val="17"/>
              </w:rPr>
            </w:r>
            <w:r>
              <w:rPr>
                <w:rFonts w:ascii="Calibri" w:hAnsi="Calibri"/>
                <w:sz w:val="17"/>
              </w:rPr>
              <w:t>2021 Equity Incentive Plan and award agreements not received; acceleration impact unquantifiable</w:t>
            </w:r>
          </w:p>
        </w:tc>
        <w:tc>
          <w:tcPr>
            <w:tcW w:w="2412" w:type="dxa"/>
          </w:tcPr>
          <w:p>
            <w:pPr>
              <w:spacing w:before="0" w:after="0" w:line="240" w:lineRule="auto"/>
            </w:pPr>
            <w:r>
              <w:rPr>
                <w:rFonts w:ascii="Calibri" w:hAnsi="Calibri"/>
                <w:sz w:val="17"/>
              </w:rPr>
            </w:r>
            <w:r>
              <w:rPr>
                <w:rFonts w:ascii="Calibri" w:hAnsi="Calibri"/>
                <w:sz w:val="17"/>
              </w:rPr>
              <w:t>Critical (doc gap)</w:t>
            </w:r>
          </w:p>
        </w:tc>
        <w:tc>
          <w:tcPr>
            <w:tcW w:w="2412" w:type="dxa"/>
          </w:tcPr>
          <w:p>
            <w:pPr>
              <w:spacing w:before="0" w:after="0" w:line="240" w:lineRule="auto"/>
            </w:pPr>
            <w:r>
              <w:rPr>
                <w:rFonts w:ascii="Calibri" w:hAnsi="Calibri"/>
                <w:sz w:val="17"/>
              </w:rPr>
            </w:r>
            <w:r>
              <w:rPr>
                <w:rFonts w:ascii="Calibri" w:hAnsi="Calibri"/>
                <w:sz w:val="17"/>
              </w:rPr>
              <w:t>X</w:t>
            </w:r>
          </w:p>
        </w:tc>
      </w:tr>
      <w:tr>
        <w:tc>
          <w:tcPr>
            <w:tcW w:w="2412" w:type="dxa"/>
          </w:tcPr>
          <w:p>
            <w:pPr>
              <w:spacing w:before="0" w:after="0" w:line="240" w:lineRule="auto"/>
            </w:pPr>
            <w:r>
              <w:rPr>
                <w:rFonts w:ascii="Calibri" w:hAnsi="Calibri"/>
                <w:sz w:val="17"/>
              </w:rPr>
            </w:r>
            <w:r>
              <w:rPr>
                <w:rFonts w:ascii="Calibri" w:hAnsi="Calibri"/>
                <w:sz w:val="17"/>
              </w:rPr>
              <w:t>5</w:t>
            </w:r>
          </w:p>
        </w:tc>
        <w:tc>
          <w:tcPr>
            <w:tcW w:w="2412" w:type="dxa"/>
          </w:tcPr>
          <w:p>
            <w:pPr>
              <w:spacing w:before="0" w:after="0" w:line="240" w:lineRule="auto"/>
            </w:pPr>
            <w:r>
              <w:rPr>
                <w:rFonts w:ascii="Calibri" w:hAnsi="Calibri"/>
                <w:sz w:val="17"/>
              </w:rPr>
            </w:r>
            <w:r>
              <w:rPr>
                <w:rFonts w:ascii="Calibri" w:hAnsi="Calibri"/>
                <w:sz w:val="17"/>
              </w:rPr>
              <w:t>Drag-along prong (i) denominator ambiguous; charter-override question legally uncertain</w:t>
            </w:r>
          </w:p>
        </w:tc>
        <w:tc>
          <w:tcPr>
            <w:tcW w:w="2412" w:type="dxa"/>
          </w:tcPr>
          <w:p>
            <w:pPr>
              <w:spacing w:before="0" w:after="0" w:line="240" w:lineRule="auto"/>
            </w:pPr>
            <w:r>
              <w:rPr>
                <w:rFonts w:ascii="Calibri" w:hAnsi="Calibri"/>
                <w:sz w:val="17"/>
              </w:rPr>
            </w:r>
            <w:r>
              <w:rPr>
                <w:rFonts w:ascii="Calibri" w:hAnsi="Calibri"/>
                <w:sz w:val="17"/>
              </w:rPr>
              <w:t>Significant</w:t>
            </w:r>
          </w:p>
        </w:tc>
        <w:tc>
          <w:tcPr>
            <w:tcW w:w="2412" w:type="dxa"/>
          </w:tcPr>
          <w:p>
            <w:pPr>
              <w:spacing w:before="0" w:after="0" w:line="240" w:lineRule="auto"/>
            </w:pPr>
            <w:r>
              <w:rPr>
                <w:rFonts w:ascii="Calibri" w:hAnsi="Calibri"/>
                <w:sz w:val="17"/>
              </w:rPr>
            </w:r>
            <w:r>
              <w:rPr>
                <w:rFonts w:ascii="Calibri" w:hAnsi="Calibri"/>
                <w:sz w:val="17"/>
              </w:rPr>
              <w:t>V</w:t>
            </w:r>
          </w:p>
        </w:tc>
      </w:tr>
      <w:tr>
        <w:tc>
          <w:tcPr>
            <w:tcW w:w="2412" w:type="dxa"/>
          </w:tcPr>
          <w:p>
            <w:pPr>
              <w:spacing w:before="0" w:after="0" w:line="240" w:lineRule="auto"/>
            </w:pPr>
            <w:r>
              <w:rPr>
                <w:rFonts w:ascii="Calibri" w:hAnsi="Calibri"/>
                <w:sz w:val="17"/>
              </w:rPr>
            </w:r>
            <w:r>
              <w:rPr>
                <w:rFonts w:ascii="Calibri" w:hAnsi="Calibri"/>
                <w:sz w:val="17"/>
              </w:rPr>
              <w:t>6</w:t>
            </w:r>
          </w:p>
        </w:tc>
        <w:tc>
          <w:tcPr>
            <w:tcW w:w="2412" w:type="dxa"/>
          </w:tcPr>
          <w:p>
            <w:pPr>
              <w:spacing w:before="0" w:after="0" w:line="240" w:lineRule="auto"/>
            </w:pPr>
            <w:r>
              <w:rPr>
                <w:rFonts w:ascii="Calibri" w:hAnsi="Calibri"/>
                <w:sz w:val="17"/>
              </w:rPr>
            </w:r>
            <w:r>
              <w:rPr>
                <w:rFonts w:ascii="Calibri" w:hAnsi="Calibri"/>
                <w:sz w:val="17"/>
              </w:rPr>
              <w:t>Sandra Okafor (Northbridge designee) on Special Committee — independence/fiduciary vulnerability</w:t>
            </w:r>
          </w:p>
        </w:tc>
        <w:tc>
          <w:tcPr>
            <w:tcW w:w="2412" w:type="dxa"/>
          </w:tcPr>
          <w:p>
            <w:pPr>
              <w:spacing w:before="0" w:after="0" w:line="240" w:lineRule="auto"/>
            </w:pPr>
            <w:r>
              <w:rPr>
                <w:rFonts w:ascii="Calibri" w:hAnsi="Calibri"/>
                <w:sz w:val="17"/>
              </w:rPr>
            </w:r>
            <w:r>
              <w:rPr>
                <w:rFonts w:ascii="Calibri" w:hAnsi="Calibri"/>
                <w:sz w:val="17"/>
              </w:rPr>
              <w:t>Significant</w:t>
            </w:r>
          </w:p>
        </w:tc>
        <w:tc>
          <w:tcPr>
            <w:tcW w:w="2412" w:type="dxa"/>
          </w:tcPr>
          <w:p>
            <w:pPr>
              <w:spacing w:before="0" w:after="0" w:line="240" w:lineRule="auto"/>
            </w:pPr>
            <w:r>
              <w:rPr>
                <w:rFonts w:ascii="Calibri" w:hAnsi="Calibri"/>
                <w:sz w:val="17"/>
              </w:rPr>
            </w:r>
            <w:r>
              <w:rPr>
                <w:rFonts w:ascii="Calibri" w:hAnsi="Calibri"/>
                <w:sz w:val="17"/>
              </w:rPr>
              <w:t>XII.A</w:t>
            </w:r>
          </w:p>
        </w:tc>
      </w:tr>
      <w:tr>
        <w:tc>
          <w:tcPr>
            <w:tcW w:w="2412" w:type="dxa"/>
          </w:tcPr>
          <w:p>
            <w:pPr>
              <w:spacing w:before="0" w:after="0" w:line="240" w:lineRule="auto"/>
            </w:pPr>
            <w:r>
              <w:rPr>
                <w:rFonts w:ascii="Calibri" w:hAnsi="Calibri"/>
                <w:sz w:val="17"/>
              </w:rPr>
            </w:r>
            <w:r>
              <w:rPr>
                <w:rFonts w:ascii="Calibri" w:hAnsi="Calibri"/>
                <w:sz w:val="17"/>
              </w:rPr>
              <w:t>7</w:t>
            </w:r>
          </w:p>
        </w:tc>
        <w:tc>
          <w:tcPr>
            <w:tcW w:w="2412" w:type="dxa"/>
          </w:tcPr>
          <w:p>
            <w:pPr>
              <w:spacing w:before="0" w:after="0" w:line="240" w:lineRule="auto"/>
            </w:pPr>
            <w:r>
              <w:rPr>
                <w:rFonts w:ascii="Calibri" w:hAnsi="Calibri"/>
                <w:sz w:val="17"/>
              </w:rPr>
            </w:r>
            <w:r>
              <w:rPr>
                <w:rFonts w:ascii="Calibri" w:hAnsi="Calibri"/>
                <w:sz w:val="17"/>
              </w:rPr>
              <w:t>RRA “Deemed Liquidation Event” undefined — termination-on-merger ambiguity</w:t>
            </w:r>
          </w:p>
        </w:tc>
        <w:tc>
          <w:tcPr>
            <w:tcW w:w="2412" w:type="dxa"/>
          </w:tcPr>
          <w:p>
            <w:pPr>
              <w:spacing w:before="0" w:after="0" w:line="240" w:lineRule="auto"/>
            </w:pPr>
            <w:r>
              <w:rPr>
                <w:rFonts w:ascii="Calibri" w:hAnsi="Calibri"/>
                <w:sz w:val="17"/>
              </w:rPr>
            </w:r>
            <w:r>
              <w:rPr>
                <w:rFonts w:ascii="Calibri" w:hAnsi="Calibri"/>
                <w:sz w:val="17"/>
              </w:rPr>
              <w:t>Significant</w:t>
            </w:r>
          </w:p>
        </w:tc>
        <w:tc>
          <w:tcPr>
            <w:tcW w:w="2412" w:type="dxa"/>
          </w:tcPr>
          <w:p>
            <w:pPr>
              <w:spacing w:before="0" w:after="0" w:line="240" w:lineRule="auto"/>
            </w:pPr>
            <w:r>
              <w:rPr>
                <w:rFonts w:ascii="Calibri" w:hAnsi="Calibri"/>
                <w:sz w:val="17"/>
              </w:rPr>
            </w:r>
            <w:r>
              <w:rPr>
                <w:rFonts w:ascii="Calibri" w:hAnsi="Calibri"/>
                <w:sz w:val="17"/>
              </w:rPr>
              <w:t>IX, XIII</w:t>
            </w:r>
          </w:p>
        </w:tc>
      </w:tr>
      <w:tr>
        <w:tc>
          <w:tcPr>
            <w:tcW w:w="2412" w:type="dxa"/>
          </w:tcPr>
          <w:p>
            <w:pPr>
              <w:spacing w:before="0" w:after="0" w:line="240" w:lineRule="auto"/>
            </w:pPr>
            <w:r>
              <w:rPr>
                <w:rFonts w:ascii="Calibri" w:hAnsi="Calibri"/>
                <w:sz w:val="17"/>
              </w:rPr>
            </w:r>
            <w:r>
              <w:rPr>
                <w:rFonts w:ascii="Calibri" w:hAnsi="Calibri"/>
                <w:sz w:val="17"/>
              </w:rPr>
              <w:t>8</w:t>
            </w:r>
          </w:p>
        </w:tc>
        <w:tc>
          <w:tcPr>
            <w:tcW w:w="2412" w:type="dxa"/>
          </w:tcPr>
          <w:p>
            <w:pPr>
              <w:spacing w:before="0" w:after="0" w:line="240" w:lineRule="auto"/>
            </w:pPr>
            <w:r>
              <w:rPr>
                <w:rFonts w:ascii="Calibri" w:hAnsi="Calibri"/>
                <w:sz w:val="17"/>
              </w:rPr>
            </w:r>
            <w:r>
              <w:rPr>
                <w:rFonts w:ascii="Calibri" w:hAnsi="Calibri"/>
                <w:sz w:val="17"/>
              </w:rPr>
              <w:t>Equity plan share-reserve increase (July 2023) — stockholder approval status unknown</w:t>
            </w:r>
          </w:p>
        </w:tc>
        <w:tc>
          <w:tcPr>
            <w:tcW w:w="2412" w:type="dxa"/>
          </w:tcPr>
          <w:p>
            <w:pPr>
              <w:spacing w:before="0" w:after="0" w:line="240" w:lineRule="auto"/>
            </w:pPr>
            <w:r>
              <w:rPr>
                <w:rFonts w:ascii="Calibri" w:hAnsi="Calibri"/>
                <w:sz w:val="17"/>
              </w:rPr>
            </w:r>
            <w:r>
              <w:rPr>
                <w:rFonts w:ascii="Calibri" w:hAnsi="Calibri"/>
                <w:sz w:val="17"/>
              </w:rPr>
              <w:t>Significant</w:t>
            </w:r>
          </w:p>
        </w:tc>
        <w:tc>
          <w:tcPr>
            <w:tcW w:w="2412" w:type="dxa"/>
          </w:tcPr>
          <w:p>
            <w:pPr>
              <w:spacing w:before="0" w:after="0" w:line="240" w:lineRule="auto"/>
            </w:pPr>
            <w:r>
              <w:rPr>
                <w:rFonts w:ascii="Calibri" w:hAnsi="Calibri"/>
                <w:sz w:val="17"/>
              </w:rPr>
            </w:r>
            <w:r>
              <w:rPr>
                <w:rFonts w:ascii="Calibri" w:hAnsi="Calibri"/>
                <w:sz w:val="17"/>
              </w:rPr>
              <w:t>X.D</w:t>
            </w:r>
          </w:p>
        </w:tc>
      </w:tr>
      <w:tr>
        <w:tc>
          <w:tcPr>
            <w:tcW w:w="2412" w:type="dxa"/>
          </w:tcPr>
          <w:p>
            <w:pPr>
              <w:spacing w:before="0" w:after="0" w:line="240" w:lineRule="auto"/>
            </w:pPr>
            <w:r>
              <w:rPr>
                <w:rFonts w:ascii="Calibri" w:hAnsi="Calibri"/>
                <w:sz w:val="17"/>
              </w:rPr>
            </w:r>
            <w:r>
              <w:rPr>
                <w:rFonts w:ascii="Calibri" w:hAnsi="Calibri"/>
                <w:sz w:val="17"/>
              </w:rPr>
              <w:t>9</w:t>
            </w:r>
          </w:p>
        </w:tc>
        <w:tc>
          <w:tcPr>
            <w:tcW w:w="2412" w:type="dxa"/>
          </w:tcPr>
          <w:p>
            <w:pPr>
              <w:spacing w:before="0" w:after="0" w:line="240" w:lineRule="auto"/>
            </w:pPr>
            <w:r>
              <w:rPr>
                <w:rFonts w:ascii="Calibri" w:hAnsi="Calibri"/>
                <w:sz w:val="17"/>
              </w:rPr>
            </w:r>
            <w:r>
              <w:rPr>
                <w:rFonts w:ascii="Calibri" w:hAnsi="Calibri"/>
                <w:sz w:val="17"/>
              </w:rPr>
              <w:t>Board minutes’ waterfall characterization incorrect as to Series C; implied value below 409A</w:t>
            </w:r>
          </w:p>
        </w:tc>
        <w:tc>
          <w:tcPr>
            <w:tcW w:w="2412" w:type="dxa"/>
          </w:tcPr>
          <w:p>
            <w:pPr>
              <w:spacing w:before="0" w:after="0" w:line="240" w:lineRule="auto"/>
            </w:pPr>
            <w:r>
              <w:rPr>
                <w:rFonts w:ascii="Calibri" w:hAnsi="Calibri"/>
                <w:sz w:val="17"/>
              </w:rPr>
            </w:r>
            <w:r>
              <w:rPr>
                <w:rFonts w:ascii="Calibri" w:hAnsi="Calibri"/>
                <w:sz w:val="17"/>
              </w:rPr>
              <w:t>Significant</w:t>
            </w:r>
          </w:p>
        </w:tc>
        <w:tc>
          <w:tcPr>
            <w:tcW w:w="2412" w:type="dxa"/>
          </w:tcPr>
          <w:p>
            <w:pPr>
              <w:spacing w:before="0" w:after="0" w:line="240" w:lineRule="auto"/>
            </w:pPr>
            <w:r>
              <w:rPr>
                <w:rFonts w:ascii="Calibri" w:hAnsi="Calibri"/>
                <w:sz w:val="17"/>
              </w:rPr>
            </w:r>
            <w:r>
              <w:rPr>
                <w:rFonts w:ascii="Calibri" w:hAnsi="Calibri"/>
                <w:sz w:val="17"/>
              </w:rPr>
              <w:t>VI.D, App. B</w:t>
            </w:r>
          </w:p>
        </w:tc>
      </w:tr>
      <w:tr>
        <w:tc>
          <w:tcPr>
            <w:tcW w:w="2412" w:type="dxa"/>
          </w:tcPr>
          <w:p>
            <w:pPr>
              <w:spacing w:before="0" w:after="0" w:line="240" w:lineRule="auto"/>
            </w:pPr>
            <w:r>
              <w:rPr>
                <w:rFonts w:ascii="Calibri" w:hAnsi="Calibri"/>
                <w:sz w:val="17"/>
              </w:rPr>
            </w:r>
            <w:r>
              <w:rPr>
                <w:rFonts w:ascii="Calibri" w:hAnsi="Calibri"/>
                <w:sz w:val="17"/>
              </w:rPr>
              <w:t>10</w:t>
            </w:r>
          </w:p>
        </w:tc>
        <w:tc>
          <w:tcPr>
            <w:tcW w:w="2412" w:type="dxa"/>
          </w:tcPr>
          <w:p>
            <w:pPr>
              <w:spacing w:before="0" w:after="0" w:line="240" w:lineRule="auto"/>
            </w:pPr>
            <w:r>
              <w:rPr>
                <w:rFonts w:ascii="Calibri" w:hAnsi="Calibri"/>
                <w:sz w:val="17"/>
              </w:rPr>
            </w:r>
            <w:r>
              <w:rPr>
                <w:rFonts w:ascii="Calibri" w:hAnsi="Calibri"/>
                <w:sz w:val="17"/>
              </w:rPr>
              <w:t>No independent counsel for Special Committee; Company counsel advised committee</w:t>
            </w:r>
          </w:p>
        </w:tc>
        <w:tc>
          <w:tcPr>
            <w:tcW w:w="2412" w:type="dxa"/>
          </w:tcPr>
          <w:p>
            <w:pPr>
              <w:spacing w:before="0" w:after="0" w:line="240" w:lineRule="auto"/>
            </w:pPr>
            <w:r>
              <w:rPr>
                <w:rFonts w:ascii="Calibri" w:hAnsi="Calibri"/>
                <w:sz w:val="17"/>
              </w:rPr>
            </w:r>
            <w:r>
              <w:rPr>
                <w:rFonts w:ascii="Calibri" w:hAnsi="Calibri"/>
                <w:sz w:val="17"/>
              </w:rPr>
              <w:t>Significant</w:t>
            </w:r>
          </w:p>
        </w:tc>
        <w:tc>
          <w:tcPr>
            <w:tcW w:w="2412" w:type="dxa"/>
          </w:tcPr>
          <w:p>
            <w:pPr>
              <w:spacing w:before="0" w:after="0" w:line="240" w:lineRule="auto"/>
            </w:pPr>
            <w:r>
              <w:rPr>
                <w:rFonts w:ascii="Calibri" w:hAnsi="Calibri"/>
                <w:sz w:val="17"/>
              </w:rPr>
            </w:r>
            <w:r>
              <w:rPr>
                <w:rFonts w:ascii="Calibri" w:hAnsi="Calibri"/>
                <w:sz w:val="17"/>
              </w:rPr>
              <w:t>XII.A</w:t>
            </w:r>
          </w:p>
        </w:tc>
      </w:tr>
      <w:tr>
        <w:tc>
          <w:tcPr>
            <w:tcW w:w="2412" w:type="dxa"/>
          </w:tcPr>
          <w:p>
            <w:pPr>
              <w:spacing w:before="0" w:after="0" w:line="240" w:lineRule="auto"/>
            </w:pPr>
            <w:r>
              <w:rPr>
                <w:rFonts w:ascii="Calibri" w:hAnsi="Calibri"/>
                <w:sz w:val="17"/>
              </w:rPr>
            </w:r>
            <w:r>
              <w:rPr>
                <w:rFonts w:ascii="Calibri" w:hAnsi="Calibri"/>
                <w:sz w:val="17"/>
              </w:rPr>
              <w:t>11</w:t>
            </w:r>
          </w:p>
        </w:tc>
        <w:tc>
          <w:tcPr>
            <w:tcW w:w="2412" w:type="dxa"/>
          </w:tcPr>
          <w:p>
            <w:pPr>
              <w:spacing w:before="0" w:after="0" w:line="240" w:lineRule="auto"/>
            </w:pPr>
            <w:r>
              <w:rPr>
                <w:rFonts w:ascii="Calibri" w:hAnsi="Calibri"/>
                <w:sz w:val="17"/>
              </w:rPr>
            </w:r>
            <w:r>
              <w:rPr>
                <w:rFonts w:ascii="Calibri" w:hAnsi="Calibri"/>
                <w:sz w:val="17"/>
              </w:rPr>
              <w:t>Trask absence/objection creates exploitable dissent record</w:t>
            </w:r>
          </w:p>
        </w:tc>
        <w:tc>
          <w:tcPr>
            <w:tcW w:w="2412" w:type="dxa"/>
          </w:tcPr>
          <w:p>
            <w:pPr>
              <w:spacing w:before="0" w:after="0" w:line="240" w:lineRule="auto"/>
            </w:pPr>
            <w:r>
              <w:rPr>
                <w:rFonts w:ascii="Calibri" w:hAnsi="Calibri"/>
                <w:sz w:val="17"/>
              </w:rPr>
            </w:r>
            <w:r>
              <w:rPr>
                <w:rFonts w:ascii="Calibri" w:hAnsi="Calibri"/>
                <w:sz w:val="17"/>
              </w:rPr>
              <w:t>Significant</w:t>
            </w:r>
          </w:p>
        </w:tc>
        <w:tc>
          <w:tcPr>
            <w:tcW w:w="2412" w:type="dxa"/>
          </w:tcPr>
          <w:p>
            <w:pPr>
              <w:spacing w:before="0" w:after="0" w:line="240" w:lineRule="auto"/>
            </w:pPr>
            <w:r>
              <w:rPr>
                <w:rFonts w:ascii="Calibri" w:hAnsi="Calibri"/>
                <w:sz w:val="17"/>
              </w:rPr>
            </w:r>
            <w:r>
              <w:rPr>
                <w:rFonts w:ascii="Calibri" w:hAnsi="Calibri"/>
                <w:sz w:val="17"/>
              </w:rPr>
              <w:t>XII.B</w:t>
            </w:r>
          </w:p>
        </w:tc>
      </w:tr>
      <w:tr>
        <w:tc>
          <w:tcPr>
            <w:tcW w:w="2412" w:type="dxa"/>
          </w:tcPr>
          <w:p>
            <w:pPr>
              <w:spacing w:before="0" w:after="0" w:line="240" w:lineRule="auto"/>
            </w:pPr>
            <w:r>
              <w:rPr>
                <w:rFonts w:ascii="Calibri" w:hAnsi="Calibri"/>
                <w:sz w:val="17"/>
              </w:rPr>
            </w:r>
            <w:r>
              <w:rPr>
                <w:rFonts w:ascii="Calibri" w:hAnsi="Calibri"/>
                <w:sz w:val="17"/>
              </w:rPr>
              <w:t>12</w:t>
            </w:r>
          </w:p>
        </w:tc>
        <w:tc>
          <w:tcPr>
            <w:tcW w:w="2412" w:type="dxa"/>
          </w:tcPr>
          <w:p>
            <w:pPr>
              <w:spacing w:before="0" w:after="0" w:line="240" w:lineRule="auto"/>
            </w:pPr>
            <w:r>
              <w:rPr>
                <w:rFonts w:ascii="Calibri" w:hAnsi="Calibri"/>
                <w:sz w:val="17"/>
              </w:rPr>
            </w:r>
            <w:r>
              <w:rPr>
                <w:rFonts w:ascii="Calibri" w:hAnsi="Calibri"/>
                <w:sz w:val="17"/>
              </w:rPr>
              <w:t>Cross-document definitional mismatches (Liquidation Event / Sale of Company / Deemed Liquidation Event; IPO)</w:t>
            </w:r>
          </w:p>
        </w:tc>
        <w:tc>
          <w:tcPr>
            <w:tcW w:w="2412" w:type="dxa"/>
          </w:tcPr>
          <w:p>
            <w:pPr>
              <w:spacing w:before="0" w:after="0" w:line="240" w:lineRule="auto"/>
            </w:pPr>
            <w:r>
              <w:rPr>
                <w:rFonts w:ascii="Calibri" w:hAnsi="Calibri"/>
                <w:sz w:val="17"/>
              </w:rPr>
            </w:r>
            <w:r>
              <w:rPr>
                <w:rFonts w:ascii="Calibri" w:hAnsi="Calibri"/>
                <w:sz w:val="17"/>
              </w:rPr>
              <w:t>Moderate</w:t>
            </w:r>
          </w:p>
        </w:tc>
        <w:tc>
          <w:tcPr>
            <w:tcW w:w="2412" w:type="dxa"/>
          </w:tcPr>
          <w:p>
            <w:pPr>
              <w:spacing w:before="0" w:after="0" w:line="240" w:lineRule="auto"/>
            </w:pPr>
            <w:r>
              <w:rPr>
                <w:rFonts w:ascii="Calibri" w:hAnsi="Calibri"/>
                <w:sz w:val="17"/>
              </w:rPr>
            </w:r>
            <w:r>
              <w:rPr>
                <w:rFonts w:ascii="Calibri" w:hAnsi="Calibri"/>
                <w:sz w:val="17"/>
              </w:rPr>
              <w:t>IX</w:t>
            </w:r>
          </w:p>
        </w:tc>
      </w:tr>
      <w:tr>
        <w:tc>
          <w:tcPr>
            <w:tcW w:w="2412" w:type="dxa"/>
          </w:tcPr>
          <w:p>
            <w:pPr>
              <w:spacing w:before="0" w:after="0" w:line="240" w:lineRule="auto"/>
            </w:pPr>
            <w:r>
              <w:rPr>
                <w:rFonts w:ascii="Calibri" w:hAnsi="Calibri"/>
                <w:sz w:val="17"/>
              </w:rPr>
            </w:r>
            <w:r>
              <w:rPr>
                <w:rFonts w:ascii="Calibri" w:hAnsi="Calibri"/>
                <w:sz w:val="17"/>
              </w:rPr>
              <w:t>13</w:t>
            </w:r>
          </w:p>
        </w:tc>
        <w:tc>
          <w:tcPr>
            <w:tcW w:w="2412" w:type="dxa"/>
          </w:tcPr>
          <w:p>
            <w:pPr>
              <w:spacing w:before="0" w:after="0" w:line="240" w:lineRule="auto"/>
            </w:pPr>
            <w:r>
              <w:rPr>
                <w:rFonts w:ascii="Calibri" w:hAnsi="Calibri"/>
                <w:sz w:val="17"/>
              </w:rPr>
            </w:r>
            <w:r>
              <w:rPr>
                <w:rFonts w:ascii="Calibri" w:hAnsi="Calibri"/>
                <w:sz w:val="17"/>
              </w:rPr>
              <w:t>“Consummated in accordance with Article 3” transfer-restriction carve-out ambiguity</w:t>
            </w:r>
          </w:p>
        </w:tc>
        <w:tc>
          <w:tcPr>
            <w:tcW w:w="2412" w:type="dxa"/>
          </w:tcPr>
          <w:p>
            <w:pPr>
              <w:spacing w:before="0" w:after="0" w:line="240" w:lineRule="auto"/>
            </w:pPr>
            <w:r>
              <w:rPr>
                <w:rFonts w:ascii="Calibri" w:hAnsi="Calibri"/>
                <w:sz w:val="17"/>
              </w:rPr>
            </w:r>
            <w:r>
              <w:rPr>
                <w:rFonts w:ascii="Calibri" w:hAnsi="Calibri"/>
                <w:sz w:val="17"/>
              </w:rPr>
              <w:t>Moderate</w:t>
            </w:r>
          </w:p>
        </w:tc>
        <w:tc>
          <w:tcPr>
            <w:tcW w:w="2412" w:type="dxa"/>
          </w:tcPr>
          <w:p>
            <w:pPr>
              <w:spacing w:before="0" w:after="0" w:line="240" w:lineRule="auto"/>
            </w:pPr>
            <w:r>
              <w:rPr>
                <w:rFonts w:ascii="Calibri" w:hAnsi="Calibri"/>
                <w:sz w:val="17"/>
              </w:rPr>
            </w:r>
            <w:r>
              <w:rPr>
                <w:rFonts w:ascii="Calibri" w:hAnsi="Calibri"/>
                <w:sz w:val="17"/>
              </w:rPr>
              <w:t>VII.B</w:t>
            </w:r>
          </w:p>
        </w:tc>
      </w:tr>
      <w:tr>
        <w:tc>
          <w:tcPr>
            <w:tcW w:w="2412" w:type="dxa"/>
          </w:tcPr>
          <w:p>
            <w:pPr>
              <w:spacing w:before="0" w:after="0" w:line="240" w:lineRule="auto"/>
            </w:pPr>
            <w:r>
              <w:rPr>
                <w:rFonts w:ascii="Calibri" w:hAnsi="Calibri"/>
                <w:sz w:val="17"/>
              </w:rPr>
            </w:r>
            <w:r>
              <w:rPr>
                <w:rFonts w:ascii="Calibri" w:hAnsi="Calibri"/>
                <w:sz w:val="17"/>
              </w:rPr>
              <w:t>14</w:t>
            </w:r>
          </w:p>
        </w:tc>
        <w:tc>
          <w:tcPr>
            <w:tcW w:w="2412" w:type="dxa"/>
          </w:tcPr>
          <w:p>
            <w:pPr>
              <w:spacing w:before="0" w:after="0" w:line="240" w:lineRule="auto"/>
            </w:pPr>
            <w:r>
              <w:rPr>
                <w:rFonts w:ascii="Calibri" w:hAnsi="Calibri"/>
                <w:sz w:val="17"/>
              </w:rPr>
            </w:r>
            <w:r>
              <w:rPr>
                <w:rFonts w:ascii="Calibri" w:hAnsi="Calibri"/>
                <w:sz w:val="17"/>
              </w:rPr>
              <w:t>Stonemill observer absent from April 17, 2024 meeting — confirm notice/materials</w:t>
            </w:r>
          </w:p>
        </w:tc>
        <w:tc>
          <w:tcPr>
            <w:tcW w:w="2412" w:type="dxa"/>
          </w:tcPr>
          <w:p>
            <w:pPr>
              <w:spacing w:before="0" w:after="0" w:line="240" w:lineRule="auto"/>
            </w:pPr>
            <w:r>
              <w:rPr>
                <w:rFonts w:ascii="Calibri" w:hAnsi="Calibri"/>
                <w:sz w:val="17"/>
              </w:rPr>
            </w:r>
            <w:r>
              <w:rPr>
                <w:rFonts w:ascii="Calibri" w:hAnsi="Calibri"/>
                <w:sz w:val="17"/>
              </w:rPr>
              <w:t>Moderate</w:t>
            </w:r>
          </w:p>
        </w:tc>
        <w:tc>
          <w:tcPr>
            <w:tcW w:w="2412" w:type="dxa"/>
          </w:tcPr>
          <w:p>
            <w:pPr>
              <w:spacing w:before="0" w:after="0" w:line="240" w:lineRule="auto"/>
            </w:pPr>
            <w:r>
              <w:rPr>
                <w:rFonts w:ascii="Calibri" w:hAnsi="Calibri"/>
                <w:sz w:val="17"/>
              </w:rPr>
            </w:r>
            <w:r>
              <w:rPr>
                <w:rFonts w:ascii="Calibri" w:hAnsi="Calibri"/>
                <w:sz w:val="17"/>
              </w:rPr>
              <w:t>VIII.D, XII.B</w:t>
            </w:r>
          </w:p>
        </w:tc>
      </w:tr>
      <w:tr>
        <w:tc>
          <w:tcPr>
            <w:tcW w:w="2412" w:type="dxa"/>
          </w:tcPr>
          <w:p>
            <w:pPr>
              <w:spacing w:before="0" w:after="0" w:line="240" w:lineRule="auto"/>
            </w:pPr>
            <w:r>
              <w:rPr>
                <w:rFonts w:ascii="Calibri" w:hAnsi="Calibri"/>
                <w:sz w:val="17"/>
              </w:rPr>
            </w:r>
            <w:r>
              <w:rPr>
                <w:rFonts w:ascii="Calibri" w:hAnsi="Calibri"/>
                <w:sz w:val="17"/>
              </w:rPr>
              <w:t>15</w:t>
            </w:r>
          </w:p>
        </w:tc>
        <w:tc>
          <w:tcPr>
            <w:tcW w:w="2412" w:type="dxa"/>
          </w:tcPr>
          <w:p>
            <w:pPr>
              <w:spacing w:before="0" w:after="0" w:line="240" w:lineRule="auto"/>
            </w:pPr>
            <w:r>
              <w:rPr>
                <w:rFonts w:ascii="Calibri" w:hAnsi="Calibri"/>
                <w:sz w:val="17"/>
              </w:rPr>
            </w:r>
            <w:r>
              <w:rPr>
                <w:rFonts w:ascii="Calibri" w:hAnsi="Calibri"/>
                <w:sz w:val="17"/>
              </w:rPr>
              <w:t>Limited-auction / exclusivity process — Revlon exposure</w:t>
            </w:r>
          </w:p>
        </w:tc>
        <w:tc>
          <w:tcPr>
            <w:tcW w:w="2412" w:type="dxa"/>
          </w:tcPr>
          <w:p>
            <w:pPr>
              <w:spacing w:before="0" w:after="0" w:line="240" w:lineRule="auto"/>
            </w:pPr>
            <w:r>
              <w:rPr>
                <w:rFonts w:ascii="Calibri" w:hAnsi="Calibri"/>
                <w:sz w:val="17"/>
              </w:rPr>
            </w:r>
            <w:r>
              <w:rPr>
                <w:rFonts w:ascii="Calibri" w:hAnsi="Calibri"/>
                <w:sz w:val="17"/>
              </w:rPr>
              <w:t>Moderate</w:t>
            </w:r>
          </w:p>
        </w:tc>
        <w:tc>
          <w:tcPr>
            <w:tcW w:w="2412" w:type="dxa"/>
          </w:tcPr>
          <w:p>
            <w:pPr>
              <w:spacing w:before="0" w:after="0" w:line="240" w:lineRule="auto"/>
            </w:pPr>
            <w:r>
              <w:rPr>
                <w:rFonts w:ascii="Calibri" w:hAnsi="Calibri"/>
                <w:sz w:val="17"/>
              </w:rPr>
            </w:r>
            <w:r>
              <w:rPr>
                <w:rFonts w:ascii="Calibri" w:hAnsi="Calibri"/>
                <w:sz w:val="17"/>
              </w:rPr>
              <w:t>XII.C</w:t>
            </w:r>
          </w:p>
        </w:tc>
      </w:tr>
      <w:tr>
        <w:tc>
          <w:tcPr>
            <w:tcW w:w="2412" w:type="dxa"/>
          </w:tcPr>
          <w:p>
            <w:pPr>
              <w:spacing w:before="0" w:after="0" w:line="240" w:lineRule="auto"/>
            </w:pPr>
            <w:r>
              <w:rPr>
                <w:rFonts w:ascii="Calibri" w:hAnsi="Calibri"/>
                <w:sz w:val="17"/>
              </w:rPr>
            </w:r>
            <w:r>
              <w:rPr>
                <w:rFonts w:ascii="Calibri" w:hAnsi="Calibri"/>
                <w:sz w:val="17"/>
              </w:rPr>
              <w:t>16</w:t>
            </w:r>
          </w:p>
        </w:tc>
        <w:tc>
          <w:tcPr>
            <w:tcW w:w="2412" w:type="dxa"/>
          </w:tcPr>
          <w:p>
            <w:pPr>
              <w:spacing w:before="0" w:after="0" w:line="240" w:lineRule="auto"/>
            </w:pPr>
            <w:r>
              <w:rPr>
                <w:rFonts w:ascii="Calibri" w:hAnsi="Calibri"/>
                <w:sz w:val="17"/>
              </w:rPr>
            </w:r>
            <w:r>
              <w:rPr>
                <w:rFonts w:ascii="Calibri" w:hAnsi="Calibri"/>
                <w:sz w:val="17"/>
              </w:rPr>
              <w:t>D&amp;O tail insurance and indemnification survival for former directors</w:t>
            </w:r>
          </w:p>
        </w:tc>
        <w:tc>
          <w:tcPr>
            <w:tcW w:w="2412" w:type="dxa"/>
          </w:tcPr>
          <w:p>
            <w:pPr>
              <w:spacing w:before="0" w:after="0" w:line="240" w:lineRule="auto"/>
            </w:pPr>
            <w:r>
              <w:rPr>
                <w:rFonts w:ascii="Calibri" w:hAnsi="Calibri"/>
                <w:sz w:val="17"/>
              </w:rPr>
            </w:r>
            <w:r>
              <w:rPr>
                <w:rFonts w:ascii="Calibri" w:hAnsi="Calibri"/>
                <w:sz w:val="17"/>
              </w:rPr>
              <w:t>Moderate</w:t>
            </w:r>
          </w:p>
        </w:tc>
        <w:tc>
          <w:tcPr>
            <w:tcW w:w="2412" w:type="dxa"/>
          </w:tcPr>
          <w:p>
            <w:pPr>
              <w:spacing w:before="0" w:after="0" w:line="240" w:lineRule="auto"/>
            </w:pPr>
            <w:r>
              <w:rPr>
                <w:rFonts w:ascii="Calibri" w:hAnsi="Calibri"/>
                <w:sz w:val="17"/>
              </w:rPr>
            </w:r>
            <w:r>
              <w:rPr>
                <w:rFonts w:ascii="Calibri" w:hAnsi="Calibri"/>
                <w:sz w:val="17"/>
              </w:rPr>
              <w:t>XII.D</w:t>
            </w:r>
          </w:p>
        </w:tc>
      </w:tr>
    </w:tbl>
    <w:p>
      <w:pPr>
        <w:keepNext w:val="0"/>
        <w:keepLines w:val="0"/>
        <w:spacing w:before="0" w:after="60" w:line="240" w:lineRule="auto"/>
      </w:pPr>
      <w:r>
        <w:rPr>
          <w:rFonts w:ascii="Calibri" w:hAnsi="Calibri"/>
          <w:sz w:val="20"/>
        </w:rPr>
        <w:pict>
          <v:rect style="width:0;height:1.5pt" o:hralign="center" o:hrstd="t" o:hr="t"/>
        </w:pict>
      </w:r>
    </w:p>
    <w:bookmarkEnd w:id="89"/>
    <w:bookmarkStart w:id="90" w:name="appendix-a-consent-approval-matrix"/>
    <w:p>
      <w:pPr>
        <w:pStyle w:val="Heading2"/>
        <w:keepNext w:val="0"/>
        <w:keepLines w:val="0"/>
        <w:spacing w:before="140" w:after="40" w:line="240" w:lineRule="auto"/>
      </w:pPr>
      <w:r>
        <w:rPr>
          <w:rFonts w:ascii="Calibri" w:hAnsi="Calibri"/>
          <w:sz w:val="25"/>
        </w:rPr>
        <w:t xml:space="preserve">Appendix A — Consent / Approval Matrix</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1378"/>
        <w:gridCol w:w="1378"/>
        <w:gridCol w:w="1378"/>
        <w:gridCol w:w="1378"/>
        <w:gridCol w:w="1378"/>
        <w:gridCol w:w="1378"/>
        <w:gridCol w:w="1380"/>
      </w:tblGrid>
      <w:tr>
        <w:tc>
          <w:tcPr>
            <w:tcW w:w="1378" w:type="dxa"/>
          </w:tcPr>
          <w:p>
            <w:pPr>
              <w:spacing w:before="0" w:after="0" w:line="240" w:lineRule="auto"/>
            </w:pPr>
            <w:r>
              <w:rPr>
                <w:rFonts w:ascii="Calibri" w:hAnsi="Calibri"/>
                <w:sz w:val="17"/>
              </w:rPr>
            </w:r>
            <w:r>
              <w:rPr>
                <w:rFonts w:ascii="Calibri" w:hAnsi="Calibri"/>
                <w:sz w:val="17"/>
              </w:rPr>
              <w:t>#</w:t>
            </w:r>
          </w:p>
        </w:tc>
        <w:tc>
          <w:tcPr>
            <w:tcW w:w="1378" w:type="dxa"/>
          </w:tcPr>
          <w:p>
            <w:pPr>
              <w:spacing w:before="0" w:after="0" w:line="240" w:lineRule="auto"/>
            </w:pPr>
            <w:r>
              <w:rPr>
                <w:rFonts w:ascii="Calibri" w:hAnsi="Calibri"/>
                <w:sz w:val="17"/>
              </w:rPr>
            </w:r>
            <w:r>
              <w:rPr>
                <w:rFonts w:ascii="Calibri" w:hAnsi="Calibri"/>
                <w:sz w:val="17"/>
              </w:rPr>
              <w:t>Approval / Consent</w:t>
            </w:r>
          </w:p>
        </w:tc>
        <w:tc>
          <w:tcPr>
            <w:tcW w:w="1378" w:type="dxa"/>
          </w:tcPr>
          <w:p>
            <w:pPr>
              <w:spacing w:before="0" w:after="0" w:line="240" w:lineRule="auto"/>
            </w:pPr>
            <w:r>
              <w:rPr>
                <w:rFonts w:ascii="Calibri" w:hAnsi="Calibri"/>
                <w:sz w:val="17"/>
              </w:rPr>
            </w:r>
            <w:r>
              <w:rPr>
                <w:rFonts w:ascii="Calibri" w:hAnsi="Calibri"/>
                <w:sz w:val="17"/>
              </w:rPr>
              <w:t>Source</w:t>
            </w:r>
          </w:p>
        </w:tc>
        <w:tc>
          <w:tcPr>
            <w:tcW w:w="1378" w:type="dxa"/>
          </w:tcPr>
          <w:p>
            <w:pPr>
              <w:spacing w:before="0" w:after="0" w:line="240" w:lineRule="auto"/>
            </w:pPr>
            <w:r>
              <w:rPr>
                <w:rFonts w:ascii="Calibri" w:hAnsi="Calibri"/>
                <w:sz w:val="17"/>
              </w:rPr>
            </w:r>
            <w:r>
              <w:rPr>
                <w:rFonts w:ascii="Calibri" w:hAnsi="Calibri"/>
                <w:sz w:val="17"/>
              </w:rPr>
              <w:t>Threshold</w:t>
            </w:r>
          </w:p>
        </w:tc>
        <w:tc>
          <w:tcPr>
            <w:tcW w:w="1378" w:type="dxa"/>
          </w:tcPr>
          <w:p>
            <w:pPr>
              <w:spacing w:before="0" w:after="0" w:line="240" w:lineRule="auto"/>
            </w:pPr>
            <w:r>
              <w:rPr>
                <w:rFonts w:ascii="Calibri" w:hAnsi="Calibri"/>
                <w:sz w:val="17"/>
              </w:rPr>
            </w:r>
            <w:r>
              <w:rPr>
                <w:rFonts w:ascii="Calibri" w:hAnsi="Calibri"/>
                <w:sz w:val="17"/>
              </w:rPr>
              <w:t>Parties Whose Consent Is Needed</w:t>
            </w:r>
          </w:p>
        </w:tc>
        <w:tc>
          <w:tcPr>
            <w:tcW w:w="1378" w:type="dxa"/>
          </w:tcPr>
          <w:p>
            <w:pPr>
              <w:spacing w:before="0" w:after="0" w:line="240" w:lineRule="auto"/>
            </w:pPr>
            <w:r>
              <w:rPr>
                <w:rFonts w:ascii="Calibri" w:hAnsi="Calibri"/>
                <w:sz w:val="17"/>
              </w:rPr>
            </w:r>
            <w:r>
              <w:rPr>
                <w:rFonts w:ascii="Calibri" w:hAnsi="Calibri"/>
                <w:sz w:val="17"/>
              </w:rPr>
              <w:t>Obtainable Without Stonemill?</w:t>
            </w:r>
          </w:p>
        </w:tc>
        <w:tc>
          <w:tcPr>
            <w:tcW w:w="1380" w:type="dxa"/>
          </w:tcPr>
          <w:p>
            <w:pPr>
              <w:spacing w:before="0" w:after="0" w:line="240" w:lineRule="auto"/>
            </w:pPr>
            <w:r>
              <w:rPr>
                <w:rFonts w:ascii="Calibri" w:hAnsi="Calibri"/>
                <w:sz w:val="17"/>
              </w:rPr>
            </w:r>
            <w:r>
              <w:rPr>
                <w:rFonts w:ascii="Calibri" w:hAnsi="Calibri"/>
                <w:sz w:val="17"/>
              </w:rPr>
              <w:t>Current Status</w:t>
            </w:r>
          </w:p>
        </w:tc>
      </w:tr>
      <w:tr>
        <w:tc>
          <w:tcPr>
            <w:tcW w:w="1378" w:type="dxa"/>
          </w:tcPr>
          <w:p>
            <w:pPr>
              <w:spacing w:before="0" w:after="0" w:line="240" w:lineRule="auto"/>
            </w:pPr>
            <w:r>
              <w:rPr>
                <w:rFonts w:ascii="Calibri" w:hAnsi="Calibri"/>
                <w:sz w:val="17"/>
              </w:rPr>
            </w:r>
            <w:r>
              <w:rPr>
                <w:rFonts w:ascii="Calibri" w:hAnsi="Calibri"/>
                <w:sz w:val="17"/>
              </w:rPr>
              <w:t>1</w:t>
            </w:r>
          </w:p>
        </w:tc>
        <w:tc>
          <w:tcPr>
            <w:tcW w:w="1378" w:type="dxa"/>
          </w:tcPr>
          <w:p>
            <w:pPr>
              <w:spacing w:before="0" w:after="0" w:line="240" w:lineRule="auto"/>
            </w:pPr>
            <w:r>
              <w:rPr>
                <w:rFonts w:ascii="Calibri" w:hAnsi="Calibri"/>
                <w:sz w:val="17"/>
              </w:rPr>
            </w:r>
            <w:r>
              <w:rPr>
                <w:rFonts w:ascii="Calibri" w:hAnsi="Calibri"/>
                <w:sz w:val="17"/>
              </w:rPr>
              <w:t>Board approval of definitive merger agreement</w:t>
            </w:r>
          </w:p>
        </w:tc>
        <w:tc>
          <w:tcPr>
            <w:tcW w:w="1378" w:type="dxa"/>
          </w:tcPr>
          <w:p>
            <w:pPr>
              <w:spacing w:before="0" w:after="0" w:line="240" w:lineRule="auto"/>
            </w:pPr>
            <w:r>
              <w:rPr>
                <w:rFonts w:ascii="Calibri" w:hAnsi="Calibri"/>
                <w:sz w:val="17"/>
              </w:rPr>
            </w:r>
            <w:r>
              <w:rPr>
                <w:rFonts w:ascii="Calibri" w:hAnsi="Calibri"/>
                <w:sz w:val="17"/>
              </w:rPr>
              <w:t>DGCL §251; Bylaws §3.7</w:t>
            </w:r>
          </w:p>
        </w:tc>
        <w:tc>
          <w:tcPr>
            <w:tcW w:w="1378" w:type="dxa"/>
          </w:tcPr>
          <w:p>
            <w:pPr>
              <w:spacing w:before="0" w:after="0" w:line="240" w:lineRule="auto"/>
            </w:pPr>
            <w:r>
              <w:rPr>
                <w:rFonts w:ascii="Calibri" w:hAnsi="Calibri"/>
                <w:sz w:val="17"/>
              </w:rPr>
            </w:r>
            <w:r>
              <w:rPr>
                <w:rFonts w:ascii="Calibri" w:hAnsi="Calibri"/>
                <w:sz w:val="17"/>
              </w:rPr>
              <w:t>Majority of directors then in office (4 of 7)</w:t>
            </w:r>
          </w:p>
        </w:tc>
        <w:tc>
          <w:tcPr>
            <w:tcW w:w="1378" w:type="dxa"/>
          </w:tcPr>
          <w:p>
            <w:pPr>
              <w:spacing w:before="0" w:after="0" w:line="240" w:lineRule="auto"/>
            </w:pPr>
            <w:r>
              <w:rPr>
                <w:rFonts w:ascii="Calibri" w:hAnsi="Calibri"/>
                <w:sz w:val="17"/>
              </w:rPr>
            </w:r>
            <w:r>
              <w:rPr>
                <w:rFonts w:ascii="Calibri" w:hAnsi="Calibri"/>
                <w:sz w:val="17"/>
              </w:rPr>
              <w:t>Board of Directors</w:t>
            </w:r>
          </w:p>
        </w:tc>
        <w:tc>
          <w:tcPr>
            <w:tcW w:w="1378" w:type="dxa"/>
          </w:tcPr>
          <w:p>
            <w:pPr>
              <w:spacing w:before="0" w:after="0" w:line="240" w:lineRule="auto"/>
            </w:pPr>
            <w:r>
              <w:rPr>
                <w:rFonts w:ascii="Calibri" w:hAnsi="Calibri"/>
                <w:sz w:val="17"/>
              </w:rPr>
            </w:r>
            <w:r>
              <w:rPr>
                <w:rFonts w:ascii="Calibri" w:hAnsi="Calibri"/>
                <w:sz w:val="17"/>
              </w:rPr>
              <w:t>Yes (6 of 7 non-Stonemill directors)</w:t>
            </w:r>
          </w:p>
        </w:tc>
        <w:tc>
          <w:tcPr>
            <w:tcW w:w="1380" w:type="dxa"/>
          </w:tcPr>
          <w:p>
            <w:pPr>
              <w:spacing w:before="0" w:after="0" w:line="240" w:lineRule="auto"/>
            </w:pPr>
            <w:r>
              <w:rPr>
                <w:rFonts w:ascii="Calibri" w:hAnsi="Calibri"/>
                <w:sz w:val="17"/>
              </w:rPr>
            </w:r>
            <w:r>
              <w:rPr>
                <w:rFonts w:ascii="Calibri" w:hAnsi="Calibri"/>
                <w:sz w:val="17"/>
              </w:rPr>
              <w:t>Not yet obtained (definitive docs not signed)</w:t>
            </w:r>
          </w:p>
        </w:tc>
      </w:tr>
      <w:tr>
        <w:tc>
          <w:tcPr>
            <w:tcW w:w="1378" w:type="dxa"/>
          </w:tcPr>
          <w:p>
            <w:pPr>
              <w:spacing w:before="0" w:after="0" w:line="240" w:lineRule="auto"/>
            </w:pPr>
            <w:r>
              <w:rPr>
                <w:rFonts w:ascii="Calibri" w:hAnsi="Calibri"/>
                <w:sz w:val="17"/>
              </w:rPr>
            </w:r>
            <w:r>
              <w:rPr>
                <w:rFonts w:ascii="Calibri" w:hAnsi="Calibri"/>
                <w:sz w:val="17"/>
              </w:rPr>
              <w:t>2</w:t>
            </w:r>
          </w:p>
        </w:tc>
        <w:tc>
          <w:tcPr>
            <w:tcW w:w="1378" w:type="dxa"/>
          </w:tcPr>
          <w:p>
            <w:pPr>
              <w:spacing w:before="0" w:after="0" w:line="240" w:lineRule="auto"/>
            </w:pPr>
            <w:r>
              <w:rPr>
                <w:rFonts w:ascii="Calibri" w:hAnsi="Calibri"/>
                <w:sz w:val="17"/>
              </w:rPr>
            </w:r>
            <w:r>
              <w:rPr>
                <w:rFonts w:ascii="Calibri" w:hAnsi="Calibri"/>
                <w:sz w:val="17"/>
              </w:rPr>
              <w:t>DGCL §251 stockholder approval</w:t>
            </w:r>
          </w:p>
        </w:tc>
        <w:tc>
          <w:tcPr>
            <w:tcW w:w="1378" w:type="dxa"/>
          </w:tcPr>
          <w:p>
            <w:pPr>
              <w:spacing w:before="0" w:after="0" w:line="240" w:lineRule="auto"/>
            </w:pPr>
            <w:r>
              <w:rPr>
                <w:rFonts w:ascii="Calibri" w:hAnsi="Calibri"/>
                <w:sz w:val="17"/>
              </w:rPr>
            </w:r>
            <w:r>
              <w:rPr>
                <w:rFonts w:ascii="Calibri" w:hAnsi="Calibri"/>
                <w:sz w:val="17"/>
              </w:rPr>
              <w:t>DGCL §251; Restated Cert. §4.2.1, §4.3.5</w:t>
            </w:r>
          </w:p>
        </w:tc>
        <w:tc>
          <w:tcPr>
            <w:tcW w:w="1378" w:type="dxa"/>
          </w:tcPr>
          <w:p>
            <w:pPr>
              <w:spacing w:before="0" w:after="0" w:line="240" w:lineRule="auto"/>
            </w:pPr>
            <w:r>
              <w:rPr>
                <w:rFonts w:ascii="Calibri" w:hAnsi="Calibri"/>
                <w:sz w:val="17"/>
              </w:rPr>
            </w:r>
            <w:r>
              <w:rPr>
                <w:rFonts w:ascii="Calibri" w:hAnsi="Calibri"/>
                <w:sz w:val="17"/>
              </w:rPr>
              <w:t>Majority of outstanding voting shares (as-converted, single class); ~13.15M of ~26.3M</w:t>
            </w:r>
          </w:p>
        </w:tc>
        <w:tc>
          <w:tcPr>
            <w:tcW w:w="1378" w:type="dxa"/>
          </w:tcPr>
          <w:p>
            <w:pPr>
              <w:spacing w:before="0" w:after="0" w:line="240" w:lineRule="auto"/>
            </w:pPr>
            <w:r>
              <w:rPr>
                <w:rFonts w:ascii="Calibri" w:hAnsi="Calibri"/>
                <w:sz w:val="17"/>
              </w:rPr>
            </w:r>
            <w:r>
              <w:rPr>
                <w:rFonts w:ascii="Calibri" w:hAnsi="Calibri"/>
                <w:sz w:val="17"/>
              </w:rPr>
              <w:t>All stockholders (Common + Preferred as-converted)</w:t>
            </w:r>
          </w:p>
        </w:tc>
        <w:tc>
          <w:tcPr>
            <w:tcW w:w="1378" w:type="dxa"/>
          </w:tcPr>
          <w:p>
            <w:pPr>
              <w:spacing w:before="0" w:after="0" w:line="240" w:lineRule="auto"/>
            </w:pPr>
            <w:r>
              <w:rPr>
                <w:rFonts w:ascii="Calibri" w:hAnsi="Calibri"/>
                <w:sz w:val="17"/>
              </w:rPr>
            </w:r>
            <w:r>
              <w:rPr>
                <w:rFonts w:ascii="Calibri" w:hAnsi="Calibri"/>
                <w:sz w:val="17"/>
              </w:rPr>
              <w:t>Yes — Founders (7.3M) + Ridgeline (3.5M) + Northbridge (5.2M) = 16.0M &gt; 13.15M</w:t>
            </w:r>
          </w:p>
        </w:tc>
        <w:tc>
          <w:tcPr>
            <w:tcW w:w="1380" w:type="dxa"/>
          </w:tcPr>
          <w:p>
            <w:pPr>
              <w:spacing w:before="0" w:after="0" w:line="240" w:lineRule="auto"/>
            </w:pPr>
            <w:r>
              <w:rPr>
                <w:rFonts w:ascii="Calibri" w:hAnsi="Calibri"/>
                <w:sz w:val="17"/>
              </w:rPr>
            </w:r>
            <w:r>
              <w:rPr>
                <w:rFonts w:ascii="Calibri" w:hAnsi="Calibri"/>
                <w:sz w:val="17"/>
              </w:rPr>
              <w:t>Not yet obtained; achievable without Stonemill</w:t>
            </w:r>
          </w:p>
        </w:tc>
      </w:tr>
      <w:tr>
        <w:tc>
          <w:tcPr>
            <w:tcW w:w="1378" w:type="dxa"/>
          </w:tcPr>
          <w:p>
            <w:pPr>
              <w:spacing w:before="0" w:after="0" w:line="240" w:lineRule="auto"/>
            </w:pPr>
            <w:r>
              <w:rPr>
                <w:rFonts w:ascii="Calibri" w:hAnsi="Calibri"/>
                <w:sz w:val="17"/>
              </w:rPr>
            </w:r>
            <w:r>
              <w:rPr>
                <w:rFonts w:ascii="Calibri" w:hAnsi="Calibri"/>
                <w:sz w:val="17"/>
              </w:rPr>
              <w:t>3</w:t>
            </w:r>
          </w:p>
        </w:tc>
        <w:tc>
          <w:tcPr>
            <w:tcW w:w="1378" w:type="dxa"/>
          </w:tcPr>
          <w:p>
            <w:pPr>
              <w:spacing w:before="0" w:after="0" w:line="240" w:lineRule="auto"/>
            </w:pPr>
            <w:r>
              <w:rPr>
                <w:rFonts w:ascii="Calibri" w:hAnsi="Calibri"/>
                <w:sz w:val="17"/>
              </w:rPr>
            </w:r>
            <w:r>
              <w:rPr>
                <w:rFonts w:ascii="Calibri" w:hAnsi="Calibri"/>
                <w:sz w:val="17"/>
              </w:rPr>
              <w:t>All-Preferred class consent (Liquidation Event)</w:t>
            </w:r>
          </w:p>
        </w:tc>
        <w:tc>
          <w:tcPr>
            <w:tcW w:w="1378" w:type="dxa"/>
          </w:tcPr>
          <w:p>
            <w:pPr>
              <w:spacing w:before="0" w:after="0" w:line="240" w:lineRule="auto"/>
            </w:pPr>
            <w:r>
              <w:rPr>
                <w:rFonts w:ascii="Calibri" w:hAnsi="Calibri"/>
                <w:sz w:val="17"/>
              </w:rPr>
            </w:r>
            <w:r>
              <w:rPr>
                <w:rFonts w:ascii="Calibri" w:hAnsi="Calibri"/>
                <w:sz w:val="17"/>
              </w:rPr>
              <w:t>Restated Cert. §4.3.6(a)(vi)</w:t>
            </w:r>
          </w:p>
        </w:tc>
        <w:tc>
          <w:tcPr>
            <w:tcW w:w="1378" w:type="dxa"/>
          </w:tcPr>
          <w:p>
            <w:pPr>
              <w:spacing w:before="0" w:after="0" w:line="240" w:lineRule="auto"/>
            </w:pPr>
            <w:r>
              <w:rPr>
                <w:rFonts w:ascii="Calibri" w:hAnsi="Calibri"/>
                <w:sz w:val="17"/>
              </w:rPr>
            </w:r>
            <w:r>
              <w:rPr>
                <w:rFonts w:ascii="Calibri" w:hAnsi="Calibri"/>
                <w:sz w:val="17"/>
              </w:rPr>
              <w:t>&gt;50% of Preferred (as-converted, single class) = &gt;8,250,000 shares</w:t>
            </w:r>
          </w:p>
        </w:tc>
        <w:tc>
          <w:tcPr>
            <w:tcW w:w="1378" w:type="dxa"/>
          </w:tcPr>
          <w:p>
            <w:pPr>
              <w:spacing w:before="0" w:after="0" w:line="240" w:lineRule="auto"/>
            </w:pPr>
            <w:r>
              <w:rPr>
                <w:rFonts w:ascii="Calibri" w:hAnsi="Calibri"/>
                <w:sz w:val="17"/>
              </w:rPr>
            </w:r>
            <w:r>
              <w:rPr>
                <w:rFonts w:ascii="Calibri" w:hAnsi="Calibri"/>
                <w:sz w:val="17"/>
              </w:rPr>
              <w:t>Preferred holders (Ridgeline, Northbridge, Stonemill)</w:t>
            </w:r>
          </w:p>
        </w:tc>
        <w:tc>
          <w:tcPr>
            <w:tcW w:w="1378" w:type="dxa"/>
          </w:tcPr>
          <w:p>
            <w:pPr>
              <w:spacing w:before="0" w:after="0" w:line="240" w:lineRule="auto"/>
            </w:pPr>
            <w:r>
              <w:rPr>
                <w:rFonts w:ascii="Calibri" w:hAnsi="Calibri"/>
                <w:sz w:val="17"/>
              </w:rPr>
            </w:r>
            <w:r>
              <w:rPr>
                <w:rFonts w:ascii="Calibri" w:hAnsi="Calibri"/>
                <w:sz w:val="17"/>
              </w:rPr>
              <w:t>Yes, barely — Ridgeline (3.5M) + Northbridge (5.2M) = 8.7M &gt; 8.25M; requires BOTH</w:t>
            </w:r>
          </w:p>
        </w:tc>
        <w:tc>
          <w:tcPr>
            <w:tcW w:w="1380" w:type="dxa"/>
          </w:tcPr>
          <w:p>
            <w:pPr>
              <w:spacing w:before="0" w:after="0" w:line="240" w:lineRule="auto"/>
            </w:pPr>
            <w:r>
              <w:rPr>
                <w:rFonts w:ascii="Calibri" w:hAnsi="Calibri"/>
                <w:sz w:val="17"/>
              </w:rPr>
            </w:r>
            <w:r>
              <w:rPr>
                <w:rFonts w:ascii="Calibri" w:hAnsi="Calibri"/>
                <w:sz w:val="17"/>
              </w:rPr>
              <w:t>Not yet obtained; achievable only if Ridgeline AND Northbridge consent</w:t>
            </w:r>
          </w:p>
        </w:tc>
      </w:tr>
      <w:tr>
        <w:tc>
          <w:tcPr>
            <w:tcW w:w="1378" w:type="dxa"/>
          </w:tcPr>
          <w:p>
            <w:pPr>
              <w:spacing w:before="0" w:after="0" w:line="240" w:lineRule="auto"/>
            </w:pPr>
            <w:r>
              <w:rPr>
                <w:rFonts w:ascii="Calibri" w:hAnsi="Calibri"/>
                <w:sz w:val="17"/>
              </w:rPr>
            </w:r>
            <w:r>
              <w:rPr>
                <w:rFonts w:ascii="Calibri" w:hAnsi="Calibri"/>
                <w:sz w:val="17"/>
              </w:rPr>
              <w:t>4</w:t>
            </w:r>
          </w:p>
        </w:tc>
        <w:tc>
          <w:tcPr>
            <w:tcW w:w="1378" w:type="dxa"/>
          </w:tcPr>
          <w:p>
            <w:pPr>
              <w:spacing w:before="0" w:after="0" w:line="240" w:lineRule="auto"/>
            </w:pPr>
            <w:r>
              <w:rPr>
                <w:rFonts w:ascii="Calibri" w:hAnsi="Calibri"/>
                <w:sz w:val="17"/>
              </w:rPr>
            </w:r>
            <w:r>
              <w:rPr>
                <w:rFonts w:ascii="Calibri" w:hAnsi="Calibri"/>
                <w:sz w:val="17"/>
              </w:rPr>
              <w:t>Series C separate-class consent (Liquidation Event)</w:t>
            </w:r>
          </w:p>
        </w:tc>
        <w:tc>
          <w:tcPr>
            <w:tcW w:w="1378" w:type="dxa"/>
          </w:tcPr>
          <w:p>
            <w:pPr>
              <w:spacing w:before="0" w:after="0" w:line="240" w:lineRule="auto"/>
            </w:pPr>
            <w:r>
              <w:rPr>
                <w:rFonts w:ascii="Calibri" w:hAnsi="Calibri"/>
                <w:sz w:val="17"/>
              </w:rPr>
            </w:r>
            <w:r>
              <w:rPr>
                <w:rFonts w:ascii="Calibri" w:hAnsi="Calibri"/>
                <w:sz w:val="17"/>
              </w:rPr>
              <w:t>Restated Cert. §4.3.6(b)(i)</w:t>
            </w:r>
          </w:p>
        </w:tc>
        <w:tc>
          <w:tcPr>
            <w:tcW w:w="1378" w:type="dxa"/>
          </w:tcPr>
          <w:p>
            <w:pPr>
              <w:spacing w:before="0" w:after="0" w:line="240" w:lineRule="auto"/>
            </w:pPr>
            <w:r>
              <w:rPr>
                <w:rFonts w:ascii="Calibri" w:hAnsi="Calibri"/>
                <w:sz w:val="17"/>
              </w:rPr>
            </w:r>
            <w:r>
              <w:rPr>
                <w:rFonts w:ascii="Calibri" w:hAnsi="Calibri"/>
                <w:sz w:val="17"/>
              </w:rPr>
              <w:t>≥66⅔% of Series C = ≥5,200,000 shares</w:t>
            </w:r>
          </w:p>
        </w:tc>
        <w:tc>
          <w:tcPr>
            <w:tcW w:w="1378" w:type="dxa"/>
          </w:tcPr>
          <w:p>
            <w:pPr>
              <w:spacing w:before="0" w:after="0" w:line="240" w:lineRule="auto"/>
            </w:pPr>
            <w:r>
              <w:rPr>
                <w:rFonts w:ascii="Calibri" w:hAnsi="Calibri"/>
                <w:sz w:val="17"/>
              </w:rPr>
            </w:r>
            <w:r>
              <w:rPr>
                <w:rFonts w:ascii="Calibri" w:hAnsi="Calibri"/>
                <w:sz w:val="17"/>
              </w:rPr>
              <w:t>Series C holders — Stonemill only</w:t>
            </w:r>
          </w:p>
        </w:tc>
        <w:tc>
          <w:tcPr>
            <w:tcW w:w="1378" w:type="dxa"/>
          </w:tcPr>
          <w:p>
            <w:pPr>
              <w:spacing w:before="0" w:after="0" w:line="240" w:lineRule="auto"/>
            </w:pPr>
            <w:r>
              <w:rPr>
                <w:rFonts w:ascii="Calibri" w:hAnsi="Calibri"/>
                <w:sz w:val="17"/>
              </w:rPr>
            </w:r>
            <w:r>
              <w:rPr>
                <w:rFonts w:ascii="Calibri" w:hAnsi="Calibri"/>
                <w:sz w:val="17"/>
              </w:rPr>
              <w:t>NO — absolute veto. Stonemill holds 100% of Series C (7.8M)</w:t>
            </w:r>
          </w:p>
        </w:tc>
        <w:tc>
          <w:tcPr>
            <w:tcW w:w="1380" w:type="dxa"/>
          </w:tcPr>
          <w:p>
            <w:pPr>
              <w:spacing w:before="0" w:after="0" w:line="240" w:lineRule="auto"/>
            </w:pPr>
            <w:r>
              <w:rPr>
                <w:rFonts w:ascii="Calibri" w:hAnsi="Calibri"/>
                <w:sz w:val="17"/>
              </w:rPr>
            </w:r>
            <w:r>
              <w:rPr>
                <w:rFonts w:ascii="Calibri" w:hAnsi="Calibri"/>
                <w:sz w:val="17"/>
              </w:rPr>
              <w:t>Not yet obtained; REQUIRES Stonemill’s affirmative consent</w:t>
            </w:r>
          </w:p>
        </w:tc>
      </w:tr>
      <w:tr>
        <w:tc>
          <w:tcPr>
            <w:tcW w:w="1378" w:type="dxa"/>
          </w:tcPr>
          <w:p>
            <w:pPr>
              <w:spacing w:before="0" w:after="0" w:line="240" w:lineRule="auto"/>
            </w:pPr>
            <w:r>
              <w:rPr>
                <w:rFonts w:ascii="Calibri" w:hAnsi="Calibri"/>
                <w:sz w:val="17"/>
              </w:rPr>
            </w:r>
            <w:r>
              <w:rPr>
                <w:rFonts w:ascii="Calibri" w:hAnsi="Calibri"/>
                <w:sz w:val="17"/>
              </w:rPr>
              <w:t>5</w:t>
            </w:r>
          </w:p>
        </w:tc>
        <w:tc>
          <w:tcPr>
            <w:tcW w:w="1378" w:type="dxa"/>
          </w:tcPr>
          <w:p>
            <w:pPr>
              <w:spacing w:before="0" w:after="0" w:line="240" w:lineRule="auto"/>
            </w:pPr>
            <w:r>
              <w:rPr>
                <w:rFonts w:ascii="Calibri" w:hAnsi="Calibri"/>
                <w:sz w:val="17"/>
              </w:rPr>
            </w:r>
            <w:r>
              <w:rPr>
                <w:rFonts w:ascii="Calibri" w:hAnsi="Calibri"/>
                <w:sz w:val="17"/>
              </w:rPr>
              <w:t>All-Preferred consent (charter amendment adversely affecting Preferred) — if required</w:t>
            </w:r>
          </w:p>
        </w:tc>
        <w:tc>
          <w:tcPr>
            <w:tcW w:w="1378" w:type="dxa"/>
          </w:tcPr>
          <w:p>
            <w:pPr>
              <w:spacing w:before="0" w:after="0" w:line="240" w:lineRule="auto"/>
            </w:pPr>
            <w:r>
              <w:rPr>
                <w:rFonts w:ascii="Calibri" w:hAnsi="Calibri"/>
                <w:sz w:val="17"/>
              </w:rPr>
            </w:r>
            <w:r>
              <w:rPr>
                <w:rFonts w:ascii="Calibri" w:hAnsi="Calibri"/>
                <w:sz w:val="17"/>
              </w:rPr>
              <w:t>Restated Cert. §4.3.6(a)(i), §8.1</w:t>
            </w:r>
          </w:p>
        </w:tc>
        <w:tc>
          <w:tcPr>
            <w:tcW w:w="1378" w:type="dxa"/>
          </w:tcPr>
          <w:p>
            <w:pPr>
              <w:spacing w:before="0" w:after="0" w:line="240" w:lineRule="auto"/>
            </w:pPr>
            <w:r>
              <w:rPr>
                <w:rFonts w:ascii="Calibri" w:hAnsi="Calibri"/>
                <w:sz w:val="17"/>
              </w:rPr>
            </w:r>
            <w:r>
              <w:rPr>
                <w:rFonts w:ascii="Calibri" w:hAnsi="Calibri"/>
                <w:sz w:val="17"/>
              </w:rPr>
              <w:t>&gt;50% of Preferred (as-converted) = &gt;8,250,000</w:t>
            </w:r>
          </w:p>
        </w:tc>
        <w:tc>
          <w:tcPr>
            <w:tcW w:w="1378" w:type="dxa"/>
          </w:tcPr>
          <w:p>
            <w:pPr>
              <w:spacing w:before="0" w:after="0" w:line="240" w:lineRule="auto"/>
            </w:pPr>
            <w:r>
              <w:rPr>
                <w:rFonts w:ascii="Calibri" w:hAnsi="Calibri"/>
                <w:sz w:val="17"/>
              </w:rPr>
            </w:r>
            <w:r>
              <w:rPr>
                <w:rFonts w:ascii="Calibri" w:hAnsi="Calibri"/>
                <w:sz w:val="17"/>
              </w:rPr>
              <w:t>Preferred holders</w:t>
            </w:r>
          </w:p>
        </w:tc>
        <w:tc>
          <w:tcPr>
            <w:tcW w:w="1378" w:type="dxa"/>
          </w:tcPr>
          <w:p>
            <w:pPr>
              <w:spacing w:before="0" w:after="0" w:line="240" w:lineRule="auto"/>
            </w:pPr>
            <w:r>
              <w:rPr>
                <w:rFonts w:ascii="Calibri" w:hAnsi="Calibri"/>
                <w:sz w:val="17"/>
              </w:rPr>
            </w:r>
            <w:r>
              <w:rPr>
                <w:rFonts w:ascii="Calibri" w:hAnsi="Calibri"/>
                <w:sz w:val="17"/>
              </w:rPr>
              <w:t>Yes, barely (Ridgeline + Northbridge)</w:t>
            </w:r>
          </w:p>
        </w:tc>
        <w:tc>
          <w:tcPr>
            <w:tcW w:w="1380" w:type="dxa"/>
          </w:tcPr>
          <w:p>
            <w:pPr>
              <w:spacing w:before="0" w:after="0" w:line="240" w:lineRule="auto"/>
            </w:pPr>
            <w:r>
              <w:rPr>
                <w:rFonts w:ascii="Calibri" w:hAnsi="Calibri"/>
                <w:sz w:val="17"/>
              </w:rPr>
            </w:r>
            <w:r>
              <w:rPr>
                <w:rFonts w:ascii="Calibri" w:hAnsi="Calibri"/>
                <w:sz w:val="17"/>
              </w:rPr>
              <w:t>Depends on whether Transaction requires charter amendment</w:t>
            </w:r>
          </w:p>
        </w:tc>
      </w:tr>
      <w:tr>
        <w:tc>
          <w:tcPr>
            <w:tcW w:w="1378" w:type="dxa"/>
          </w:tcPr>
          <w:p>
            <w:pPr>
              <w:spacing w:before="0" w:after="0" w:line="240" w:lineRule="auto"/>
            </w:pPr>
            <w:r>
              <w:rPr>
                <w:rFonts w:ascii="Calibri" w:hAnsi="Calibri"/>
                <w:sz w:val="17"/>
              </w:rPr>
            </w:r>
            <w:r>
              <w:rPr>
                <w:rFonts w:ascii="Calibri" w:hAnsi="Calibri"/>
                <w:sz w:val="17"/>
              </w:rPr>
              <w:t>6</w:t>
            </w:r>
          </w:p>
        </w:tc>
        <w:tc>
          <w:tcPr>
            <w:tcW w:w="1378" w:type="dxa"/>
          </w:tcPr>
          <w:p>
            <w:pPr>
              <w:spacing w:before="0" w:after="0" w:line="240" w:lineRule="auto"/>
            </w:pPr>
            <w:r>
              <w:rPr>
                <w:rFonts w:ascii="Calibri" w:hAnsi="Calibri"/>
                <w:sz w:val="17"/>
              </w:rPr>
            </w:r>
            <w:r>
              <w:rPr>
                <w:rFonts w:ascii="Calibri" w:hAnsi="Calibri"/>
                <w:sz w:val="17"/>
              </w:rPr>
              <w:t>Series C separate-class consent (charter amendment adversely/disproportionately affecting Series C) — if required</w:t>
            </w:r>
          </w:p>
        </w:tc>
        <w:tc>
          <w:tcPr>
            <w:tcW w:w="1378" w:type="dxa"/>
          </w:tcPr>
          <w:p>
            <w:pPr>
              <w:spacing w:before="0" w:after="0" w:line="240" w:lineRule="auto"/>
            </w:pPr>
            <w:r>
              <w:rPr>
                <w:rFonts w:ascii="Calibri" w:hAnsi="Calibri"/>
                <w:sz w:val="17"/>
              </w:rPr>
            </w:r>
            <w:r>
              <w:rPr>
                <w:rFonts w:ascii="Calibri" w:hAnsi="Calibri"/>
                <w:sz w:val="17"/>
              </w:rPr>
              <w:t>Restated Cert. §4.3.6(b)(ii), §8.1</w:t>
            </w:r>
          </w:p>
        </w:tc>
        <w:tc>
          <w:tcPr>
            <w:tcW w:w="1378" w:type="dxa"/>
          </w:tcPr>
          <w:p>
            <w:pPr>
              <w:spacing w:before="0" w:after="0" w:line="240" w:lineRule="auto"/>
            </w:pPr>
            <w:r>
              <w:rPr>
                <w:rFonts w:ascii="Calibri" w:hAnsi="Calibri"/>
                <w:sz w:val="17"/>
              </w:rPr>
            </w:r>
            <w:r>
              <w:rPr>
                <w:rFonts w:ascii="Calibri" w:hAnsi="Calibri"/>
                <w:sz w:val="17"/>
              </w:rPr>
              <w:t>≥66⅔% of Series C = ≥5,200,000</w:t>
            </w:r>
          </w:p>
        </w:tc>
        <w:tc>
          <w:tcPr>
            <w:tcW w:w="1378" w:type="dxa"/>
          </w:tcPr>
          <w:p>
            <w:pPr>
              <w:spacing w:before="0" w:after="0" w:line="240" w:lineRule="auto"/>
            </w:pPr>
            <w:r>
              <w:rPr>
                <w:rFonts w:ascii="Calibri" w:hAnsi="Calibri"/>
                <w:sz w:val="17"/>
              </w:rPr>
            </w:r>
            <w:r>
              <w:rPr>
                <w:rFonts w:ascii="Calibri" w:hAnsi="Calibri"/>
                <w:sz w:val="17"/>
              </w:rPr>
              <w:t>Stonemill only</w:t>
            </w:r>
          </w:p>
        </w:tc>
        <w:tc>
          <w:tcPr>
            <w:tcW w:w="1378" w:type="dxa"/>
          </w:tcPr>
          <w:p>
            <w:pPr>
              <w:spacing w:before="0" w:after="0" w:line="240" w:lineRule="auto"/>
            </w:pPr>
            <w:r>
              <w:rPr>
                <w:rFonts w:ascii="Calibri" w:hAnsi="Calibri"/>
                <w:sz w:val="17"/>
              </w:rPr>
            </w:r>
            <w:r>
              <w:rPr>
                <w:rFonts w:ascii="Calibri" w:hAnsi="Calibri"/>
                <w:sz w:val="17"/>
              </w:rPr>
              <w:t>NO — absolute veto</w:t>
            </w:r>
          </w:p>
        </w:tc>
        <w:tc>
          <w:tcPr>
            <w:tcW w:w="1380" w:type="dxa"/>
          </w:tcPr>
          <w:p>
            <w:pPr>
              <w:spacing w:before="0" w:after="0" w:line="240" w:lineRule="auto"/>
            </w:pPr>
            <w:r>
              <w:rPr>
                <w:rFonts w:ascii="Calibri" w:hAnsi="Calibri"/>
                <w:sz w:val="17"/>
              </w:rPr>
            </w:r>
            <w:r>
              <w:rPr>
                <w:rFonts w:ascii="Calibri" w:hAnsi="Calibri"/>
                <w:sz w:val="17"/>
              </w:rPr>
              <w:t>Depends on whether Transaction requires charter amendment</w:t>
            </w:r>
          </w:p>
        </w:tc>
      </w:tr>
      <w:tr>
        <w:tc>
          <w:tcPr>
            <w:tcW w:w="1378" w:type="dxa"/>
          </w:tcPr>
          <w:p>
            <w:pPr>
              <w:spacing w:before="0" w:after="0" w:line="240" w:lineRule="auto"/>
            </w:pPr>
            <w:r>
              <w:rPr>
                <w:rFonts w:ascii="Calibri" w:hAnsi="Calibri"/>
                <w:sz w:val="17"/>
              </w:rPr>
            </w:r>
            <w:r>
              <w:rPr>
                <w:rFonts w:ascii="Calibri" w:hAnsi="Calibri"/>
                <w:sz w:val="17"/>
              </w:rPr>
              <w:t>7</w:t>
            </w:r>
          </w:p>
        </w:tc>
        <w:tc>
          <w:tcPr>
            <w:tcW w:w="1378" w:type="dxa"/>
          </w:tcPr>
          <w:p>
            <w:pPr>
              <w:spacing w:before="0" w:after="0" w:line="240" w:lineRule="auto"/>
            </w:pPr>
            <w:r>
              <w:rPr>
                <w:rFonts w:ascii="Calibri" w:hAnsi="Calibri"/>
                <w:sz w:val="17"/>
              </w:rPr>
            </w:r>
            <w:r>
              <w:rPr>
                <w:rFonts w:ascii="Calibri" w:hAnsi="Calibri"/>
                <w:sz w:val="17"/>
              </w:rPr>
              <w:t>Stockholder approval of charter amendment (if required)</w:t>
            </w:r>
          </w:p>
        </w:tc>
        <w:tc>
          <w:tcPr>
            <w:tcW w:w="1378" w:type="dxa"/>
          </w:tcPr>
          <w:p>
            <w:pPr>
              <w:spacing w:before="0" w:after="0" w:line="240" w:lineRule="auto"/>
            </w:pPr>
            <w:r>
              <w:rPr>
                <w:rFonts w:ascii="Calibri" w:hAnsi="Calibri"/>
                <w:sz w:val="17"/>
              </w:rPr>
            </w:r>
            <w:r>
              <w:rPr>
                <w:rFonts w:ascii="Calibri" w:hAnsi="Calibri"/>
                <w:sz w:val="17"/>
              </w:rPr>
              <w:t>Restated Cert. §8.1; DGCL §242</w:t>
            </w:r>
          </w:p>
        </w:tc>
        <w:tc>
          <w:tcPr>
            <w:tcW w:w="1378" w:type="dxa"/>
          </w:tcPr>
          <w:p>
            <w:pPr>
              <w:spacing w:before="0" w:after="0" w:line="240" w:lineRule="auto"/>
            </w:pPr>
            <w:r>
              <w:rPr>
                <w:rFonts w:ascii="Calibri" w:hAnsi="Calibri"/>
                <w:sz w:val="17"/>
              </w:rPr>
            </w:r>
            <w:r>
              <w:rPr>
                <w:rFonts w:ascii="Calibri" w:hAnsi="Calibri"/>
                <w:sz w:val="17"/>
              </w:rPr>
              <w:t>Majority of outstanding capital stock (as-converted, single class)</w:t>
            </w:r>
          </w:p>
        </w:tc>
        <w:tc>
          <w:tcPr>
            <w:tcW w:w="1378" w:type="dxa"/>
          </w:tcPr>
          <w:p>
            <w:pPr>
              <w:spacing w:before="0" w:after="0" w:line="240" w:lineRule="auto"/>
            </w:pPr>
            <w:r>
              <w:rPr>
                <w:rFonts w:ascii="Calibri" w:hAnsi="Calibri"/>
                <w:sz w:val="17"/>
              </w:rPr>
            </w:r>
            <w:r>
              <w:rPr>
                <w:rFonts w:ascii="Calibri" w:hAnsi="Calibri"/>
                <w:sz w:val="17"/>
              </w:rPr>
              <w:t>All stockholders</w:t>
            </w:r>
          </w:p>
        </w:tc>
        <w:tc>
          <w:tcPr>
            <w:tcW w:w="1378" w:type="dxa"/>
          </w:tcPr>
          <w:p>
            <w:pPr>
              <w:spacing w:before="0" w:after="0" w:line="240" w:lineRule="auto"/>
            </w:pPr>
            <w:r>
              <w:rPr>
                <w:rFonts w:ascii="Calibri" w:hAnsi="Calibri"/>
                <w:sz w:val="17"/>
              </w:rPr>
            </w:r>
            <w:r>
              <w:rPr>
                <w:rFonts w:ascii="Calibri" w:hAnsi="Calibri"/>
                <w:sz w:val="17"/>
              </w:rPr>
              <w:t>Yes (with Founders + Ridgeline + Northbridge + common)</w:t>
            </w:r>
          </w:p>
        </w:tc>
        <w:tc>
          <w:tcPr>
            <w:tcW w:w="1380" w:type="dxa"/>
          </w:tcPr>
          <w:p>
            <w:pPr>
              <w:spacing w:before="0" w:after="0" w:line="240" w:lineRule="auto"/>
            </w:pPr>
            <w:r>
              <w:rPr>
                <w:rFonts w:ascii="Calibri" w:hAnsi="Calibri"/>
                <w:sz w:val="17"/>
              </w:rPr>
            </w:r>
            <w:r>
              <w:rPr>
                <w:rFonts w:ascii="Calibri" w:hAnsi="Calibri"/>
                <w:sz w:val="17"/>
              </w:rPr>
              <w:t>Depends on structure</w:t>
            </w:r>
          </w:p>
        </w:tc>
      </w:tr>
      <w:tr>
        <w:tc>
          <w:tcPr>
            <w:tcW w:w="1378" w:type="dxa"/>
          </w:tcPr>
          <w:p>
            <w:pPr>
              <w:spacing w:before="0" w:after="0" w:line="240" w:lineRule="auto"/>
            </w:pPr>
            <w:r>
              <w:rPr>
                <w:rFonts w:ascii="Calibri" w:hAnsi="Calibri"/>
                <w:sz w:val="17"/>
              </w:rPr>
            </w:r>
            <w:r>
              <w:rPr>
                <w:rFonts w:ascii="Calibri" w:hAnsi="Calibri"/>
                <w:sz w:val="17"/>
              </w:rPr>
              <w:t>8</w:t>
            </w:r>
          </w:p>
        </w:tc>
        <w:tc>
          <w:tcPr>
            <w:tcW w:w="1378" w:type="dxa"/>
          </w:tcPr>
          <w:p>
            <w:pPr>
              <w:spacing w:before="0" w:after="0" w:line="240" w:lineRule="auto"/>
            </w:pPr>
            <w:r>
              <w:rPr>
                <w:rFonts w:ascii="Calibri" w:hAnsi="Calibri"/>
                <w:sz w:val="17"/>
              </w:rPr>
            </w:r>
            <w:r>
              <w:rPr>
                <w:rFonts w:ascii="Calibri" w:hAnsi="Calibri"/>
                <w:sz w:val="17"/>
              </w:rPr>
              <w:t>Drag-along (if invoked)</w:t>
            </w:r>
          </w:p>
        </w:tc>
        <w:tc>
          <w:tcPr>
            <w:tcW w:w="1378" w:type="dxa"/>
          </w:tcPr>
          <w:p>
            <w:pPr>
              <w:spacing w:before="0" w:after="0" w:line="240" w:lineRule="auto"/>
            </w:pPr>
            <w:r>
              <w:rPr>
                <w:rFonts w:ascii="Calibri" w:hAnsi="Calibri"/>
                <w:sz w:val="17"/>
              </w:rPr>
            </w:r>
            <w:r>
              <w:rPr>
                <w:rFonts w:ascii="Calibri" w:hAnsi="Calibri"/>
                <w:sz w:val="17"/>
              </w:rPr>
              <w:t>Stockholders’ Ag. §3.1</w:t>
            </w:r>
          </w:p>
        </w:tc>
        <w:tc>
          <w:tcPr>
            <w:tcW w:w="1378" w:type="dxa"/>
          </w:tcPr>
          <w:p>
            <w:pPr>
              <w:spacing w:before="0" w:after="0" w:line="240" w:lineRule="auto"/>
            </w:pPr>
            <w:r>
              <w:rPr>
                <w:rFonts w:ascii="Calibri" w:hAnsi="Calibri"/>
                <w:sz w:val="17"/>
              </w:rPr>
            </w:r>
            <w:r>
              <w:rPr>
                <w:rFonts w:ascii="Calibri" w:hAnsi="Calibri"/>
                <w:sz w:val="17"/>
              </w:rPr>
              <w:t>3-prong Drag-Along Approval (all three required)</w:t>
            </w:r>
          </w:p>
        </w:tc>
        <w:tc>
          <w:tcPr>
            <w:tcW w:w="1378" w:type="dxa"/>
          </w:tcPr>
          <w:p>
            <w:pPr>
              <w:spacing w:before="0" w:after="0" w:line="240" w:lineRule="auto"/>
            </w:pPr>
            <w:r>
              <w:rPr>
                <w:rFonts w:ascii="Calibri" w:hAnsi="Calibri"/>
                <w:sz w:val="17"/>
              </w:rPr>
            </w:r>
            <w:r>
              <w:rPr>
                <w:rFonts w:ascii="Calibri" w:hAnsi="Calibri"/>
                <w:sz w:val="17"/>
              </w:rPr>
              <w:t>Common majority (as-converted) + Preferred majority (as-converted) + 2 of 3 Investors</w:t>
            </w:r>
          </w:p>
        </w:tc>
        <w:tc>
          <w:tcPr>
            <w:tcW w:w="1378" w:type="dxa"/>
          </w:tcPr>
          <w:p>
            <w:pPr>
              <w:spacing w:before="0" w:after="0" w:line="240" w:lineRule="auto"/>
            </w:pPr>
            <w:r>
              <w:rPr>
                <w:rFonts w:ascii="Calibri" w:hAnsi="Calibri"/>
                <w:sz w:val="17"/>
              </w:rPr>
            </w:r>
            <w:r>
              <w:rPr>
                <w:rFonts w:ascii="Calibri" w:hAnsi="Calibri"/>
                <w:sz w:val="17"/>
              </w:rPr>
              <w:t>Uncertain — prong (i) ambiguous; prongs (ii) &amp; (iii) yes</w:t>
            </w:r>
          </w:p>
        </w:tc>
        <w:tc>
          <w:tcPr>
            <w:tcW w:w="1380" w:type="dxa"/>
          </w:tcPr>
          <w:p>
            <w:pPr>
              <w:spacing w:before="0" w:after="0" w:line="240" w:lineRule="auto"/>
            </w:pPr>
            <w:r>
              <w:rPr>
                <w:rFonts w:ascii="Calibri" w:hAnsi="Calibri"/>
                <w:sz w:val="17"/>
              </w:rPr>
            </w:r>
            <w:r>
              <w:rPr>
                <w:rFonts w:ascii="Calibri" w:hAnsi="Calibri"/>
                <w:sz w:val="17"/>
              </w:rPr>
              <w:t>Not yet triggered</w:t>
            </w:r>
          </w:p>
        </w:tc>
      </w:tr>
      <w:tr>
        <w:tc>
          <w:tcPr>
            <w:tcW w:w="1378" w:type="dxa"/>
          </w:tcPr>
          <w:p>
            <w:pPr>
              <w:spacing w:before="0" w:after="0" w:line="240" w:lineRule="auto"/>
            </w:pPr>
            <w:r>
              <w:rPr>
                <w:rFonts w:ascii="Calibri" w:hAnsi="Calibri"/>
                <w:sz w:val="17"/>
              </w:rPr>
            </w:r>
            <w:r>
              <w:rPr>
                <w:rFonts w:ascii="Calibri" w:hAnsi="Calibri"/>
                <w:sz w:val="17"/>
              </w:rPr>
              <w:t>9</w:t>
            </w:r>
          </w:p>
        </w:tc>
        <w:tc>
          <w:tcPr>
            <w:tcW w:w="1378" w:type="dxa"/>
          </w:tcPr>
          <w:p>
            <w:pPr>
              <w:spacing w:before="0" w:after="0" w:line="240" w:lineRule="auto"/>
            </w:pPr>
            <w:r>
              <w:rPr>
                <w:rFonts w:ascii="Calibri" w:hAnsi="Calibri"/>
                <w:sz w:val="17"/>
              </w:rPr>
            </w:r>
            <w:r>
              <w:rPr>
                <w:rFonts w:ascii="Calibri" w:hAnsi="Calibri"/>
                <w:sz w:val="17"/>
              </w:rPr>
              <w:t>20-day Liquidation Event notice to Preferred</w:t>
            </w:r>
          </w:p>
        </w:tc>
        <w:tc>
          <w:tcPr>
            <w:tcW w:w="1378" w:type="dxa"/>
          </w:tcPr>
          <w:p>
            <w:pPr>
              <w:spacing w:before="0" w:after="0" w:line="240" w:lineRule="auto"/>
            </w:pPr>
            <w:r>
              <w:rPr>
                <w:rFonts w:ascii="Calibri" w:hAnsi="Calibri"/>
                <w:sz w:val="17"/>
              </w:rPr>
            </w:r>
            <w:r>
              <w:rPr>
                <w:rFonts w:ascii="Calibri" w:hAnsi="Calibri"/>
                <w:sz w:val="17"/>
              </w:rPr>
              <w:t>Restated Cert. §4.3.2(d)</w:t>
            </w:r>
          </w:p>
        </w:tc>
        <w:tc>
          <w:tcPr>
            <w:tcW w:w="1378" w:type="dxa"/>
          </w:tcPr>
          <w:p>
            <w:pPr>
              <w:spacing w:before="0" w:after="0" w:line="240" w:lineRule="auto"/>
            </w:pPr>
            <w:r>
              <w:rPr>
                <w:rFonts w:ascii="Calibri" w:hAnsi="Calibri"/>
                <w:sz w:val="17"/>
              </w:rPr>
            </w:r>
            <w:r>
              <w:rPr>
                <w:rFonts w:ascii="Calibri" w:hAnsi="Calibri"/>
                <w:sz w:val="17"/>
              </w:rPr>
              <w:t>Notice ≥20 days before closing</w:t>
            </w:r>
          </w:p>
        </w:tc>
        <w:tc>
          <w:tcPr>
            <w:tcW w:w="1378" w:type="dxa"/>
          </w:tcPr>
          <w:p>
            <w:pPr>
              <w:spacing w:before="0" w:after="0" w:line="240" w:lineRule="auto"/>
            </w:pPr>
            <w:r>
              <w:rPr>
                <w:rFonts w:ascii="Calibri" w:hAnsi="Calibri"/>
                <w:sz w:val="17"/>
              </w:rPr>
            </w:r>
            <w:r>
              <w:rPr>
                <w:rFonts w:ascii="Calibri" w:hAnsi="Calibri"/>
                <w:sz w:val="17"/>
              </w:rPr>
              <w:t>n/a (notice only)</w:t>
            </w:r>
          </w:p>
        </w:tc>
        <w:tc>
          <w:tcPr>
            <w:tcW w:w="1378" w:type="dxa"/>
          </w:tcPr>
          <w:p>
            <w:pPr>
              <w:spacing w:before="0" w:after="0" w:line="240" w:lineRule="auto"/>
            </w:pPr>
            <w:r>
              <w:rPr>
                <w:rFonts w:ascii="Calibri" w:hAnsi="Calibri"/>
                <w:sz w:val="17"/>
              </w:rPr>
            </w:r>
            <w:r>
              <w:rPr>
                <w:rFonts w:ascii="Calibri" w:hAnsi="Calibri"/>
                <w:sz w:val="17"/>
              </w:rPr>
              <w:t>n/a</w:t>
            </w:r>
          </w:p>
        </w:tc>
        <w:tc>
          <w:tcPr>
            <w:tcW w:w="1380" w:type="dxa"/>
          </w:tcPr>
          <w:p>
            <w:pPr>
              <w:spacing w:before="0" w:after="0" w:line="240" w:lineRule="auto"/>
            </w:pPr>
            <w:r>
              <w:rPr>
                <w:rFonts w:ascii="Calibri" w:hAnsi="Calibri"/>
                <w:sz w:val="17"/>
              </w:rPr>
            </w:r>
            <w:r>
              <w:rPr>
                <w:rFonts w:ascii="Calibri" w:hAnsi="Calibri"/>
                <w:sz w:val="17"/>
              </w:rPr>
              <w:t>Not yet given</w:t>
            </w:r>
          </w:p>
        </w:tc>
      </w:tr>
      <w:tr>
        <w:tc>
          <w:tcPr>
            <w:tcW w:w="1378" w:type="dxa"/>
          </w:tcPr>
          <w:p>
            <w:pPr>
              <w:spacing w:before="0" w:after="0" w:line="240" w:lineRule="auto"/>
            </w:pPr>
            <w:r>
              <w:rPr>
                <w:rFonts w:ascii="Calibri" w:hAnsi="Calibri"/>
                <w:sz w:val="17"/>
              </w:rPr>
            </w:r>
            <w:r>
              <w:rPr>
                <w:rFonts w:ascii="Calibri" w:hAnsi="Calibri"/>
                <w:sz w:val="17"/>
              </w:rPr>
              <w:t>10</w:t>
            </w:r>
          </w:p>
        </w:tc>
        <w:tc>
          <w:tcPr>
            <w:tcW w:w="1378" w:type="dxa"/>
          </w:tcPr>
          <w:p>
            <w:pPr>
              <w:spacing w:before="0" w:after="0" w:line="240" w:lineRule="auto"/>
            </w:pPr>
            <w:r>
              <w:rPr>
                <w:rFonts w:ascii="Calibri" w:hAnsi="Calibri"/>
                <w:sz w:val="17"/>
              </w:rPr>
            </w:r>
            <w:r>
              <w:rPr>
                <w:rFonts w:ascii="Calibri" w:hAnsi="Calibri"/>
                <w:sz w:val="17"/>
              </w:rPr>
              <w:t>RRA termination/waiver (recommended)</w:t>
            </w:r>
          </w:p>
        </w:tc>
        <w:tc>
          <w:tcPr>
            <w:tcW w:w="1378" w:type="dxa"/>
          </w:tcPr>
          <w:p>
            <w:pPr>
              <w:spacing w:before="0" w:after="0" w:line="240" w:lineRule="auto"/>
            </w:pPr>
            <w:r>
              <w:rPr>
                <w:rFonts w:ascii="Calibri" w:hAnsi="Calibri"/>
                <w:sz w:val="17"/>
              </w:rPr>
            </w:r>
            <w:r>
              <w:rPr>
                <w:rFonts w:ascii="Calibri" w:hAnsi="Calibri"/>
                <w:sz w:val="17"/>
              </w:rPr>
              <w:t>RRA §9</w:t>
            </w:r>
          </w:p>
        </w:tc>
        <w:tc>
          <w:tcPr>
            <w:tcW w:w="1378" w:type="dxa"/>
          </w:tcPr>
          <w:p>
            <w:pPr>
              <w:spacing w:before="0" w:after="0" w:line="240" w:lineRule="auto"/>
            </w:pPr>
            <w:r>
              <w:rPr>
                <w:rFonts w:ascii="Calibri" w:hAnsi="Calibri"/>
                <w:sz w:val="17"/>
              </w:rPr>
            </w:r>
            <w:r>
              <w:rPr>
                <w:rFonts w:ascii="Calibri" w:hAnsi="Calibri"/>
                <w:sz w:val="17"/>
              </w:rPr>
              <w:t>Company + Holders of ≥ majority of Registrable Securities</w:t>
            </w:r>
          </w:p>
        </w:tc>
        <w:tc>
          <w:tcPr>
            <w:tcW w:w="1378" w:type="dxa"/>
          </w:tcPr>
          <w:p>
            <w:pPr>
              <w:spacing w:before="0" w:after="0" w:line="240" w:lineRule="auto"/>
            </w:pPr>
            <w:r>
              <w:rPr>
                <w:rFonts w:ascii="Calibri" w:hAnsi="Calibri"/>
                <w:sz w:val="17"/>
              </w:rPr>
            </w:r>
            <w:r>
              <w:rPr>
                <w:rFonts w:ascii="Calibri" w:hAnsi="Calibri"/>
                <w:sz w:val="17"/>
              </w:rPr>
              <w:t>Holders (Ridgeline, Northbridge, Stonemill)</w:t>
            </w:r>
          </w:p>
        </w:tc>
        <w:tc>
          <w:tcPr>
            <w:tcW w:w="1378" w:type="dxa"/>
          </w:tcPr>
          <w:p>
            <w:pPr>
              <w:spacing w:before="0" w:after="0" w:line="240" w:lineRule="auto"/>
            </w:pPr>
            <w:r>
              <w:rPr>
                <w:rFonts w:ascii="Calibri" w:hAnsi="Calibri"/>
                <w:sz w:val="17"/>
              </w:rPr>
            </w:r>
            <w:r>
              <w:rPr>
                <w:rFonts w:ascii="Calibri" w:hAnsi="Calibri"/>
                <w:sz w:val="17"/>
              </w:rPr>
              <w:t>Obtainable by majority of Registrable Securities (16.5M; Stonemill holds 7.8M = 47% — majority achievable without Stonemill if Ridgeline + Northbridge)</w:t>
            </w:r>
          </w:p>
        </w:tc>
        <w:tc>
          <w:tcPr>
            <w:tcW w:w="1380" w:type="dxa"/>
          </w:tcPr>
          <w:p>
            <w:pPr>
              <w:spacing w:before="0" w:after="0" w:line="240" w:lineRule="auto"/>
            </w:pPr>
            <w:r>
              <w:rPr>
                <w:rFonts w:ascii="Calibri" w:hAnsi="Calibri"/>
                <w:sz w:val="17"/>
              </w:rPr>
            </w:r>
            <w:r>
              <w:rPr>
                <w:rFonts w:ascii="Calibri" w:hAnsi="Calibri"/>
                <w:sz w:val="17"/>
              </w:rPr>
              <w:t>To be addressed in merger agreement</w:t>
            </w:r>
          </w:p>
        </w:tc>
      </w:tr>
    </w:tbl>
    <w:p>
      <w:pPr>
        <w:pStyle w:val="BodyText"/>
        <w:keepNext w:val="0"/>
        <w:keepLines w:val="0"/>
        <w:spacing w:before="0" w:after="60" w:line="240" w:lineRule="auto"/>
      </w:pPr>
      <w:r>
        <w:rPr>
          <w:rFonts w:ascii="Calibri" w:hAnsi="Calibri"/>
          <w:b/>
          <w:bCs/>
          <w:sz w:val="20"/>
        </w:rPr>
        <w:t xml:space="preserve">Note on item 8 (drag-along):</w:t>
      </w:r>
      <w:r>
        <w:rPr>
          <w:rFonts w:ascii="Calibri" w:hAnsi="Calibri"/>
          <w:sz w:val="20"/>
        </w:rPr>
        <w:t xml:space="preserve"> </w:t>
      </w:r>
      <w:r>
        <w:rPr>
          <w:rFonts w:ascii="Calibri" w:hAnsi="Calibri"/>
          <w:sz w:val="20"/>
        </w:rPr>
        <w:t xml:space="preserve">Even if the drag-along is triggered, it cannot reliably override the Series C separate-class veto (item 4). See Area 2.</w:t>
      </w:r>
    </w:p>
    <w:p>
      <w:pPr>
        <w:keepNext w:val="0"/>
        <w:keepLines w:val="0"/>
        <w:spacing w:before="0" w:after="60" w:line="240" w:lineRule="auto"/>
      </w:pPr>
      <w:r>
        <w:rPr>
          <w:rFonts w:ascii="Calibri" w:hAnsi="Calibri"/>
          <w:sz w:val="20"/>
        </w:rPr>
        <w:pict>
          <v:rect style="width:0;height:1.5pt" o:hralign="center" o:hrstd="t" o:hr="t"/>
        </w:pict>
      </w:r>
    </w:p>
    <w:bookmarkEnd w:id="90"/>
    <w:bookmarkStart w:id="91" w:name="appendix-b-waterfall-analysis"/>
    <w:p>
      <w:pPr>
        <w:pStyle w:val="Heading2"/>
        <w:keepNext w:val="0"/>
        <w:keepLines w:val="0"/>
        <w:spacing w:before="140" w:after="40" w:line="240" w:lineRule="auto"/>
      </w:pPr>
      <w:r>
        <w:rPr>
          <w:rFonts w:ascii="Calibri" w:hAnsi="Calibri"/>
          <w:sz w:val="25"/>
        </w:rPr>
        <w:t xml:space="preserve">Appendix B — Waterfall Analysis</w:t>
      </w:r>
    </w:p>
    <w:p>
      <w:pPr>
        <w:pStyle w:val="FirstParagraph"/>
        <w:keepNext w:val="0"/>
        <w:keepLines w:val="0"/>
        <w:spacing w:before="0" w:after="60" w:line="240" w:lineRule="auto"/>
      </w:pPr>
      <w:r>
        <w:rPr>
          <w:rFonts w:ascii="Calibri" w:hAnsi="Calibri"/>
          <w:b/>
          <w:bCs/>
          <w:sz w:val="20"/>
        </w:rPr>
        <w:t xml:space="preserve">Assumptions:</w:t>
      </w:r>
      <w:r>
        <w:rPr>
          <w:rFonts w:ascii="Calibri" w:hAnsi="Calibri"/>
          <w:sz w:val="20"/>
        </w:rPr>
        <w:t xml:space="preserve"> </w:t>
      </w:r>
      <w:r>
        <w:rPr>
          <w:rFonts w:ascii="Calibri" w:hAnsi="Calibri"/>
          <w:sz w:val="20"/>
        </w:rPr>
        <w:t xml:space="preserve">Equity value $473M ($485M EV − $12M debt). Preferred is non-participating (Restated Cert. §4.3.2(b)); each holder elects between its liquidation preference and conversion (deemed election for the greater return). Fully diluted shares ~33.9M (per Stockholders’ Ag. Exhibit B). Simple as-converted value = $473M ÷ 33.9M ≈</w:t>
      </w:r>
      <w:r>
        <w:rPr>
          <w:rFonts w:ascii="Calibri" w:hAnsi="Calibri"/>
          <w:sz w:val="20"/>
        </w:rPr>
        <w:t xml:space="preserve"> </w:t>
      </w:r>
      <w:r>
        <w:rPr>
          <w:rFonts w:ascii="Calibri" w:hAnsi="Calibri"/>
          <w:b/>
          <w:bCs/>
          <w:sz w:val="20"/>
        </w:rPr>
        <w:t xml:space="preserve">$13.95/share.</w:t>
      </w:r>
    </w:p>
    <w:p>
      <w:pPr>
        <w:pStyle w:val="BodyText"/>
        <w:keepNext w:val="0"/>
        <w:keepLines w:val="0"/>
        <w:spacing w:before="0" w:after="60" w:line="240" w:lineRule="auto"/>
      </w:pPr>
      <w:r>
        <w:rPr>
          <w:rFonts w:ascii="Calibri" w:hAnsi="Calibri"/>
          <w:b/>
          <w:bCs/>
          <w:sz w:val="20"/>
        </w:rPr>
        <w:t xml:space="preserve">Step 1 — Test conversion for all series:</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2412"/>
        <w:gridCol w:w="2412"/>
        <w:gridCol w:w="2412"/>
        <w:gridCol w:w="2412"/>
      </w:tblGrid>
      <w:tr>
        <w:tc>
          <w:tcPr>
            <w:tcW w:w="2412" w:type="dxa"/>
          </w:tcPr>
          <w:p>
            <w:pPr>
              <w:spacing w:before="0" w:after="0" w:line="240" w:lineRule="auto"/>
            </w:pPr>
            <w:r>
              <w:rPr>
                <w:rFonts w:ascii="Calibri" w:hAnsi="Calibri"/>
                <w:sz w:val="17"/>
              </w:rPr>
            </w:r>
            <w:r>
              <w:rPr>
                <w:rFonts w:ascii="Calibri" w:hAnsi="Calibri"/>
                <w:sz w:val="17"/>
              </w:rPr>
              <w:t>Series</w:t>
            </w:r>
          </w:p>
        </w:tc>
        <w:tc>
          <w:tcPr>
            <w:tcW w:w="2412" w:type="dxa"/>
          </w:tcPr>
          <w:p>
            <w:pPr>
              <w:spacing w:before="0" w:after="0" w:line="240" w:lineRule="auto"/>
            </w:pPr>
            <w:r>
              <w:rPr>
                <w:rFonts w:ascii="Calibri" w:hAnsi="Calibri"/>
                <w:sz w:val="17"/>
              </w:rPr>
            </w:r>
            <w:r>
              <w:rPr>
                <w:rFonts w:ascii="Calibri" w:hAnsi="Calibri"/>
                <w:sz w:val="17"/>
              </w:rPr>
              <w:t>Preference/share</w:t>
            </w:r>
          </w:p>
        </w:tc>
        <w:tc>
          <w:tcPr>
            <w:tcW w:w="2412" w:type="dxa"/>
          </w:tcPr>
          <w:p>
            <w:pPr>
              <w:spacing w:before="0" w:after="0" w:line="240" w:lineRule="auto"/>
            </w:pPr>
            <w:r>
              <w:rPr>
                <w:rFonts w:ascii="Calibri" w:hAnsi="Calibri"/>
                <w:sz w:val="17"/>
              </w:rPr>
            </w:r>
            <w:r>
              <w:rPr>
                <w:rFonts w:ascii="Calibri" w:hAnsi="Calibri"/>
                <w:sz w:val="17"/>
              </w:rPr>
              <w:t>Convert/share ($13.95)</w:t>
            </w:r>
          </w:p>
        </w:tc>
        <w:tc>
          <w:tcPr>
            <w:tcW w:w="2412" w:type="dxa"/>
          </w:tcPr>
          <w:p>
            <w:pPr>
              <w:spacing w:before="0" w:after="0" w:line="240" w:lineRule="auto"/>
            </w:pPr>
            <w:r>
              <w:rPr>
                <w:rFonts w:ascii="Calibri" w:hAnsi="Calibri"/>
                <w:sz w:val="17"/>
              </w:rPr>
            </w:r>
            <w:r>
              <w:rPr>
                <w:rFonts w:ascii="Calibri" w:hAnsi="Calibri"/>
                <w:sz w:val="17"/>
              </w:rPr>
              <w:t>Election</w:t>
            </w:r>
          </w:p>
        </w:tc>
      </w:tr>
      <w:tr>
        <w:tc>
          <w:tcPr>
            <w:tcW w:w="2412" w:type="dxa"/>
          </w:tcPr>
          <w:p>
            <w:pPr>
              <w:spacing w:before="0" w:after="0" w:line="240" w:lineRule="auto"/>
            </w:pPr>
            <w:r>
              <w:rPr>
                <w:rFonts w:ascii="Calibri" w:hAnsi="Calibri"/>
                <w:sz w:val="17"/>
              </w:rPr>
            </w:r>
            <w:r>
              <w:rPr>
                <w:rFonts w:ascii="Calibri" w:hAnsi="Calibri"/>
                <w:sz w:val="17"/>
              </w:rPr>
              <w:t>Series C (Stonemill)</w:t>
            </w:r>
          </w:p>
        </w:tc>
        <w:tc>
          <w:tcPr>
            <w:tcW w:w="2412" w:type="dxa"/>
          </w:tcPr>
          <w:p>
            <w:pPr>
              <w:spacing w:before="0" w:after="0" w:line="240" w:lineRule="auto"/>
            </w:pPr>
            <w:r>
              <w:rPr>
                <w:rFonts w:ascii="Calibri" w:hAnsi="Calibri"/>
                <w:sz w:val="17"/>
              </w:rPr>
            </w:r>
            <w:r>
              <w:rPr>
                <w:rFonts w:ascii="Calibri" w:hAnsi="Calibri"/>
                <w:sz w:val="17"/>
              </w:rPr>
              <w:t>$18.50</w:t>
            </w:r>
          </w:p>
        </w:tc>
        <w:tc>
          <w:tcPr>
            <w:tcW w:w="2412" w:type="dxa"/>
          </w:tcPr>
          <w:p>
            <w:pPr>
              <w:spacing w:before="0" w:after="0" w:line="240" w:lineRule="auto"/>
            </w:pPr>
            <w:r>
              <w:rPr>
                <w:rFonts w:ascii="Calibri" w:hAnsi="Calibri"/>
                <w:sz w:val="17"/>
              </w:rPr>
            </w:r>
            <w:r>
              <w:rPr>
                <w:rFonts w:ascii="Calibri" w:hAnsi="Calibri"/>
                <w:sz w:val="17"/>
              </w:rPr>
              <w:t>$13.95</w:t>
            </w:r>
          </w:p>
        </w:tc>
        <w:tc>
          <w:tcPr>
            <w:tcW w:w="2412" w:type="dxa"/>
          </w:tcPr>
          <w:p>
            <w:pPr>
              <w:spacing w:before="0" w:after="0" w:line="240" w:lineRule="auto"/>
            </w:pPr>
            <w:r>
              <w:rPr>
                <w:rFonts w:ascii="Calibri" w:hAnsi="Calibri"/>
                <w:sz w:val="17"/>
              </w:rPr>
            </w:r>
            <w:r>
              <w:rPr>
                <w:rFonts w:ascii="Calibri" w:hAnsi="Calibri"/>
                <w:sz w:val="17"/>
              </w:rPr>
              <w:t>Preference (&gt;$13.95)</w:t>
            </w:r>
          </w:p>
        </w:tc>
      </w:tr>
      <w:tr>
        <w:tc>
          <w:tcPr>
            <w:tcW w:w="2412" w:type="dxa"/>
          </w:tcPr>
          <w:p>
            <w:pPr>
              <w:spacing w:before="0" w:after="0" w:line="240" w:lineRule="auto"/>
            </w:pPr>
            <w:r>
              <w:rPr>
                <w:rFonts w:ascii="Calibri" w:hAnsi="Calibri"/>
                <w:sz w:val="17"/>
              </w:rPr>
            </w:r>
            <w:r>
              <w:rPr>
                <w:rFonts w:ascii="Calibri" w:hAnsi="Calibri"/>
                <w:sz w:val="17"/>
              </w:rPr>
              <w:t>Series B (Northbridge)</w:t>
            </w:r>
          </w:p>
        </w:tc>
        <w:tc>
          <w:tcPr>
            <w:tcW w:w="2412" w:type="dxa"/>
          </w:tcPr>
          <w:p>
            <w:pPr>
              <w:spacing w:before="0" w:after="0" w:line="240" w:lineRule="auto"/>
            </w:pPr>
            <w:r>
              <w:rPr>
                <w:rFonts w:ascii="Calibri" w:hAnsi="Calibri"/>
                <w:sz w:val="17"/>
              </w:rPr>
            </w:r>
            <w:r>
              <w:rPr>
                <w:rFonts w:ascii="Calibri" w:hAnsi="Calibri"/>
                <w:sz w:val="17"/>
              </w:rPr>
              <w:t>$9.25</w:t>
            </w:r>
          </w:p>
        </w:tc>
        <w:tc>
          <w:tcPr>
            <w:tcW w:w="2412" w:type="dxa"/>
          </w:tcPr>
          <w:p>
            <w:pPr>
              <w:spacing w:before="0" w:after="0" w:line="240" w:lineRule="auto"/>
            </w:pPr>
            <w:r>
              <w:rPr>
                <w:rFonts w:ascii="Calibri" w:hAnsi="Calibri"/>
                <w:sz w:val="17"/>
              </w:rPr>
            </w:r>
            <w:r>
              <w:rPr>
                <w:rFonts w:ascii="Calibri" w:hAnsi="Calibri"/>
                <w:sz w:val="17"/>
              </w:rPr>
              <w:t>$13.95</w:t>
            </w:r>
          </w:p>
        </w:tc>
        <w:tc>
          <w:tcPr>
            <w:tcW w:w="2412" w:type="dxa"/>
          </w:tcPr>
          <w:p>
            <w:pPr>
              <w:spacing w:before="0" w:after="0" w:line="240" w:lineRule="auto"/>
            </w:pPr>
            <w:r>
              <w:rPr>
                <w:rFonts w:ascii="Calibri" w:hAnsi="Calibri"/>
                <w:sz w:val="17"/>
              </w:rPr>
            </w:r>
            <w:r>
              <w:rPr>
                <w:rFonts w:ascii="Calibri" w:hAnsi="Calibri"/>
                <w:sz w:val="17"/>
              </w:rPr>
              <w:t>Convert (&gt;$9.25)</w:t>
            </w:r>
          </w:p>
        </w:tc>
      </w:tr>
      <w:tr>
        <w:tc>
          <w:tcPr>
            <w:tcW w:w="2412" w:type="dxa"/>
          </w:tcPr>
          <w:p>
            <w:pPr>
              <w:spacing w:before="0" w:after="0" w:line="240" w:lineRule="auto"/>
            </w:pPr>
            <w:r>
              <w:rPr>
                <w:rFonts w:ascii="Calibri" w:hAnsi="Calibri"/>
                <w:sz w:val="17"/>
              </w:rPr>
            </w:r>
            <w:r>
              <w:rPr>
                <w:rFonts w:ascii="Calibri" w:hAnsi="Calibri"/>
                <w:sz w:val="17"/>
              </w:rPr>
              <w:t>Series A (Ridgeline)</w:t>
            </w:r>
          </w:p>
        </w:tc>
        <w:tc>
          <w:tcPr>
            <w:tcW w:w="2412" w:type="dxa"/>
          </w:tcPr>
          <w:p>
            <w:pPr>
              <w:spacing w:before="0" w:after="0" w:line="240" w:lineRule="auto"/>
            </w:pPr>
            <w:r>
              <w:rPr>
                <w:rFonts w:ascii="Calibri" w:hAnsi="Calibri"/>
                <w:sz w:val="17"/>
              </w:rPr>
            </w:r>
            <w:r>
              <w:rPr>
                <w:rFonts w:ascii="Calibri" w:hAnsi="Calibri"/>
                <w:sz w:val="17"/>
              </w:rPr>
              <w:t>$4.00</w:t>
            </w:r>
          </w:p>
        </w:tc>
        <w:tc>
          <w:tcPr>
            <w:tcW w:w="2412" w:type="dxa"/>
          </w:tcPr>
          <w:p>
            <w:pPr>
              <w:spacing w:before="0" w:after="0" w:line="240" w:lineRule="auto"/>
            </w:pPr>
            <w:r>
              <w:rPr>
                <w:rFonts w:ascii="Calibri" w:hAnsi="Calibri"/>
                <w:sz w:val="17"/>
              </w:rPr>
            </w:r>
            <w:r>
              <w:rPr>
                <w:rFonts w:ascii="Calibri" w:hAnsi="Calibri"/>
                <w:sz w:val="17"/>
              </w:rPr>
              <w:t>$13.95</w:t>
            </w:r>
          </w:p>
        </w:tc>
        <w:tc>
          <w:tcPr>
            <w:tcW w:w="2412" w:type="dxa"/>
          </w:tcPr>
          <w:p>
            <w:pPr>
              <w:spacing w:before="0" w:after="0" w:line="240" w:lineRule="auto"/>
            </w:pPr>
            <w:r>
              <w:rPr>
                <w:rFonts w:ascii="Calibri" w:hAnsi="Calibri"/>
                <w:sz w:val="17"/>
              </w:rPr>
            </w:r>
            <w:r>
              <w:rPr>
                <w:rFonts w:ascii="Calibri" w:hAnsi="Calibri"/>
                <w:sz w:val="17"/>
              </w:rPr>
              <w:t>Convert (&gt;$4.00)</w:t>
            </w:r>
          </w:p>
        </w:tc>
      </w:tr>
    </w:tbl>
    <w:p>
      <w:pPr>
        <w:pStyle w:val="BodyText"/>
        <w:keepNext w:val="0"/>
        <w:keepLines w:val="0"/>
        <w:spacing w:before="0" w:after="60" w:line="240" w:lineRule="auto"/>
      </w:pPr>
      <w:r>
        <w:rPr>
          <w:rFonts w:ascii="Calibri" w:hAnsi="Calibri"/>
          <w:b/>
          <w:bCs/>
          <w:sz w:val="20"/>
        </w:rPr>
        <w:t xml:space="preserve">Step 2 — Equilibrium (Series C takes preference; A, B, and Common convert):</w:t>
      </w:r>
    </w:p>
    <w:p>
      <w:pPr>
        <w:pStyle w:val="Compact"/>
        <w:keepNext w:val="0"/>
        <w:keepLines w:val="0"/>
        <w:numPr>
          <w:ilvl w:val="0"/>
          <w:numId w:val="1018"/>
        </w:numPr>
        <w:spacing w:before="0" w:after="60" w:line="240" w:lineRule="auto"/>
      </w:pPr>
      <w:r>
        <w:rPr>
          <w:rFonts w:ascii="Calibri" w:hAnsi="Calibri"/>
          <w:sz w:val="20"/>
        </w:rPr>
        <w:t xml:space="preserve">Series C preference paid: 7,800,000 × $18.50 =</w:t>
      </w:r>
      <w:r>
        <w:rPr>
          <w:rFonts w:ascii="Calibri" w:hAnsi="Calibri"/>
          <w:sz w:val="20"/>
        </w:rPr>
        <w:t xml:space="preserve"> </w:t>
      </w:r>
      <w:r>
        <w:rPr>
          <w:rFonts w:ascii="Calibri" w:hAnsi="Calibri"/>
          <w:b/>
          <w:bCs/>
          <w:sz w:val="20"/>
        </w:rPr>
        <w:t xml:space="preserve">$144,300,000</w:t>
      </w:r>
    </w:p>
    <w:p>
      <w:pPr>
        <w:pStyle w:val="Compact"/>
        <w:keepNext w:val="0"/>
        <w:keepLines w:val="0"/>
        <w:numPr>
          <w:ilvl w:val="0"/>
          <w:numId w:val="1018"/>
        </w:numPr>
        <w:spacing w:before="0" w:after="60" w:line="240" w:lineRule="auto"/>
      </w:pPr>
      <w:r>
        <w:rPr>
          <w:rFonts w:ascii="Calibri" w:hAnsi="Calibri"/>
          <w:sz w:val="20"/>
        </w:rPr>
        <w:t xml:space="preserve">Remaining for converting shares: $473,000,000 − $144,300,000 =</w:t>
      </w:r>
      <w:r>
        <w:rPr>
          <w:rFonts w:ascii="Calibri" w:hAnsi="Calibri"/>
          <w:sz w:val="20"/>
        </w:rPr>
        <w:t xml:space="preserve"> </w:t>
      </w:r>
      <w:r>
        <w:rPr>
          <w:rFonts w:ascii="Calibri" w:hAnsi="Calibri"/>
          <w:b/>
          <w:bCs/>
          <w:sz w:val="20"/>
        </w:rPr>
        <w:t xml:space="preserve">$328,700,000</w:t>
      </w:r>
    </w:p>
    <w:p>
      <w:pPr>
        <w:pStyle w:val="Compact"/>
        <w:keepNext w:val="0"/>
        <w:keepLines w:val="0"/>
        <w:numPr>
          <w:ilvl w:val="0"/>
          <w:numId w:val="1018"/>
        </w:numPr>
        <w:spacing w:before="0" w:after="60" w:line="240" w:lineRule="auto"/>
      </w:pPr>
      <w:r>
        <w:rPr>
          <w:rFonts w:ascii="Calibri" w:hAnsi="Calibri"/>
          <w:sz w:val="20"/>
        </w:rPr>
        <w:t xml:space="preserve">Converting shares: 33,900,000 − 7,800,000 =</w:t>
      </w:r>
      <w:r>
        <w:rPr>
          <w:rFonts w:ascii="Calibri" w:hAnsi="Calibri"/>
          <w:sz w:val="20"/>
        </w:rPr>
        <w:t xml:space="preserve"> </w:t>
      </w:r>
      <w:r>
        <w:rPr>
          <w:rFonts w:ascii="Calibri" w:hAnsi="Calibri"/>
          <w:b/>
          <w:bCs/>
          <w:sz w:val="20"/>
        </w:rPr>
        <w:t xml:space="preserve">26,100,000</w:t>
      </w:r>
    </w:p>
    <w:p>
      <w:pPr>
        <w:pStyle w:val="Compact"/>
        <w:keepNext w:val="0"/>
        <w:keepLines w:val="0"/>
        <w:numPr>
          <w:ilvl w:val="0"/>
          <w:numId w:val="1018"/>
        </w:numPr>
        <w:spacing w:before="0" w:after="60" w:line="240" w:lineRule="auto"/>
      </w:pPr>
      <w:r>
        <w:rPr>
          <w:rFonts w:ascii="Calibri" w:hAnsi="Calibri"/>
          <w:sz w:val="20"/>
        </w:rPr>
        <w:t xml:space="preserve">Per converting share: $328,700,000 ÷ 26,100,000 ≈</w:t>
      </w:r>
      <w:r>
        <w:rPr>
          <w:rFonts w:ascii="Calibri" w:hAnsi="Calibri"/>
          <w:sz w:val="20"/>
        </w:rPr>
        <w:t xml:space="preserve"> </w:t>
      </w:r>
      <w:r>
        <w:rPr>
          <w:rFonts w:ascii="Calibri" w:hAnsi="Calibri"/>
          <w:b/>
          <w:bCs/>
          <w:sz w:val="20"/>
        </w:rPr>
        <w:t xml:space="preserve">$12.59/share</w:t>
      </w:r>
    </w:p>
    <w:p>
      <w:pPr>
        <w:pStyle w:val="FirstParagraph"/>
        <w:keepNext w:val="0"/>
        <w:keepLines w:val="0"/>
        <w:spacing w:before="0" w:after="60" w:line="240" w:lineRule="auto"/>
      </w:pPr>
      <w:r>
        <w:rPr>
          <w:rFonts w:ascii="Calibri" w:hAnsi="Calibri"/>
          <w:b/>
          <w:bCs/>
          <w:sz w:val="20"/>
        </w:rPr>
        <w:t xml:space="preserve">Step 3 — Verify equilibrium (re-test):</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1702"/>
        <w:gridCol w:w="2270"/>
        <w:gridCol w:w="2270"/>
        <w:gridCol w:w="1702"/>
        <w:gridCol w:w="1704"/>
      </w:tblGrid>
      <w:tr>
        <w:tc>
          <w:tcPr>
            <w:tcW w:w="1702" w:type="dxa"/>
          </w:tcPr>
          <w:p>
            <w:pPr>
              <w:spacing w:before="0" w:after="0" w:line="240" w:lineRule="auto"/>
            </w:pPr>
            <w:r>
              <w:rPr>
                <w:rFonts w:ascii="Calibri" w:hAnsi="Calibri"/>
                <w:sz w:val="17"/>
              </w:rPr>
            </w:r>
            <w:r>
              <w:rPr>
                <w:rFonts w:ascii="Calibri" w:hAnsi="Calibri"/>
                <w:sz w:val="17"/>
              </w:rPr>
              <w:t>Series</w:t>
            </w:r>
          </w:p>
        </w:tc>
        <w:tc>
          <w:tcPr>
            <w:tcW w:w="2270" w:type="dxa"/>
          </w:tcPr>
          <w:p>
            <w:pPr>
              <w:spacing w:before="0" w:after="0" w:line="240" w:lineRule="auto"/>
            </w:pPr>
            <w:r>
              <w:rPr>
                <w:rFonts w:ascii="Calibri" w:hAnsi="Calibri"/>
                <w:sz w:val="17"/>
              </w:rPr>
            </w:r>
            <w:r>
              <w:rPr>
                <w:rFonts w:ascii="Calibri" w:hAnsi="Calibri"/>
                <w:sz w:val="17"/>
              </w:rPr>
              <w:t>Preference/share</w:t>
            </w:r>
          </w:p>
        </w:tc>
        <w:tc>
          <w:tcPr>
            <w:tcW w:w="2270" w:type="dxa"/>
          </w:tcPr>
          <w:p>
            <w:pPr>
              <w:spacing w:before="0" w:after="0" w:line="240" w:lineRule="auto"/>
            </w:pPr>
            <w:r>
              <w:rPr>
                <w:rFonts w:ascii="Calibri" w:hAnsi="Calibri"/>
                <w:sz w:val="17"/>
              </w:rPr>
            </w:r>
            <w:r>
              <w:rPr>
                <w:rFonts w:ascii="Calibri" w:hAnsi="Calibri"/>
                <w:sz w:val="17"/>
              </w:rPr>
              <w:t>Convert/share ($12.59)</w:t>
            </w:r>
          </w:p>
        </w:tc>
        <w:tc>
          <w:tcPr>
            <w:tcW w:w="1702" w:type="dxa"/>
          </w:tcPr>
          <w:p>
            <w:pPr>
              <w:spacing w:before="0" w:after="0" w:line="240" w:lineRule="auto"/>
            </w:pPr>
            <w:r>
              <w:rPr>
                <w:rFonts w:ascii="Calibri" w:hAnsi="Calibri"/>
                <w:sz w:val="17"/>
              </w:rPr>
            </w:r>
            <w:r>
              <w:rPr>
                <w:rFonts w:ascii="Calibri" w:hAnsi="Calibri"/>
                <w:sz w:val="17"/>
              </w:rPr>
              <w:t>Election</w:t>
            </w:r>
          </w:p>
        </w:tc>
        <w:tc>
          <w:tcPr>
            <w:tcW w:w="1704" w:type="dxa"/>
          </w:tcPr>
          <w:p>
            <w:pPr>
              <w:spacing w:before="0" w:after="0" w:line="240" w:lineRule="auto"/>
            </w:pPr>
            <w:r>
              <w:rPr>
                <w:rFonts w:ascii="Calibri" w:hAnsi="Calibri"/>
                <w:sz w:val="17"/>
              </w:rPr>
            </w:r>
            <w:r>
              <w:rPr>
                <w:rFonts w:ascii="Calibri" w:hAnsi="Calibri"/>
                <w:sz w:val="17"/>
              </w:rPr>
              <w:t>Consistent?</w:t>
            </w:r>
          </w:p>
        </w:tc>
      </w:tr>
      <w:tr>
        <w:tc>
          <w:tcPr>
            <w:tcW w:w="1702" w:type="dxa"/>
          </w:tcPr>
          <w:p>
            <w:pPr>
              <w:spacing w:before="0" w:after="0" w:line="240" w:lineRule="auto"/>
            </w:pPr>
            <w:r>
              <w:rPr>
                <w:rFonts w:ascii="Calibri" w:hAnsi="Calibri"/>
                <w:sz w:val="17"/>
              </w:rPr>
            </w:r>
            <w:r>
              <w:rPr>
                <w:rFonts w:ascii="Calibri" w:hAnsi="Calibri"/>
                <w:sz w:val="17"/>
              </w:rPr>
              <w:t>Series C</w:t>
            </w:r>
          </w:p>
        </w:tc>
        <w:tc>
          <w:tcPr>
            <w:tcW w:w="2270" w:type="dxa"/>
          </w:tcPr>
          <w:p>
            <w:pPr>
              <w:spacing w:before="0" w:after="0" w:line="240" w:lineRule="auto"/>
            </w:pPr>
            <w:r>
              <w:rPr>
                <w:rFonts w:ascii="Calibri" w:hAnsi="Calibri"/>
                <w:sz w:val="17"/>
              </w:rPr>
            </w:r>
            <w:r>
              <w:rPr>
                <w:rFonts w:ascii="Calibri" w:hAnsi="Calibri"/>
                <w:sz w:val="17"/>
              </w:rPr>
              <w:t>$18.50</w:t>
            </w:r>
          </w:p>
        </w:tc>
        <w:tc>
          <w:tcPr>
            <w:tcW w:w="2270" w:type="dxa"/>
          </w:tcPr>
          <w:p>
            <w:pPr>
              <w:spacing w:before="0" w:after="0" w:line="240" w:lineRule="auto"/>
            </w:pPr>
            <w:r>
              <w:rPr>
                <w:rFonts w:ascii="Calibri" w:hAnsi="Calibri"/>
                <w:sz w:val="17"/>
              </w:rPr>
            </w:r>
            <w:r>
              <w:rPr>
                <w:rFonts w:ascii="Calibri" w:hAnsi="Calibri"/>
                <w:sz w:val="17"/>
              </w:rPr>
              <w:t>$12.59</w:t>
            </w:r>
          </w:p>
        </w:tc>
        <w:tc>
          <w:tcPr>
            <w:tcW w:w="1702" w:type="dxa"/>
          </w:tcPr>
          <w:p>
            <w:pPr>
              <w:spacing w:before="0" w:after="0" w:line="240" w:lineRule="auto"/>
            </w:pPr>
            <w:r>
              <w:rPr>
                <w:rFonts w:ascii="Calibri" w:hAnsi="Calibri"/>
                <w:sz w:val="17"/>
              </w:rPr>
            </w:r>
            <w:r>
              <w:rPr>
                <w:rFonts w:ascii="Calibri" w:hAnsi="Calibri"/>
                <w:sz w:val="17"/>
              </w:rPr>
              <w:t>Preference</w:t>
            </w:r>
          </w:p>
        </w:tc>
        <w:tc>
          <w:tcPr>
            <w:tcW w:w="1704" w:type="dxa"/>
          </w:tcPr>
          <w:p>
            <w:pPr>
              <w:spacing w:before="0" w:after="0" w:line="240" w:lineRule="auto"/>
            </w:pPr>
            <w:r>
              <w:rPr>
                <w:rFonts w:ascii="Calibri" w:hAnsi="Calibri"/>
                <w:sz w:val="17"/>
              </w:rPr>
            </w:r>
            <w:r>
              <w:rPr>
                <w:rFonts w:ascii="Calibri" w:hAnsi="Calibri"/>
                <w:sz w:val="17"/>
              </w:rPr>
              <w:t>✓</w:t>
            </w:r>
          </w:p>
        </w:tc>
      </w:tr>
      <w:tr>
        <w:tc>
          <w:tcPr>
            <w:tcW w:w="1702" w:type="dxa"/>
          </w:tcPr>
          <w:p>
            <w:pPr>
              <w:spacing w:before="0" w:after="0" w:line="240" w:lineRule="auto"/>
            </w:pPr>
            <w:r>
              <w:rPr>
                <w:rFonts w:ascii="Calibri" w:hAnsi="Calibri"/>
                <w:sz w:val="17"/>
              </w:rPr>
            </w:r>
            <w:r>
              <w:rPr>
                <w:rFonts w:ascii="Calibri" w:hAnsi="Calibri"/>
                <w:sz w:val="17"/>
              </w:rPr>
              <w:t>Series B</w:t>
            </w:r>
          </w:p>
        </w:tc>
        <w:tc>
          <w:tcPr>
            <w:tcW w:w="2270" w:type="dxa"/>
          </w:tcPr>
          <w:p>
            <w:pPr>
              <w:spacing w:before="0" w:after="0" w:line="240" w:lineRule="auto"/>
            </w:pPr>
            <w:r>
              <w:rPr>
                <w:rFonts w:ascii="Calibri" w:hAnsi="Calibri"/>
                <w:sz w:val="17"/>
              </w:rPr>
            </w:r>
            <w:r>
              <w:rPr>
                <w:rFonts w:ascii="Calibri" w:hAnsi="Calibri"/>
                <w:sz w:val="17"/>
              </w:rPr>
              <w:t>$9.25</w:t>
            </w:r>
          </w:p>
        </w:tc>
        <w:tc>
          <w:tcPr>
            <w:tcW w:w="2270" w:type="dxa"/>
          </w:tcPr>
          <w:p>
            <w:pPr>
              <w:spacing w:before="0" w:after="0" w:line="240" w:lineRule="auto"/>
            </w:pPr>
            <w:r>
              <w:rPr>
                <w:rFonts w:ascii="Calibri" w:hAnsi="Calibri"/>
                <w:sz w:val="17"/>
              </w:rPr>
            </w:r>
            <w:r>
              <w:rPr>
                <w:rFonts w:ascii="Calibri" w:hAnsi="Calibri"/>
                <w:sz w:val="17"/>
              </w:rPr>
              <w:t>$12.59</w:t>
            </w:r>
          </w:p>
        </w:tc>
        <w:tc>
          <w:tcPr>
            <w:tcW w:w="1702" w:type="dxa"/>
          </w:tcPr>
          <w:p>
            <w:pPr>
              <w:spacing w:before="0" w:after="0" w:line="240" w:lineRule="auto"/>
            </w:pPr>
            <w:r>
              <w:rPr>
                <w:rFonts w:ascii="Calibri" w:hAnsi="Calibri"/>
                <w:sz w:val="17"/>
              </w:rPr>
            </w:r>
            <w:r>
              <w:rPr>
                <w:rFonts w:ascii="Calibri" w:hAnsi="Calibri"/>
                <w:sz w:val="17"/>
              </w:rPr>
              <w:t>Convert</w:t>
            </w:r>
          </w:p>
        </w:tc>
        <w:tc>
          <w:tcPr>
            <w:tcW w:w="1704" w:type="dxa"/>
          </w:tcPr>
          <w:p>
            <w:pPr>
              <w:spacing w:before="0" w:after="0" w:line="240" w:lineRule="auto"/>
            </w:pPr>
            <w:r>
              <w:rPr>
                <w:rFonts w:ascii="Calibri" w:hAnsi="Calibri"/>
                <w:sz w:val="17"/>
              </w:rPr>
            </w:r>
            <w:r>
              <w:rPr>
                <w:rFonts w:ascii="Calibri" w:hAnsi="Calibri"/>
                <w:sz w:val="17"/>
              </w:rPr>
              <w:t>✓</w:t>
            </w:r>
          </w:p>
        </w:tc>
      </w:tr>
      <w:tr>
        <w:tc>
          <w:tcPr>
            <w:tcW w:w="1702" w:type="dxa"/>
          </w:tcPr>
          <w:p>
            <w:pPr>
              <w:spacing w:before="0" w:after="0" w:line="240" w:lineRule="auto"/>
            </w:pPr>
            <w:r>
              <w:rPr>
                <w:rFonts w:ascii="Calibri" w:hAnsi="Calibri"/>
                <w:sz w:val="17"/>
              </w:rPr>
            </w:r>
            <w:r>
              <w:rPr>
                <w:rFonts w:ascii="Calibri" w:hAnsi="Calibri"/>
                <w:sz w:val="17"/>
              </w:rPr>
              <w:t>Series A</w:t>
            </w:r>
          </w:p>
        </w:tc>
        <w:tc>
          <w:tcPr>
            <w:tcW w:w="2270" w:type="dxa"/>
          </w:tcPr>
          <w:p>
            <w:pPr>
              <w:spacing w:before="0" w:after="0" w:line="240" w:lineRule="auto"/>
            </w:pPr>
            <w:r>
              <w:rPr>
                <w:rFonts w:ascii="Calibri" w:hAnsi="Calibri"/>
                <w:sz w:val="17"/>
              </w:rPr>
            </w:r>
            <w:r>
              <w:rPr>
                <w:rFonts w:ascii="Calibri" w:hAnsi="Calibri"/>
                <w:sz w:val="17"/>
              </w:rPr>
              <w:t>$4.00</w:t>
            </w:r>
          </w:p>
        </w:tc>
        <w:tc>
          <w:tcPr>
            <w:tcW w:w="2270" w:type="dxa"/>
          </w:tcPr>
          <w:p>
            <w:pPr>
              <w:spacing w:before="0" w:after="0" w:line="240" w:lineRule="auto"/>
            </w:pPr>
            <w:r>
              <w:rPr>
                <w:rFonts w:ascii="Calibri" w:hAnsi="Calibri"/>
                <w:sz w:val="17"/>
              </w:rPr>
            </w:r>
            <w:r>
              <w:rPr>
                <w:rFonts w:ascii="Calibri" w:hAnsi="Calibri"/>
                <w:sz w:val="17"/>
              </w:rPr>
              <w:t>$12.59</w:t>
            </w:r>
          </w:p>
        </w:tc>
        <w:tc>
          <w:tcPr>
            <w:tcW w:w="1702" w:type="dxa"/>
          </w:tcPr>
          <w:p>
            <w:pPr>
              <w:spacing w:before="0" w:after="0" w:line="240" w:lineRule="auto"/>
            </w:pPr>
            <w:r>
              <w:rPr>
                <w:rFonts w:ascii="Calibri" w:hAnsi="Calibri"/>
                <w:sz w:val="17"/>
              </w:rPr>
            </w:r>
            <w:r>
              <w:rPr>
                <w:rFonts w:ascii="Calibri" w:hAnsi="Calibri"/>
                <w:sz w:val="17"/>
              </w:rPr>
              <w:t>Convert</w:t>
            </w:r>
          </w:p>
        </w:tc>
        <w:tc>
          <w:tcPr>
            <w:tcW w:w="1704" w:type="dxa"/>
          </w:tcPr>
          <w:p>
            <w:pPr>
              <w:spacing w:before="0" w:after="0" w:line="240" w:lineRule="auto"/>
            </w:pPr>
            <w:r>
              <w:rPr>
                <w:rFonts w:ascii="Calibri" w:hAnsi="Calibri"/>
                <w:sz w:val="17"/>
              </w:rPr>
            </w:r>
            <w:r>
              <w:rPr>
                <w:rFonts w:ascii="Calibri" w:hAnsi="Calibri"/>
                <w:sz w:val="17"/>
              </w:rPr>
              <w:t>✓</w:t>
            </w:r>
          </w:p>
        </w:tc>
      </w:tr>
    </w:tbl>
    <w:p>
      <w:pPr>
        <w:pStyle w:val="BodyText"/>
        <w:keepNext w:val="0"/>
        <w:keepLines w:val="0"/>
        <w:spacing w:before="0" w:after="60" w:line="240" w:lineRule="auto"/>
      </w:pPr>
      <w:r>
        <w:rPr>
          <w:rFonts w:ascii="Calibri" w:hAnsi="Calibri"/>
          <w:b/>
          <w:bCs/>
          <w:sz w:val="20"/>
        </w:rPr>
        <w:t xml:space="preserve">Step 4 — Distribution:</w:t>
      </w:r>
    </w:p>
    <w:tbl>
      <w:tblPr>
        <w:tblStyle w:val="TableGrid"/>
        <w:tblW w:w="9648" w:type="dxa"/>
        <w:jc w:val="left"/>
        <w:tblLayout w:type="fixed"/>
        <w:tblCellMar>
          <w:top w:w="18" w:type="dxa"/>
          <w:bottom w:w="18" w:type="dxa"/>
          <w:start w:w="54" w:type="dxa"/>
          <w:end w:w="54" w:type="dxa"/>
          <w:left w:w="54" w:type="dxa"/>
          <w:right w:w="54" w:type="dxa"/>
        </w:tblCellMar>
        <w:tblLook w:firstColumn="1" w:firstRow="1" w:lastColumn="0" w:lastRow="0" w:noHBand="0" w:noVBand="1" w:val="04A0"/>
      </w:tblPr>
      <w:tblGrid>
        <w:gridCol w:w="1259"/>
        <w:gridCol w:w="1678"/>
        <w:gridCol w:w="1678"/>
        <w:gridCol w:w="1678"/>
        <w:gridCol w:w="1678"/>
        <w:gridCol w:w="1677"/>
      </w:tblGrid>
      <w:tr>
        <w:tc>
          <w:tcPr>
            <w:tcW w:w="1259" w:type="dxa"/>
          </w:tcPr>
          <w:p>
            <w:pPr>
              <w:spacing w:before="0" w:after="0" w:line="240" w:lineRule="auto"/>
            </w:pPr>
            <w:r>
              <w:rPr>
                <w:rFonts w:ascii="Calibri" w:hAnsi="Calibri"/>
                <w:sz w:val="17"/>
              </w:rPr>
            </w:r>
            <w:r>
              <w:rPr>
                <w:rFonts w:ascii="Calibri" w:hAnsi="Calibri"/>
                <w:sz w:val="17"/>
              </w:rPr>
              <w:t>Holder</w:t>
            </w:r>
          </w:p>
        </w:tc>
        <w:tc>
          <w:tcPr>
            <w:tcW w:w="1678" w:type="dxa"/>
          </w:tcPr>
          <w:p>
            <w:pPr>
              <w:spacing w:before="0" w:after="0" w:line="240" w:lineRule="auto"/>
            </w:pPr>
            <w:r>
              <w:rPr>
                <w:rFonts w:ascii="Calibri" w:hAnsi="Calibri"/>
                <w:sz w:val="17"/>
              </w:rPr>
            </w:r>
            <w:r>
              <w:rPr>
                <w:rFonts w:ascii="Calibri" w:hAnsi="Calibri"/>
                <w:sz w:val="17"/>
              </w:rPr>
              <w:t>Shares</w:t>
            </w:r>
          </w:p>
        </w:tc>
        <w:tc>
          <w:tcPr>
            <w:tcW w:w="1678" w:type="dxa"/>
          </w:tcPr>
          <w:p>
            <w:pPr>
              <w:spacing w:before="0" w:after="0" w:line="240" w:lineRule="auto"/>
            </w:pPr>
            <w:r>
              <w:rPr>
                <w:rFonts w:ascii="Calibri" w:hAnsi="Calibri"/>
                <w:sz w:val="17"/>
              </w:rPr>
            </w:r>
            <w:r>
              <w:rPr>
                <w:rFonts w:ascii="Calibri" w:hAnsi="Calibri"/>
                <w:sz w:val="17"/>
              </w:rPr>
              <w:t>$/Share</w:t>
            </w:r>
          </w:p>
        </w:tc>
        <w:tc>
          <w:tcPr>
            <w:tcW w:w="1678" w:type="dxa"/>
          </w:tcPr>
          <w:p>
            <w:pPr>
              <w:spacing w:before="0" w:after="0" w:line="240" w:lineRule="auto"/>
            </w:pPr>
            <w:r>
              <w:rPr>
                <w:rFonts w:ascii="Calibri" w:hAnsi="Calibri"/>
                <w:sz w:val="17"/>
              </w:rPr>
            </w:r>
            <w:r>
              <w:rPr>
                <w:rFonts w:ascii="Calibri" w:hAnsi="Calibri"/>
                <w:sz w:val="17"/>
              </w:rPr>
              <w:t>Total</w:t>
            </w:r>
          </w:p>
        </w:tc>
        <w:tc>
          <w:tcPr>
            <w:tcW w:w="1678" w:type="dxa"/>
          </w:tcPr>
          <w:p>
            <w:pPr>
              <w:spacing w:before="0" w:after="0" w:line="240" w:lineRule="auto"/>
            </w:pPr>
            <w:r>
              <w:rPr>
                <w:rFonts w:ascii="Calibri" w:hAnsi="Calibri"/>
                <w:sz w:val="17"/>
              </w:rPr>
            </w:r>
            <w:r>
              <w:rPr>
                <w:rFonts w:ascii="Calibri" w:hAnsi="Calibri"/>
                <w:sz w:val="17"/>
              </w:rPr>
              <w:t>vs. Preference</w:t>
            </w:r>
          </w:p>
        </w:tc>
        <w:tc>
          <w:tcPr>
            <w:tcW w:w="1677" w:type="dxa"/>
          </w:tcPr>
          <w:p>
            <w:pPr>
              <w:spacing w:before="0" w:after="0" w:line="240" w:lineRule="auto"/>
            </w:pPr>
            <w:r>
              <w:rPr>
                <w:rFonts w:ascii="Calibri" w:hAnsi="Calibri"/>
                <w:sz w:val="17"/>
              </w:rPr>
            </w:r>
            <w:r>
              <w:rPr>
                <w:rFonts w:ascii="Calibri" w:hAnsi="Calibri"/>
                <w:sz w:val="17"/>
              </w:rPr>
              <w:t>Upside/(Loss)</w:t>
            </w:r>
          </w:p>
        </w:tc>
      </w:tr>
      <w:tr>
        <w:tc>
          <w:tcPr>
            <w:tcW w:w="1259" w:type="dxa"/>
          </w:tcPr>
          <w:p>
            <w:pPr>
              <w:spacing w:before="0" w:after="0" w:line="240" w:lineRule="auto"/>
            </w:pPr>
            <w:r>
              <w:rPr>
                <w:rFonts w:ascii="Calibri" w:hAnsi="Calibri"/>
                <w:sz w:val="17"/>
              </w:rPr>
            </w:r>
            <w:r>
              <w:rPr>
                <w:rFonts w:ascii="Calibri" w:hAnsi="Calibri"/>
                <w:sz w:val="17"/>
              </w:rPr>
              <w:t>Stonemill (Series C)</w:t>
            </w:r>
          </w:p>
        </w:tc>
        <w:tc>
          <w:tcPr>
            <w:tcW w:w="1678" w:type="dxa"/>
          </w:tcPr>
          <w:p>
            <w:pPr>
              <w:spacing w:before="0" w:after="0" w:line="240" w:lineRule="auto"/>
            </w:pPr>
            <w:r>
              <w:rPr>
                <w:rFonts w:ascii="Calibri" w:hAnsi="Calibri"/>
                <w:sz w:val="17"/>
              </w:rPr>
            </w:r>
            <w:r>
              <w:rPr>
                <w:rFonts w:ascii="Calibri" w:hAnsi="Calibri"/>
                <w:sz w:val="17"/>
              </w:rPr>
              <w:t>7,800,000</w:t>
            </w:r>
          </w:p>
        </w:tc>
        <w:tc>
          <w:tcPr>
            <w:tcW w:w="1678" w:type="dxa"/>
          </w:tcPr>
          <w:p>
            <w:pPr>
              <w:spacing w:before="0" w:after="0" w:line="240" w:lineRule="auto"/>
            </w:pPr>
            <w:r>
              <w:rPr>
                <w:rFonts w:ascii="Calibri" w:hAnsi="Calibri"/>
                <w:sz w:val="17"/>
              </w:rPr>
            </w:r>
            <w:r>
              <w:rPr>
                <w:rFonts w:ascii="Calibri" w:hAnsi="Calibri"/>
                <w:sz w:val="17"/>
              </w:rPr>
              <w:t>$18.50 (pref.)</w:t>
            </w:r>
          </w:p>
        </w:tc>
        <w:tc>
          <w:tcPr>
            <w:tcW w:w="1678" w:type="dxa"/>
          </w:tcPr>
          <w:p>
            <w:pPr>
              <w:spacing w:before="0" w:after="0" w:line="240" w:lineRule="auto"/>
            </w:pPr>
            <w:r>
              <w:rPr>
                <w:rFonts w:ascii="Calibri" w:hAnsi="Calibri"/>
                <w:sz w:val="17"/>
              </w:rPr>
            </w:r>
            <w:r>
              <w:rPr>
                <w:rFonts w:ascii="Calibri" w:hAnsi="Calibri"/>
                <w:sz w:val="17"/>
              </w:rPr>
              <w:t>$144,300,000</w:t>
            </w:r>
          </w:p>
        </w:tc>
        <w:tc>
          <w:tcPr>
            <w:tcW w:w="1678" w:type="dxa"/>
          </w:tcPr>
          <w:p>
            <w:pPr>
              <w:spacing w:before="0" w:after="0" w:line="240" w:lineRule="auto"/>
            </w:pPr>
            <w:r>
              <w:rPr>
                <w:rFonts w:ascii="Calibri" w:hAnsi="Calibri"/>
                <w:sz w:val="17"/>
              </w:rPr>
            </w:r>
            <w:r>
              <w:rPr>
                <w:rFonts w:ascii="Calibri" w:hAnsi="Calibri"/>
                <w:sz w:val="17"/>
              </w:rPr>
              <w:t>$144,300,000</w:t>
            </w:r>
          </w:p>
        </w:tc>
        <w:tc>
          <w:tcPr>
            <w:tcW w:w="1677" w:type="dxa"/>
          </w:tcPr>
          <w:p>
            <w:pPr>
              <w:spacing w:before="0" w:after="0" w:line="240" w:lineRule="auto"/>
            </w:pPr>
            <w:r>
              <w:rPr>
                <w:rFonts w:ascii="Calibri" w:hAnsi="Calibri"/>
                <w:sz w:val="17"/>
              </w:rPr>
            </w:r>
            <w:r>
              <w:rPr>
                <w:rFonts w:ascii="Calibri" w:hAnsi="Calibri"/>
                <w:sz w:val="17"/>
              </w:rPr>
              <w:t>$0 (break-even)</w:t>
            </w:r>
          </w:p>
        </w:tc>
      </w:tr>
      <w:tr>
        <w:tc>
          <w:tcPr>
            <w:tcW w:w="1259" w:type="dxa"/>
          </w:tcPr>
          <w:p>
            <w:pPr>
              <w:spacing w:before="0" w:after="0" w:line="240" w:lineRule="auto"/>
            </w:pPr>
            <w:r>
              <w:rPr>
                <w:rFonts w:ascii="Calibri" w:hAnsi="Calibri"/>
                <w:sz w:val="17"/>
              </w:rPr>
            </w:r>
            <w:r>
              <w:rPr>
                <w:rFonts w:ascii="Calibri" w:hAnsi="Calibri"/>
                <w:sz w:val="17"/>
              </w:rPr>
              <w:t>Northbridge (Series B)</w:t>
            </w:r>
          </w:p>
        </w:tc>
        <w:tc>
          <w:tcPr>
            <w:tcW w:w="1678" w:type="dxa"/>
          </w:tcPr>
          <w:p>
            <w:pPr>
              <w:spacing w:before="0" w:after="0" w:line="240" w:lineRule="auto"/>
            </w:pPr>
            <w:r>
              <w:rPr>
                <w:rFonts w:ascii="Calibri" w:hAnsi="Calibri"/>
                <w:sz w:val="17"/>
              </w:rPr>
            </w:r>
            <w:r>
              <w:rPr>
                <w:rFonts w:ascii="Calibri" w:hAnsi="Calibri"/>
                <w:sz w:val="17"/>
              </w:rPr>
              <w:t>5,200,000</w:t>
            </w:r>
          </w:p>
        </w:tc>
        <w:tc>
          <w:tcPr>
            <w:tcW w:w="1678" w:type="dxa"/>
          </w:tcPr>
          <w:p>
            <w:pPr>
              <w:spacing w:before="0" w:after="0" w:line="240" w:lineRule="auto"/>
            </w:pPr>
            <w:r>
              <w:rPr>
                <w:rFonts w:ascii="Calibri" w:hAnsi="Calibri"/>
                <w:sz w:val="17"/>
              </w:rPr>
            </w:r>
            <w:r>
              <w:rPr>
                <w:rFonts w:ascii="Calibri" w:hAnsi="Calibri"/>
                <w:sz w:val="17"/>
              </w:rPr>
              <w:t>$12.59 (convert)</w:t>
            </w:r>
          </w:p>
        </w:tc>
        <w:tc>
          <w:tcPr>
            <w:tcW w:w="1678" w:type="dxa"/>
          </w:tcPr>
          <w:p>
            <w:pPr>
              <w:spacing w:before="0" w:after="0" w:line="240" w:lineRule="auto"/>
            </w:pPr>
            <w:r>
              <w:rPr>
                <w:rFonts w:ascii="Calibri" w:hAnsi="Calibri"/>
                <w:sz w:val="17"/>
              </w:rPr>
            </w:r>
            <w:r>
              <w:rPr>
                <w:rFonts w:ascii="Calibri" w:hAnsi="Calibri"/>
                <w:sz w:val="17"/>
              </w:rPr>
              <w:t>$65,468,000</w:t>
            </w:r>
          </w:p>
        </w:tc>
        <w:tc>
          <w:tcPr>
            <w:tcW w:w="1678" w:type="dxa"/>
          </w:tcPr>
          <w:p>
            <w:pPr>
              <w:spacing w:before="0" w:after="0" w:line="240" w:lineRule="auto"/>
            </w:pPr>
            <w:r>
              <w:rPr>
                <w:rFonts w:ascii="Calibri" w:hAnsi="Calibri"/>
                <w:sz w:val="17"/>
              </w:rPr>
            </w:r>
            <w:r>
              <w:rPr>
                <w:rFonts w:ascii="Calibri" w:hAnsi="Calibri"/>
                <w:sz w:val="17"/>
              </w:rPr>
              <w:t>$48,100,000</w:t>
            </w:r>
          </w:p>
        </w:tc>
        <w:tc>
          <w:tcPr>
            <w:tcW w:w="1677" w:type="dxa"/>
          </w:tcPr>
          <w:p>
            <w:pPr>
              <w:spacing w:before="0" w:after="0" w:line="240" w:lineRule="auto"/>
            </w:pPr>
            <w:r>
              <w:rPr>
                <w:rFonts w:ascii="Calibri" w:hAnsi="Calibri"/>
                <w:sz w:val="17"/>
              </w:rPr>
            </w:r>
            <w:r>
              <w:rPr>
                <w:rFonts w:ascii="Calibri" w:hAnsi="Calibri"/>
                <w:sz w:val="17"/>
              </w:rPr>
              <w:t>+$17,368,000</w:t>
            </w:r>
          </w:p>
        </w:tc>
      </w:tr>
      <w:tr>
        <w:tc>
          <w:tcPr>
            <w:tcW w:w="1259" w:type="dxa"/>
          </w:tcPr>
          <w:p>
            <w:pPr>
              <w:spacing w:before="0" w:after="0" w:line="240" w:lineRule="auto"/>
            </w:pPr>
            <w:r>
              <w:rPr>
                <w:rFonts w:ascii="Calibri" w:hAnsi="Calibri"/>
                <w:sz w:val="17"/>
              </w:rPr>
            </w:r>
            <w:r>
              <w:rPr>
                <w:rFonts w:ascii="Calibri" w:hAnsi="Calibri"/>
                <w:sz w:val="17"/>
              </w:rPr>
              <w:t>Ridgeline (Series A)</w:t>
            </w:r>
          </w:p>
        </w:tc>
        <w:tc>
          <w:tcPr>
            <w:tcW w:w="1678" w:type="dxa"/>
          </w:tcPr>
          <w:p>
            <w:pPr>
              <w:spacing w:before="0" w:after="0" w:line="240" w:lineRule="auto"/>
            </w:pPr>
            <w:r>
              <w:rPr>
                <w:rFonts w:ascii="Calibri" w:hAnsi="Calibri"/>
                <w:sz w:val="17"/>
              </w:rPr>
            </w:r>
            <w:r>
              <w:rPr>
                <w:rFonts w:ascii="Calibri" w:hAnsi="Calibri"/>
                <w:sz w:val="17"/>
              </w:rPr>
              <w:t>3,500,000</w:t>
            </w:r>
          </w:p>
        </w:tc>
        <w:tc>
          <w:tcPr>
            <w:tcW w:w="1678" w:type="dxa"/>
          </w:tcPr>
          <w:p>
            <w:pPr>
              <w:spacing w:before="0" w:after="0" w:line="240" w:lineRule="auto"/>
            </w:pPr>
            <w:r>
              <w:rPr>
                <w:rFonts w:ascii="Calibri" w:hAnsi="Calibri"/>
                <w:sz w:val="17"/>
              </w:rPr>
            </w:r>
            <w:r>
              <w:rPr>
                <w:rFonts w:ascii="Calibri" w:hAnsi="Calibri"/>
                <w:sz w:val="17"/>
              </w:rPr>
              <w:t>$12.59 (convert)</w:t>
            </w:r>
          </w:p>
        </w:tc>
        <w:tc>
          <w:tcPr>
            <w:tcW w:w="1678" w:type="dxa"/>
          </w:tcPr>
          <w:p>
            <w:pPr>
              <w:spacing w:before="0" w:after="0" w:line="240" w:lineRule="auto"/>
            </w:pPr>
            <w:r>
              <w:rPr>
                <w:rFonts w:ascii="Calibri" w:hAnsi="Calibri"/>
                <w:sz w:val="17"/>
              </w:rPr>
            </w:r>
            <w:r>
              <w:rPr>
                <w:rFonts w:ascii="Calibri" w:hAnsi="Calibri"/>
                <w:sz w:val="17"/>
              </w:rPr>
              <w:t>$44,065,000</w:t>
            </w:r>
          </w:p>
        </w:tc>
        <w:tc>
          <w:tcPr>
            <w:tcW w:w="1678" w:type="dxa"/>
          </w:tcPr>
          <w:p>
            <w:pPr>
              <w:spacing w:before="0" w:after="0" w:line="240" w:lineRule="auto"/>
            </w:pPr>
            <w:r>
              <w:rPr>
                <w:rFonts w:ascii="Calibri" w:hAnsi="Calibri"/>
                <w:sz w:val="17"/>
              </w:rPr>
            </w:r>
            <w:r>
              <w:rPr>
                <w:rFonts w:ascii="Calibri" w:hAnsi="Calibri"/>
                <w:sz w:val="17"/>
              </w:rPr>
              <w:t>$14,000,000</w:t>
            </w:r>
          </w:p>
        </w:tc>
        <w:tc>
          <w:tcPr>
            <w:tcW w:w="1677" w:type="dxa"/>
          </w:tcPr>
          <w:p>
            <w:pPr>
              <w:spacing w:before="0" w:after="0" w:line="240" w:lineRule="auto"/>
            </w:pPr>
            <w:r>
              <w:rPr>
                <w:rFonts w:ascii="Calibri" w:hAnsi="Calibri"/>
                <w:sz w:val="17"/>
              </w:rPr>
            </w:r>
            <w:r>
              <w:rPr>
                <w:rFonts w:ascii="Calibri" w:hAnsi="Calibri"/>
                <w:sz w:val="17"/>
              </w:rPr>
              <w:t>+$30,065,000</w:t>
            </w:r>
          </w:p>
        </w:tc>
      </w:tr>
      <w:tr>
        <w:tc>
          <w:tcPr>
            <w:tcW w:w="1259" w:type="dxa"/>
          </w:tcPr>
          <w:p>
            <w:pPr>
              <w:spacing w:before="0" w:after="0" w:line="240" w:lineRule="auto"/>
            </w:pPr>
            <w:r>
              <w:rPr>
                <w:rFonts w:ascii="Calibri" w:hAnsi="Calibri"/>
                <w:sz w:val="17"/>
              </w:rPr>
            </w:r>
            <w:r>
              <w:rPr>
                <w:rFonts w:ascii="Calibri" w:hAnsi="Calibri"/>
                <w:sz w:val="17"/>
              </w:rPr>
              <w:t>Common (incl. option pool)</w:t>
            </w:r>
          </w:p>
        </w:tc>
        <w:tc>
          <w:tcPr>
            <w:tcW w:w="1678" w:type="dxa"/>
          </w:tcPr>
          <w:p>
            <w:pPr>
              <w:spacing w:before="0" w:after="0" w:line="240" w:lineRule="auto"/>
            </w:pPr>
            <w:r>
              <w:rPr>
                <w:rFonts w:ascii="Calibri" w:hAnsi="Calibri"/>
                <w:sz w:val="17"/>
              </w:rPr>
            </w:r>
            <w:r>
              <w:rPr>
                <w:rFonts w:ascii="Calibri" w:hAnsi="Calibri"/>
                <w:sz w:val="17"/>
              </w:rPr>
              <w:t>17,400,000</w:t>
            </w:r>
          </w:p>
        </w:tc>
        <w:tc>
          <w:tcPr>
            <w:tcW w:w="1678" w:type="dxa"/>
          </w:tcPr>
          <w:p>
            <w:pPr>
              <w:spacing w:before="0" w:after="0" w:line="240" w:lineRule="auto"/>
            </w:pPr>
            <w:r>
              <w:rPr>
                <w:rFonts w:ascii="Calibri" w:hAnsi="Calibri"/>
                <w:sz w:val="17"/>
              </w:rPr>
            </w:r>
            <w:r>
              <w:rPr>
                <w:rFonts w:ascii="Calibri" w:hAnsi="Calibri"/>
                <w:sz w:val="17"/>
              </w:rPr>
              <w:t>$12.59 (convert)</w:t>
            </w:r>
          </w:p>
        </w:tc>
        <w:tc>
          <w:tcPr>
            <w:tcW w:w="1678" w:type="dxa"/>
          </w:tcPr>
          <w:p>
            <w:pPr>
              <w:spacing w:before="0" w:after="0" w:line="240" w:lineRule="auto"/>
            </w:pPr>
            <w:r>
              <w:rPr>
                <w:rFonts w:ascii="Calibri" w:hAnsi="Calibri"/>
                <w:sz w:val="17"/>
              </w:rPr>
            </w:r>
            <w:r>
              <w:rPr>
                <w:rFonts w:ascii="Calibri" w:hAnsi="Calibri"/>
                <w:sz w:val="17"/>
              </w:rPr>
              <w:t>$219,066,000</w:t>
            </w:r>
          </w:p>
        </w:tc>
        <w:tc>
          <w:tcPr>
            <w:tcW w:w="1678" w:type="dxa"/>
          </w:tcPr>
          <w:p>
            <w:pPr>
              <w:spacing w:before="0" w:after="0" w:line="240" w:lineRule="auto"/>
            </w:pPr>
            <w:r>
              <w:rPr>
                <w:rFonts w:ascii="Calibri" w:hAnsi="Calibri"/>
                <w:sz w:val="17"/>
              </w:rPr>
            </w:r>
            <w:r>
              <w:rPr>
                <w:rFonts w:ascii="Calibri" w:hAnsi="Calibri"/>
                <w:sz w:val="17"/>
              </w:rPr>
              <w:t>n/a</w:t>
            </w:r>
          </w:p>
        </w:tc>
        <w:tc>
          <w:tcPr>
            <w:tcW w:w="1677" w:type="dxa"/>
          </w:tcPr>
          <w:p>
            <w:pPr>
              <w:spacing w:before="0" w:after="0" w:line="240" w:lineRule="auto"/>
            </w:pPr>
            <w:r>
              <w:rPr>
                <w:rFonts w:ascii="Calibri" w:hAnsi="Calibri"/>
                <w:sz w:val="17"/>
              </w:rPr>
            </w:r>
            <w:r>
              <w:rPr>
                <w:rFonts w:ascii="Calibri" w:hAnsi="Calibri"/>
                <w:sz w:val="17"/>
              </w:rPr>
              <w:t>n/a</w:t>
            </w:r>
          </w:p>
        </w:tc>
      </w:tr>
      <w:tr>
        <w:tc>
          <w:tcPr>
            <w:tcW w:w="1259" w:type="dxa"/>
          </w:tcPr>
          <w:p>
            <w:pPr>
              <w:spacing w:before="0" w:after="0" w:line="240" w:lineRule="auto"/>
            </w:pPr>
            <w:r>
              <w:rPr>
                <w:rFonts w:ascii="Calibri" w:hAnsi="Calibri"/>
                <w:sz w:val="17"/>
              </w:rPr>
            </w:r>
            <w:r>
              <w:rPr>
                <w:rFonts w:ascii="Calibri" w:hAnsi="Calibri"/>
                <w:sz w:val="17"/>
              </w:rPr>
              <w:t>Total</w:t>
            </w:r>
          </w:p>
        </w:tc>
        <w:tc>
          <w:tcPr>
            <w:tcW w:w="1678" w:type="dxa"/>
          </w:tcPr>
          <w:p>
            <w:pPr>
              <w:spacing w:before="0" w:after="0" w:line="240" w:lineRule="auto"/>
            </w:pPr>
            <w:r>
              <w:rPr>
                <w:rFonts w:ascii="Calibri" w:hAnsi="Calibri"/>
                <w:sz w:val="17"/>
              </w:rPr>
            </w:r>
            <w:r>
              <w:rPr>
                <w:rFonts w:ascii="Calibri" w:hAnsi="Calibri"/>
                <w:sz w:val="17"/>
              </w:rPr>
              <w:t>33,900,000</w:t>
            </w:r>
          </w:p>
        </w:tc>
        <w:tc>
          <w:tcPr>
            <w:tcW w:w="1678" w:type="dxa"/>
          </w:tcPr>
          <w:p>
            <w:pPr>
              <w:spacing w:before="0" w:after="0" w:line="240" w:lineRule="auto"/>
            </w:pPr>
            <w:r>
              <w:rPr>
                <w:rFonts w:ascii="Calibri" w:hAnsi="Calibri"/>
                <w:sz w:val="17"/>
              </w:rPr>
            </w:r>
            <w:r>
              <w:rPr>
                <w:rFonts w:ascii="Calibri" w:hAnsi="Calibri"/>
                <w:sz w:val="17"/>
              </w:rPr>
            </w:r>
          </w:p>
        </w:tc>
        <w:tc>
          <w:tcPr>
            <w:tcW w:w="1678" w:type="dxa"/>
          </w:tcPr>
          <w:p>
            <w:pPr>
              <w:spacing w:before="0" w:after="0" w:line="240" w:lineRule="auto"/>
            </w:pPr>
            <w:r>
              <w:rPr>
                <w:rFonts w:ascii="Calibri" w:hAnsi="Calibri"/>
                <w:sz w:val="17"/>
              </w:rPr>
            </w:r>
            <w:r>
              <w:rPr>
                <w:rFonts w:ascii="Calibri" w:hAnsi="Calibri"/>
                <w:sz w:val="17"/>
              </w:rPr>
              <w:t>~$472,900,000</w:t>
            </w:r>
          </w:p>
        </w:tc>
        <w:tc>
          <w:tcPr>
            <w:tcW w:w="1678" w:type="dxa"/>
          </w:tcPr>
          <w:p>
            <w:pPr>
              <w:spacing w:before="0" w:after="0" w:line="240" w:lineRule="auto"/>
            </w:pPr>
            <w:r>
              <w:rPr>
                <w:rFonts w:ascii="Calibri" w:hAnsi="Calibri"/>
                <w:sz w:val="17"/>
              </w:rPr>
            </w:r>
            <w:r>
              <w:rPr>
                <w:rFonts w:ascii="Calibri" w:hAnsi="Calibri"/>
                <w:sz w:val="17"/>
              </w:rPr>
            </w:r>
          </w:p>
        </w:tc>
        <w:tc>
          <w:tcPr>
            <w:tcW w:w="1677" w:type="dxa"/>
          </w:tcPr>
          <w:p>
            <w:pPr>
              <w:spacing w:before="0" w:after="0" w:line="240" w:lineRule="auto"/>
            </w:pPr>
            <w:r>
              <w:rPr>
                <w:rFonts w:ascii="Calibri" w:hAnsi="Calibri"/>
                <w:sz w:val="17"/>
              </w:rPr>
            </w:r>
            <w:r>
              <w:rPr>
                <w:rFonts w:ascii="Calibri" w:hAnsi="Calibri"/>
                <w:sz w:val="17"/>
              </w:rPr>
            </w:r>
          </w:p>
        </w:tc>
      </w:tr>
    </w:tbl>
    <w:p>
      <w:pPr>
        <w:pStyle w:val="BodyText"/>
        <w:keepNext w:val="0"/>
        <w:keepLines w:val="0"/>
        <w:spacing w:before="0" w:after="60" w:line="240" w:lineRule="auto"/>
      </w:pPr>
      <w:r>
        <w:rPr>
          <w:rFonts w:ascii="Calibri" w:hAnsi="Calibri"/>
          <w:i/>
          <w:iCs/>
          <w:sz w:val="20"/>
        </w:rPr>
        <w:t xml:space="preserve">(Totals approximate due to rounding; figures reconcile to ~$473M.)</w:t>
      </w:r>
    </w:p>
    <w:p>
      <w:pPr>
        <w:pStyle w:val="BodyText"/>
        <w:keepNext w:val="0"/>
        <w:keepLines w:val="0"/>
        <w:spacing w:before="0" w:after="60" w:line="240" w:lineRule="auto"/>
      </w:pPr>
      <w:r>
        <w:rPr>
          <w:rFonts w:ascii="Calibri" w:hAnsi="Calibri"/>
          <w:b/>
          <w:bCs/>
          <w:sz w:val="20"/>
        </w:rPr>
        <w:t xml:space="preserve">Key conclusions:</w:t>
      </w:r>
    </w:p>
    <w:p>
      <w:pPr>
        <w:pStyle w:val="Compact"/>
        <w:keepNext w:val="0"/>
        <w:keepLines w:val="0"/>
        <w:numPr>
          <w:ilvl w:val="0"/>
          <w:numId w:val="1019"/>
        </w:numPr>
        <w:spacing w:before="0" w:after="60" w:line="240" w:lineRule="auto"/>
      </w:pPr>
      <w:r>
        <w:rPr>
          <w:rFonts w:ascii="Calibri" w:hAnsi="Calibri"/>
          <w:b/>
          <w:bCs/>
          <w:sz w:val="20"/>
        </w:rPr>
        <w:t xml:space="preserve">Stonemill (Series C) receives exactly its $18.50 Original Issue Price — break-even on its $144.3M investment — and is the only major stockholder with no upside.</w:t>
      </w:r>
      <w:r>
        <w:rPr>
          <w:rFonts w:ascii="Calibri" w:hAnsi="Calibri"/>
          <w:sz w:val="20"/>
        </w:rPr>
        <w:t xml:space="preserve"> </w:t>
      </w:r>
      <w:r>
        <w:rPr>
          <w:rFonts w:ascii="Calibri" w:hAnsi="Calibri"/>
          <w:sz w:val="20"/>
        </w:rPr>
        <w:t xml:space="preserve">This is the economic root of Stonemill’s leverage and its interest in extracting concessions.</w:t>
      </w:r>
    </w:p>
    <w:p>
      <w:pPr>
        <w:pStyle w:val="Compact"/>
        <w:keepNext w:val="0"/>
        <w:keepLines w:val="0"/>
        <w:numPr>
          <w:ilvl w:val="0"/>
          <w:numId w:val="1019"/>
        </w:numPr>
        <w:spacing w:before="0" w:after="60" w:line="240" w:lineRule="auto"/>
      </w:pPr>
      <w:r>
        <w:rPr>
          <w:rFonts w:ascii="Calibri" w:hAnsi="Calibri"/>
          <w:sz w:val="20"/>
        </w:rPr>
        <w:t xml:space="preserve">Series B and Series A convert and receive meaningful upside over their preferences.</w:t>
      </w:r>
    </w:p>
    <w:p>
      <w:pPr>
        <w:pStyle w:val="Compact"/>
        <w:keepNext w:val="0"/>
        <w:keepLines w:val="0"/>
        <w:numPr>
          <w:ilvl w:val="0"/>
          <w:numId w:val="1019"/>
        </w:numPr>
        <w:spacing w:before="0" w:after="60" w:line="240" w:lineRule="auto"/>
      </w:pPr>
      <w:r>
        <w:rPr>
          <w:rFonts w:ascii="Calibri" w:hAnsi="Calibri"/>
          <w:sz w:val="20"/>
        </w:rPr>
        <w:t xml:space="preserve">The common per-share value (~$12.59) is</w:t>
      </w:r>
      <w:r>
        <w:rPr>
          <w:rFonts w:ascii="Calibri" w:hAnsi="Calibri"/>
          <w:sz w:val="20"/>
        </w:rPr>
        <w:t xml:space="preserve"> </w:t>
      </w:r>
      <w:r>
        <w:rPr>
          <w:rFonts w:ascii="Calibri" w:hAnsi="Calibri"/>
          <w:b/>
          <w:bCs/>
          <w:sz w:val="20"/>
        </w:rPr>
        <w:t xml:space="preserve">below</w:t>
      </w:r>
      <w:r>
        <w:rPr>
          <w:rFonts w:ascii="Calibri" w:hAnsi="Calibri"/>
          <w:sz w:val="20"/>
        </w:rPr>
        <w:t xml:space="preserve"> </w:t>
      </w:r>
      <w:r>
        <w:rPr>
          <w:rFonts w:ascii="Calibri" w:hAnsi="Calibri"/>
          <w:sz w:val="20"/>
        </w:rPr>
        <w:t xml:space="preserve">the 409A fair market value of $14.30 used for recent grants, meaning options struck at or above ~$12.59 (including the Malhotra options at $14.30) are</w:t>
      </w:r>
      <w:r>
        <w:rPr>
          <w:rFonts w:ascii="Calibri" w:hAnsi="Calibri"/>
          <w:sz w:val="20"/>
        </w:rPr>
        <w:t xml:space="preserve"> </w:t>
      </w:r>
      <w:r>
        <w:rPr>
          <w:rFonts w:ascii="Calibri" w:hAnsi="Calibri"/>
          <w:b/>
          <w:bCs/>
          <w:sz w:val="20"/>
        </w:rPr>
        <w:t xml:space="preserve">underwater</w:t>
      </w:r>
      <w:r>
        <w:rPr>
          <w:rFonts w:ascii="Calibri" w:hAnsi="Calibri"/>
          <w:sz w:val="20"/>
        </w:rPr>
        <w:t xml:space="preserve"> </w:t>
      </w:r>
      <w:r>
        <w:rPr>
          <w:rFonts w:ascii="Calibri" w:hAnsi="Calibri"/>
          <w:sz w:val="20"/>
        </w:rPr>
        <w:t xml:space="preserve">at the Transaction price.</w:t>
      </w:r>
    </w:p>
    <w:p>
      <w:pPr>
        <w:pStyle w:val="Compact"/>
        <w:keepNext w:val="0"/>
        <w:keepLines w:val="0"/>
        <w:numPr>
          <w:ilvl w:val="0"/>
          <w:numId w:val="1019"/>
        </w:numPr>
        <w:spacing w:before="0" w:after="60" w:line="240" w:lineRule="auto"/>
      </w:pPr>
      <w:r>
        <w:rPr>
          <w:rFonts w:ascii="Calibri" w:hAnsi="Calibri"/>
          <w:sz w:val="20"/>
        </w:rPr>
        <w:t xml:space="preserve">The September 25, 2024 Board minutes’ statement that</w:t>
      </w:r>
      <w:r>
        <w:rPr>
          <w:rFonts w:ascii="Calibri" w:hAnsi="Calibri"/>
          <w:sz w:val="20"/>
        </w:rPr>
        <w:t xml:space="preserve"> </w:t>
      </w:r>
      <w:r>
        <w:rPr>
          <w:rFonts w:ascii="Calibri" w:hAnsi="Calibri"/>
          <w:sz w:val="20"/>
        </w:rPr>
        <w:t xml:space="preserve">“</w:t>
      </w:r>
      <w:r>
        <w:rPr>
          <w:rFonts w:ascii="Calibri" w:hAnsi="Calibri"/>
          <w:sz w:val="20"/>
        </w:rPr>
        <w:t xml:space="preserve">all holders of Preferred Stock would receive amounts in excess of their respective liquidation preferences on an as-converted basis</w:t>
      </w:r>
      <w:r>
        <w:rPr>
          <w:rFonts w:ascii="Calibri" w:hAnsi="Calibri"/>
          <w:sz w:val="20"/>
        </w:rPr>
        <w:t xml:space="preserve">”</w:t>
      </w:r>
      <w:r>
        <w:rPr>
          <w:rFonts w:ascii="Calibri" w:hAnsi="Calibri"/>
          <w:sz w:val="20"/>
        </w:rPr>
        <w:t xml:space="preserve"> </w:t>
      </w:r>
      <w:r>
        <w:rPr>
          <w:rFonts w:ascii="Calibri" w:hAnsi="Calibri"/>
          <w:sz w:val="20"/>
        </w:rPr>
        <w:t xml:space="preserve">is</w:t>
      </w:r>
      <w:r>
        <w:rPr>
          <w:rFonts w:ascii="Calibri" w:hAnsi="Calibri"/>
          <w:sz w:val="20"/>
        </w:rPr>
        <w:t xml:space="preserve"> </w:t>
      </w:r>
      <w:r>
        <w:rPr>
          <w:rFonts w:ascii="Calibri" w:hAnsi="Calibri"/>
          <w:b/>
          <w:bCs/>
          <w:sz w:val="20"/>
        </w:rPr>
        <w:t xml:space="preserve">incorrect as to Series C</w:t>
      </w:r>
      <w:r>
        <w:rPr>
          <w:rFonts w:ascii="Calibri" w:hAnsi="Calibri"/>
          <w:sz w:val="20"/>
        </w:rPr>
        <w:t xml:space="preserve"> </w:t>
      </w:r>
      <w:r>
        <w:rPr>
          <w:rFonts w:ascii="Calibri" w:hAnsi="Calibri"/>
          <w:sz w:val="20"/>
        </w:rPr>
        <w:t xml:space="preserve">(Series C receives its preference, not an excess, and would not convert). The minutes’ statement that the implied per-share value</w:t>
      </w:r>
      <w:r>
        <w:rPr>
          <w:rFonts w:ascii="Calibri" w:hAnsi="Calibri"/>
          <w:sz w:val="20"/>
        </w:rPr>
        <w:t xml:space="preserve"> </w:t>
      </w:r>
      <w:r>
        <w:rPr>
          <w:rFonts w:ascii="Calibri" w:hAnsi="Calibri"/>
          <w:sz w:val="20"/>
        </w:rPr>
        <w:t xml:space="preserve">“</w:t>
      </w:r>
      <w:r>
        <w:rPr>
          <w:rFonts w:ascii="Calibri" w:hAnsi="Calibri"/>
          <w:sz w:val="20"/>
        </w:rPr>
        <w:t xml:space="preserve">exceeded the current 409A valuation</w:t>
      </w:r>
      <w:r>
        <w:rPr>
          <w:rFonts w:ascii="Calibri" w:hAnsi="Calibri"/>
          <w:sz w:val="20"/>
        </w:rPr>
        <w:t xml:space="preserve">”</w:t>
      </w:r>
      <w:r>
        <w:rPr>
          <w:rFonts w:ascii="Calibri" w:hAnsi="Calibri"/>
          <w:sz w:val="20"/>
        </w:rPr>
        <w:t xml:space="preserve"> </w:t>
      </w:r>
      <w:r>
        <w:rPr>
          <w:rFonts w:ascii="Calibri" w:hAnsi="Calibri"/>
          <w:sz w:val="20"/>
        </w:rPr>
        <w:t xml:space="preserve">is also inconsistent with the math ($13.95/$12.59 &lt; $14.30). These errors should be corrected and the Board/Special Committee properly advised before definitive-doc approval.</w:t>
      </w:r>
    </w:p>
    <w:p>
      <w:pPr>
        <w:pStyle w:val="FirstParagraph"/>
        <w:keepNext w:val="0"/>
        <w:keepLines w:val="0"/>
        <w:spacing w:before="0" w:after="60" w:line="240" w:lineRule="auto"/>
      </w:pPr>
      <w:r>
        <w:rPr>
          <w:rFonts w:ascii="Calibri" w:hAnsi="Calibri"/>
          <w:i/>
          <w:iCs/>
          <w:sz w:val="20"/>
        </w:rPr>
        <w:t xml:space="preserve">This analysis is preliminary and based on the figures in the Board minutes and the Stockholders’ Agreement capitalization schedule. It should be confirmed against the Company’s current cap table and the final merger consideration allocation, and reconciled with Thornbury &amp; Associates’ valuation work.</w:t>
      </w:r>
    </w:p>
    <w:p>
      <w:pPr>
        <w:keepNext w:val="0"/>
        <w:keepLines w:val="0"/>
        <w:spacing w:before="0" w:after="60" w:line="240" w:lineRule="auto"/>
      </w:pPr>
      <w:r>
        <w:rPr>
          <w:rFonts w:ascii="Calibri" w:hAnsi="Calibri"/>
          <w:sz w:val="20"/>
        </w:rPr>
        <w:pict>
          <v:rect style="width:0;height:1.5pt" o:hralign="center" o:hrstd="t" o:hr="t"/>
        </w:pict>
      </w:r>
    </w:p>
    <w:bookmarkEnd w:id="91"/>
    <w:bookmarkStart w:id="92" w:name="appendix-c-document-inventory-reviewed"/>
    <w:p>
      <w:pPr>
        <w:pStyle w:val="Heading2"/>
        <w:keepNext w:val="0"/>
        <w:keepLines w:val="0"/>
        <w:spacing w:before="140" w:after="40" w:line="240" w:lineRule="auto"/>
      </w:pPr>
      <w:r>
        <w:rPr>
          <w:rFonts w:ascii="Calibri" w:hAnsi="Calibri"/>
          <w:sz w:val="25"/>
        </w:rPr>
        <w:t xml:space="preserve">Appendix C — Document Inventory Reviewed</w:t>
      </w:r>
    </w:p>
    <w:p>
      <w:pPr>
        <w:pStyle w:val="Compact"/>
        <w:keepNext w:val="0"/>
        <w:keepLines w:val="0"/>
        <w:numPr>
          <w:ilvl w:val="0"/>
          <w:numId w:val="1020"/>
        </w:numPr>
        <w:spacing w:before="0" w:after="60" w:line="240" w:lineRule="auto"/>
      </w:pPr>
      <w:r>
        <w:rPr>
          <w:rFonts w:ascii="Calibri" w:hAnsi="Calibri"/>
          <w:sz w:val="20"/>
        </w:rPr>
        <w:t xml:space="preserve">Third Amended and Restated Certificate of Incorporation of Terravox Systems, Inc., dated November 3, 2021 (the</w:t>
      </w:r>
      <w:r>
        <w:rPr>
          <w:rFonts w:ascii="Calibri" w:hAnsi="Calibri"/>
          <w:sz w:val="20"/>
        </w:rPr>
        <w:t xml:space="preserve"> </w:t>
      </w:r>
      <w:r>
        <w:rPr>
          <w:rFonts w:ascii="Calibri" w:hAnsi="Calibri"/>
          <w:sz w:val="20"/>
        </w:rPr>
        <w:t xml:space="preserve">“</w:t>
      </w:r>
      <w:r>
        <w:rPr>
          <w:rFonts w:ascii="Calibri" w:hAnsi="Calibri"/>
          <w:sz w:val="20"/>
        </w:rPr>
        <w:t xml:space="preserve">Restated Certificate</w:t>
      </w:r>
      <w:r>
        <w:rPr>
          <w:rFonts w:ascii="Calibri" w:hAnsi="Calibri"/>
          <w:sz w:val="20"/>
        </w:rPr>
        <w:t xml:space="preserve">”</w:t>
      </w:r>
      <w:r>
        <w:rPr>
          <w:rFonts w:ascii="Calibri" w:hAnsi="Calibri"/>
          <w:sz w:val="20"/>
        </w:rPr>
        <w:t xml:space="preserve">).</w:t>
      </w:r>
    </w:p>
    <w:p>
      <w:pPr>
        <w:pStyle w:val="Compact"/>
        <w:keepNext w:val="0"/>
        <w:keepLines w:val="0"/>
        <w:numPr>
          <w:ilvl w:val="0"/>
          <w:numId w:val="1020"/>
        </w:numPr>
        <w:spacing w:before="0" w:after="60" w:line="240" w:lineRule="auto"/>
      </w:pPr>
      <w:r>
        <w:rPr>
          <w:rFonts w:ascii="Calibri" w:hAnsi="Calibri"/>
          <w:sz w:val="20"/>
        </w:rPr>
        <w:t xml:space="preserve">Amended and Restated Bylaws of Terravox Systems, Inc., last amended November 3, 2021 (the</w:t>
      </w:r>
      <w:r>
        <w:rPr>
          <w:rFonts w:ascii="Calibri" w:hAnsi="Calibri"/>
          <w:sz w:val="20"/>
        </w:rPr>
        <w:t xml:space="preserve"> </w:t>
      </w:r>
      <w:r>
        <w:rPr>
          <w:rFonts w:ascii="Calibri" w:hAnsi="Calibri"/>
          <w:sz w:val="20"/>
        </w:rPr>
        <w:t xml:space="preserve">“</w:t>
      </w:r>
      <w:r>
        <w:rPr>
          <w:rFonts w:ascii="Calibri" w:hAnsi="Calibri"/>
          <w:sz w:val="20"/>
        </w:rPr>
        <w:t xml:space="preserve">Bylaws</w:t>
      </w:r>
      <w:r>
        <w:rPr>
          <w:rFonts w:ascii="Calibri" w:hAnsi="Calibri"/>
          <w:sz w:val="20"/>
        </w:rPr>
        <w:t xml:space="preserve">”</w:t>
      </w:r>
      <w:r>
        <w:rPr>
          <w:rFonts w:ascii="Calibri" w:hAnsi="Calibri"/>
          <w:sz w:val="20"/>
        </w:rPr>
        <w:t xml:space="preserve">).</w:t>
      </w:r>
    </w:p>
    <w:p>
      <w:pPr>
        <w:pStyle w:val="Compact"/>
        <w:keepNext w:val="0"/>
        <w:keepLines w:val="0"/>
        <w:numPr>
          <w:ilvl w:val="0"/>
          <w:numId w:val="1020"/>
        </w:numPr>
        <w:spacing w:before="0" w:after="60" w:line="240" w:lineRule="auto"/>
      </w:pPr>
      <w:r>
        <w:rPr>
          <w:rFonts w:ascii="Calibri" w:hAnsi="Calibri"/>
          <w:sz w:val="20"/>
        </w:rPr>
        <w:t xml:space="preserve">Stockholders’ Agreement, dated November 3, 2021, among the Company, the Founders, and the Investor Stockholders.</w:t>
      </w:r>
    </w:p>
    <w:p>
      <w:pPr>
        <w:pStyle w:val="Compact"/>
        <w:keepNext w:val="0"/>
        <w:keepLines w:val="0"/>
        <w:numPr>
          <w:ilvl w:val="0"/>
          <w:numId w:val="1020"/>
        </w:numPr>
        <w:spacing w:before="0" w:after="60" w:line="240" w:lineRule="auto"/>
      </w:pPr>
      <w:r>
        <w:rPr>
          <w:rFonts w:ascii="Calibri" w:hAnsi="Calibri"/>
          <w:sz w:val="20"/>
        </w:rPr>
        <w:t xml:space="preserve">Voting Agreement, dated November 3, 2021, among the Company, the Founders, and the Investor Stockholders.</w:t>
      </w:r>
    </w:p>
    <w:p>
      <w:pPr>
        <w:pStyle w:val="Compact"/>
        <w:keepNext w:val="0"/>
        <w:keepLines w:val="0"/>
        <w:numPr>
          <w:ilvl w:val="0"/>
          <w:numId w:val="1020"/>
        </w:numPr>
        <w:spacing w:before="0" w:after="60" w:line="240" w:lineRule="auto"/>
      </w:pPr>
      <w:r>
        <w:rPr>
          <w:rFonts w:ascii="Calibri" w:hAnsi="Calibri"/>
          <w:sz w:val="20"/>
        </w:rPr>
        <w:t xml:space="preserve">Registration Rights Agreement, dated November 3, 2021, among the Company and the Investor Stockholders (the</w:t>
      </w:r>
      <w:r>
        <w:rPr>
          <w:rFonts w:ascii="Calibri" w:hAnsi="Calibri"/>
          <w:sz w:val="20"/>
        </w:rPr>
        <w:t xml:space="preserve"> </w:t>
      </w:r>
      <w:r>
        <w:rPr>
          <w:rFonts w:ascii="Calibri" w:hAnsi="Calibri"/>
          <w:sz w:val="20"/>
        </w:rPr>
        <w:t xml:space="preserve">“</w:t>
      </w:r>
      <w:r>
        <w:rPr>
          <w:rFonts w:ascii="Calibri" w:hAnsi="Calibri"/>
          <w:sz w:val="20"/>
        </w:rPr>
        <w:t xml:space="preserve">RRA</w:t>
      </w:r>
      <w:r>
        <w:rPr>
          <w:rFonts w:ascii="Calibri" w:hAnsi="Calibri"/>
          <w:sz w:val="20"/>
        </w:rPr>
        <w:t xml:space="preserve">”</w:t>
      </w:r>
      <w:r>
        <w:rPr>
          <w:rFonts w:ascii="Calibri" w:hAnsi="Calibri"/>
          <w:sz w:val="20"/>
        </w:rPr>
        <w:t xml:space="preserve">).</w:t>
      </w:r>
    </w:p>
    <w:p>
      <w:pPr>
        <w:pStyle w:val="Compact"/>
        <w:keepNext w:val="0"/>
        <w:keepLines w:val="0"/>
        <w:numPr>
          <w:ilvl w:val="0"/>
          <w:numId w:val="1020"/>
        </w:numPr>
        <w:spacing w:before="0" w:after="60" w:line="240" w:lineRule="auto"/>
      </w:pPr>
      <w:r>
        <w:rPr>
          <w:rFonts w:ascii="Calibri" w:hAnsi="Calibri"/>
          <w:sz w:val="20"/>
        </w:rPr>
        <w:t xml:space="preserve">Board minutes, January 18, 2023 through September 25, 2024 (eight meetings).</w:t>
      </w:r>
    </w:p>
    <w:p>
      <w:pPr>
        <w:pStyle w:val="Compact"/>
        <w:keepNext w:val="0"/>
        <w:keepLines w:val="0"/>
        <w:numPr>
          <w:ilvl w:val="0"/>
          <w:numId w:val="1020"/>
        </w:numPr>
        <w:spacing w:before="0" w:after="60" w:line="240" w:lineRule="auto"/>
      </w:pPr>
      <w:r>
        <w:rPr>
          <w:rFonts w:ascii="Calibri" w:hAnsi="Calibri"/>
          <w:sz w:val="20"/>
        </w:rPr>
        <w:t xml:space="preserve">Engagement email from Jonathan Hsieh, dated October 14, 2024 (scope and priority areas).</w:t>
      </w:r>
    </w:p>
    <w:p>
      <w:pPr>
        <w:pStyle w:val="FirstParagraph"/>
        <w:keepNext w:val="0"/>
        <w:keepLines w:val="0"/>
        <w:spacing w:before="0" w:after="60" w:line="240" w:lineRule="auto"/>
      </w:pPr>
      <w:r>
        <w:rPr>
          <w:rFonts w:ascii="Calibri" w:hAnsi="Calibri"/>
          <w:b/>
          <w:bCs/>
          <w:sz w:val="20"/>
        </w:rPr>
        <w:t xml:space="preserve">Documents identified as missing and requested:</w:t>
      </w:r>
      <w:r>
        <w:rPr>
          <w:rFonts w:ascii="Calibri" w:hAnsi="Calibri"/>
          <w:sz w:val="20"/>
        </w:rPr>
        <w:t xml:space="preserve"> </w:t>
      </w:r>
      <w:r>
        <w:rPr>
          <w:rFonts w:ascii="Calibri" w:hAnsi="Calibri"/>
          <w:sz w:val="20"/>
        </w:rPr>
        <w:t xml:space="preserve">2021 Equity Incentive Plan (as amended) and individual award agreements; Preferred Stockholder consent records for the Clearfield term loan; the Clearfield loan agreement and security agreements; the full SensorLink LOI; stockholder consent records for the July 2023 plan amendment; Board observer notice records for April 17, 2024; Special Committee charter and advisor engagement letters; Thornbury fairness opinion; indemnification agreements; D&amp;O insurance policy; current cap table.</w:t>
      </w:r>
    </w:p>
    <w:p>
      <w:pPr>
        <w:keepNext w:val="0"/>
        <w:keepLines w:val="0"/>
        <w:spacing w:before="0" w:after="60" w:line="240" w:lineRule="auto"/>
      </w:pPr>
      <w:r>
        <w:rPr>
          <w:rFonts w:ascii="Calibri" w:hAnsi="Calibri"/>
          <w:sz w:val="20"/>
        </w:rPr>
        <w:pict>
          <v:rect style="width:0;height:1.5pt" o:hralign="center" o:hrstd="t" o:hr="t"/>
        </w:pict>
      </w:r>
    </w:p>
    <w:p>
      <w:pPr>
        <w:pStyle w:val="FirstParagraph"/>
        <w:keepNext w:val="0"/>
        <w:keepLines w:val="0"/>
        <w:spacing w:before="0" w:after="60" w:line="240" w:lineRule="auto"/>
      </w:pPr>
      <w:r>
        <w:rPr>
          <w:rFonts w:ascii="Calibri" w:hAnsi="Calibri"/>
          <w:i/>
          <w:iCs/>
          <w:sz w:val="20"/>
        </w:rPr>
        <w:t xml:space="preserve">Prepared by [Associate], Whitfield &amp; Crane LLP. This memorandum is privileged and confidential attorney work product. Please direct questions to the undersigned; route all document requests and external communications through Jonathan Hsieh.</w:t>
      </w:r>
    </w:p>
    <w:bookmarkEnd w:id="92"/>
    <w:bookmarkEnd w:id="93"/>
    <w:sectPr w:rsidR="00FC693F" w:rsidRPr="0006063C" w:rsidSect="00034616">
      <w:pgSz w:h="15840" w:w="12240"/>
      <w:pgMar w:bottom="1008" w:footer="720" w:gutter="0" w:header="720" w:left="1224" w:right="1224"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20" w:before="0" w:line="252" w:lineRule="auto"/>
    </w:pPr>
    <w:rPr>
      <w:rFonts w:ascii="Calibri" w:hAnsi="Calibri"/>
      <w:b w:val="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80" w:line="240" w:lineRule="auto"/>
      <w:outlineLvl w:val="0"/>
    </w:pPr>
    <w:rPr>
      <w:rFonts w:ascii="Calibri" w:asciiTheme="majorHAnsi" w:cstheme="majorBidi" w:eastAsiaTheme="majorEastAsia" w:hAnsi="Calibri" w:hAnsiTheme="majorHAnsi"/>
      <w:b/>
      <w:bCs/>
      <w:color w:val="1F3864"/>
      <w:sz w:val="28"/>
      <w:szCs w:val="28"/>
    </w:rPr>
  </w:style>
  <w:style w:styleId="Heading2" w:type="paragraph">
    <w:name w:val="heading 2"/>
    <w:basedOn w:val="Normal"/>
    <w:next w:val="Normal"/>
    <w:link w:val="Heading2Char"/>
    <w:uiPriority w:val="9"/>
    <w:unhideWhenUsed/>
    <w:qFormat/>
    <w:rsid w:val="00FC693F"/>
    <w:pPr>
      <w:keepNext/>
      <w:keepLines/>
      <w:spacing w:after="60" w:before="220" w:line="240" w:lineRule="auto"/>
      <w:outlineLvl w:val="1"/>
    </w:pPr>
    <w:rPr>
      <w:rFonts w:ascii="Calibri" w:asciiTheme="majorHAnsi" w:cstheme="majorBidi" w:eastAsiaTheme="majorEastAsia" w:hAnsi="Calibri" w:hAnsiTheme="majorHAnsi"/>
      <w:b/>
      <w:bCs/>
      <w:color w:val="1F3864"/>
      <w:sz w:val="25"/>
      <w:szCs w:val="26"/>
    </w:rPr>
  </w:style>
  <w:style w:styleId="Heading3" w:type="paragraph">
    <w:name w:val="heading 3"/>
    <w:basedOn w:val="Normal"/>
    <w:next w:val="Normal"/>
    <w:link w:val="Heading3Char"/>
    <w:uiPriority w:val="9"/>
    <w:unhideWhenUsed/>
    <w:qFormat/>
    <w:rsid w:val="00FC693F"/>
    <w:pPr>
      <w:keepNext/>
      <w:keepLines/>
      <w:spacing w:after="40" w:before="160" w:line="240" w:lineRule="auto"/>
      <w:outlineLvl w:val="2"/>
    </w:pPr>
    <w:rPr>
      <w:rFonts w:ascii="Calibri" w:asciiTheme="majorHAnsi" w:cstheme="majorBidi" w:eastAsiaTheme="majorEastAsia" w:hAnsi="Calibri" w:hAnsiTheme="majorHAnsi"/>
      <w:b/>
      <w:bCs/>
      <w:color w:val="2E4B7A"/>
      <w:sz w:val="22"/>
    </w:rPr>
  </w:style>
  <w:style w:styleId="Heading4" w:type="paragraph">
    <w:name w:val="heading 4"/>
    <w:basedOn w:val="Normal"/>
    <w:next w:val="Normal"/>
    <w:link w:val="Heading4Char"/>
    <w:uiPriority w:val="9"/>
    <w:semiHidden/>
    <w:unhideWhenUsed/>
    <w:qFormat/>
    <w:rsid w:val="00FC693F"/>
    <w:pPr>
      <w:keepNext/>
      <w:keepLines/>
      <w:spacing w:after="40" w:before="120" w:line="240" w:lineRule="auto"/>
      <w:outlineLvl w:val="3"/>
    </w:pPr>
    <w:rPr>
      <w:rFonts w:ascii="Calibri" w:asciiTheme="majorHAnsi" w:cstheme="majorBidi" w:eastAsiaTheme="majorEastAsia" w:hAnsi="Calibri" w:hAnsiTheme="majorHAnsi"/>
      <w:b/>
      <w:bCs/>
      <w:i/>
      <w:iCs/>
      <w:color w:val="2E4B7A"/>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20" w:before="0" w:line="240" w:lineRule="auto"/>
      <w:contextualSpacing/>
    </w:pPr>
    <w:rPr>
      <w:rFonts w:ascii="Calibri" w:asciiTheme="majorHAnsi" w:cstheme="majorBidi" w:eastAsiaTheme="majorEastAsia" w:hAnsi="Calibri" w:hAnsiTheme="majorHAnsi"/>
      <w:b/>
      <w:color w:val="1F3864"/>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120" w:before="0" w:line="252" w:lineRule="auto"/>
    </w:pPr>
    <w:rPr>
      <w:rFonts w:ascii="Calibri" w:hAnsi="Calibri"/>
      <w:b w:val="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2026-06-28T10:22:58Z</dcterms:created>
  <dcterms:modified xsi:type="dcterms:W3CDTF">2026-06-28T10:22:58Z</dcterms:modified>
</cp:coreProperties>
</file>

<file path=docProps/custom.xml><?xml version="1.0" encoding="utf-8"?>
<Properties xmlns="http://schemas.openxmlformats.org/officeDocument/2006/custom-properties" xmlns:vt="http://schemas.openxmlformats.org/officeDocument/2006/docPropsVTypes"/>
</file>