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9092779eae0ca57705dede95c2ab5939f8b8355"/>
    <w:p>
      <w:pPr>
        <w:pStyle w:val="Heading1"/>
      </w:pPr>
      <w:r>
        <w:t xml:space="preserve">PRIVILEGED &amp; CONFIDENTIAL | ATTORNEY WORK PRODUCT</w:t>
      </w:r>
    </w:p>
    <w:p>
      <w:pPr>
        <w:pStyle w:val="FirstParagraph"/>
      </w:pPr>
      <w:r>
        <w:rPr>
          <w:b/>
          <w:bCs/>
        </w:rPr>
        <w:t xml:space="preserve">WHITFIELD &amp; CRANE LLP</w:t>
      </w:r>
    </w:p>
    <w:p>
      <w:pPr>
        <w:pStyle w:val="BodyText"/>
      </w:pPr>
      <w:r>
        <w:t xml:space="preserve">610 Lexington Avenue, 38th Floor</w:t>
      </w:r>
      <w:r>
        <w:t xml:space="preserve"> </w:t>
      </w:r>
      <w:r>
        <w:t xml:space="preserve">New York, NY 10022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Elena Marchetti; Jonathan Hsieh</w:t>
      </w:r>
      <w:r>
        <w:t xml:space="preserve"> </w:t>
      </w:r>
      <w:r>
        <w:rPr>
          <w:b/>
          <w:bCs/>
        </w:rPr>
        <w:t xml:space="preserve">FROM:</w:t>
      </w:r>
      <w:r>
        <w:t xml:space="preserve"> </w:t>
      </w:r>
      <w:r>
        <w:t xml:space="preserve">[Associate], Whitfield &amp; Crane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Governance Diligence — Proposed Acquisition of Terravox Systems, Inc. by Hargrove Capital Partners III, LP</w:t>
      </w:r>
    </w:p>
    <w:p>
      <w:r>
        <w:pict>
          <v:rect style="width:0;height:1.5pt" o:hralign="center" o:hrstd="t" o:hr="t"/>
        </w:pict>
      </w:r>
    </w:p>
    <w:p>
      <w:pPr>
        <w:pStyle w:val="FirstParagraph"/>
      </w:pPr>
      <w:r>
        <w:rPr>
          <w:i/>
          <w:iCs/>
        </w:rPr>
        <w:t xml:space="preserve">This memorandum constitutes attorney work product prepared in anticipation of litigation and is privileged and confidential. It is prepared for the internal use of Whitfield &amp; Crane LLP and Hargrove Capital Management, LLC in connection with the proposed acquisition of Terravox Systems, Inc. It should not be distributed to, or discussed with, Company representatives or Company counsel (Avery, Pollard &amp; Glenn LLP). All requests for additional documents or clarifications are to be routed through Jonathan Hsieh.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for an enterprise value of $485 million, structured as a reverse triangular merger (the</w:t>
      </w:r>
      <w:r>
        <w:t xml:space="preserve"> </w:t>
      </w:r>
      <w:r>
        <w:t xml:space="preserve">“</w:t>
      </w:r>
      <w:r>
        <w:t xml:space="preserve">Transaction</w:t>
      </w:r>
      <w:r>
        <w:t xml:space="preserve">”</w:t>
      </w:r>
      <w:r>
        <w:t xml:space="preserve">). We reviewed the Company’s Third Amended and Restated Certificate of Incorporation dated November 3, 2021 (the</w:t>
      </w:r>
      <w:r>
        <w:t xml:space="preserve"> </w:t>
      </w:r>
      <w:r>
        <w:t xml:space="preserve">“</w:t>
      </w:r>
      <w:r>
        <w:t xml:space="preserve">Restated Certificate</w:t>
      </w:r>
      <w:r>
        <w:t xml:space="preserve">”</w:t>
      </w:r>
      <w:r>
        <w:t xml:space="preserve"> </w:t>
      </w:r>
      <w:r>
        <w:t xml:space="preserve">or</w:t>
      </w:r>
      <w:r>
        <w:t xml:space="preserve"> </w:t>
      </w:r>
      <w:r>
        <w:t xml:space="preserve">“</w:t>
      </w:r>
      <w:r>
        <w:t xml:space="preserve">Charter</w:t>
      </w:r>
      <w:r>
        <w:t xml:space="preserve">”</w:t>
      </w:r>
      <w:r>
        <w:t xml:space="preserve">), the Amended and Restated Bylaws (the</w:t>
      </w:r>
      <w:r>
        <w:t xml:space="preserve"> </w:t>
      </w:r>
      <w:r>
        <w:t xml:space="preserve">“</w:t>
      </w:r>
      <w:r>
        <w:t xml:space="preserve">Bylaws</w:t>
      </w:r>
      <w:r>
        <w:t xml:space="preserve">”</w:t>
      </w:r>
      <w:r>
        <w:t xml:space="preserve">), the Stockholders’ Agreement dated November 3, 2021 (the</w:t>
      </w:r>
      <w:r>
        <w:t xml:space="preserve"> </w:t>
      </w:r>
      <w:r>
        <w:t xml:space="preserve">“</w:t>
      </w:r>
      <w:r>
        <w:t xml:space="preserve">SHA</w:t>
      </w:r>
      <w:r>
        <w:t xml:space="preserve">”</w:t>
      </w:r>
      <w:r>
        <w:t xml:space="preserve">), the Voting Agreement dated November 3, 2021 (the</w:t>
      </w:r>
      <w:r>
        <w:t xml:space="preserve"> </w:t>
      </w:r>
      <w:r>
        <w:t xml:space="preserve">“</w:t>
      </w:r>
      <w:r>
        <w:t xml:space="preserve">Voting Agreement</w:t>
      </w:r>
      <w:r>
        <w:t xml:space="preserve">”</w:t>
      </w:r>
      <w:r>
        <w:t xml:space="preserve">), the Registration Rights Agreement dated November 3, 2021 (the</w:t>
      </w:r>
      <w:r>
        <w:t xml:space="preserve"> </w:t>
      </w:r>
      <w:r>
        <w:t xml:space="preserve">“</w:t>
      </w:r>
      <w:r>
        <w:t xml:space="preserve">RRA</w:t>
      </w:r>
      <w:r>
        <w:t xml:space="preserve">”</w:t>
      </w:r>
      <w:r>
        <w:t xml:space="preserve">), and the minutes of eight Board meetings spanning January 2023 through September 2024 (the</w:t>
      </w:r>
      <w:r>
        <w:t xml:space="preserve"> </w:t>
      </w:r>
      <w:r>
        <w:t xml:space="preserve">“</w:t>
      </w:r>
      <w:r>
        <w:t xml:space="preserve">Board Minutes</w:t>
      </w:r>
      <w:r>
        <w:t xml:space="preserve">”</w:t>
      </w:r>
      <w:r>
        <w:t xml:space="preserve">).</w:t>
      </w:r>
    </w:p>
    <w:p>
      <w:pPr>
        <w:pStyle w:val="BodyText"/>
      </w:pPr>
      <w:r>
        <w:rPr>
          <w:b/>
          <w:bCs/>
        </w:rPr>
        <w:t xml:space="preserve">The central finding of this diligence is that Stonemill Capital Partners Fund VI, LP (</w:t>
      </w:r>
      <w:r>
        <w:rPr>
          <w:b/>
          <w:bCs/>
        </w:rPr>
        <w:t xml:space="preserve">“</w:t>
      </w:r>
      <w:r>
        <w:rPr>
          <w:b/>
          <w:bCs/>
        </w:rPr>
        <w:t xml:space="preserve">Stonemill</w:t>
      </w:r>
      <w:r>
        <w:rPr>
          <w:b/>
          <w:bCs/>
        </w:rPr>
        <w:t xml:space="preserve">”</w:t>
      </w:r>
      <w:r>
        <w:rPr>
          <w:b/>
          <w:bCs/>
        </w:rPr>
        <w:t xml:space="preserve">) holds a hard, charter-level blocking right over the Transaction that, as a matter of corporate law, cannot be satisfied without Stonemill’s affirmative consent.</w:t>
      </w:r>
      <w:r>
        <w:t xml:space="preserve"> </w:t>
      </w:r>
      <w:r>
        <w:t xml:space="preserve">Stonemill holds 100% of the outstanding Series C Preferred Stock (7,800,000 shares). The Charter’s Series C separate-class protective provision (Section 4.3.6(b)(i)) requires the affirmative vote or written consent of holders of at least 66⅔% of the Series C Preferred Stock—i.e., at least 5,200,000 shares—to</w:t>
      </w:r>
      <w:r>
        <w:t xml:space="preserve"> </w:t>
      </w:r>
      <w:r>
        <w:t xml:space="preserve">“</w:t>
      </w:r>
      <w:r>
        <w:t xml:space="preserve">effect any Liquidation Event.</w:t>
      </w:r>
      <w:r>
        <w:t xml:space="preserve">”</w:t>
      </w:r>
      <w:r>
        <w:t xml:space="preserve"> </w:t>
      </w:r>
      <w:r>
        <w:t xml:space="preserve">Because the reverse triangular merger is a</w:t>
      </w:r>
      <w:r>
        <w:t xml:space="preserve"> </w:t>
      </w:r>
      <w:r>
        <w:t xml:space="preserve">“</w:t>
      </w:r>
      <w:r>
        <w:t xml:space="preserve">Liquidation Event</w:t>
      </w:r>
      <w:r>
        <w:t xml:space="preserve">”</w:t>
      </w:r>
      <w:r>
        <w:t xml:space="preserve"> </w:t>
      </w:r>
      <w:r>
        <w:t xml:space="preserve">under Section 4.3.2(d)(i), and because Stonemill is the sole Series C holder, the Series C separate-class consent cannot be obtained without Stonemill. Julian Trask, Stonemill’s board designee, confirmed this on the record at the September 25, 2024 Board meeting.</w:t>
      </w:r>
    </w:p>
    <w:p>
      <w:pPr>
        <w:pStyle w:val="BodyText"/>
      </w:pPr>
      <w:r>
        <w:t xml:space="preserve">The only theoretical alternative to obtaining Stonemill’s actual consent is to invoke the drag-along provision in the SHA (Article 3) to compel Stonemill to vote its Series C in favor of the Transaction.</w:t>
      </w:r>
      <w:r>
        <w:t xml:space="preserve"> </w:t>
      </w:r>
      <w:r>
        <w:rPr>
          <w:b/>
          <w:bCs/>
        </w:rPr>
        <w:t xml:space="preserve">Whether a stockholder-agreement drag-along can override a charter-level separate-class protective provision is a contested question under Delaware law, and we do not recommend relying on it as the primary path to closing.</w:t>
      </w:r>
      <w:r>
        <w:t xml:space="preserve"> </w:t>
      </w:r>
      <w:r>
        <w:t xml:space="preserve">Even setting aside the override question, the drag-along’s first trigger prong (a majority of the Common Stock on an as-converted basis) may not be satisfied without the cooperation of holders in the Company’s option/common pool, depending on how</w:t>
      </w:r>
      <w:r>
        <w:t xml:space="preserve"> </w:t>
      </w:r>
      <w:r>
        <w:t xml:space="preserve">“</w:t>
      </w:r>
      <w:r>
        <w:t xml:space="preserve">as-converted</w:t>
      </w:r>
      <w:r>
        <w:t xml:space="preserve">”</w:t>
      </w:r>
      <w:r>
        <w:t xml:space="preserve"> </w:t>
      </w:r>
      <w:r>
        <w:t xml:space="preserve">is interpreted. The drag-along’s second and third prongs (a majority of the Preferred, and at least two of the three Investor Stockholders) can be satisfied by Ridgeline Ventures Fund II, LP (</w:t>
      </w:r>
      <w:r>
        <w:t xml:space="preserve">“</w:t>
      </w:r>
      <w:r>
        <w:t xml:space="preserve">Ridgeline</w:t>
      </w:r>
      <w:r>
        <w:t xml:space="preserve">”</w:t>
      </w:r>
      <w:r>
        <w:t xml:space="preserve">) and Northbridge Growth Equity Fund IV, LP (</w:t>
      </w:r>
      <w:r>
        <w:t xml:space="preserve">“</w:t>
      </w:r>
      <w:r>
        <w:t xml:space="preserve">Northbridge</w:t>
      </w:r>
      <w:r>
        <w:t xml:space="preserve">”</w:t>
      </w:r>
      <w:r>
        <w:t xml:space="preserve">) without Stonemill.</w:t>
      </w:r>
    </w:p>
    <w:p>
      <w:pPr>
        <w:pStyle w:val="BodyText"/>
      </w:pPr>
      <w:r>
        <w:rPr>
          <w:b/>
          <w:bCs/>
        </w:rPr>
        <w:t xml:space="preserve">The economic context sharpens the concern.</w:t>
      </w:r>
      <w:r>
        <w:t xml:space="preserve"> </w:t>
      </w:r>
      <w:r>
        <w:t xml:space="preserve">At the $485 million enterprise value (approximately $473 million equity value), the Series C liquidation preference of $18.50 per share exceeds the as-converted value of approximately $12.59 per share. Stonemill therefore receives its preference—approximately $144.3 million, or roughly a 1.0x return on its invested capital—while the earlier Preferred series and the Common holders receive meaningful gains (Series A approximately 3.15x; Series B approximately 1.36x; Common approximately $12.59 per share). Stonemill’s economic upside is effectively capped at $18.50 per share unless the enterprise value exceeds approximately $639 million. This economic profile explains why Stonemill has both the incentive and the leverage to seek a higher price or side concessions, and it should inform our negotiating posture.</w:t>
      </w:r>
    </w:p>
    <w:p>
      <w:pPr>
        <w:pStyle w:val="BodyText"/>
      </w:pPr>
      <w:r>
        <w:rPr>
          <w:b/>
          <w:bCs/>
        </w:rPr>
        <w:t xml:space="preserve">A second, time-sensitive issue requires immediate attention.</w:t>
      </w:r>
      <w:r>
        <w:t xml:space="preserve"> </w:t>
      </w:r>
      <w:r>
        <w:t xml:space="preserve">The Board Minutes reveal that the Company executed a letter of intent with SensorLink Technologies, Inc. (</w:t>
      </w:r>
      <w:r>
        <w:t xml:space="preserve">“</w:t>
      </w:r>
      <w:r>
        <w:t xml:space="preserve">SensorLink</w:t>
      </w:r>
      <w:r>
        <w:t xml:space="preserve">”</w:t>
      </w:r>
      <w:r>
        <w:t xml:space="preserve">) on March 8, 2024, containing a mutual exclusivity provision with an automatic-renewal feature. The initial exclusivity period expired on September 8, 2024, but the exclusivity automatically extends for successive 90-day periods unless either party delivers a written termination notice at least 15 days before expiration. The CEO acknowledged at the September 25, 2024 meeting that he was uncertain whether a formal termination notice was sent before September 8, 2024.</w:t>
      </w:r>
      <w:r>
        <w:t xml:space="preserve"> </w:t>
      </w:r>
      <w:r>
        <w:rPr>
          <w:b/>
          <w:bCs/>
        </w:rPr>
        <w:t xml:space="preserve">If no notice was sent, the Company may currently be subject to a live exclusivity obligation to SensorLink that could conflict with the Company’s ability to enter into a definitive agreement with Hargrove.</w:t>
      </w:r>
      <w:r>
        <w:t xml:space="preserve"> </w:t>
      </w:r>
      <w:r>
        <w:t xml:space="preserve">This must be confirmed and resolved immediately.</w:t>
      </w:r>
    </w:p>
    <w:p>
      <w:pPr>
        <w:pStyle w:val="BodyText"/>
      </w:pPr>
      <w:r>
        <w:rPr>
          <w:b/>
          <w:bCs/>
        </w:rPr>
        <w:t xml:space="preserve">Additional significant findings include:</w:t>
      </w:r>
      <w:r>
        <w:t xml:space="preserve"> </w:t>
      </w:r>
      <w:r>
        <w:t xml:space="preserve">(i) the $12 million Clearfield National Bank term loan approved in October 2023 appears to have exceeded the Charter’s $5 million indebtedness protective provision, and the Board Minutes do not reflect that the required Preferred Stockholder consent was obtained—creating a potential protective-provision violation that Stonemill may invoke; (ii) the Special Committee formed to oversee the sale process includes Sandra Okafor, Northbridge’s board designee, who is not disinterested or independent, creating a potential</w:t>
      </w:r>
      <w:r>
        <w:t xml:space="preserve"> </w:t>
      </w:r>
      <w:r>
        <w:rPr>
          <w:i/>
          <w:iCs/>
        </w:rPr>
        <w:t xml:space="preserve">Revlon</w:t>
      </w:r>
      <w:r>
        <w:t xml:space="preserve"> </w:t>
      </w:r>
      <w:r>
        <w:t xml:space="preserve">/ fiduciary-duty vulnerability; (iii) the RRA terminates on a</w:t>
      </w:r>
      <w:r>
        <w:t xml:space="preserve"> </w:t>
      </w:r>
      <w:r>
        <w:t xml:space="preserve">“</w:t>
      </w:r>
      <w:r>
        <w:t xml:space="preserve">Deemed Liquidation Event,</w:t>
      </w:r>
      <w:r>
        <w:t xml:space="preserve">”</w:t>
      </w:r>
      <w:r>
        <w:t xml:space="preserve"> </w:t>
      </w:r>
      <w:r>
        <w:t xml:space="preserve">a term that is used but not defined in the RRA, creating a definitional gap that could leave registration rights technically surviving the Transaction; and (iv) we have not yet received the 2021 Equity Incentive Plan, individual award agreements, stockholder consent records, or the SensorLink LOI, each of which is necessary to complete the diligence.</w:t>
      </w:r>
    </w:p>
    <w:p>
      <w:pPr>
        <w:pStyle w:val="BodyText"/>
      </w:pPr>
      <w:r>
        <w:t xml:space="preserve">A consolidated consent/approval matrix appears in Appendix A. A severity classification of all identified issues appears in Appendix B. A document request list appears in Appendix C.</w:t>
      </w:r>
    </w:p>
    <w:p>
      <w:r>
        <w:pict>
          <v:rect style="width:0;height:1.5pt" o:hralign="center" o:hrstd="t" o:hr="t"/>
        </w:pict>
      </w:r>
    </w:p>
    <w:bookmarkEnd w:id="20"/>
    <w:bookmarkStart w:id="29" w:name="X70060542a2c94f7d8ba38a2a584b9d83fb3ddb7"/>
    <w:p>
      <w:pPr>
        <w:pStyle w:val="Heading2"/>
      </w:pPr>
      <w:r>
        <w:t xml:space="preserve">II. Area 1 — Change-of-Control Consent Requirements</w:t>
      </w:r>
    </w:p>
    <w:p>
      <w:pPr>
        <w:pStyle w:val="FirstParagraph"/>
      </w:pPr>
      <w:r>
        <w:t xml:space="preserve">To consummate the reverse triangular merger, the following consents and approvals must be obtained. We have mapped each requirement to its source provision and assessed whether it can be satisfied without Stonemill’s participation.</w:t>
      </w:r>
    </w:p>
    <w:bookmarkStart w:id="21" w:name="a.-statutory-requirements-dgcl-251"/>
    <w:p>
      <w:pPr>
        <w:pStyle w:val="Heading3"/>
      </w:pPr>
      <w:r>
        <w:t xml:space="preserve">A. Statutory Requirements (DGCL § 251)</w:t>
      </w:r>
    </w:p>
    <w:p>
      <w:pPr>
        <w:pStyle w:val="FirstParagraph"/>
      </w:pPr>
      <w:r>
        <w:t xml:space="preserve">Under Section 251 of the Delaware General Corporation Law (the</w:t>
      </w:r>
      <w:r>
        <w:t xml:space="preserve"> </w:t>
      </w:r>
      <w:r>
        <w:t xml:space="preserve">“</w:t>
      </w:r>
      <w:r>
        <w:t xml:space="preserve">DGCL</w:t>
      </w:r>
      <w:r>
        <w:t xml:space="preserve">”</w:t>
      </w:r>
      <w:r>
        <w:t xml:space="preserve">), a statutory merger requires (i) the approval of the board of directors of each constituent corporation (DGCL § 251(b)) and (ii) the approval of the holders of a majority of the outstanding stock of each constituent corporation entitled to vote on the merger (DGCL § 251(c)), unless no stockholder vote is required under § 251(f).</w:t>
      </w:r>
    </w:p>
    <w:p>
      <w:pPr>
        <w:pStyle w:val="Compact"/>
        <w:numPr>
          <w:ilvl w:val="0"/>
          <w:numId w:val="1001"/>
        </w:numPr>
      </w:pPr>
      <w:r>
        <w:rPr>
          <w:b/>
          <w:bCs/>
        </w:rPr>
        <w:t xml:space="preserve">Terravox Board approval (DGCL § 251(b)).</w:t>
      </w:r>
      <w:r>
        <w:t xml:space="preserve"> </w:t>
      </w:r>
      <w:r>
        <w:t xml:space="preserve">The Terravox Board must adopt the merger agreement. The Board Minutes reflect that the Board authorized management to</w:t>
      </w:r>
      <w:r>
        <w:t xml:space="preserve"> </w:t>
      </w:r>
      <w:r>
        <w:rPr>
          <w:i/>
          <w:iCs/>
        </w:rPr>
        <w:t xml:space="preserve">negotiate</w:t>
      </w:r>
      <w:r>
        <w:t xml:space="preserve"> </w:t>
      </w:r>
      <w:r>
        <w:t xml:space="preserve">definitive documentation at the September 25, 2024 meeting (approved 6-1, with Mr. Trask dissenting), but the Board has not yet</w:t>
      </w:r>
      <w:r>
        <w:t xml:space="preserve"> </w:t>
      </w:r>
      <w:r>
        <w:rPr>
          <w:i/>
          <w:iCs/>
        </w:rPr>
        <w:t xml:space="preserve">adopted</w:t>
      </w:r>
      <w:r>
        <w:t xml:space="preserve"> </w:t>
      </w:r>
      <w:r>
        <w:t xml:space="preserve">a definitive merger agreement.</w:t>
      </w:r>
      <w:r>
        <w:t xml:space="preserve"> </w:t>
      </w:r>
      <w:r>
        <w:rPr>
          <w:b/>
          <w:bCs/>
        </w:rPr>
        <w:t xml:space="preserve">Status: Not yet obtained; will be required at signing.</w:t>
      </w:r>
    </w:p>
    <w:p>
      <w:pPr>
        <w:pStyle w:val="Compact"/>
        <w:numPr>
          <w:ilvl w:val="0"/>
          <w:numId w:val="1001"/>
        </w:numPr>
      </w:pPr>
      <w:r>
        <w:rPr>
          <w:b/>
          <w:bCs/>
        </w:rPr>
        <w:t xml:space="preserve">Terravox stockholder approval (DGCL § 251(c)).</w:t>
      </w:r>
      <w:r>
        <w:t xml:space="preserve"> </w:t>
      </w:r>
      <w:r>
        <w:t xml:space="preserve">A majority of the outstanding shares of Terravox capital stock entitled to vote must approve the merger. Under the Charter (Sections 4.2.1 and 4.3.5), the Common Stock and the Preferred Stock vote together as a single class on an as-converted basis on all matters, except where the protective provisions require a separate class vote. The Bylaws (Section 2.6) and the Charter (Section 6.2) permit stockholder action by written consent in lieu of a meeting, which the Company may use to obtain this approval efficiently.</w:t>
      </w:r>
      <w:r>
        <w:t xml:space="preserve"> </w:t>
      </w:r>
      <w:r>
        <w:rPr>
          <w:b/>
          <w:bCs/>
        </w:rPr>
        <w:t xml:space="preserve">Status: Not yet obtained.</w:t>
      </w:r>
      <w:r>
        <w:t xml:space="preserve"> </w:t>
      </w:r>
      <w:r>
        <w:t xml:space="preserve">The precise denominator (whether unexercised options and RSUs are</w:t>
      </w:r>
      <w:r>
        <w:t xml:space="preserve"> </w:t>
      </w:r>
      <w:r>
        <w:t xml:space="preserve">“</w:t>
      </w:r>
      <w:r>
        <w:t xml:space="preserve">outstanding stock entitled to vote</w:t>
      </w:r>
      <w:r>
        <w:t xml:space="preserve">”</w:t>
      </w:r>
      <w:r>
        <w:t xml:space="preserve">) is a function of the Company’s capitalization records, which we have requested.</w:t>
      </w:r>
    </w:p>
    <w:p>
      <w:pPr>
        <w:pStyle w:val="Compact"/>
        <w:numPr>
          <w:ilvl w:val="0"/>
          <w:numId w:val="1001"/>
        </w:numPr>
      </w:pPr>
      <w:r>
        <w:rPr>
          <w:b/>
          <w:bCs/>
        </w:rPr>
        <w:t xml:space="preserve">Hargrove / Merger Sub approvals.</w:t>
      </w:r>
      <w:r>
        <w:t xml:space="preserve"> </w:t>
      </w:r>
      <w:r>
        <w:t xml:space="preserve">Hargrove will form a wholly-owned acquisition subsidiary (</w:t>
      </w:r>
      <w:r>
        <w:t xml:space="preserve">“</w:t>
      </w:r>
      <w:r>
        <w:t xml:space="preserve">Merger Sub</w:t>
      </w:r>
      <w:r>
        <w:t xml:space="preserve">”</w:t>
      </w:r>
      <w:r>
        <w:t xml:space="preserve">) that will merge with and into Terravox. Merger Sub’s board and sole stockholder (Hargrove) approvals are matters for Hargrove. If the Transaction is all-cash and Hargrove does not issue equity securities in the merger, Hargrove’s own stockholder approval is generally not required under DGCL § 251(f); this is subject to Hargrove’s organizational documents and is outside the scope of this governance diligence.</w:t>
      </w:r>
    </w:p>
    <w:bookmarkEnd w:id="21"/>
    <w:bookmarkStart w:id="22" w:name="Xac974c2f6fc8c556043a7f6eecaebfdce68abe0"/>
    <w:p>
      <w:pPr>
        <w:pStyle w:val="Heading3"/>
      </w:pPr>
      <w:r>
        <w:t xml:space="preserve">B. Charter Protective Provisions (Restated Certificate, Article IV)</w:t>
      </w:r>
    </w:p>
    <w:p>
      <w:pPr>
        <w:pStyle w:val="FirstParagraph"/>
      </w:pPr>
      <w:r>
        <w:t xml:space="preserve">The Charter contains two layers of protective provisions that apply to a Liquidation Event, both of which are triggered by the Transaction.</w:t>
      </w:r>
    </w:p>
    <w:p>
      <w:pPr>
        <w:numPr>
          <w:ilvl w:val="0"/>
          <w:numId w:val="1002"/>
        </w:numPr>
      </w:pPr>
      <w:r>
        <w:rPr>
          <w:b/>
          <w:bCs/>
        </w:rPr>
        <w:t xml:space="preserve">All-Preferred protective provision (Section 4.3.6(a)(vi)).</w:t>
      </w:r>
      <w:r>
        <w:t xml:space="preserve"> </w:t>
      </w:r>
      <w:r>
        <w:t xml:space="preserve">So long as any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 a majority (greater than 50%) of the then-outstanding Preferred Stock, voting together as a single class on an as-converted basis. The Charter specifies that this threshold requires the affirmative vote or consent of holders of more than</w:t>
      </w:r>
      <w:r>
        <w:t xml:space="preserve"> </w:t>
      </w:r>
      <w:r>
        <w:rPr>
          <w:b/>
          <w:bCs/>
        </w:rPr>
        <w:t xml:space="preserve">8,250,000 shares</w:t>
      </w:r>
      <w:r>
        <w:t xml:space="preserve"> </w:t>
      </w:r>
      <w:r>
        <w:t xml:space="preserve">of Preferred Stock (based on 16,500,000 shares of Preferred currently outstanding). The reverse triangular merger is a</w:t>
      </w:r>
      <w:r>
        <w:t xml:space="preserve"> </w:t>
      </w:r>
      <w:r>
        <w:t xml:space="preserve">“</w:t>
      </w:r>
      <w:r>
        <w:t xml:space="preserve">Liquidation Event</w:t>
      </w:r>
      <w:r>
        <w:t xml:space="preserve">”</w:t>
      </w:r>
      <w:r>
        <w:t xml:space="preserve"> </w:t>
      </w:r>
      <w:r>
        <w:t xml:space="preserve">under Section 4.3.2(d)(i) (a merger in which the Company’s pre-transaction stockholders do not retain at least 50% of the voting power of the surviving or resulting entity).</w:t>
      </w:r>
      <w:r>
        <w:t xml:space="preserve"> </w:t>
      </w:r>
      <w:r>
        <w:rPr>
          <w:b/>
          <w:bCs/>
        </w:rPr>
        <w:t xml:space="preserve">This threshold CAN be satisfied without Stonemill</w:t>
      </w:r>
      <w:r>
        <w:t xml:space="preserve">: Ridgeline (3,500,000 shares of Series A) and Northbridge (5,200,000 shares of Series B) together hold 8,700,000 shares of Preferred on an as-converted basis, which exceeds 8,250,000.</w:t>
      </w:r>
      <w:r>
        <w:t xml:space="preserve"> </w:t>
      </w:r>
      <w:r>
        <w:rPr>
          <w:b/>
          <w:bCs/>
        </w:rPr>
        <w:t xml:space="preserve">Status: Not yet obtained; achievable without Stonemill.</w:t>
      </w:r>
    </w:p>
    <w:p>
      <w:pPr>
        <w:numPr>
          <w:ilvl w:val="0"/>
          <w:numId w:val="1002"/>
        </w:numPr>
      </w:pPr>
      <w:r>
        <w:rPr>
          <w:b/>
          <w:bCs/>
        </w:rPr>
        <w:t xml:space="preserve">Series C separate-class protective provision (Section 4.3.6(b)(i)).</w:t>
      </w:r>
      <w:r>
        <w:t xml:space="preserve"> </w:t>
      </w:r>
      <w:r>
        <w:t xml:space="preserve">So long as any Series C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w:t>
      </w:r>
      <w:r>
        <w:t xml:space="preserve"> </w:t>
      </w:r>
      <w:r>
        <w:rPr>
          <w:b/>
          <w:bCs/>
        </w:rPr>
        <w:t xml:space="preserve">66⅔% of the then-outstanding Series C Preferred Stock, voting as a separate class.</w:t>
      </w:r>
      <w:r>
        <w:t xml:space="preserve"> </w:t>
      </w:r>
      <w:r>
        <w:t xml:space="preserve">The Charter specifies that this requires the affirmative vote or consent of holders of at least</w:t>
      </w:r>
      <w:r>
        <w:t xml:space="preserve"> </w:t>
      </w:r>
      <w:r>
        <w:rPr>
          <w:b/>
          <w:bCs/>
        </w:rPr>
        <w:t xml:space="preserve">5,200,000 shares</w:t>
      </w:r>
      <w:r>
        <w:t xml:space="preserve"> </w:t>
      </w:r>
      <w:r>
        <w:t xml:space="preserve">of Series C (based on 7,800,000 shares of Series C currently outstanding). Section 4.3.6(b) expressly provides that this consent is</w:t>
      </w:r>
      <w:r>
        <w:t xml:space="preserve"> </w:t>
      </w:r>
      <w:r>
        <w:t xml:space="preserve">“</w:t>
      </w:r>
      <w:r>
        <w:t xml:space="preserve">separate from and in addition to</w:t>
      </w:r>
      <w:r>
        <w:t xml:space="preserve">”</w:t>
      </w:r>
      <w:r>
        <w:t xml:space="preserve"> </w:t>
      </w:r>
      <w:r>
        <w:t xml:space="preserve">the all-Preferred consent.</w:t>
      </w:r>
      <w:r>
        <w:t xml:space="preserve"> </w:t>
      </w:r>
      <w:r>
        <w:rPr>
          <w:b/>
          <w:bCs/>
        </w:rPr>
        <w:t xml:space="preserve">This threshold CANNOT be satisfied without Stonemill.</w:t>
      </w:r>
      <w:r>
        <w:t xml:space="preserve"> </w:t>
      </w:r>
      <w:r>
        <w:t xml:space="preserve">Stonemill holds 100% of the outstanding Series C Preferred Stock (7,800,000 shares). There are no other Series C holders. Mr. Trask confirmed this on the record at the September 25, 2024 Board meeting, stating that</w:t>
      </w:r>
      <w:r>
        <w:t xml:space="preserve"> </w:t>
      </w:r>
      <w:r>
        <w:t xml:space="preserve">“</w:t>
      </w:r>
      <w:r>
        <w:t xml:space="preserve">the Series C separate class vote … cannot be satisfied without Stonemill’s affirmative consent.</w:t>
      </w:r>
      <w:r>
        <w:t xml:space="preserve">”</w:t>
      </w:r>
      <w:r>
        <w:t xml:space="preserve"> </w:t>
      </w:r>
      <w:r>
        <w:rPr>
          <w:b/>
          <w:bCs/>
        </w:rPr>
        <w:t xml:space="preserve">Status: Not yet obtained; requires Stonemill’s affirmative consent. This is a hard blocking right.</w:t>
      </w:r>
    </w:p>
    <w:bookmarkEnd w:id="22"/>
    <w:bookmarkStart w:id="23" w:name="X1803827b1a5db7db50f54c80aa1bf37162f8e67"/>
    <w:p>
      <w:pPr>
        <w:pStyle w:val="Heading3"/>
      </w:pPr>
      <w:r>
        <w:t xml:space="preserve">C. Stockholders’ Agreement — Drag-Along (Article 3)</w:t>
      </w:r>
    </w:p>
    <w:p>
      <w:pPr>
        <w:pStyle w:val="FirstParagraph"/>
      </w:pPr>
      <w:r>
        <w:t xml:space="preserve">The SHA contains drag-along rights that, if the three-prong trigger is satisfied, would obligate all stockholder parties (including Stonemill) to vote in favor of a Sale of the Company. The reverse triangular merger is a</w:t>
      </w:r>
      <w:r>
        <w:t xml:space="preserve"> </w:t>
      </w:r>
      <w:r>
        <w:t xml:space="preserve">“</w:t>
      </w:r>
      <w:r>
        <w:t xml:space="preserve">Sale of the Company</w:t>
      </w:r>
      <w:r>
        <w:t xml:space="preserve">”</w:t>
      </w:r>
      <w:r>
        <w:t xml:space="preserve"> </w:t>
      </w:r>
      <w:r>
        <w:t xml:space="preserve">under the SHA’s definition (Section 1.1(a)) because the Company’s pre-transaction stockholders will not retain a majority of the voting power of the surviving entity. The drag-along is analyzed in detail in Area 2 below. In summary, the drag-along’s second and third prongs can be satisfied without Stonemill, but the first prong is uncertain, and—critically—the ability of the drag-along to override the Charter’s Series C separate-class protective provision is a contested question of Delaware law.</w:t>
      </w:r>
    </w:p>
    <w:bookmarkEnd w:id="23"/>
    <w:bookmarkStart w:id="24" w:name="d.-voting-agreement"/>
    <w:p>
      <w:pPr>
        <w:pStyle w:val="Heading3"/>
      </w:pPr>
      <w:r>
        <w:t xml:space="preserve">D. Voting Agreement</w:t>
      </w:r>
    </w:p>
    <w:p>
      <w:pPr>
        <w:pStyle w:val="FirstParagraph"/>
      </w:pPr>
      <w:r>
        <w:t xml:space="preserve">The Voting Agreement (Section 3.2) expressly provides that it does</w:t>
      </w:r>
      <w:r>
        <w:t xml:space="preserve"> </w:t>
      </w:r>
      <w:r>
        <w:rPr>
          <w:b/>
          <w:bCs/>
        </w:rPr>
        <w:t xml:space="preserve">not</w:t>
      </w:r>
      <w:r>
        <w:t xml:space="preserve"> </w:t>
      </w:r>
      <w:r>
        <w:t xml:space="preserve">create any obligation on any party to vote in favor of (or against) any merger, sale of assets, or other corporate transaction. The Voting Agreement’s voting obligations are limited to matters of Board composition (Section 3.1). Accordingly, the Voting Agreement imposes no separate consent requirement for the Transaction, but it does terminate upon a</w:t>
      </w:r>
      <w:r>
        <w:t xml:space="preserve"> </w:t>
      </w:r>
      <w:r>
        <w:t xml:space="preserve">“</w:t>
      </w:r>
      <w:r>
        <w:t xml:space="preserve">Sale of the Company</w:t>
      </w:r>
      <w:r>
        <w:t xml:space="preserve">”</w:t>
      </w:r>
      <w:r>
        <w:t xml:space="preserve"> </w:t>
      </w:r>
      <w:r>
        <w:t xml:space="preserve">(Section 7.1(b)), which has post-closing implications addressed in Area 5.</w:t>
      </w:r>
    </w:p>
    <w:bookmarkEnd w:id="24"/>
    <w:bookmarkStart w:id="25" w:name="e.-registration-rights-agreement"/>
    <w:p>
      <w:pPr>
        <w:pStyle w:val="Heading3"/>
      </w:pPr>
      <w:r>
        <w:t xml:space="preserve">E. Registration Rights Agreement</w:t>
      </w:r>
    </w:p>
    <w:p>
      <w:pPr>
        <w:pStyle w:val="FirstParagraph"/>
      </w:pPr>
      <w:r>
        <w:t xml:space="preserve">The RRA does not impose a consent or approval requirement for the Transaction. It does, however, contain termination provisions that are implicated by the Transaction, addressed in Area 10.</w:t>
      </w:r>
    </w:p>
    <w:bookmarkEnd w:id="25"/>
    <w:bookmarkStart w:id="26" w:name="Xa99831b245472eee24ff08d2edb10fe6400382a"/>
    <w:p>
      <w:pPr>
        <w:pStyle w:val="Heading3"/>
      </w:pPr>
      <w:r>
        <w:t xml:space="preserve">F. Procedural Notice Requirement (Charter Section 4.3.2(d))</w:t>
      </w:r>
    </w:p>
    <w:p>
      <w:pPr>
        <w:pStyle w:val="FirstParagraph"/>
      </w:pPr>
      <w:r>
        <w:t xml:space="preserve">The Charter requires the Company to provide each Preferred holder with written notice of any proposed Liquidation Event not less than</w:t>
      </w:r>
      <w:r>
        <w:t xml:space="preserve"> </w:t>
      </w:r>
      <w:r>
        <w:rPr>
          <w:b/>
          <w:bCs/>
        </w:rPr>
        <w:t xml:space="preserve">20 days</w:t>
      </w:r>
      <w:r>
        <w:t xml:space="preserve"> </w:t>
      </w:r>
      <w:r>
        <w:t xml:space="preserve">prior to the anticipated closing date, setting forth the material terms, the anticipated closing date, and a good-faith estimate of the per-share amounts distributable to each series of Preferred and to the Common Stock. This notice is a procedural prerequisite to closing and should be calendared as a closing deliverable.</w:t>
      </w:r>
      <w:r>
        <w:t xml:space="preserve"> </w:t>
      </w:r>
      <w:r>
        <w:rPr>
          <w:b/>
          <w:bCs/>
        </w:rPr>
        <w:t xml:space="preserve">Status: Not yet given.</w:t>
      </w:r>
    </w:p>
    <w:bookmarkEnd w:id="26"/>
    <w:bookmarkStart w:id="27" w:name="g.-potential-charter-amendment"/>
    <w:p>
      <w:pPr>
        <w:pStyle w:val="Heading3"/>
      </w:pPr>
      <w:r>
        <w:t xml:space="preserve">G. Potential Charter Amendment</w:t>
      </w:r>
    </w:p>
    <w:p>
      <w:pPr>
        <w:pStyle w:val="FirstParagraph"/>
      </w:pPr>
      <w:r>
        <w:t xml:space="preserve">A reverse triangular merger in which Terravox survives as a wholly-owned subsidiary typically effects an amendment to Terravox’s Certificate of Incorporation as of the effective time (to reflect the wholly-owned status or to conform to the Buyer’s requirements). Such an amendment would independently trigger the Charter’s protective provisions—Section 4.3.6(a)(i) (amendment adversely affecting the Preferred) and Section 4.3.6(b)(ii) (amendment adversely and disproportionately affecting the Series C). The merger agreement should be structured so that the stockholder vote approving the merger expressly covers any charter amendment effected at the effective time, and the protective-protection consents should be drafted to cover both the merger and the concomitant charter amendment. Because the Series C separate-class consent is required for the Liquidation Event in any event, the charter amendment does not add a new blocking party, but it should be expressly addressed.</w:t>
      </w:r>
    </w:p>
    <w:bookmarkEnd w:id="27"/>
    <w:bookmarkStart w:id="28" w:name="h.-summary"/>
    <w:p>
      <w:pPr>
        <w:pStyle w:val="Heading3"/>
      </w:pPr>
      <w:r>
        <w:t xml:space="preserve">H. Summary</w:t>
      </w:r>
    </w:p>
    <w:p>
      <w:pPr>
        <w:pStyle w:val="FirstParagraph"/>
      </w:pPr>
      <w:r>
        <w:t xml:space="preserve">The Transaction requires, at minimum: (1) Terravox Board approval; (2) a majority of outstanding Terravox voting stock (DGCL § 251(c)); (3) the all-Preferred consent (&gt;8,250,000 shares, achievable without Stonemill); (4) the Series C separate-class consent (66⅔% of Series C,</w:t>
      </w:r>
      <w:r>
        <w:t xml:space="preserve"> </w:t>
      </w:r>
      <w:r>
        <w:rPr>
          <w:b/>
          <w:bCs/>
        </w:rPr>
        <w:t xml:space="preserve">not achievable without Stonemill</w:t>
      </w:r>
      <w:r>
        <w:t xml:space="preserve">); and (5) the 20-day Liquidation Event notice. The drag-along is a potential additional mechanism but does not eliminate the Series C blocking right with certainty. The consent matrix in Appendix A summarizes each item, the threshold, the parties whose consent is required, and the current status.</w:t>
      </w:r>
    </w:p>
    <w:p>
      <w:r>
        <w:pict>
          <v:rect style="width:0;height:1.5pt" o:hralign="center" o:hrstd="t" o:hr="t"/>
        </w:pict>
      </w:r>
    </w:p>
    <w:bookmarkEnd w:id="28"/>
    <w:bookmarkEnd w:id="29"/>
    <w:bookmarkStart w:id="35" w:name="iii.-area-2-drag-along-analysis"/>
    <w:p>
      <w:pPr>
        <w:pStyle w:val="Heading2"/>
      </w:pPr>
      <w:r>
        <w:t xml:space="preserve">III. Area 2 — Drag-Along Analysis</w:t>
      </w:r>
    </w:p>
    <w:bookmarkStart w:id="30" w:name="X5ba7f2e4ecdbc1addf5bf966e756b7dd9f7e576"/>
    <w:p>
      <w:pPr>
        <w:pStyle w:val="Heading3"/>
      </w:pPr>
      <w:r>
        <w:t xml:space="preserve">A. The Three-Pronged Trigger (SHA Section 3.1(a))</w:t>
      </w:r>
    </w:p>
    <w:p>
      <w:pPr>
        <w:pStyle w:val="FirstParagraph"/>
      </w:pPr>
      <w:r>
        <w:t xml:space="preserve">The SHA’s drag-along is triggered only upon the satisfaction of</w:t>
      </w:r>
      <w:r>
        <w:t xml:space="preserve"> </w:t>
      </w:r>
      <w:r>
        <w:rPr>
          <w:b/>
          <w:bCs/>
        </w:rPr>
        <w:t xml:space="preserve">all three</w:t>
      </w:r>
      <w:r>
        <w:t xml:space="preserve"> </w:t>
      </w:r>
      <w:r>
        <w:t xml:space="preserve">of the following conditions (collectively,</w:t>
      </w:r>
      <w:r>
        <w:t xml:space="preserve"> </w:t>
      </w:r>
      <w:r>
        <w:t xml:space="preserve">“</w:t>
      </w:r>
      <w:r>
        <w:t xml:space="preserve">Drag-Along Approval</w:t>
      </w:r>
      <w:r>
        <w:t xml:space="preserve">”</w:t>
      </w:r>
      <w:r>
        <w:t xml:space="preserve">):</w:t>
      </w:r>
    </w:p>
    <w:p>
      <w:pPr>
        <w:pStyle w:val="Compact"/>
        <w:numPr>
          <w:ilvl w:val="0"/>
          <w:numId w:val="1003"/>
        </w:numPr>
      </w:pPr>
      <w:r>
        <w:rPr>
          <w:b/>
          <w:bCs/>
        </w:rPr>
        <w:t xml:space="preserve">Prong (i):</w:t>
      </w:r>
      <w:r>
        <w:t xml:space="preserve"> </w:t>
      </w:r>
      <w:r>
        <w:t xml:space="preserve">Holders of at least a majority of the outstanding shares of Common Stock, calculated on an as-converted-to-Common-Stock basis (treating each share of Preferred as converted), approve the Sale of the Company;</w:t>
      </w:r>
    </w:p>
    <w:p>
      <w:pPr>
        <w:pStyle w:val="Compact"/>
        <w:numPr>
          <w:ilvl w:val="0"/>
          <w:numId w:val="1003"/>
        </w:numPr>
      </w:pPr>
      <w:r>
        <w:rPr>
          <w:b/>
          <w:bCs/>
        </w:rPr>
        <w:t xml:space="preserve">Prong (ii):</w:t>
      </w:r>
      <w:r>
        <w:t xml:space="preserve"> </w:t>
      </w:r>
      <w:r>
        <w:t xml:space="preserve">Holders of at least a majority of the outstanding shares of Preferred Stock, calculated on an as-converted basis and voting together as a single class, approve the Sale of the Company; and</w:t>
      </w:r>
    </w:p>
    <w:p>
      <w:pPr>
        <w:pStyle w:val="Compact"/>
        <w:numPr>
          <w:ilvl w:val="0"/>
          <w:numId w:val="1003"/>
        </w:numPr>
      </w:pPr>
      <w:r>
        <w:rPr>
          <w:b/>
          <w:bCs/>
        </w:rPr>
        <w:t xml:space="preserve">Prong (iii):</w:t>
      </w:r>
      <w:r>
        <w:t xml:space="preserve"> </w:t>
      </w:r>
      <w:r>
        <w:t xml:space="preserve">At least two (2) of the three (3) Investor Stockholders approve the Sale of the Company.</w:t>
      </w:r>
    </w:p>
    <w:p>
      <w:pPr>
        <w:pStyle w:val="FirstParagraph"/>
      </w:pPr>
      <w:r>
        <w:t xml:space="preserve">Section 3.1(b) confirms that all three conditions must be satisfied; the satisfaction of fewer than all three does not constitute Drag-Along Approval.</w:t>
      </w:r>
    </w:p>
    <w:bookmarkEnd w:id="30"/>
    <w:bookmarkStart w:id="31" w:name="Xaf9d6ea6c9a77d44ac521a9de399de568cdb5c3"/>
    <w:p>
      <w:pPr>
        <w:pStyle w:val="Heading3"/>
      </w:pPr>
      <w:r>
        <w:t xml:space="preserve">B. Can the Drag-Along Be Triggered Without Stonemill?</w:t>
      </w:r>
    </w:p>
    <w:p>
      <w:pPr>
        <w:pStyle w:val="FirstParagraph"/>
      </w:pPr>
      <w:r>
        <w:t xml:space="preserve">Applying the Company’s capitalization (33,900,000 shares fully diluted; 16,500,000 shares of Preferred on an as-converted basis):</w:t>
      </w:r>
    </w:p>
    <w:p>
      <w:pPr>
        <w:numPr>
          <w:ilvl w:val="0"/>
          <w:numId w:val="1004"/>
        </w:numPr>
      </w:pPr>
      <w:r>
        <w:rPr>
          <w:b/>
          <w:bCs/>
        </w:rPr>
        <w:t xml:space="preserve">Prong (ii) — Majority of Preferred (as-converted, single class).</w:t>
      </w:r>
      <w:r>
        <w:t xml:space="preserve"> </w:t>
      </w:r>
      <w:r>
        <w:t xml:space="preserve">The threshold is more than 8,250,000 shares of Preferred (as-converted). Without Stonemill, Ridgeline (3,500,000) and Northbridge (5,200,000) together hold 8,700,000 shares, which exceeds 8,250,000.</w:t>
      </w:r>
      <w:r>
        <w:t xml:space="preserve"> </w:t>
      </w:r>
      <w:r>
        <w:rPr>
          <w:b/>
          <w:bCs/>
        </w:rPr>
        <w:t xml:space="preserve">Prong (ii) is satisfied without Stonemill.</w:t>
      </w:r>
    </w:p>
    <w:p>
      <w:pPr>
        <w:numPr>
          <w:ilvl w:val="0"/>
          <w:numId w:val="1004"/>
        </w:numPr>
      </w:pPr>
      <w:r>
        <w:rPr>
          <w:b/>
          <w:bCs/>
        </w:rPr>
        <w:t xml:space="preserve">Prong (iii) — Two of three Investor Stockholders.</w:t>
      </w:r>
      <w:r>
        <w:t xml:space="preserve"> </w:t>
      </w:r>
      <w:r>
        <w:t xml:space="preserve">Without Stonemill, Ridgeline and Northbridge constitute two of the three Investor Stockholders.</w:t>
      </w:r>
      <w:r>
        <w:t xml:space="preserve"> </w:t>
      </w:r>
      <w:r>
        <w:rPr>
          <w:b/>
          <w:bCs/>
        </w:rPr>
        <w:t xml:space="preserve">Prong (iii) is satisfied without Stonemill.</w:t>
      </w:r>
    </w:p>
    <w:p>
      <w:pPr>
        <w:numPr>
          <w:ilvl w:val="0"/>
          <w:numId w:val="1004"/>
        </w:numPr>
      </w:pPr>
      <w:r>
        <w:rPr>
          <w:b/>
          <w:bCs/>
        </w:rPr>
        <w:t xml:space="preserve">Prong (i) — Majority of Common (as-converted).</w:t>
      </w:r>
      <w:r>
        <w:t xml:space="preserve"> </w:t>
      </w:r>
      <w:r>
        <w:t xml:space="preserve">This is the binding constraint, and its analysis turns on the meaning of</w:t>
      </w:r>
      <w:r>
        <w:t xml:space="preserve"> </w:t>
      </w:r>
      <w:r>
        <w:t xml:space="preserve">“</w:t>
      </w:r>
      <w:r>
        <w:t xml:space="preserve">as-converted to Common Stock basis.</w:t>
      </w:r>
      <w:r>
        <w:t xml:space="preserve">”</w:t>
      </w:r>
      <w:r>
        <w:t xml:space="preserve"> </w:t>
      </w:r>
      <w:r>
        <w:t xml:space="preserve">The SHA defines this phrase as treating</w:t>
      </w:r>
      <w:r>
        <w:t xml:space="preserve"> </w:t>
      </w:r>
      <w:r>
        <w:t xml:space="preserve">“</w:t>
      </w:r>
      <w:r>
        <w:t xml:space="preserve">each share of Preferred Stock as having been converted into the number of shares of Common Stock into which it is then convertible.</w:t>
      </w:r>
      <w:r>
        <w:t xml:space="preserve">”</w:t>
      </w:r>
      <w:r>
        <w:t xml:space="preserve"> </w:t>
      </w:r>
      <w:r>
        <w:t xml:space="preserve">The text addresses the conversion of Preferred Stock; it does not expressly address unexercised options or RSUs. Two interpretations are reasonably possible:</w:t>
      </w:r>
    </w:p>
    <w:p>
      <w:pPr>
        <w:numPr>
          <w:ilvl w:val="1"/>
          <w:numId w:val="1005"/>
        </w:numPr>
      </w:pPr>
      <w:r>
        <w:rPr>
          <w:i/>
          <w:iCs/>
        </w:rPr>
        <w:t xml:space="preserve">Interpretation A (textual/narrow):</w:t>
      </w:r>
      <w:r>
        <w:t xml:space="preserve"> </w:t>
      </w:r>
      <w:r>
        <w:t xml:space="preserve">The denominator is outstanding shares of Common Stock plus Preferred Stock on an as-converted basis,</w:t>
      </w:r>
      <w:r>
        <w:t xml:space="preserve"> </w:t>
      </w:r>
      <w:r>
        <w:rPr>
          <w:b/>
          <w:bCs/>
        </w:rPr>
        <w:t xml:space="preserve">excluding</w:t>
      </w:r>
      <w:r>
        <w:t xml:space="preserve"> </w:t>
      </w:r>
      <w:r>
        <w:t xml:space="preserve">unexercised options and RSUs (which are neither</w:t>
      </w:r>
      <w:r>
        <w:t xml:space="preserve"> </w:t>
      </w:r>
      <w:r>
        <w:t xml:space="preserve">“</w:t>
      </w:r>
      <w:r>
        <w:t xml:space="preserve">outstanding shares of Common Stock</w:t>
      </w:r>
      <w:r>
        <w:t xml:space="preserve">”</w:t>
      </w:r>
      <w:r>
        <w:t xml:space="preserve"> </w:t>
      </w:r>
      <w:r>
        <w:t xml:space="preserve">nor</w:t>
      </w:r>
      <w:r>
        <w:t xml:space="preserve"> </w:t>
      </w:r>
      <w:r>
        <w:t xml:space="preserve">“</w:t>
      </w:r>
      <w:r>
        <w:t xml:space="preserve">Preferred Stock</w:t>
      </w:r>
      <w:r>
        <w:t xml:space="preserve">”</w:t>
      </w:r>
      <w:r>
        <w:t xml:space="preserve">). Under this interpretation, the denominator is approximately the Founders’ Common (7,300,000) plus other outstanding Common (excluding options) plus the Preferred as-converted (16,500,000). The majority threshold is correspondingly lower, and the Founders (7,300,000) plus Ridgeline (3,500,000) plus Northbridge (5,200,000) = 16,000,000 shares would likely exceed it,</w:t>
      </w:r>
      <w:r>
        <w:t xml:space="preserve"> </w:t>
      </w:r>
      <w:r>
        <w:rPr>
          <w:b/>
          <w:bCs/>
        </w:rPr>
        <w:t xml:space="preserve">provided</w:t>
      </w:r>
      <w:r>
        <w:t xml:space="preserve"> </w:t>
      </w:r>
      <w:r>
        <w:t xml:space="preserve">that the amount of</w:t>
      </w:r>
      <w:r>
        <w:t xml:space="preserve"> </w:t>
      </w:r>
      <w:r>
        <w:t xml:space="preserve">“</w:t>
      </w:r>
      <w:r>
        <w:t xml:space="preserve">other outstanding Common</w:t>
      </w:r>
      <w:r>
        <w:t xml:space="preserve">”</w:t>
      </w:r>
      <w:r>
        <w:t xml:space="preserve"> </w:t>
      </w:r>
      <w:r>
        <w:t xml:space="preserve">(excluding options) is less than approximately 8,200,000 shares. Given that the 10,100,000-share</w:t>
      </w:r>
      <w:r>
        <w:t xml:space="preserve"> </w:t>
      </w:r>
      <w:r>
        <w:t xml:space="preserve">“</w:t>
      </w:r>
      <w:r>
        <w:t xml:space="preserve">Various Common Holders / Option Pool</w:t>
      </w:r>
      <w:r>
        <w:t xml:space="preserve">”</w:t>
      </w:r>
      <w:r>
        <w:t xml:space="preserve"> </w:t>
      </w:r>
      <w:r>
        <w:t xml:space="preserve">(per SHA Exhibit B) is composed substantially of unexercised options and RSUs granted to employees, this condition is likely satisfied.</w:t>
      </w:r>
      <w:r>
        <w:t xml:space="preserve"> </w:t>
      </w:r>
      <w:r>
        <w:rPr>
          <w:b/>
          <w:bCs/>
        </w:rPr>
        <w:t xml:space="preserve">Under Interpretation A, Prong (i) is likely satisfied without Stonemill</w:t>
      </w:r>
      <w:r>
        <w:t xml:space="preserve">, subject to confirming the common-versus-option split.</w:t>
      </w:r>
    </w:p>
    <w:p>
      <w:pPr>
        <w:numPr>
          <w:ilvl w:val="1"/>
          <w:numId w:val="1005"/>
        </w:numPr>
      </w:pPr>
      <w:r>
        <w:rPr>
          <w:i/>
          <w:iCs/>
        </w:rPr>
        <w:t xml:space="preserve">Interpretation B (fully diluted):</w:t>
      </w:r>
      <w:r>
        <w:t xml:space="preserve"> </w:t>
      </w:r>
      <w:r>
        <w:t xml:space="preserve">The denominator is the fully diluted share count (33,900,000), including all unexercised options and RSUs. The majority threshold is more than 16,950,000 shares. Without Stonemill, the Founders plus Ridgeline plus Northbridge hold 16,000,000 shares—</w:t>
      </w:r>
      <w:r>
        <w:rPr>
          <w:b/>
          <w:bCs/>
        </w:rPr>
        <w:t xml:space="preserve">short by approximately 950,000 shares.</w:t>
      </w:r>
      <w:r>
        <w:t xml:space="preserve"> </w:t>
      </w:r>
      <w:r>
        <w:t xml:space="preserve">Under Interpretation B, Prong (i) cannot be satisfied without either Stonemill or the cooperation of holders of at least approximately 950,000 shares in the option/common pool.</w:t>
      </w:r>
    </w:p>
    <w:p>
      <w:pPr>
        <w:numPr>
          <w:ilvl w:val="0"/>
          <w:numId w:val="1000"/>
        </w:numPr>
      </w:pPr>
      <w:r>
        <w:rPr>
          <w:b/>
          <w:bCs/>
        </w:rPr>
        <w:t xml:space="preserve">The interpretation of Prong (i) is a material ambiguity that must be resolved.</w:t>
      </w:r>
      <w:r>
        <w:t xml:space="preserve"> </w:t>
      </w:r>
      <w:r>
        <w:t xml:space="preserve">We have requested the Company’s capitalization records and the 2021 Equity Incentive Plan to determine (a) the outstanding-versus-option split within the 10,100,000-share pool and (b) whether the option/RSU holders are parties to the SHA (only</w:t>
      </w:r>
      <w:r>
        <w:t xml:space="preserve"> </w:t>
      </w:r>
      <w:r>
        <w:t xml:space="preserve">“</w:t>
      </w:r>
      <w:r>
        <w:t xml:space="preserve">Restricted Stockholders</w:t>
      </w:r>
      <w:r>
        <w:t xml:space="preserve">”</w:t>
      </w:r>
      <w:r>
        <w:t xml:space="preserve"> </w:t>
      </w:r>
      <w:r>
        <w:t xml:space="preserve">are bound by the drag-along, although the trigger threshold is measured by holdings, not by party status). Under either interpretation, Prong (i) is the sole obstacle to triggering the drag-along without Stonemill, and under the more textually faithful Interpretation A it is likely satisfied.</w:t>
      </w:r>
    </w:p>
    <w:bookmarkEnd w:id="31"/>
    <w:bookmarkStart w:id="32" w:name="X3999a0236af861f512bdb196dd30d4a4b12e864"/>
    <w:p>
      <w:pPr>
        <w:pStyle w:val="Heading3"/>
      </w:pPr>
      <w:r>
        <w:t xml:space="preserve">C. Can the Drag-Along Override the Charter’s Series C Protective Provision?</w:t>
      </w:r>
    </w:p>
    <w:p>
      <w:pPr>
        <w:pStyle w:val="FirstParagraph"/>
      </w:pPr>
      <w:r>
        <w:t xml:space="preserve">This is the central legal question. Even if Drag-Along Approval is obtained, the question is whether the drag-along can be used to compel Stonemill to cast the Series C vote that the Charter’s Section 4.3.6(b)(i) requires—thereby satisfying the Series C separate-class consent over Stonemill’s objection.</w:t>
      </w:r>
    </w:p>
    <w:p>
      <w:pPr>
        <w:pStyle w:val="BodyText"/>
      </w:pPr>
      <w:r>
        <w:rPr>
          <w:b/>
          <w:bCs/>
        </w:rPr>
        <w:t xml:space="preserve">The mechanics.</w:t>
      </w:r>
      <w:r>
        <w:t xml:space="preserve"> </w:t>
      </w:r>
      <w:r>
        <w:t xml:space="preserve">The drag-along (Section 3.1(a)) obligates each</w:t>
      </w:r>
      <w:r>
        <w:t xml:space="preserve"> </w:t>
      </w:r>
      <w:r>
        <w:t xml:space="preserve">“</w:t>
      </w:r>
      <w:r>
        <w:t xml:space="preserve">Restricted Stockholder</w:t>
      </w:r>
      <w:r>
        <w:t xml:space="preserve">”</w:t>
      </w:r>
      <w:r>
        <w:t xml:space="preserve">—defined to include all stockholder parties to the SHA, including Stonemill—to vote all of its Shares in favor of a Sale of the Company for which Drag-Along Approval is obtained, to refrain from exercising appraisal rights, and to take all actions necessary to consummate the sale. Section 3.3 grants the holders constituting the Drag-Along Approval an</w:t>
      </w:r>
      <w:r>
        <w:t xml:space="preserve"> </w:t>
      </w:r>
      <w:r>
        <w:rPr>
          <w:b/>
          <w:bCs/>
        </w:rPr>
        <w:t xml:space="preserve">irrevocable proxy</w:t>
      </w:r>
      <w:r>
        <w:t xml:space="preserve">, coupled with an interest, to vote each Restricted Stockholder’s Shares in favor of the sale. If the irrevocable proxy is exercised to vote Stonemill’s 7,800,000 shares of Series C in favor of the merger, then 100% of the Series C would vote in favor—facially exceeding the 66⅔% threshold of Section 4.3.6(b)(i).</w:t>
      </w:r>
    </w:p>
    <w:p>
      <w:pPr>
        <w:pStyle w:val="BodyText"/>
      </w:pPr>
      <w:r>
        <w:rPr>
          <w:b/>
          <w:bCs/>
        </w:rPr>
        <w:t xml:space="preserve">Arguments that the drag-along can override the protective provision.</w:t>
      </w:r>
      <w:r>
        <w:t xml:space="preserve"> </w:t>
      </w:r>
      <w:r>
        <w:t xml:space="preserve">(i) DGCL § 218(c) expressly authorizes voting agreements and provides that they are specifically enforceable, including through irrevocable proxies coupled with an interest. (ii) The Charter’s protective provision is satisfied by an</w:t>
      </w:r>
      <w:r>
        <w:t xml:space="preserve"> </w:t>
      </w:r>
      <w:r>
        <w:t xml:space="preserve">“</w:t>
      </w:r>
      <w:r>
        <w:t xml:space="preserve">affirmative vote</w:t>
      </w:r>
      <w:r>
        <w:t xml:space="preserve">”</w:t>
      </w:r>
      <w:r>
        <w:t xml:space="preserve"> </w:t>
      </w:r>
      <w:r>
        <w:t xml:space="preserve">of the Series C, and a vote cast pursuant to a valid irrevocable proxy is, formally, an affirmative vote of the Series C holder. (iii) Stonemill is a party to the SHA and agreed to the drag-along with knowledge of the Charter’s protective provisions; the SHA was entered into contemporaneously with the Charter, and the Company is a party to the SHA. (iv) Delaware courts have generally enforced drag-along provisions, including against holders with special voting rights, in appropriate circumstances.</w:t>
      </w:r>
    </w:p>
    <w:p>
      <w:pPr>
        <w:pStyle w:val="BodyText"/>
      </w:pPr>
      <w:r>
        <w:rPr>
          <w:b/>
          <w:bCs/>
        </w:rPr>
        <w:t xml:space="preserve">Arguments that the drag-along cannot override the protective provision.</w:t>
      </w:r>
      <w:r>
        <w:t xml:space="preserve"> </w:t>
      </w:r>
      <w:r>
        <w:t xml:space="preserve">(i) The Series C separate-class protective provision was specifically negotiated to give the Series C holders a veto over change-of-control transactions; permitting a majority-driven drag-along to override that veto would eviscerate the protection, contrary to the evident intent. (ii) The Charter is the supreme corporate document; a stockholder agreement is a contract among stockholders and cannot alter the Charter’s voting requirements without complying with the Charter’s amendment procedures (which themselves require 66⅔% Series C consent under Section 4.3.6(b)(ii)). The SHA did not amend the Charter. (iii) The protective provision constrains the</w:t>
      </w:r>
      <w:r>
        <w:t xml:space="preserve"> </w:t>
      </w:r>
      <w:r>
        <w:rPr>
          <w:b/>
          <w:bCs/>
        </w:rPr>
        <w:t xml:space="preserve">Company</w:t>
      </w:r>
      <w:r>
        <w:t xml:space="preserve">: the Company</w:t>
      </w:r>
      <w:r>
        <w:t xml:space="preserve"> </w:t>
      </w:r>
      <w:r>
        <w:t xml:space="preserve">“</w:t>
      </w:r>
      <w:r>
        <w:t xml:space="preserve">shall not … effect any Liquidation Event</w:t>
      </w:r>
      <w:r>
        <w:t xml:space="preserve">”</w:t>
      </w:r>
      <w:r>
        <w:t xml:space="preserve"> </w:t>
      </w:r>
      <w:r>
        <w:t xml:space="preserve">without the requisite Series C consent. The drag-along binds the stockholder, but if the stockholder challenges the drag-along as conflicting with its Charter rights, a court may decline to order specific performance that would accomplish what the Charter forbids. (iv) The SHA does</w:t>
      </w:r>
      <w:r>
        <w:t xml:space="preserve"> </w:t>
      </w:r>
      <w:r>
        <w:rPr>
          <w:b/>
          <w:bCs/>
        </w:rPr>
        <w:t xml:space="preserve">not</w:t>
      </w:r>
      <w:r>
        <w:t xml:space="preserve"> </w:t>
      </w:r>
      <w:r>
        <w:t xml:space="preserve">contain</w:t>
      </w:r>
      <w:r>
        <w:t xml:space="preserve"> </w:t>
      </w:r>
      <w:r>
        <w:t xml:space="preserve">“</w:t>
      </w:r>
      <w:r>
        <w:t xml:space="preserve">notwithstanding the protective provisions</w:t>
      </w:r>
      <w:r>
        <w:t xml:space="preserve">”</w:t>
      </w:r>
      <w:r>
        <w:t xml:space="preserve"> </w:t>
      </w:r>
      <w:r>
        <w:t xml:space="preserve">or similar language indicating that the drag-along was intended to override the Charter’s separate-class veto. In the absence of such express language, courts are reluctant to find an override. (v) There is a strong policy concern: protective provisions exist to protect minority and preferred holders; allowing a drag-along to override a separate-class veto would undermine that protection and could be viewed as a circumvention of the Charter.</w:t>
      </w:r>
    </w:p>
    <w:p>
      <w:pPr>
        <w:pStyle w:val="BodyText"/>
      </w:pPr>
      <w:r>
        <w:rPr>
          <w:b/>
          <w:bCs/>
        </w:rPr>
        <w:t xml:space="preserve">Assessment.</w:t>
      </w:r>
      <w:r>
        <w:t xml:space="preserve"> </w:t>
      </w:r>
      <w:r>
        <w:t xml:space="preserve">This is a genuinely contested question on which Delaware authority is not dispositive in our favor. The outcome of any litigation would likely turn on the specific language of the drag-along and the protective provision, the equities (including the fairness of the price and the treatment of all holders), and whether the protected class is being adequately compensated. The absence of express</w:t>
      </w:r>
      <w:r>
        <w:t xml:space="preserve"> </w:t>
      </w:r>
      <w:r>
        <w:t xml:space="preserve">“</w:t>
      </w:r>
      <w:r>
        <w:t xml:space="preserve">notwithstanding</w:t>
      </w:r>
      <w:r>
        <w:t xml:space="preserve">”</w:t>
      </w:r>
      <w:r>
        <w:t xml:space="preserve"> </w:t>
      </w:r>
      <w:r>
        <w:t xml:space="preserve">language in the SHA is a significant weakness.</w:t>
      </w:r>
      <w:r>
        <w:t xml:space="preserve"> </w:t>
      </w:r>
      <w:r>
        <w:rPr>
          <w:b/>
          <w:bCs/>
        </w:rPr>
        <w:t xml:space="preserve">We do not recommend relying on the drag-along to override the Series C blocking right as the primary path to closing.</w:t>
      </w:r>
      <w:r>
        <w:t xml:space="preserve"> </w:t>
      </w:r>
      <w:r>
        <w:t xml:space="preserve">If Hargrove wishes to pursue this route, it should do so only with a clear-eyed assessment that (a) it will likely require litigation in the Delaware Court of Chancery (the exclusive forum under Bylaws Section 8.1), (b) the outcome is uncertain, and (c) it will delay closing and may trigger reverse-termination-fee or financing-risk provisions in the merger agreement.</w:t>
      </w:r>
    </w:p>
    <w:bookmarkEnd w:id="32"/>
    <w:bookmarkStart w:id="33" w:name="X89cf52259111283a995d680adcde1dc1000267a"/>
    <w:p>
      <w:pPr>
        <w:pStyle w:val="Heading3"/>
      </w:pPr>
      <w:r>
        <w:t xml:space="preserve">D. Drag-Along Terms and Their Effect on Deal Structuring (SHA Section 3.2)</w:t>
      </w:r>
    </w:p>
    <w:p>
      <w:pPr>
        <w:pStyle w:val="FirstParagraph"/>
      </w:pPr>
      <w:r>
        <w:t xml:space="preserve">Two features of the drag-along’s terms are relevant to deal structuring:</w:t>
      </w:r>
    </w:p>
    <w:p>
      <w:pPr>
        <w:numPr>
          <w:ilvl w:val="0"/>
          <w:numId w:val="1006"/>
        </w:numPr>
      </w:pPr>
      <w:r>
        <w:rPr>
          <w:b/>
          <w:bCs/>
        </w:rPr>
        <w:t xml:space="preserve">Equal consideration (Section 3.2(a)).</w:t>
      </w:r>
      <w:r>
        <w:t xml:space="preserve"> </w:t>
      </w:r>
      <w:r>
        <w:t xml:space="preserve">Each Restricted Stockholder must receive</w:t>
      </w:r>
      <w:r>
        <w:t xml:space="preserve"> </w:t>
      </w:r>
      <w:r>
        <w:t xml:space="preserve">“</w:t>
      </w:r>
      <w:r>
        <w:t xml:space="preserve">the same form and amount of consideration per share (on an as-converted basis) as every other Restricted Stockholder,</w:t>
      </w:r>
      <w:r>
        <w:t xml:space="preserve">”</w:t>
      </w:r>
      <w:r>
        <w:t xml:space="preserve"> </w:t>
      </w:r>
      <w:r>
        <w:t xml:space="preserve">subject to the application of the liquidation waterfall in the Charter (consideration is distributed as if the Sale of the Company were a Liquidation Event). This means the drag-along</w:t>
      </w:r>
      <w:r>
        <w:t xml:space="preserve"> </w:t>
      </w:r>
      <w:r>
        <w:rPr>
          <w:b/>
          <w:bCs/>
        </w:rPr>
        <w:t xml:space="preserve">prohibits paying Stonemill a different per-share consideration</w:t>
      </w:r>
      <w:r>
        <w:t xml:space="preserve"> </w:t>
      </w:r>
      <w:r>
        <w:t xml:space="preserve">than other holders, except as the Charter waterfall naturally allocates (i.e., the Series C preference). Any attempt to</w:t>
      </w:r>
      <w:r>
        <w:t xml:space="preserve"> </w:t>
      </w:r>
      <w:r>
        <w:t xml:space="preserve">“</w:t>
      </w:r>
      <w:r>
        <w:t xml:space="preserve">buy off</w:t>
      </w:r>
      <w:r>
        <w:t xml:space="preserve">”</w:t>
      </w:r>
      <w:r>
        <w:t xml:space="preserve"> </w:t>
      </w:r>
      <w:r>
        <w:t xml:space="preserve">Stonemill with a side payment or enhanced allocation would conflict with Section 3.2(a) and, independently, raise fiduciary-duty concerns (addressed in Area 9). This constrains Hargrove’s ability to resolve Stonemill’s opposition through a targeted economic concession.</w:t>
      </w:r>
    </w:p>
    <w:p>
      <w:pPr>
        <w:numPr>
          <w:ilvl w:val="0"/>
          <w:numId w:val="1006"/>
        </w:numPr>
      </w:pPr>
      <w:r>
        <w:rPr>
          <w:b/>
          <w:bCs/>
        </w:rPr>
        <w:t xml:space="preserve">Limited representations and indemnity (Section 3.2(c)–(d)).</w:t>
      </w:r>
      <w:r>
        <w:t xml:space="preserve"> </w:t>
      </w:r>
      <w:r>
        <w:t xml:space="preserve">Dragged stockholders provide only customary title, authority, and enforceability representations, with several (not joint) indemnity capped at the consideration received. No stockholder can be required to enter into a non-compete or non-solicit, or to provide indemnity in excess of its consideration. These terms should be reflected in the merger agreement’s stockholder representation and indemnity provisions.</w:t>
      </w:r>
    </w:p>
    <w:bookmarkEnd w:id="33"/>
    <w:bookmarkStart w:id="34" w:name="e.-conclusion-on-the-drag-along"/>
    <w:p>
      <w:pPr>
        <w:pStyle w:val="Heading3"/>
      </w:pPr>
      <w:r>
        <w:t xml:space="preserve">E. Conclusion on the Drag-Along</w:t>
      </w:r>
    </w:p>
    <w:p>
      <w:pPr>
        <w:pStyle w:val="FirstParagraph"/>
      </w:pPr>
      <w:r>
        <w:t xml:space="preserve">The drag-along is a useful backstop but is not a reliable substitute for Stonemill’s actual consent. Prongs (ii) and (iii) are satisfied without Stonemill; Prong (i) is likely (but not certainly) satisfied without Stonemill under the more textually faithful interpretation. Even if the drag-along is triggered, its ability to override the Series C separate-class protective provision is contested and would likely require litigation with an uncertain outcome.</w:t>
      </w:r>
      <w:r>
        <w:t xml:space="preserve"> </w:t>
      </w:r>
      <w:r>
        <w:rPr>
          <w:b/>
          <w:bCs/>
        </w:rPr>
        <w:t xml:space="preserve">The practical path to closing runs through Stonemill’s affirmative consent.</w:t>
      </w:r>
    </w:p>
    <w:p>
      <w:r>
        <w:pict>
          <v:rect style="width:0;height:1.5pt" o:hralign="center" o:hrstd="t" o:hr="t"/>
        </w:pict>
      </w:r>
    </w:p>
    <w:bookmarkEnd w:id="34"/>
    <w:bookmarkEnd w:id="35"/>
    <w:bookmarkStart w:id="40" w:name="X5a2ac34a79ab80a605a24829be1275cb3e1c4e2"/>
    <w:p>
      <w:pPr>
        <w:pStyle w:val="Heading2"/>
      </w:pPr>
      <w:r>
        <w:t xml:space="preserve">IV. Area 3 — Impediments to Closing a Reverse Triangular Merger</w:t>
      </w:r>
    </w:p>
    <w:bookmarkStart w:id="36" w:name="a.-the-structure"/>
    <w:p>
      <w:pPr>
        <w:pStyle w:val="Heading3"/>
      </w:pPr>
      <w:r>
        <w:t xml:space="preserve">A. The Structure</w:t>
      </w:r>
    </w:p>
    <w:p>
      <w:pPr>
        <w:pStyle w:val="FirstParagraph"/>
      </w:pPr>
      <w:r>
        <w:t xml:space="preserve">The Transaction is structured as a reverse triangular merger: Hargrove forms Merger Sub, which merges with and into Terravox, with Terravox surviving as a wholly-owned subsidiary of Hargrove. All outstanding equity of Terravox (Common and all series of Preferred) is cancelled and converted into the right to receive cash merger consideration. The structure is all-cash; Terravox’s pre-transaction stockholders will not receive Hargrove equity and will not retain any voting power in the surviving or resulting entity.</w:t>
      </w:r>
    </w:p>
    <w:bookmarkEnd w:id="36"/>
    <w:bookmarkStart w:id="37" w:name="Xa8146360c4dc527d38cf2ca943f70ee7dcf3ca7"/>
    <w:p>
      <w:pPr>
        <w:pStyle w:val="Heading3"/>
      </w:pPr>
      <w:r>
        <w:t xml:space="preserve">B. Does the Structure Fit the Defined Terms?</w:t>
      </w:r>
    </w:p>
    <w:p>
      <w:pPr>
        <w:pStyle w:val="FirstParagraph"/>
      </w:pPr>
      <w:r>
        <w:t xml:space="preserve">We confirmed that the reverse triangular merger is captured by each of the operative defined terms:</w:t>
      </w:r>
    </w:p>
    <w:p>
      <w:pPr>
        <w:numPr>
          <w:ilvl w:val="0"/>
          <w:numId w:val="1007"/>
        </w:numPr>
      </w:pPr>
      <w:r>
        <w:rPr>
          <w:b/>
          <w:bCs/>
        </w:rPr>
        <w:t xml:space="preserve">Charter</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(Section 4.3.2(d)(i)):</w:t>
      </w:r>
      <w:r>
        <w:t xml:space="preserve"> </w:t>
      </w:r>
      <w:r>
        <w:t xml:space="preserve">“</w:t>
      </w:r>
      <w:r>
        <w:t xml:space="preserve">any merger, consolidation, or other business combination of the Corporation with or into another entity (</w:t>
      </w:r>
      <w:r>
        <w:rPr>
          <w:b/>
          <w:bCs/>
        </w:rPr>
        <w:t xml:space="preserve">whether or not the Corporation is the surviving entity</w:t>
      </w:r>
      <w:r>
        <w:t xml:space="preserve">), other than a merger … in which the stockholders of the Corporation immediately prior to such transaction continue to hold at least fifty percent (50%) of the voting power of the surviving or resulting entity.</w:t>
      </w:r>
      <w:r>
        <w:t xml:space="preserve">”</w:t>
      </w:r>
      <w:r>
        <w:t xml:space="preserve"> </w:t>
      </w:r>
      <w:r>
        <w:t xml:space="preserve">The explicit</w:t>
      </w:r>
      <w:r>
        <w:t xml:space="preserve"> </w:t>
      </w:r>
      <w:r>
        <w:t xml:space="preserve">“</w:t>
      </w:r>
      <w:r>
        <w:t xml:space="preserve">whether or not the Corporation is the surviving entity</w:t>
      </w:r>
      <w:r>
        <w:t xml:space="preserve">”</w:t>
      </w:r>
      <w:r>
        <w:t xml:space="preserve"> </w:t>
      </w:r>
      <w:r>
        <w:t xml:space="preserve">language confirms that a reverse triangular merger—where Terravox is the surviving corporation but becomes wholly-owned—is squarely within the definition. Because Terravox’s pre-transaction stockholders retain 0% of the voting power of the surviving entity (Hargrove will own 100% of Terravox), the exception does not apply.</w:t>
      </w:r>
      <w:r>
        <w:t xml:space="preserve"> </w:t>
      </w:r>
      <w:r>
        <w:rPr>
          <w:b/>
          <w:bCs/>
        </w:rPr>
        <w:t xml:space="preserve">The Transaction is a Liquidation Event.</w:t>
      </w:r>
      <w:r>
        <w:t xml:space="preserve"> </w:t>
      </w:r>
      <w:r>
        <w:t xml:space="preserve">This is unambiguous and favorable.</w:t>
      </w:r>
    </w:p>
    <w:p>
      <w:pPr>
        <w:numPr>
          <w:ilvl w:val="0"/>
          <w:numId w:val="1007"/>
        </w:numPr>
      </w:pPr>
      <w:r>
        <w:rPr>
          <w:b/>
          <w:bCs/>
        </w:rPr>
        <w:t xml:space="preserve">SHA / Voting Agreement</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1.1(a) / Section 1(a)):</w:t>
      </w:r>
      <w:r>
        <w:t xml:space="preserve"> </w:t>
      </w:r>
      <w:r>
        <w:t xml:space="preserve">“</w:t>
      </w:r>
      <w:r>
        <w:t xml:space="preserve">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Terravox’s pre-transaction stockholders retain 0% of the voting power.</w:t>
      </w:r>
      <w:r>
        <w:t xml:space="preserve"> </w:t>
      </w:r>
      <w:r>
        <w:rPr>
          <w:b/>
          <w:bCs/>
        </w:rPr>
        <w:t xml:space="preserve">The Transaction is a Sale of the Company.</w:t>
      </w:r>
      <w:r>
        <w:t xml:space="preserve"> </w:t>
      </w:r>
      <w:r>
        <w:t xml:space="preserve">Unambiguous.</w:t>
      </w:r>
    </w:p>
    <w:p>
      <w:pPr>
        <w:numPr>
          <w:ilvl w:val="0"/>
          <w:numId w:val="1007"/>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(Section 9(c)):</w:t>
      </w:r>
      <w:r>
        <w:t xml:space="preserve"> </w:t>
      </w:r>
      <w:r>
        <w:t xml:space="preserve">The RRA terminates per-Holder upon</w:t>
      </w:r>
      <w:r>
        <w:t xml:space="preserve"> </w:t>
      </w:r>
      <w:r>
        <w:t xml:space="preserve">“</w:t>
      </w:r>
      <w:r>
        <w:t xml:space="preserve">a Deemed Liquidation Event,</w:t>
      </w:r>
      <w:r>
        <w:t xml:space="preserve">”</w:t>
      </w:r>
      <w:r>
        <w:t xml:space="preserve"> </w:t>
      </w:r>
      <w:r>
        <w:t xml:space="preserve">but</w:t>
      </w:r>
      <w:r>
        <w:t xml:space="preserve"> </w:t>
      </w:r>
      <w:r>
        <w:rPr>
          <w:b/>
          <w:bCs/>
        </w:rPr>
        <w:t xml:space="preserve">this term is not defined in the RRA.</w:t>
      </w:r>
      <w:r>
        <w:t xml:space="preserve"> </w:t>
      </w:r>
      <w:r>
        <w:t xml:space="preserve">This definitional gap is addressed in Areas 6 and 10. The intent is plainly that a change-of-control transaction terminates registration rights, but the undefined term creates technical ambiguity.</w:t>
      </w:r>
    </w:p>
    <w:bookmarkEnd w:id="37"/>
    <w:bookmarkStart w:id="38" w:name="Xb7b90a49ef8b13770ca99e93ec5a5ac3e4d0944"/>
    <w:p>
      <w:pPr>
        <w:pStyle w:val="Heading3"/>
      </w:pPr>
      <w:r>
        <w:t xml:space="preserve">C. Structural Implications of the Reverse Triangular Form</w:t>
      </w:r>
    </w:p>
    <w:p>
      <w:pPr>
        <w:pStyle w:val="FirstParagraph"/>
      </w:pPr>
      <w:r>
        <w:t xml:space="preserve">The reverse triangular structure has several consequences worth noting:</w:t>
      </w:r>
    </w:p>
    <w:p>
      <w:pPr>
        <w:numPr>
          <w:ilvl w:val="0"/>
          <w:numId w:val="1008"/>
        </w:numPr>
      </w:pPr>
      <w:r>
        <w:rPr>
          <w:b/>
          <w:bCs/>
        </w:rPr>
        <w:t xml:space="preserve">Terravox survives as a legal entity.</w:t>
      </w:r>
      <w:r>
        <w:t xml:space="preserve"> </w:t>
      </w:r>
      <w:r>
        <w:t xml:space="preserve">Because Terravox survives (as a wholly-owned subsidiary), contracts to which Terravox is a party—including the governance agreements—do not automatically terminate by operation of the merger (unlike a forward merger where the target disappears). The SHA and the Voting Agreement terminate upon a</w:t>
      </w:r>
      <w:r>
        <w:t xml:space="preserve"> </w:t>
      </w:r>
      <w:r>
        <w:t xml:space="preserve">“</w:t>
      </w:r>
      <w:r>
        <w:t xml:space="preserve">Sale of the Company</w:t>
      </w:r>
      <w:r>
        <w:t xml:space="preserve">”</w:t>
      </w:r>
      <w:r>
        <w:t xml:space="preserve"> </w:t>
      </w:r>
      <w:r>
        <w:t xml:space="preserve">(a contractual termination trigger), and the RRA terminates upon a</w:t>
      </w:r>
      <w:r>
        <w:t xml:space="preserve"> </w:t>
      </w:r>
      <w:r>
        <w:t xml:space="preserve">“</w:t>
      </w:r>
      <w:r>
        <w:t xml:space="preserve">Deemed Liquidation Event.</w:t>
      </w:r>
      <w:r>
        <w:t xml:space="preserve">”</w:t>
      </w:r>
      <w:r>
        <w:t xml:space="preserve"> </w:t>
      </w:r>
      <w:r>
        <w:t xml:space="preserve">These are contractual terminations, not automatic by-operation-of-law terminations. The merger agreement should include</w:t>
      </w:r>
      <w:r>
        <w:t xml:space="preserve"> </w:t>
      </w:r>
      <w:r>
        <w:rPr>
          <w:b/>
          <w:bCs/>
        </w:rPr>
        <w:t xml:space="preserve">express terminations and releases</w:t>
      </w:r>
      <w:r>
        <w:t xml:space="preserve"> </w:t>
      </w:r>
      <w:r>
        <w:t xml:space="preserve">of the SHA, the Voting Agreement, and the RRA at the effective time to eliminate any ambiguity, particularly given the undefined</w:t>
      </w:r>
      <w:r>
        <w:t xml:space="preserve"> </w:t>
      </w:r>
      <w:r>
        <w:t xml:space="preserve">“</w:t>
      </w:r>
      <w:r>
        <w:t xml:space="preserve">Deemed Liquidation Event</w:t>
      </w:r>
      <w:r>
        <w:t xml:space="preserve">”</w:t>
      </w:r>
      <w:r>
        <w:t xml:space="preserve"> </w:t>
      </w:r>
      <w:r>
        <w:t xml:space="preserve">in the RRA.</w:t>
      </w:r>
    </w:p>
    <w:p>
      <w:pPr>
        <w:numPr>
          <w:ilvl w:val="0"/>
          <w:numId w:val="1008"/>
        </w:numPr>
      </w:pPr>
      <w:r>
        <w:rPr>
          <w:b/>
          <w:bCs/>
        </w:rPr>
        <w:t xml:space="preserve">Liquidation waterfall applies.</w:t>
      </w:r>
      <w:r>
        <w:t xml:space="preserve"> </w:t>
      </w:r>
      <w:r>
        <w:t xml:space="preserve">Because the Transaction is a Liquidation Event, the merger consideration is distributed in accordance with the Charter’s liquidation waterfall (Section 4.3.2). The drag-along (Section 3.2(a)) expressly incorporates the waterfall. The waterfall analysis is set forth in the Executive Summary and is economically significant for Stonemill (Area 2 / Area 9).</w:t>
      </w:r>
    </w:p>
    <w:p>
      <w:pPr>
        <w:numPr>
          <w:ilvl w:val="0"/>
          <w:numId w:val="1008"/>
        </w:numPr>
      </w:pPr>
      <w:r>
        <w:rPr>
          <w:b/>
          <w:bCs/>
        </w:rPr>
        <w:t xml:space="preserve">No stock-for-stock complications.</w:t>
      </w:r>
      <w:r>
        <w:t xml:space="preserve"> </w:t>
      </w:r>
      <w:r>
        <w:t xml:space="preserve">Because the consideration is all-cash, there are no exchange-ratio, stockholder-approval-of-buyer-equity, or Securities Act registration issues arising from the consideration form. This simplifies the consent picture (no need for Hargrove stockholder approval under DGCL § 251(f) on the consideration form).</w:t>
      </w:r>
    </w:p>
    <w:p>
      <w:pPr>
        <w:numPr>
          <w:ilvl w:val="0"/>
          <w:numId w:val="1008"/>
        </w:numPr>
      </w:pPr>
      <w:r>
        <w:rPr>
          <w:b/>
          <w:bCs/>
        </w:rPr>
        <w:t xml:space="preserve">Indemnification and D&amp;O obligations survive with the entity.</w:t>
      </w:r>
      <w:r>
        <w:t xml:space="preserve"> </w:t>
      </w:r>
      <w:r>
        <w:t xml:space="preserve">Terravox’s indemnification obligations to its directors and officers (Charter Article VII; Bylaws Article VI; individual indemnification agreements referenced in Bylaws Section 6.4) survive with the surviving entity. The merger agreement should provide for a D&amp;O tail insurance policy (typically six to seven years) and the survival of indemnification obligations, consistent with the SHA’s requirement (Section 5.3) that the Company maintain D&amp;O coverage of at least $5 million.</w:t>
      </w:r>
    </w:p>
    <w:bookmarkEnd w:id="38"/>
    <w:bookmarkStart w:id="39" w:name="X07be084d250724764f8b5e97065878743f40ec1"/>
    <w:p>
      <w:pPr>
        <w:pStyle w:val="Heading3"/>
      </w:pPr>
      <w:r>
        <w:t xml:space="preserve">D. No Structural Ambiguity in the Charter</w:t>
      </w:r>
    </w:p>
    <w:p>
      <w:pPr>
        <w:pStyle w:val="FirstParagraph"/>
      </w:pPr>
      <w:r>
        <w:t xml:space="preserve">We note favorably that the Charter’s Liquidation Event definition expressly addresses the reverse triangular form (</w:t>
      </w:r>
      <w:r>
        <w:t xml:space="preserve">“</w:t>
      </w:r>
      <w:r>
        <w:t xml:space="preserve">whether or not the Corporation is the surviving entity</w:t>
      </w:r>
      <w:r>
        <w:t xml:space="preserve">”</w:t>
      </w:r>
      <w:r>
        <w:t xml:space="preserve">). This eliminates the most common structural ambiguity (whether a merger in which the target survives is a</w:t>
      </w:r>
      <w:r>
        <w:t xml:space="preserve"> </w:t>
      </w:r>
      <w:r>
        <w:t xml:space="preserve">“</w:t>
      </w:r>
      <w:r>
        <w:t xml:space="preserve">deemed liquidation</w:t>
      </w:r>
      <w:r>
        <w:t xml:space="preserve">”</w:t>
      </w:r>
      <w:r>
        <w:t xml:space="preserve">). The remaining ambiguity is confined to the RRA’s undefined</w:t>
      </w:r>
      <w:r>
        <w:t xml:space="preserve"> </w:t>
      </w:r>
      <w:r>
        <w:t xml:space="preserve">“</w:t>
      </w:r>
      <w:r>
        <w:t xml:space="preserve">Deemed Liquidation Event,</w:t>
      </w:r>
      <w:r>
        <w:t xml:space="preserve">”</w:t>
      </w:r>
      <w:r>
        <w:t xml:space="preserve"> </w:t>
      </w:r>
      <w:r>
        <w:t xml:space="preserve">addressed below.</w:t>
      </w:r>
    </w:p>
    <w:p>
      <w:r>
        <w:pict>
          <v:rect style="width:0;height:1.5pt" o:hralign="center" o:hrstd="t" o:hr="t"/>
        </w:pict>
      </w:r>
    </w:p>
    <w:bookmarkEnd w:id="39"/>
    <w:bookmarkEnd w:id="40"/>
    <w:bookmarkStart w:id="46" w:name="v.-area-4-transfer-restrictions"/>
    <w:p>
      <w:pPr>
        <w:pStyle w:val="Heading2"/>
      </w:pPr>
      <w:r>
        <w:t xml:space="preserve">V. Area 4 — Transfer Restrictions</w:t>
      </w:r>
    </w:p>
    <w:bookmarkStart w:id="41" w:name="a.-rofr-and-co-sale-sha-article-2"/>
    <w:p>
      <w:pPr>
        <w:pStyle w:val="Heading3"/>
      </w:pPr>
      <w:r>
        <w:t xml:space="preserve">A. ROFR and Co-Sale (SHA Article 2)</w:t>
      </w:r>
    </w:p>
    <w:p>
      <w:pPr>
        <w:pStyle w:val="FirstParagraph"/>
      </w:pPr>
      <w:r>
        <w:t xml:space="preserve">The SHA imposes a general restriction on transfers (Section 2.1): no</w:t>
      </w:r>
      <w:r>
        <w:t xml:space="preserve"> </w:t>
      </w:r>
      <w:r>
        <w:t xml:space="preserve">“</w:t>
      </w:r>
      <w:r>
        <w:t xml:space="preserve">Restricted Stockholder</w:t>
      </w:r>
      <w:r>
        <w:t xml:space="preserve">”</w:t>
      </w:r>
      <w:r>
        <w:t xml:space="preserve"> </w:t>
      </w:r>
      <w:r>
        <w:t xml:space="preserve">may transfer Shares except (a) in compliance with Article 2, (b) pursuant to a</w:t>
      </w:r>
      <w:r>
        <w:t xml:space="preserve"> </w:t>
      </w:r>
      <w:r>
        <w:t xml:space="preserve">“</w:t>
      </w:r>
      <w:r>
        <w:t xml:space="preserve">Permitted Transfer</w:t>
      </w:r>
      <w:r>
        <w:t xml:space="preserve">”</w:t>
      </w:r>
      <w:r>
        <w:t xml:space="preserve"> </w:t>
      </w:r>
      <w:r>
        <w:t xml:space="preserve">(Section 2.7), or (c)</w:t>
      </w:r>
      <w:r>
        <w:t xml:space="preserve"> </w:t>
      </w:r>
      <w:r>
        <w:t xml:space="preserve">“</w:t>
      </w:r>
      <w:r>
        <w:t xml:space="preserve">in connection with a Sale of the Company consummated in accordance with Article 3.</w:t>
      </w:r>
      <w:r>
        <w:t xml:space="preserve">”</w:t>
      </w:r>
      <w:r>
        <w:t xml:space="preserve"> </w:t>
      </w:r>
      <w:r>
        <w:t xml:space="preserve">Any purported transfer in violation is void.</w:t>
      </w:r>
    </w:p>
    <w:p>
      <w:pPr>
        <w:numPr>
          <w:ilvl w:val="0"/>
          <w:numId w:val="1009"/>
        </w:numPr>
      </w:pPr>
      <w:r>
        <w:rPr>
          <w:b/>
          <w:bCs/>
        </w:rPr>
        <w:t xml:space="preserve">Right of First Refusal (Section 2.2).</w:t>
      </w:r>
      <w:r>
        <w:t xml:space="preserve"> </w:t>
      </w:r>
      <w:r>
        <w:t xml:space="preserve">The ROFR is triggered when a Restricted Stockholder</w:t>
      </w:r>
      <w:r>
        <w:t xml:space="preserve"> </w:t>
      </w:r>
      <w:r>
        <w:t xml:space="preserve">“</w:t>
      </w:r>
      <w:r>
        <w:t xml:space="preserve">receives a bona fide written offer from a third party … to purchase any Shares and desires to accept such offer.</w:t>
      </w:r>
      <w:r>
        <w:t xml:space="preserve">”</w:t>
      </w:r>
      <w:r>
        <w:t xml:space="preserve"> </w:t>
      </w:r>
      <w:r>
        <w:t xml:space="preserve">The Company has a 30-day right to purchase all (but not less than all) of the offered Shares; if the Company declines, the other Restricted Stockholders have a 20-day pro rata right. The ROFR is a transfer-restriction mechanism triggered by a stockholder’s acceptance of a third-party offer to purchase its Shares.</w:t>
      </w:r>
    </w:p>
    <w:p>
      <w:pPr>
        <w:numPr>
          <w:ilvl w:val="0"/>
          <w:numId w:val="1009"/>
        </w:numPr>
      </w:pPr>
      <w:r>
        <w:rPr>
          <w:b/>
          <w:bCs/>
        </w:rPr>
        <w:t xml:space="preserve">Co-Sale Right (Section 2.3).</w:t>
      </w:r>
      <w:r>
        <w:t xml:space="preserve"> </w:t>
      </w:r>
      <w:r>
        <w:t xml:space="preserve">If the Company and the other Restricted Stockholders do not purchase all of the Shares subject to a ROFR Notice, the Investor Stockholders may participate in the proposed transfer on a pro rata basis. The co-sale right does not apply to Permitted Transfers (Section 2.3(d)).</w:t>
      </w:r>
    </w:p>
    <w:bookmarkEnd w:id="41"/>
    <w:bookmarkStart w:id="42" w:name="Xc5974028d3ed721061cede89485a262155f37c6"/>
    <w:p>
      <w:pPr>
        <w:pStyle w:val="Heading3"/>
      </w:pPr>
      <w:r>
        <w:t xml:space="preserve">B. Does the Merger Trigger ROFR or Co-Sale?</w:t>
      </w:r>
    </w:p>
    <w:p>
      <w:pPr>
        <w:pStyle w:val="FirstParagraph"/>
      </w:pPr>
      <w:r>
        <w:rPr>
          <w:b/>
          <w:bCs/>
        </w:rPr>
        <w:t xml:space="preserve">No.</w:t>
      </w:r>
      <w:r>
        <w:t xml:space="preserve"> </w:t>
      </w:r>
      <w:r>
        <w:t xml:space="preserve">The merger is not a transfer by an individual stockholder accepting a third-party offer to purchase its Shares; it is a corporate transaction in which all equity is cancelled for merger consideration. More decisively, the SHA expressly carves out the merger from the transfer restrictions in two places:</w:t>
      </w:r>
    </w:p>
    <w:p>
      <w:pPr>
        <w:numPr>
          <w:ilvl w:val="0"/>
          <w:numId w:val="1010"/>
        </w:numPr>
      </w:pPr>
      <w:r>
        <w:rPr>
          <w:b/>
          <w:bCs/>
        </w:rPr>
        <w:t xml:space="preserve">Section 2.1(c)</w:t>
      </w:r>
      <w:r>
        <w:t xml:space="preserve"> </w:t>
      </w:r>
      <w:r>
        <w:t xml:space="preserve">permits a transfer</w:t>
      </w:r>
      <w:r>
        <w:t xml:space="preserve"> </w:t>
      </w:r>
      <w:r>
        <w:t xml:space="preserve">“</w:t>
      </w:r>
      <w:r>
        <w:t xml:space="preserve">in connection with a Sale of the Company consummated in accordance with Article 3.</w:t>
      </w:r>
      <w:r>
        <w:t xml:space="preserve">”</w:t>
      </w:r>
      <w:r>
        <w:t xml:space="preserve"> </w:t>
      </w:r>
      <w:r>
        <w:t xml:space="preserve">The Transaction is a Sale of the Company, and if consummated pursuant to the drag-along (Article 3) or otherwise as a Sale of the Company, it falls within this exception.</w:t>
      </w:r>
    </w:p>
    <w:p>
      <w:pPr>
        <w:numPr>
          <w:ilvl w:val="0"/>
          <w:numId w:val="1010"/>
        </w:numPr>
      </w:pPr>
      <w:r>
        <w:rPr>
          <w:b/>
          <w:bCs/>
        </w:rPr>
        <w:t xml:space="preserve">Section 2.7(e)</w:t>
      </w:r>
      <w:r>
        <w:t xml:space="preserve"> </w:t>
      </w:r>
      <w:r>
        <w:t xml:space="preserve">lists as a Permitted Transfer</w:t>
      </w:r>
      <w:r>
        <w:t xml:space="preserve"> </w:t>
      </w:r>
      <w:r>
        <w:t xml:space="preserve">“</w:t>
      </w:r>
      <w:r>
        <w:t xml:space="preserve">Transfers in connection with a Sale of the Company consummated in accordance with Article 3.</w:t>
      </w:r>
      <w:r>
        <w:t xml:space="preserve">”</w:t>
      </w:r>
      <w:r>
        <w:t xml:space="preserve"> </w:t>
      </w:r>
      <w:r>
        <w:t xml:space="preserve">Permitted Transfers are exempt from the ROFR and co-sale restrictions (Section 2.3(d)).</w:t>
      </w:r>
    </w:p>
    <w:p>
      <w:pPr>
        <w:pStyle w:val="FirstParagraph"/>
      </w:pPr>
      <w:r>
        <w:t xml:space="preserve">Accordingly, the ROFR and co-sale provisions are</w:t>
      </w:r>
      <w:r>
        <w:t xml:space="preserve"> </w:t>
      </w:r>
      <w:r>
        <w:rPr>
          <w:b/>
          <w:bCs/>
        </w:rPr>
        <w:t xml:space="preserve">not triggered</w:t>
      </w:r>
      <w:r>
        <w:t xml:space="preserve"> </w:t>
      </w:r>
      <w:r>
        <w:t xml:space="preserve">by the merger, provided the merger is a</w:t>
      </w:r>
      <w:r>
        <w:t xml:space="preserve"> </w:t>
      </w:r>
      <w:r>
        <w:t xml:space="preserve">“</w:t>
      </w:r>
      <w:r>
        <w:t xml:space="preserve">Sale of the Company</w:t>
      </w:r>
      <w:r>
        <w:t xml:space="preserve">”</w:t>
      </w:r>
      <w:r>
        <w:t xml:space="preserve"> </w:t>
      </w:r>
      <w:r>
        <w:t xml:space="preserve">(which it is) and is consummated in accordance with Article 3 (i.e., either pursuant to the drag-along, or as a Sale of the Company with the requisite approvals). We recommend that the merger agreement recite that the Transaction constitutes a Sale of the Company under the SHA and is being consummated in accordance with Article 2 and Article 3, to make the carve-out explicit.</w:t>
      </w:r>
    </w:p>
    <w:bookmarkEnd w:id="42"/>
    <w:bookmarkStart w:id="43" w:name="c.-tag-along-rights-section-2.4"/>
    <w:p>
      <w:pPr>
        <w:pStyle w:val="Heading3"/>
      </w:pPr>
      <w:r>
        <w:t xml:space="preserve">C. Tag-Along Rights (Section 2.4)</w:t>
      </w:r>
    </w:p>
    <w:p>
      <w:pPr>
        <w:pStyle w:val="FirstParagraph"/>
      </w:pPr>
      <w:r>
        <w:t xml:space="preserve">Tag-along rights apply only to a</w:t>
      </w:r>
      <w:r>
        <w:t xml:space="preserve"> </w:t>
      </w:r>
      <w:r>
        <w:t xml:space="preserve">“</w:t>
      </w:r>
      <w:r>
        <w:t xml:space="preserve">Founder Transfer</w:t>
      </w:r>
      <w:r>
        <w:t xml:space="preserve">”</w:t>
      </w:r>
      <w:r>
        <w:t xml:space="preserve">—a transfer by a Founder of more than 5% of the outstanding Shares to a non-affiliate third party. The merger is not a Founder Transfer (it is a Sale of the Company, not a sale by a Founder to a third-party buyer of the Founder’s shares specifically). Tag-along is not triggered.</w:t>
      </w:r>
    </w:p>
    <w:bookmarkEnd w:id="43"/>
    <w:bookmarkStart w:id="44" w:name="d.-termination-of-the-sha-section-6.1"/>
    <w:p>
      <w:pPr>
        <w:pStyle w:val="Heading3"/>
      </w:pPr>
      <w:r>
        <w:t xml:space="preserve">D. Termination of the SHA (Section 6.1)</w:t>
      </w:r>
    </w:p>
    <w:p>
      <w:pPr>
        <w:pStyle w:val="FirstParagraph"/>
      </w:pPr>
      <w:r>
        <w:t xml:space="preserve">The SHA terminates upon the earliest of (a) an IPO (≥$75 million gross proceeds), (b) a</w:t>
      </w:r>
      <w:r>
        <w:t xml:space="preserve"> </w:t>
      </w:r>
      <w:r>
        <w:rPr>
          <w:b/>
          <w:bCs/>
        </w:rPr>
        <w:t xml:space="preserve">Sale of the Company</w:t>
      </w:r>
      <w:r>
        <w:t xml:space="preserve">, or (c) the written consent of the Company, the Founders, and holders of a majority of the Investor Stockholder Shares (Section 6.1). Because the Transaction is a Sale of the Company,</w:t>
      </w:r>
      <w:r>
        <w:t xml:space="preserve"> </w:t>
      </w:r>
      <w:r>
        <w:rPr>
          <w:b/>
          <w:bCs/>
        </w:rPr>
        <w:t xml:space="preserve">the SHA terminates upon consummation of the Transaction</w:t>
      </w:r>
      <w:r>
        <w:t xml:space="preserve"> </w:t>
      </w:r>
      <w:r>
        <w:t xml:space="preserve">(Section 6.1(b)). Upon termination, all transfer restrictions, ROFR, co-sale, tag-along, and drag-along rights cease (Section 6.3), and the Company must remove the SHA legends. Article 7 (Miscellaneous) survives (Section 6.2).</w:t>
      </w:r>
      <w:r>
        <w:t xml:space="preserve"> </w:t>
      </w:r>
      <w:r>
        <w:rPr>
          <w:b/>
          <w:bCs/>
        </w:rPr>
        <w:t xml:space="preserve">Confirm that the merger agreement provides for the removal of SHA legends and the cessation of transfer restrictions at the effective time.</w:t>
      </w:r>
    </w:p>
    <w:bookmarkEnd w:id="44"/>
    <w:bookmarkStart w:id="45" w:name="e.-founder-lock-up-section-2.5"/>
    <w:p>
      <w:pPr>
        <w:pStyle w:val="Heading3"/>
      </w:pPr>
      <w:r>
        <w:t xml:space="preserve">E. Founder Lock-Up (Section 2.5)</w:t>
      </w:r>
    </w:p>
    <w:p>
      <w:pPr>
        <w:pStyle w:val="FirstParagraph"/>
      </w:pPr>
      <w:r>
        <w:t xml:space="preserve">The Founder lock-up (12 months from November 3, 2021) expired on November 3, 2022 and is no longer relevant.</w:t>
      </w:r>
    </w:p>
    <w:p>
      <w:r>
        <w:pict>
          <v:rect style="width:0;height:1.5pt" o:hralign="center" o:hrstd="t" o:hr="t"/>
        </w:pict>
      </w:r>
    </w:p>
    <w:bookmarkEnd w:id="45"/>
    <w:bookmarkEnd w:id="46"/>
    <w:bookmarkStart w:id="53" w:name="X727c121bf195f302e5b5f351f0d0cd7749a51aa"/>
    <w:p>
      <w:pPr>
        <w:pStyle w:val="Heading2"/>
      </w:pPr>
      <w:r>
        <w:t xml:space="preserve">VI. Area 5 — Board Composition: Post-Closing Implications</w:t>
      </w:r>
    </w:p>
    <w:bookmarkStart w:id="47" w:name="Xdf5349f820ff9059d4825feae1508ce827431a3"/>
    <w:p>
      <w:pPr>
        <w:pStyle w:val="Heading3"/>
      </w:pPr>
      <w:r>
        <w:t xml:space="preserve">A. Current Board Composition (Voting Agreement Section 2.2)</w:t>
      </w:r>
    </w:p>
    <w:p>
      <w:pPr>
        <w:pStyle w:val="FirstParagraph"/>
      </w:pPr>
      <w:r>
        <w:t xml:space="preserve">The Voting Agreement fixes the Board at seven (7) directors, composed as follows:</w:t>
      </w:r>
    </w:p>
    <w:tbl>
      <w:tblPr>
        <w:tblStyle w:val="Table"/>
        <w:tblW w:type="pct" w:w="5000"/>
        <w:jc w:val="left"/>
        <w:tblLayout w:type="fixed"/>
        <w:tblLook w:firstRow="1" w:lastRow="0" w:firstColumn="0" w:lastColumn="0" w:noHBand="0" w:noVBand="0" w:val="0020"/>
      </w:tblPr>
      <w:tblGrid>
        <w:gridCol w:w="1033"/>
        <w:gridCol w:w="1893"/>
        <w:gridCol w:w="3099"/>
        <w:gridCol w:w="1893"/>
      </w:tblGrid>
      <w:tr>
        <w:trPr>
          <w:tblHeader w:val="on"/>
        </w:trPr>
        <w:tc>
          <w:tcPr/>
          <w:p>
            <w:pPr>
              <w:pStyle w:val="Compact"/>
              <w:jc w:val="left"/>
            </w:pPr>
            <w:r>
              <w:t xml:space="preserve">Seat</w:t>
            </w:r>
          </w:p>
        </w:tc>
        <w:tc>
          <w:tcPr/>
          <w:p>
            <w:pPr>
              <w:pStyle w:val="Compact"/>
              <w:jc w:val="left"/>
            </w:pPr>
            <w:r>
              <w:t xml:space="preserve">Designator</w:t>
            </w:r>
          </w:p>
        </w:tc>
        <w:tc>
          <w:tcPr/>
          <w:p>
            <w:pPr>
              <w:pStyle w:val="Compact"/>
              <w:jc w:val="left"/>
            </w:pPr>
            <w:r>
              <w:t xml:space="preserve">Current Director</w:t>
            </w:r>
          </w:p>
        </w:tc>
        <w:tc>
          <w:tcPr/>
          <w:p>
            <w:pPr>
              <w:pStyle w:val="Compact"/>
              <w:jc w:val="left"/>
            </w:pPr>
            <w:r>
              <w:t xml:space="preserve">Condition</w:t>
            </w:r>
          </w:p>
        </w:tc>
      </w:tr>
      <w:tr>
        <w:tc>
          <w:tcPr/>
          <w:p>
            <w:pPr>
              <w:pStyle w:val="Compact"/>
              <w:jc w:val="left"/>
            </w:pPr>
            <w:r>
              <w:t xml:space="preserve">Series A Director</w:t>
            </w:r>
          </w:p>
        </w:tc>
        <w:tc>
          <w:tcPr/>
          <w:p>
            <w:pPr>
              <w:pStyle w:val="Compact"/>
              <w:jc w:val="left"/>
            </w:pPr>
            <w:r>
              <w:t xml:space="preserve">Ridgeline</w:t>
            </w:r>
          </w:p>
        </w:tc>
        <w:tc>
          <w:tcPr/>
          <w:p>
            <w:pPr>
              <w:pStyle w:val="Compact"/>
              <w:jc w:val="left"/>
            </w:pPr>
            <w:r>
              <w:t xml:space="preserve">David Kleinhans</w:t>
            </w:r>
          </w:p>
        </w:tc>
        <w:tc>
          <w:tcPr/>
          <w:p>
            <w:pPr>
              <w:pStyle w:val="Compact"/>
              <w:jc w:val="left"/>
            </w:pPr>
            <w:r>
              <w:t xml:space="preserve">So long as Ridgeline holds ≥1,000,000 Series A (or Common upon conversion)</w:t>
            </w:r>
          </w:p>
        </w:tc>
      </w:tr>
      <w:tr>
        <w:tc>
          <w:tcPr/>
          <w:p>
            <w:pPr>
              <w:pStyle w:val="Compact"/>
              <w:jc w:val="left"/>
            </w:pPr>
            <w:r>
              <w:t xml:space="preserve">Series B Director</w:t>
            </w:r>
          </w:p>
        </w:tc>
        <w:tc>
          <w:tcPr/>
          <w:p>
            <w:pPr>
              <w:pStyle w:val="Compact"/>
              <w:jc w:val="left"/>
            </w:pPr>
            <w:r>
              <w:t xml:space="preserve">Northbridge</w:t>
            </w:r>
          </w:p>
        </w:tc>
        <w:tc>
          <w:tcPr/>
          <w:p>
            <w:pPr>
              <w:pStyle w:val="Compact"/>
              <w:jc w:val="left"/>
            </w:pPr>
            <w:r>
              <w:t xml:space="preserve">Sandra Okafor</w:t>
            </w:r>
          </w:p>
        </w:tc>
        <w:tc>
          <w:tcPr/>
          <w:p>
            <w:pPr>
              <w:pStyle w:val="Compact"/>
              <w:jc w:val="left"/>
            </w:pPr>
            <w:r>
              <w:t xml:space="preserve">So long as Northbridge holds ≥1,000,000 Series B (or Common upon conversion)</w:t>
            </w:r>
          </w:p>
        </w:tc>
      </w:tr>
      <w:tr>
        <w:tc>
          <w:tcPr/>
          <w:p>
            <w:pPr>
              <w:pStyle w:val="Compact"/>
              <w:jc w:val="left"/>
            </w:pPr>
            <w:r>
              <w:t xml:space="preserve">Series C Director</w:t>
            </w:r>
          </w:p>
        </w:tc>
        <w:tc>
          <w:tcPr/>
          <w:p>
            <w:pPr>
              <w:pStyle w:val="Compact"/>
              <w:jc w:val="left"/>
            </w:pPr>
            <w:r>
              <w:t xml:space="preserve">Stonemill</w:t>
            </w:r>
          </w:p>
        </w:tc>
        <w:tc>
          <w:tcPr/>
          <w:p>
            <w:pPr>
              <w:pStyle w:val="Compact"/>
              <w:jc w:val="left"/>
            </w:pPr>
            <w:r>
              <w:t xml:space="preserve">Julian Trask</w:t>
            </w:r>
          </w:p>
        </w:tc>
        <w:tc>
          <w:tcPr/>
          <w:p>
            <w:pPr>
              <w:pStyle w:val="Compact"/>
              <w:jc w:val="left"/>
            </w:pPr>
            <w:r>
              <w:t xml:space="preserve">So long as Stonemill holds ≥1,000,000 Series C (or Common upon conversion)</w:t>
            </w:r>
          </w:p>
        </w:tc>
      </w:tr>
      <w:tr>
        <w:tc>
          <w:tcPr/>
          <w:p>
            <w:pPr>
              <w:pStyle w:val="Compact"/>
              <w:jc w:val="left"/>
            </w:pPr>
            <w:r>
              <w:t xml:space="preserve">CEO Director</w:t>
            </w:r>
          </w:p>
        </w:tc>
        <w:tc>
          <w:tcPr/>
          <w:p>
            <w:pPr>
              <w:pStyle w:val="Compact"/>
              <w:jc w:val="left"/>
            </w:pPr>
            <w:r>
              <w:t xml:space="preserve">—</w:t>
            </w:r>
          </w:p>
        </w:tc>
        <w:tc>
          <w:tcPr/>
          <w:p>
            <w:pPr>
              <w:pStyle w:val="Compact"/>
              <w:jc w:val="left"/>
            </w:pPr>
            <w:r>
              <w:t xml:space="preserve">Marcus Ellery</w:t>
            </w:r>
          </w:p>
        </w:tc>
        <w:tc>
          <w:tcPr/>
          <w:p>
            <w:pPr>
              <w:pStyle w:val="Compact"/>
              <w:jc w:val="left"/>
            </w:pPr>
            <w:r>
              <w:t xml:space="preserve">CEO of the Company</w:t>
            </w:r>
          </w:p>
        </w:tc>
      </w:tr>
      <w:tr>
        <w:tc>
          <w:tcPr/>
          <w:p>
            <w:pPr>
              <w:pStyle w:val="Compact"/>
              <w:jc w:val="left"/>
            </w:pPr>
            <w:r>
              <w:t xml:space="preserve">Founder Director</w:t>
            </w:r>
          </w:p>
        </w:tc>
        <w:tc>
          <w:tcPr/>
          <w:p>
            <w:pPr>
              <w:pStyle w:val="Compact"/>
              <w:jc w:val="left"/>
            </w:pPr>
            <w:r>
              <w:t xml:space="preserve">Founders (other than CEO)</w:t>
            </w:r>
          </w:p>
        </w:tc>
        <w:tc>
          <w:tcPr/>
          <w:p>
            <w:pPr>
              <w:pStyle w:val="Compact"/>
              <w:jc w:val="left"/>
            </w:pPr>
            <w:r>
              <w:t xml:space="preserve">Priya Chandrasekaran</w:t>
            </w:r>
          </w:p>
        </w:tc>
        <w:tc>
          <w:tcPr/>
          <w:p>
            <w:pPr>
              <w:pStyle w:val="Compact"/>
              <w:jc w:val="left"/>
            </w:pPr>
            <w:r>
              <w:t xml:space="preserve">—</w:t>
            </w:r>
          </w:p>
        </w:tc>
      </w:tr>
      <w:tr>
        <w:tc>
          <w:tcPr/>
          <w:p>
            <w:pPr>
              <w:pStyle w:val="Compact"/>
              <w:jc w:val="left"/>
            </w:pPr>
            <w:r>
              <w:t xml:space="preserve">Independent Director #1</w:t>
            </w:r>
          </w:p>
        </w:tc>
        <w:tc>
          <w:tcPr/>
          <w:p>
            <w:pPr>
              <w:pStyle w:val="Compact"/>
              <w:jc w:val="left"/>
            </w:pPr>
            <w:r>
              <w:t xml:space="preserve">CEO + majority of Investor Stockholders</w:t>
            </w:r>
          </w:p>
        </w:tc>
        <w:tc>
          <w:tcPr/>
          <w:p>
            <w:pPr>
              <w:pStyle w:val="Compact"/>
              <w:jc w:val="left"/>
            </w:pPr>
            <w:r>
              <w:t xml:space="preserve">Rebecca Lau</w:t>
            </w:r>
          </w:p>
        </w:tc>
        <w:tc>
          <w:tcPr/>
          <w:p>
            <w:pPr>
              <w:pStyle w:val="Compact"/>
              <w:jc w:val="left"/>
            </w:pPr>
            <w:r>
              <w:t xml:space="preserve">Not an employee or Investor affiliate</w:t>
            </w:r>
          </w:p>
        </w:tc>
      </w:tr>
      <w:tr>
        <w:tc>
          <w:tcPr/>
          <w:p>
            <w:pPr>
              <w:pStyle w:val="Compact"/>
              <w:jc w:val="left"/>
            </w:pPr>
            <w:r>
              <w:t xml:space="preserve">Independent Director #2</w:t>
            </w:r>
          </w:p>
        </w:tc>
        <w:tc>
          <w:tcPr/>
          <w:p>
            <w:pPr>
              <w:pStyle w:val="Compact"/>
              <w:jc w:val="left"/>
            </w:pPr>
            <w:r>
              <w:t xml:space="preserve">CEO + majority of Investor Stockholders</w:t>
            </w:r>
          </w:p>
        </w:tc>
        <w:tc>
          <w:tcPr/>
          <w:p>
            <w:pPr>
              <w:pStyle w:val="Compact"/>
              <w:jc w:val="left"/>
            </w:pPr>
            <w:r>
              <w:t xml:space="preserve">Thomas Garrett</w:t>
            </w:r>
          </w:p>
        </w:tc>
        <w:tc>
          <w:tcPr/>
          <w:p>
            <w:pPr>
              <w:pStyle w:val="Compact"/>
              <w:jc w:val="left"/>
            </w:pPr>
            <w:r>
              <w:t xml:space="preserve">Not an employee or Investor affiliate</w:t>
            </w:r>
          </w:p>
        </w:tc>
      </w:tr>
    </w:tbl>
    <w:p>
      <w:pPr>
        <w:pStyle w:val="BodyText"/>
      </w:pPr>
      <w:r>
        <w:t xml:space="preserve">No Party may increase or decrease the Board size without the prior written consent of a majority of the Investor Stockholders (Section 2.1). Designated directors may be removed only upon the written request of the designating Party (Section 2.3). Each committee must include at least one Investor Stockholder designee unless the Investor Stockholders agree otherwise in writing (Section 2.4).</w:t>
      </w:r>
    </w:p>
    <w:bookmarkEnd w:id="47"/>
    <w:bookmarkStart w:id="48" w:name="X4c1fe3e8911fde08224c2efe1098ab38d14bd29"/>
    <w:p>
      <w:pPr>
        <w:pStyle w:val="Heading3"/>
      </w:pPr>
      <w:r>
        <w:t xml:space="preserve">B. Termination of the Voting Agreement Upon the Transaction</w:t>
      </w:r>
    </w:p>
    <w:p>
      <w:pPr>
        <w:pStyle w:val="FirstParagraph"/>
      </w:pPr>
      <w:r>
        <w:t xml:space="preserve">The Voting Agreement terminates upon the earliest of (a) an IPO (≥$75 million gross proceeds), (b) a</w:t>
      </w:r>
      <w:r>
        <w:t xml:space="preserve"> </w:t>
      </w:r>
      <w:r>
        <w:rPr>
          <w:b/>
          <w:bCs/>
        </w:rPr>
        <w:t xml:space="preserve">Sale of the Company</w:t>
      </w:r>
      <w:r>
        <w:t xml:space="preserve">, (c) the written consent of the Company, the holders of a majority of the Common held by the parties, and the holders of a majority of each series of Preferred held by the parties (voting as separate classes), or (d)</w:t>
      </w:r>
      <w:r>
        <w:t xml:space="preserve"> </w:t>
      </w:r>
      <w:r>
        <w:rPr>
          <w:b/>
          <w:bCs/>
        </w:rPr>
        <w:t xml:space="preserve">November 3, 2026</w:t>
      </w:r>
      <w:r>
        <w:t xml:space="preserve"> </w:t>
      </w:r>
      <w:r>
        <w:t xml:space="preserve">(the fifth anniversary) (Section 7.1).</w:t>
      </w:r>
    </w:p>
    <w:p>
      <w:pPr>
        <w:pStyle w:val="BodyText"/>
      </w:pPr>
      <w:r>
        <w:t xml:space="preserve">Because the Transaction is a Sale of the Company (Section 1(a)),</w:t>
      </w:r>
      <w:r>
        <w:t xml:space="preserve"> </w:t>
      </w:r>
      <w:r>
        <w:rPr>
          <w:b/>
          <w:bCs/>
        </w:rPr>
        <w:t xml:space="preserve">the Voting Agreement terminates upon consummation of the Transaction</w:t>
      </w:r>
      <w:r>
        <w:t xml:space="preserve"> </w:t>
      </w:r>
      <w:r>
        <w:t xml:space="preserve">(Section 7.1(b)). Upon termination, all Board designation rights, voting obligations, and the observer right cease (Section 7.2). Post-closing, Hargrove—as the sole stockholder of the surviving entity—will control the Board and may reconstitute it as it sees fit.</w:t>
      </w:r>
    </w:p>
    <w:bookmarkEnd w:id="48"/>
    <w:bookmarkStart w:id="49" w:name="X752fa8438a49be44f2e0b452295f91af9f3a4da"/>
    <w:p>
      <w:pPr>
        <w:pStyle w:val="Heading3"/>
      </w:pPr>
      <w:r>
        <w:t xml:space="preserve">C. The November 3, 2026 Sunset as a Backstop</w:t>
      </w:r>
    </w:p>
    <w:p>
      <w:pPr>
        <w:pStyle w:val="FirstParagraph"/>
      </w:pPr>
      <w:r>
        <w:t xml:space="preserve">Section 7.1(d) provides a five-year sunset date of November 3, 2026. If, contrary to our analysis, the Transaction were held</w:t>
      </w:r>
      <w:r>
        <w:t xml:space="preserve"> </w:t>
      </w:r>
      <w:r>
        <w:rPr>
          <w:b/>
          <w:bCs/>
        </w:rPr>
        <w:t xml:space="preserve">not</w:t>
      </w:r>
      <w:r>
        <w:t xml:space="preserve"> </w:t>
      </w:r>
      <w:r>
        <w:t xml:space="preserve">to constitute a</w:t>
      </w:r>
      <w:r>
        <w:t xml:space="preserve"> </w:t>
      </w:r>
      <w:r>
        <w:t xml:space="preserve">“</w:t>
      </w:r>
      <w:r>
        <w:t xml:space="preserve">Sale of the Company</w:t>
      </w:r>
      <w:r>
        <w:t xml:space="preserve">”</w:t>
      </w:r>
      <w:r>
        <w:t xml:space="preserve"> </w:t>
      </w:r>
      <w:r>
        <w:t xml:space="preserve">under the Voting Agreement, the Voting Agreement (including the Board designation rights and the observer right) would continue in force until November 3, 2026. We are confident the Transaction fits the</w:t>
      </w:r>
      <w:r>
        <w:t xml:space="preserve"> </w:t>
      </w:r>
      <w:r>
        <w:t xml:space="preserve">“</w:t>
      </w:r>
      <w:r>
        <w:t xml:space="preserve">Sale of the Company</w:t>
      </w:r>
      <w:r>
        <w:t xml:space="preserve">”</w:t>
      </w:r>
      <w:r>
        <w:t xml:space="preserve"> </w:t>
      </w:r>
      <w:r>
        <w:t xml:space="preserve">definition (the pre-transaction stockholders retain 0% of the voting power of the surviving entity), so the sunset should not be implicated. Nonetheless,</w:t>
      </w:r>
      <w:r>
        <w:t xml:space="preserve"> </w:t>
      </w:r>
      <w:r>
        <w:rPr>
          <w:b/>
          <w:bCs/>
        </w:rPr>
        <w:t xml:space="preserve">the merger agreement should expressly provide that the Voting Agreement terminates at the effective time as a Sale of the Company</w:t>
      </w:r>
      <w:r>
        <w:t xml:space="preserve">, to eliminate any argument that the designation rights or observer right survive pending the 2026 sunset.</w:t>
      </w:r>
    </w:p>
    <w:bookmarkEnd w:id="49"/>
    <w:bookmarkStart w:id="50" w:name="Xd1d7891af6a7e7013c0ec73d887758a8fa9d038"/>
    <w:p>
      <w:pPr>
        <w:pStyle w:val="Heading3"/>
      </w:pPr>
      <w:r>
        <w:t xml:space="preserve">D. Stonemill’s Board Observer Right (Section 4)</w:t>
      </w:r>
    </w:p>
    <w:p>
      <w:pPr>
        <w:pStyle w:val="FirstParagraph"/>
      </w:pPr>
      <w:r>
        <w:t xml:space="preserve">Section 4.1 grants Stonemill the right to appoint one non-voting observer to attend all Board (and committee) meetings and to receive all Board materials, for so long as Stonemill holds at least 1,000,000 shares of Series C (or Common upon conversion). The observer has no vote, may be excluded to preserve attorney-client privilege or address a conflict of interest (Section 4.2), and must execute a confidentiality agreement (Section 4.3).</w:t>
      </w:r>
    </w:p>
    <w:p>
      <w:pPr>
        <w:pStyle w:val="BodyText"/>
      </w:pPr>
      <w:r>
        <w:t xml:space="preserve">The observer right terminates upon (a) a Sale of the Company (Section 7.1(b)), or (b) Stonemill ceasing to hold at least 1,000,000 shares of Series C (or Common upon conversion) (Section 7.3). Because the Transaction is a Sale of the Company,</w:t>
      </w:r>
      <w:r>
        <w:t xml:space="preserve"> </w:t>
      </w:r>
      <w:r>
        <w:rPr>
          <w:b/>
          <w:bCs/>
        </w:rPr>
        <w:t xml:space="preserve">the observer right terminates at the effective time.</w:t>
      </w:r>
      <w:r>
        <w:t xml:space="preserve"> </w:t>
      </w:r>
      <w:r>
        <w:t xml:space="preserve">Post-closing, Stonemill will hold no Terravox securities (all cancelled for cash), so the observer right would terminate under Section 7.3 in any event. The Board Minutes reflect that a Stonemill observer attended most meetings but was</w:t>
      </w:r>
      <w:r>
        <w:t xml:space="preserve"> </w:t>
      </w:r>
      <w:r>
        <w:rPr>
          <w:b/>
          <w:bCs/>
        </w:rPr>
        <w:t xml:space="preserve">absent</w:t>
      </w:r>
      <w:r>
        <w:t xml:space="preserve"> </w:t>
      </w:r>
      <w:r>
        <w:t xml:space="preserve">from the April 17, 2024 meeting at which the Board authorized engagement with Hargrove—a fact Stonemill may cite in support of its</w:t>
      </w:r>
      <w:r>
        <w:t xml:space="preserve"> </w:t>
      </w:r>
      <w:r>
        <w:t xml:space="preserve">“</w:t>
      </w:r>
      <w:r>
        <w:t xml:space="preserve">exclusion</w:t>
      </w:r>
      <w:r>
        <w:t xml:space="preserve">”</w:t>
      </w:r>
      <w:r>
        <w:t xml:space="preserve"> </w:t>
      </w:r>
      <w:r>
        <w:t xml:space="preserve">narrative (addressed in Area 9).</w:t>
      </w:r>
    </w:p>
    <w:bookmarkEnd w:id="50"/>
    <w:bookmarkStart w:id="51" w:name="Xca37dcc277595b9a53cf48862f9ec61db2e2c0b"/>
    <w:p>
      <w:pPr>
        <w:pStyle w:val="Heading3"/>
      </w:pPr>
      <w:r>
        <w:t xml:space="preserve">E. Voting Agreement Does Not Obligate Votes on the Merger (Section 3.2)</w:t>
      </w:r>
    </w:p>
    <w:p>
      <w:pPr>
        <w:pStyle w:val="FirstParagraph"/>
      </w:pPr>
      <w:r>
        <w:t xml:space="preserve">Section 3.2 of the Voting Agreement expressly provides that the agreement does</w:t>
      </w:r>
      <w:r>
        <w:t xml:space="preserve"> </w:t>
      </w:r>
      <w:r>
        <w:rPr>
          <w:b/>
          <w:bCs/>
        </w:rPr>
        <w:t xml:space="preserve">not</w:t>
      </w:r>
      <w:r>
        <w:t xml:space="preserve"> </w:t>
      </w:r>
      <w:r>
        <w:t xml:space="preserve">create any obligation on any party to vote in any particular manner on any merger, sale of assets, or other corporate transaction. The Voting Agreement’s voting obligations (Section 3.1) are limited to matters of Board composition. Accordingly, the Voting Agreement provides no drag-along or voting obligation for the Transaction itself; the drag-along resides solely in the SHA. This is an important distinction: the Voting Agreement cannot be used to compel votes on the merger.</w:t>
      </w:r>
    </w:p>
    <w:bookmarkEnd w:id="51"/>
    <w:bookmarkStart w:id="52" w:name="X505c2ce4834f524cc31c6aecaf812d46dc1662c"/>
    <w:p>
      <w:pPr>
        <w:pStyle w:val="Heading3"/>
      </w:pPr>
      <w:r>
        <w:t xml:space="preserve">F. Amendment of the Voting Agreement (Section 8.4)</w:t>
      </w:r>
    </w:p>
    <w:p>
      <w:pPr>
        <w:pStyle w:val="FirstParagraph"/>
      </w:pPr>
      <w:r>
        <w:t xml:space="preserve">The Voting Agreement may be amended only by a written instrument signed by the Company, the holders of a majority of the Common held by the Founders, and the holders of a majority of the Preferred (as-converted) held by the Investor Stockholders (single class). Any amendment that adversely and disproportionately affects a party requires that party’s consent. In the event of a conflict between the Voting Agreement and the Charter,</w:t>
      </w:r>
      <w:r>
        <w:t xml:space="preserve"> </w:t>
      </w:r>
      <w:r>
        <w:rPr>
          <w:b/>
          <w:bCs/>
        </w:rPr>
        <w:t xml:space="preserve">the Charter controls</w:t>
      </w:r>
      <w:r>
        <w:t xml:space="preserve"> </w:t>
      </w:r>
      <w:r>
        <w:t xml:space="preserve">(Section 8.3)—reinforcing that the Charter’s Series C protective provision takes precedence over the Voting Agreement.</w:t>
      </w:r>
    </w:p>
    <w:p>
      <w:r>
        <w:pict>
          <v:rect style="width:0;height:1.5pt" o:hralign="center" o:hrstd="t" o:hr="t"/>
        </w:pict>
      </w:r>
    </w:p>
    <w:bookmarkEnd w:id="52"/>
    <w:bookmarkEnd w:id="53"/>
    <w:bookmarkStart w:id="59" w:name="Xaabf1bbee4b69ab0b66a6393cb711067e04c24b"/>
    <w:p>
      <w:pPr>
        <w:pStyle w:val="Heading2"/>
      </w:pPr>
      <w:r>
        <w:t xml:space="preserve">VII. Area 6 — Cross-Document Definitional Inconsistencies</w:t>
      </w:r>
    </w:p>
    <w:p>
      <w:pPr>
        <w:pStyle w:val="FirstParagraph"/>
      </w:pPr>
      <w:r>
        <w:t xml:space="preserve">The five governance documents use three related but not identical defined terms to capture change-of-control transactions. We have compared them below.</w:t>
      </w:r>
    </w:p>
    <w:bookmarkStart w:id="54" w:name="X5697b9c2a5621d49e1774641f52beef635628be"/>
    <w:p>
      <w:pPr>
        <w:pStyle w:val="Heading3"/>
      </w:pPr>
      <w:r>
        <w:t xml:space="preserve">A.</w:t>
      </w:r>
      <w:r>
        <w:t xml:space="preserve"> </w:t>
      </w:r>
      <w:r>
        <w:t xml:space="preserve">“</w:t>
      </w:r>
      <w:r>
        <w:t xml:space="preserve">Liquidation Event</w:t>
      </w:r>
      <w:r>
        <w:t xml:space="preserve">”</w:t>
      </w:r>
      <w:r>
        <w:t xml:space="preserve"> </w:t>
      </w:r>
      <w:r>
        <w:t xml:space="preserve">(Charter, Section 4.3.2(d))</w:t>
      </w:r>
    </w:p>
    <w:p>
      <w:pPr>
        <w:pStyle w:val="FirstParagraph"/>
      </w:pPr>
      <w:r>
        <w:t xml:space="preserve">A</w:t>
      </w:r>
      <w:r>
        <w:t xml:space="preserve"> </w:t>
      </w:r>
      <w:r>
        <w:t xml:space="preserve">“</w:t>
      </w:r>
      <w:r>
        <w:t xml:space="preserve">Liquidation Event</w:t>
      </w:r>
      <w:r>
        <w:t xml:space="preserve">”</w:t>
      </w:r>
      <w:r>
        <w:t xml:space="preserve"> </w:t>
      </w:r>
      <w:r>
        <w:t xml:space="preserve">means any of: (i) a merger, consolidation, or other business combination</w:t>
      </w:r>
      <w:r>
        <w:t xml:space="preserve"> </w:t>
      </w:r>
      <w:r>
        <w:t xml:space="preserve">“</w:t>
      </w:r>
      <w:r>
        <w:t xml:space="preserve">whether or not the Corporation is the surviving entity,</w:t>
      </w:r>
      <w:r>
        <w:t xml:space="preserve">”</w:t>
      </w:r>
      <w:r>
        <w:t xml:space="preserve"> </w:t>
      </w:r>
      <w:r>
        <w:t xml:space="preserve">other than one in which the pre-transaction stockholders continue to hold</w:t>
      </w:r>
      <w:r>
        <w:t xml:space="preserve"> </w:t>
      </w:r>
      <w:r>
        <w:rPr>
          <w:b/>
          <w:bCs/>
        </w:rPr>
        <w:t xml:space="preserve">at least fifty percent (50%)</w:t>
      </w:r>
      <w:r>
        <w:t xml:space="preserve"> </w:t>
      </w:r>
      <w:r>
        <w:t xml:space="preserve">of the voting power of the surviving or resulting entity; (ii) a sale, lease, transfer, exclusive license, or other disposition of all or substantially all assets; (iii) a transaction or series of transactions resulting in the transfer or issuance of equity securities representing</w:t>
      </w:r>
      <w:r>
        <w:t xml:space="preserve"> </w:t>
      </w:r>
      <w:r>
        <w:rPr>
          <w:b/>
          <w:bCs/>
        </w:rPr>
        <w:t xml:space="preserve">more than fifty percent (50%)</w:t>
      </w:r>
      <w:r>
        <w:t xml:space="preserve"> </w:t>
      </w:r>
      <w:r>
        <w:t xml:space="preserve">of the voting power to any person or group (other than an equity financing primarily for capital-raising); or (iv) a voluntary or involuntary liquidation, dissolution, or winding up.</w:t>
      </w:r>
    </w:p>
    <w:bookmarkEnd w:id="54"/>
    <w:bookmarkStart w:id="55" w:name="X542304b2769b92119a7635a5bd2bd5a8e669e7a"/>
    <w:p>
      <w:pPr>
        <w:pStyle w:val="Heading3"/>
      </w:pPr>
      <w:r>
        <w:t xml:space="preserve">B.</w:t>
      </w:r>
      <w:r>
        <w:t xml:space="preserve"> </w:t>
      </w:r>
      <w:r>
        <w:t xml:space="preserve">“</w:t>
      </w:r>
      <w:r>
        <w:t xml:space="preserve">Sale of the Company</w:t>
      </w:r>
      <w:r>
        <w:t xml:space="preserve">”</w:t>
      </w:r>
      <w:r>
        <w:t xml:space="preserve"> </w:t>
      </w:r>
      <w:r>
        <w:t xml:space="preserve">(SHA Section 1.1; Voting Agreement Section 1)</w:t>
      </w:r>
    </w:p>
    <w:p>
      <w:pPr>
        <w:pStyle w:val="FirstParagraph"/>
      </w:pPr>
      <w:r>
        <w:t xml:space="preserve">A</w:t>
      </w:r>
      <w:r>
        <w:t xml:space="preserve"> </w:t>
      </w:r>
      <w:r>
        <w:t xml:space="preserve">“</w:t>
      </w:r>
      <w:r>
        <w:t xml:space="preserve">Sale of the Company</w:t>
      </w:r>
      <w:r>
        <w:t xml:space="preserve">”</w:t>
      </w:r>
      <w:r>
        <w:t xml:space="preserve"> </w:t>
      </w:r>
      <w:r>
        <w:t xml:space="preserve">means: (i) a merger, consolidation, or reorganization in which the pre-transaction stockholders</w:t>
      </w:r>
      <w:r>
        <w:t xml:space="preserve"> </w:t>
      </w:r>
      <w:r>
        <w:rPr>
          <w:b/>
          <w:bCs/>
        </w:rPr>
        <w:t xml:space="preserve">do not retain a majority</w:t>
      </w:r>
      <w:r>
        <w:t xml:space="preserve"> </w:t>
      </w:r>
      <w:r>
        <w:t xml:space="preserve">of the voting power of the surviving or resulting entity; (ii) a sale, lease, exclusive license, or other disposition of all or substantially all assets; or (iii) a transaction or series of transactions resulting in the transfer of</w:t>
      </w:r>
      <w:r>
        <w:t xml:space="preserve"> </w:t>
      </w:r>
      <w:r>
        <w:rPr>
          <w:b/>
          <w:bCs/>
        </w:rPr>
        <w:t xml:space="preserve">more than fifty percent (50%)</w:t>
      </w:r>
      <w:r>
        <w:t xml:space="preserve"> </w:t>
      </w:r>
      <w:r>
        <w:t xml:space="preserve">of the outstanding voting power.</w:t>
      </w:r>
    </w:p>
    <w:p>
      <w:pPr>
        <w:pStyle w:val="BodyText"/>
      </w:pPr>
      <w:r>
        <w:t xml:space="preserve">The SHA and Voting Agreement definitions are</w:t>
      </w:r>
      <w:r>
        <w:t xml:space="preserve"> </w:t>
      </w:r>
      <w:r>
        <w:rPr>
          <w:b/>
          <w:bCs/>
        </w:rPr>
        <w:t xml:space="preserve">identical</w:t>
      </w:r>
      <w:r>
        <w:t xml:space="preserve"> </w:t>
      </w:r>
      <w:r>
        <w:t xml:space="preserve">to each other—favorable for consistency between those two agreements.</w:t>
      </w:r>
    </w:p>
    <w:bookmarkEnd w:id="55"/>
    <w:bookmarkStart w:id="56" w:name="X0c638312fb0f448f66b83f49fc2fac5002f762e"/>
    <w:p>
      <w:pPr>
        <w:pStyle w:val="Heading3"/>
      </w:pPr>
      <w:r>
        <w:t xml:space="preserve">C.</w:t>
      </w:r>
      <w:r>
        <w:t xml:space="preserve"> </w:t>
      </w:r>
      <w:r>
        <w:t xml:space="preserve">“</w:t>
      </w:r>
      <w:r>
        <w:t xml:space="preserve">Deemed Liquidation Event</w:t>
      </w:r>
      <w:r>
        <w:t xml:space="preserve">”</w:t>
      </w:r>
      <w:r>
        <w:t xml:space="preserve"> </w:t>
      </w:r>
      <w:r>
        <w:t xml:space="preserve">(RRA Section 9(c))</w:t>
      </w:r>
    </w:p>
    <w:p>
      <w:pPr>
        <w:pStyle w:val="FirstParagraph"/>
      </w:pPr>
      <w:r>
        <w:t xml:space="preserve">The RRA terminates per-Holder upon</w:t>
      </w:r>
      <w:r>
        <w:t xml:space="preserve"> </w:t>
      </w:r>
      <w:r>
        <w:t xml:space="preserve">“</w:t>
      </w:r>
      <w:r>
        <w:t xml:space="preserve">a Deemed Liquidation Event.</w:t>
      </w:r>
      <w:r>
        <w:t xml:space="preserve">”</w:t>
      </w:r>
      <w:r>
        <w:t xml:space="preserve"> </w:t>
      </w:r>
      <w:r>
        <w:rPr>
          <w:b/>
          <w:bCs/>
        </w:rPr>
        <w:t xml:space="preserve">The RRA does not define</w:t>
      </w:r>
      <w:r>
        <w:rPr>
          <w:b/>
          <w:bCs/>
        </w:rPr>
        <w:t xml:space="preserve"> </w:t>
      </w:r>
      <w:r>
        <w:rPr>
          <w:b/>
          <w:bCs/>
        </w:rPr>
        <w:t xml:space="preserve">“</w:t>
      </w:r>
      <w:r>
        <w:rPr>
          <w:b/>
          <w:bCs/>
        </w:rPr>
        <w:t xml:space="preserve">Deemed Liquidation Event.</w:t>
      </w:r>
      <w:r>
        <w:rPr>
          <w:b/>
          <w:bCs/>
        </w:rPr>
        <w:t xml:space="preserve">”</w:t>
      </w:r>
      <w:r>
        <w:t xml:space="preserve"> </w:t>
      </w:r>
      <w:r>
        <w:t xml:space="preserve">The RRA’s definitions section (Section 1) does not include the term, and no other RRA provision defines it. This is the most significant definitional gap.</w:t>
      </w:r>
    </w:p>
    <w:bookmarkEnd w:id="56"/>
    <w:bookmarkStart w:id="57" w:name="d.-identified-inconsistencies-and-gaps"/>
    <w:p>
      <w:pPr>
        <w:pStyle w:val="Heading3"/>
      </w:pPr>
      <w:r>
        <w:t xml:space="preserve">D. Identified Inconsistencies and Gaps</w:t>
      </w:r>
    </w:p>
    <w:p>
      <w:pPr>
        <w:numPr>
          <w:ilvl w:val="0"/>
          <w:numId w:val="1011"/>
        </w:numPr>
      </w:pPr>
      <w:r>
        <w:rPr>
          <w:b/>
          <w:bCs/>
        </w:rPr>
        <w:t xml:space="preserve">The 50% vs. </w:t>
      </w:r>
      <w:r>
        <w:rPr>
          <w:b/>
          <w:bCs/>
        </w:rPr>
        <w:t xml:space="preserve">“</w:t>
      </w:r>
      <w:r>
        <w:rPr>
          <w:b/>
          <w:bCs/>
        </w:rPr>
        <w:t xml:space="preserve">majority</w:t>
      </w:r>
      <w:r>
        <w:rPr>
          <w:b/>
          <w:bCs/>
        </w:rPr>
        <w:t xml:space="preserve">”</w:t>
      </w:r>
      <w:r>
        <w:rPr>
          <w:b/>
          <w:bCs/>
        </w:rPr>
        <w:t xml:space="preserve"> </w:t>
      </w:r>
      <w:r>
        <w:rPr>
          <w:b/>
          <w:bCs/>
        </w:rPr>
        <w:t xml:space="preserve">threshold gap (merger prong).</w:t>
      </w:r>
      <w:r>
        <w:t xml:space="preserve"> </w:t>
      </w:r>
      <w:r>
        <w:t xml:space="preserve">The Charter’s Liquidation Event merger prong (Section 4.3.2(d)(i)) excludes mergers in which the pre-transaction stockholders retain</w:t>
      </w:r>
      <w:r>
        <w:t xml:space="preserve"> </w:t>
      </w:r>
      <w:r>
        <w:rPr>
          <w:b/>
          <w:bCs/>
        </w:rPr>
        <w:t xml:space="preserve">at least 50%</w:t>
      </w:r>
      <w:r>
        <w:t xml:space="preserve"> </w:t>
      </w:r>
      <w:r>
        <w:t xml:space="preserve">of the voting power (i.e., retention of ≥50% means it is</w:t>
      </w:r>
      <w:r>
        <w:t xml:space="preserve"> </w:t>
      </w:r>
      <w:r>
        <w:rPr>
          <w:i/>
          <w:iCs/>
        </w:rPr>
        <w:t xml:space="preserve">not</w:t>
      </w:r>
      <w:r>
        <w:t xml:space="preserve"> </w:t>
      </w:r>
      <w:r>
        <w:t xml:space="preserve">a Liquidation Event). The SHA/Voting Agreement Sale of the Company merger prong excludes mergers in which the pre-transaction stockholders</w:t>
      </w:r>
      <w:r>
        <w:t xml:space="preserve"> </w:t>
      </w:r>
      <w:r>
        <w:rPr>
          <w:b/>
          <w:bCs/>
        </w:rPr>
        <w:t xml:space="preserve">retain a majority</w:t>
      </w:r>
      <w:r>
        <w:t xml:space="preserve"> </w:t>
      </w:r>
      <w:r>
        <w:t xml:space="preserve">(i.e., &gt;50%) of the voting power (i.e., retention of &gt;50% means it is</w:t>
      </w:r>
      <w:r>
        <w:t xml:space="preserve"> </w:t>
      </w:r>
      <w:r>
        <w:rPr>
          <w:i/>
          <w:iCs/>
        </w:rPr>
        <w:t xml:space="preserve">not</w:t>
      </w:r>
      <w:r>
        <w:t xml:space="preserve"> </w:t>
      </w:r>
      <w:r>
        <w:t xml:space="preserve">a Sale of the Company). At exactly 50% retention, the transaction would</w:t>
      </w:r>
      <w:r>
        <w:t xml:space="preserve"> </w:t>
      </w:r>
      <w:r>
        <w:rPr>
          <w:b/>
          <w:bCs/>
        </w:rPr>
        <w:t xml:space="preserve">not</w:t>
      </w:r>
      <w:r>
        <w:t xml:space="preserve"> </w:t>
      </w:r>
      <w:r>
        <w:t xml:space="preserve">be a Liquidation Event under the Charter (50% is</w:t>
      </w:r>
      <w:r>
        <w:t xml:space="preserve"> </w:t>
      </w:r>
      <w:r>
        <w:t xml:space="preserve">“</w:t>
      </w:r>
      <w:r>
        <w:t xml:space="preserve">at least 50%</w:t>
      </w:r>
      <w:r>
        <w:t xml:space="preserve">”</w:t>
      </w:r>
      <w:r>
        <w:t xml:space="preserve">) but</w:t>
      </w:r>
      <w:r>
        <w:t xml:space="preserve"> </w:t>
      </w:r>
      <w:r>
        <w:rPr>
          <w:b/>
          <w:bCs/>
        </w:rPr>
        <w:t xml:space="preserve">would</w:t>
      </w:r>
      <w:r>
        <w:t xml:space="preserve"> </w:t>
      </w:r>
      <w:r>
        <w:t xml:space="preserve">be a Sale of the Company under the SHA/Voting Agreement (50% is not</w:t>
      </w:r>
      <w:r>
        <w:t xml:space="preserve"> </w:t>
      </w:r>
      <w:r>
        <w:t xml:space="preserve">“</w:t>
      </w:r>
      <w:r>
        <w:t xml:space="preserve">a majority</w:t>
      </w:r>
      <w:r>
        <w:t xml:space="preserve">”</w:t>
      </w:r>
      <w:r>
        <w:t xml:space="preserve">). This creates a narrow window of inconsistency at the 50% boundary.</w:t>
      </w:r>
      <w:r>
        <w:t xml:space="preserve"> </w:t>
      </w:r>
      <w:r>
        <w:rPr>
          <w:b/>
          <w:bCs/>
        </w:rPr>
        <w:t xml:space="preserve">For the Hargrove Transaction (0% retention), both definitions are triggered, so this gap has no practical effect on the Transaction.</w:t>
      </w:r>
      <w:r>
        <w:t xml:space="preserve"> </w:t>
      </w:r>
      <w:r>
        <w:t xml:space="preserve">It is, however, a latent inconsistency that could matter in other structures and should be noted.</w:t>
      </w:r>
    </w:p>
    <w:p>
      <w:pPr>
        <w:numPr>
          <w:ilvl w:val="0"/>
          <w:numId w:val="1011"/>
        </w:numPr>
      </w:pPr>
      <w:r>
        <w:rPr>
          <w:b/>
          <w:bCs/>
        </w:rPr>
        <w:t xml:space="preserve">The</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gap (RRA).</w:t>
      </w:r>
      <w:r>
        <w:t xml:space="preserve"> </w:t>
      </w:r>
      <w:r>
        <w:t xml:space="preserve">The undefined</w:t>
      </w:r>
      <w:r>
        <w:t xml:space="preserve"> </w:t>
      </w:r>
      <w:r>
        <w:t xml:space="preserve">“</w:t>
      </w:r>
      <w:r>
        <w:t xml:space="preserve">Deemed Liquidation Event</w:t>
      </w:r>
      <w:r>
        <w:t xml:space="preserve">”</w:t>
      </w:r>
      <w:r>
        <w:t xml:space="preserve"> </w:t>
      </w:r>
      <w:r>
        <w:t xml:space="preserve">in the RRA is the principal concern. The likely intent is that</w:t>
      </w:r>
      <w:r>
        <w:t xml:space="preserve"> </w:t>
      </w:r>
      <w:r>
        <w:t xml:space="preserve">“</w:t>
      </w:r>
      <w:r>
        <w:t xml:space="preserve">Deemed Liquidation Event</w:t>
      </w:r>
      <w:r>
        <w:t xml:space="preserve">”</w:t>
      </w:r>
      <w:r>
        <w:t xml:space="preserve"> </w:t>
      </w:r>
      <w:r>
        <w:t xml:space="preserve">incorporates the Charter’s</w:t>
      </w:r>
      <w:r>
        <w:t xml:space="preserve"> </w:t>
      </w:r>
      <w:r>
        <w:t xml:space="preserve">“</w:t>
      </w:r>
      <w:r>
        <w:t xml:space="preserve">Liquidation Event</w:t>
      </w:r>
      <w:r>
        <w:t xml:space="preserve">”</w:t>
      </w:r>
      <w:r>
        <w:t xml:space="preserve"> </w:t>
      </w:r>
      <w:r>
        <w:t xml:space="preserve">definition (the term</w:t>
      </w:r>
      <w:r>
        <w:t xml:space="preserve"> </w:t>
      </w:r>
      <w:r>
        <w:t xml:space="preserve">“</w:t>
      </w:r>
      <w:r>
        <w:t xml:space="preserve">deemed liquidation event</w:t>
      </w:r>
      <w:r>
        <w:t xml:space="preserve">”</w:t>
      </w:r>
      <w:r>
        <w:t xml:space="preserve"> </w:t>
      </w:r>
      <w:r>
        <w:t xml:space="preserve">is conventionally used to refer to a charter’s deemed-liquidation-on-merger provision). Under that interpretation, the Transaction (a Liquidation Event under Section 4.3.2(d)(i)) would terminate the RRA per-Holder under Section 9(c). However, because the term is undefined, a Holder could argue that the RRA’s termination trigger is ambiguous and that registration rights survive the Transaction.</w:t>
      </w:r>
      <w:r>
        <w:t xml:space="preserve"> </w:t>
      </w:r>
      <w:r>
        <w:rPr>
          <w:b/>
          <w:bCs/>
        </w:rPr>
        <w:t xml:space="preserve">This gap must be addressed in the merger agreement</w:t>
      </w:r>
      <w:r>
        <w:t xml:space="preserve"> </w:t>
      </w:r>
      <w:r>
        <w:t xml:space="preserve">(Area 10).</w:t>
      </w:r>
    </w:p>
    <w:p>
      <w:pPr>
        <w:numPr>
          <w:ilvl w:val="0"/>
          <w:numId w:val="1011"/>
        </w:numPr>
      </w:pPr>
      <w:r>
        <w:rPr>
          <w:b/>
          <w:bCs/>
        </w:rPr>
        <w:t xml:space="preserve">Asset-disposition prong differences.</w:t>
      </w:r>
      <w:r>
        <w:t xml:space="preserve"> </w:t>
      </w:r>
      <w:r>
        <w:t xml:space="preserve">The Charter’s asset prong (Section 4.3.2(d)(ii)) covers</w:t>
      </w:r>
      <w:r>
        <w:t xml:space="preserve"> </w:t>
      </w:r>
      <w:r>
        <w:t xml:space="preserve">“</w:t>
      </w:r>
      <w:r>
        <w:t xml:space="preserve">sale, lease, transfer, exclusive license, or other disposition … of all or substantially all of the assets.</w:t>
      </w:r>
      <w:r>
        <w:t xml:space="preserve">”</w:t>
      </w:r>
      <w:r>
        <w:t xml:space="preserve"> </w:t>
      </w:r>
      <w:r>
        <w:t xml:space="preserve">The SHA/Voting Agreement asset prong (clause (ii)) is substantively similar (</w:t>
      </w:r>
      <w:r>
        <w:t xml:space="preserve">“</w:t>
      </w:r>
      <w:r>
        <w:t xml:space="preserve">sale, lease, exclusive license, or other disposition of all or substantially all of the assets</w:t>
      </w:r>
      <w:r>
        <w:t xml:space="preserve">”</w:t>
      </w:r>
      <w:r>
        <w:t xml:space="preserve">). No material difference.</w:t>
      </w:r>
    </w:p>
    <w:p>
      <w:pPr>
        <w:numPr>
          <w:ilvl w:val="0"/>
          <w:numId w:val="1011"/>
        </w:numPr>
      </w:pPr>
      <w:r>
        <w:rPr>
          <w:b/>
          <w:bCs/>
        </w:rPr>
        <w:t xml:space="preserve">Voting-power transfer prong differences.</w:t>
      </w:r>
      <w:r>
        <w:t xml:space="preserve"> </w:t>
      </w:r>
      <w:r>
        <w:t xml:space="preserve">The Charter (Section 4.3.2(d)(iii)) refers to</w:t>
      </w:r>
      <w:r>
        <w:t xml:space="preserve"> </w:t>
      </w:r>
      <w:r>
        <w:t xml:space="preserve">“</w:t>
      </w:r>
      <w:r>
        <w:t xml:space="preserve">transfer or issuance of equity securities representing more than 50% of the voting power</w:t>
      </w:r>
      <w:r>
        <w:t xml:space="preserve">”</w:t>
      </w:r>
      <w:r>
        <w:t xml:space="preserve"> </w:t>
      </w:r>
      <w:r>
        <w:t xml:space="preserve">(excluding equity financings). The SHA/Voting Agreement (clause (iii)) refer to</w:t>
      </w:r>
      <w:r>
        <w:t xml:space="preserve"> </w:t>
      </w:r>
      <w:r>
        <w:t xml:space="preserve">“</w:t>
      </w:r>
      <w:r>
        <w:t xml:space="preserve">transfer of more than 50% of the outstanding voting power.</w:t>
      </w:r>
      <w:r>
        <w:t xml:space="preserve">”</w:t>
      </w:r>
      <w:r>
        <w:t xml:space="preserve"> </w:t>
      </w:r>
      <w:r>
        <w:t xml:space="preserve">The Charter’s inclusion of</w:t>
      </w:r>
      <w:r>
        <w:t xml:space="preserve"> </w:t>
      </w:r>
      <w:r>
        <w:t xml:space="preserve">“</w:t>
      </w:r>
      <w:r>
        <w:t xml:space="preserve">issuance</w:t>
      </w:r>
      <w:r>
        <w:t xml:space="preserve">”</w:t>
      </w:r>
      <w:r>
        <w:t xml:space="preserve"> </w:t>
      </w:r>
      <w:r>
        <w:t xml:space="preserve">and its express exclusion of equity financings are not mirrored in the SHA/Voting Agreement. Minor difference; not implicated by the Transaction.</w:t>
      </w:r>
    </w:p>
    <w:bookmarkEnd w:id="57"/>
    <w:bookmarkStart w:id="58" w:name="e.-practical-effect-on-the-transaction"/>
    <w:p>
      <w:pPr>
        <w:pStyle w:val="Heading3"/>
      </w:pPr>
      <w:r>
        <w:t xml:space="preserve">E. Practical Effect on the Transaction</w:t>
      </w:r>
    </w:p>
    <w:p>
      <w:pPr>
        <w:pStyle w:val="FirstParagraph"/>
      </w:pPr>
      <w:r>
        <w:t xml:space="preserve">For the Hargrove Transaction, all three defined terms (properly interpreted) are triggered: the Transaction is a Liquidation Event (Charter), a Sale of the Company (SHA and Voting Agreement), and—under the intended interpretation—a Deemed Liquidation Event (RRA). The inconsistencies are therefore not deal-blocking for this Transaction, but the RRA’s undefined term creates a termination-risk that must be cured contractually. We recommend that the merger agreement (i) recite that the Transaction constitutes a Liquidation Event, a Sale of the Company, and a Deemed Liquidation Event (as such term is understood to incorporate the Charter’s Liquidation Event definition), and (ii) include express terminations of the SHA, Voting Agreement, and RRA at the effective time.</w:t>
      </w:r>
    </w:p>
    <w:p>
      <w:r>
        <w:pict>
          <v:rect style="width:0;height:1.5pt" o:hralign="center" o:hrstd="t" o:hr="t"/>
        </w:pict>
      </w:r>
    </w:p>
    <w:bookmarkEnd w:id="58"/>
    <w:bookmarkEnd w:id="59"/>
    <w:bookmarkStart w:id="64" w:name="Xddf491ef2aac7fc97d27e86900efb90057ed2e1"/>
    <w:p>
      <w:pPr>
        <w:pStyle w:val="Heading2"/>
      </w:pPr>
      <w:r>
        <w:t xml:space="preserve">VIII. Area 7 — Outstanding Equity Awards and Change-of-Control Acceleration</w:t>
      </w:r>
    </w:p>
    <w:bookmarkStart w:id="60" w:name="X5f5d25bd92dbabb939e627d35091e2cf51426a6"/>
    <w:p>
      <w:pPr>
        <w:pStyle w:val="Heading3"/>
      </w:pPr>
      <w:r>
        <w:t xml:space="preserve">A. Known Equity Awards (from Board Minutes)</w:t>
      </w:r>
    </w:p>
    <w:p>
      <w:pPr>
        <w:pStyle w:val="FirstParagraph"/>
      </w:pPr>
      <w:r>
        <w:t xml:space="preserve">The Board Minutes reference the following equity awards under the Company’s 2021 Equity Incentive Plan (the</w:t>
      </w:r>
      <w:r>
        <w:t xml:space="preserve"> </w:t>
      </w:r>
      <w:r>
        <w:t xml:space="preserve">“</w:t>
      </w:r>
      <w:r>
        <w:t xml:space="preserve">Plan</w:t>
      </w:r>
      <w:r>
        <w:t xml:space="preserve">”</w:t>
      </w:r>
      <w:r>
        <w:t xml:space="preserve">):</w:t>
      </w:r>
    </w:p>
    <w:p>
      <w:pPr>
        <w:pStyle w:val="Compact"/>
        <w:numPr>
          <w:ilvl w:val="0"/>
          <w:numId w:val="1012"/>
        </w:numPr>
      </w:pPr>
      <w:r>
        <w:rPr>
          <w:b/>
          <w:bCs/>
        </w:rPr>
        <w:t xml:space="preserve">Raj Malhotra (VP of Engineering):</w:t>
      </w:r>
      <w:r>
        <w:t xml:space="preserve"> </w:t>
      </w:r>
      <w:r>
        <w:t xml:space="preserve">350,000 stock options, exercise price $14.30 per share, four-year vesting with a one-year cliff (25% on the first anniversary, monthly thereafter), granted April 12, 2023.</w:t>
      </w:r>
    </w:p>
    <w:p>
      <w:pPr>
        <w:pStyle w:val="Compact"/>
        <w:numPr>
          <w:ilvl w:val="0"/>
          <w:numId w:val="1012"/>
        </w:numPr>
      </w:pPr>
      <w:r>
        <w:rPr>
          <w:b/>
          <w:bCs/>
        </w:rPr>
        <w:t xml:space="preserve">Linda Yeung (CFO):</w:t>
      </w:r>
      <w:r>
        <w:t xml:space="preserve"> </w:t>
      </w:r>
      <w:r>
        <w:t xml:space="preserve">200,000 RSUs, three-year vesting (one-third per anniversary), fair market value $14.30 per share, granted April 17, 2024.</w:t>
      </w:r>
    </w:p>
    <w:p>
      <w:pPr>
        <w:pStyle w:val="FirstParagraph"/>
      </w:pPr>
      <w:r>
        <w:t xml:space="preserve">The Plan was adopted on November 3, 2021. The Plan’s share reserve was increased from 8,000,000 to 9,500,000 shares (a 1,500,000-share increase) at the July 19, 2023 Board meeting.</w:t>
      </w:r>
    </w:p>
    <w:bookmarkEnd w:id="60"/>
    <w:bookmarkStart w:id="61" w:name="Xeffdb1c1725b9a789ae958fdc3ed33068e0c682"/>
    <w:p>
      <w:pPr>
        <w:pStyle w:val="Heading3"/>
      </w:pPr>
      <w:r>
        <w:t xml:space="preserve">B. Document Gap — Plan and Award Agreements Not Received</w:t>
      </w:r>
    </w:p>
    <w:p>
      <w:pPr>
        <w:pStyle w:val="FirstParagraph"/>
      </w:pPr>
      <w:r>
        <w:rPr>
          <w:b/>
          <w:bCs/>
        </w:rPr>
        <w:t xml:space="preserve">We have not received the 2021 Equity Incentive Plan or any individual award agreements (option agreements, RSU agreements).</w:t>
      </w:r>
      <w:r>
        <w:t xml:space="preserve"> </w:t>
      </w:r>
      <w:r>
        <w:t xml:space="preserve">This is a critical document gap. Until we review the Plan and the award agreements, we cannot determine:</w:t>
      </w:r>
    </w:p>
    <w:p>
      <w:pPr>
        <w:pStyle w:val="Compact"/>
        <w:numPr>
          <w:ilvl w:val="0"/>
          <w:numId w:val="1013"/>
        </w:numPr>
      </w:pPr>
      <w:r>
        <w:rPr>
          <w:b/>
          <w:bCs/>
        </w:rPr>
        <w:t xml:space="preserve">Whether the merger constitutes a</w:t>
      </w:r>
      <w:r>
        <w:rPr>
          <w:b/>
          <w:bCs/>
        </w:rPr>
        <w:t xml:space="preserve"> </w:t>
      </w:r>
      <w:r>
        <w:rPr>
          <w:b/>
          <w:bCs/>
        </w:rPr>
        <w:t xml:space="preserve">“</w:t>
      </w:r>
      <w:r>
        <w:rPr>
          <w:b/>
          <w:bCs/>
        </w:rPr>
        <w:t xml:space="preserve">change of control</w:t>
      </w:r>
      <w:r>
        <w:rPr>
          <w:b/>
          <w:bCs/>
        </w:rPr>
        <w:t xml:space="preserve">”</w:t>
      </w:r>
      <w:r>
        <w:t xml:space="preserve"> </w:t>
      </w:r>
      <w:r>
        <w:t xml:space="preserve">(or</w:t>
      </w:r>
      <w:r>
        <w:t xml:space="preserve"> </w:t>
      </w:r>
      <w:r>
        <w:t xml:space="preserve">“</w:t>
      </w:r>
      <w:r>
        <w:t xml:space="preserve">change in control,</w:t>
      </w:r>
      <w:r>
        <w:t xml:space="preserve">”</w:t>
      </w:r>
      <w:r>
        <w:t xml:space="preserve"> </w:t>
      </w:r>
      <w:r>
        <w:t xml:space="preserve">“</w:t>
      </w:r>
      <w:r>
        <w:t xml:space="preserve">qualifying transaction,</w:t>
      </w:r>
      <w:r>
        <w:t xml:space="preserve">”</w:t>
      </w:r>
      <w:r>
        <w:t xml:space="preserve"> </w:t>
      </w:r>
      <w:r>
        <w:t xml:space="preserve">or similar defined term) under the Plan and the award agreements. The defined term and its scope vary by plan.</w:t>
      </w:r>
    </w:p>
    <w:p>
      <w:pPr>
        <w:pStyle w:val="Compact"/>
        <w:numPr>
          <w:ilvl w:val="0"/>
          <w:numId w:val="1013"/>
        </w:numPr>
      </w:pPr>
      <w:r>
        <w:rPr>
          <w:b/>
          <w:bCs/>
        </w:rPr>
        <w:t xml:space="preserve">Whether unvested awards accelerate on a single-trigger or double-trigger basis</w:t>
      </w:r>
      <w:r>
        <w:t xml:space="preserve"> </w:t>
      </w:r>
      <w:r>
        <w:t xml:space="preserve">upon a change of control. Single-trigger acceleration (full acceleration upon the closing of a change-of-control transaction) would cause all unvested options and RSUs to vest immediately prior to (or at) the effective time, increasing the fully diluted share count and the aggregate merger consideration payable to award holders. Double-trigger acceleration (requiring both a change of control and a qualifying termination of employment) would generally not accelerate awards at closing, leaving unvested awards to be assumed, cashed out, or rolled over by the Buyer.</w:t>
      </w:r>
    </w:p>
    <w:p>
      <w:pPr>
        <w:pStyle w:val="Compact"/>
        <w:numPr>
          <w:ilvl w:val="0"/>
          <w:numId w:val="1013"/>
        </w:numPr>
      </w:pPr>
      <w:r>
        <w:rPr>
          <w:b/>
          <w:bCs/>
        </w:rPr>
        <w:t xml:space="preserve">The treatment of awards at the effective time</w:t>
      </w:r>
      <w:r>
        <w:t xml:space="preserve">—whether the Buyer must assume, cash out, or roll over outstanding awards, and whether the Plan permits cashout of awards in connection with a merger.</w:t>
      </w:r>
    </w:p>
    <w:p>
      <w:pPr>
        <w:pStyle w:val="Compact"/>
        <w:numPr>
          <w:ilvl w:val="0"/>
          <w:numId w:val="1013"/>
        </w:numPr>
      </w:pPr>
      <w:r>
        <w:rPr>
          <w:b/>
          <w:bCs/>
        </w:rPr>
        <w:t xml:space="preserve">The aggregate dollar impact of any acceleration</w:t>
      </w:r>
      <w:r>
        <w:t xml:space="preserve"> </w:t>
      </w:r>
      <w:r>
        <w:t xml:space="preserve">on deal economics. Based on the awards disclosed, the potential exposure is bounded but not yet quantifiable: 350,000 options at a $14.30 exercise price and 200,000 RSUs at a $14.30 fair market value. If the merger consideration per share (approximately $12.59 on an as-converted basis, subject to the waterfall) exceeds the $14.30 exercise price, the options would be underwater and acceleration would have limited incremental cost (the options might be cancelled for no consideration or for a spread, depending on the Plan). The RSUs, if accelerated, would receive the per-share merger consideration.</w:t>
      </w:r>
      <w:r>
        <w:t xml:space="preserve"> </w:t>
      </w:r>
      <w:r>
        <w:rPr>
          <w:b/>
          <w:bCs/>
        </w:rPr>
        <w:t xml:space="preserve">We need the Plan and award agreements to quantify this.</w:t>
      </w:r>
    </w:p>
    <w:bookmarkEnd w:id="61"/>
    <w:bookmarkStart w:id="62" w:name="X311e34734f3f45202adca4f5fe6bb396ac90214"/>
    <w:p>
      <w:pPr>
        <w:pStyle w:val="Heading3"/>
      </w:pPr>
      <w:r>
        <w:t xml:space="preserve">C. Share Reserve Increase — Stockholder Approval (July 2023)</w:t>
      </w:r>
    </w:p>
    <w:p>
      <w:pPr>
        <w:pStyle w:val="FirstParagraph"/>
      </w:pPr>
      <w:r>
        <w:t xml:space="preserve">At the July 19, 2023 Board meeting, the Board approved an amendment to the Plan increasing the share reserve from 8,000,000 to 9,500,000 shares. The minutes reflect that outside counsel (Mr. Rourke) advised that the amendment</w:t>
      </w:r>
      <w:r>
        <w:t xml:space="preserve"> </w:t>
      </w:r>
      <w:r>
        <w:t xml:space="preserve">“</w:t>
      </w:r>
      <w:r>
        <w:t xml:space="preserve">required Board approval,</w:t>
      </w:r>
      <w:r>
        <w:t xml:space="preserve">”</w:t>
      </w:r>
      <w:r>
        <w:t xml:space="preserve"> </w:t>
      </w:r>
      <w:r>
        <w:t xml:space="preserve">but</w:t>
      </w:r>
      <w:r>
        <w:t xml:space="preserve"> </w:t>
      </w:r>
      <w:r>
        <w:rPr>
          <w:b/>
          <w:bCs/>
        </w:rPr>
        <w:t xml:space="preserve">the minutes do not reflect that stockholder approval was obtained.</w:t>
      </w:r>
    </w:p>
    <w:p>
      <w:pPr>
        <w:pStyle w:val="BodyText"/>
      </w:pPr>
      <w:r>
        <w:t xml:space="preserve">This raises two questions:</w:t>
      </w:r>
    </w:p>
    <w:p>
      <w:pPr>
        <w:numPr>
          <w:ilvl w:val="0"/>
          <w:numId w:val="1014"/>
        </w:numPr>
      </w:pPr>
      <w:r>
        <w:rPr>
          <w:b/>
          <w:bCs/>
        </w:rPr>
        <w:t xml:space="preserve">Plan-level approval.</w:t>
      </w:r>
      <w:r>
        <w:t xml:space="preserve"> </w:t>
      </w:r>
      <w:r>
        <w:t xml:space="preserve">The Plan itself typically specifies the approval requirements for amendments, including share-reserve increases. Many equity incentive plans require stockholder approval for share-reserve increases (both as a matter of plan design and to preserve favorable tax treatment for incentive stock options under Section 422 of the Internal Revenue Code, and to comply with stock-exchange listing rules if the company is or becomes public).</w:t>
      </w:r>
      <w:r>
        <w:t xml:space="preserve"> </w:t>
      </w:r>
      <w:r>
        <w:rPr>
          <w:b/>
          <w:bCs/>
        </w:rPr>
        <w:t xml:space="preserve">We must review the Plan to determine whether stockholder approval was required for the share-reserve increase and, if so, whether it was obtained.</w:t>
      </w:r>
    </w:p>
    <w:p>
      <w:pPr>
        <w:numPr>
          <w:ilvl w:val="0"/>
          <w:numId w:val="1014"/>
        </w:numPr>
      </w:pPr>
      <w:r>
        <w:rPr>
          <w:b/>
          <w:bCs/>
        </w:rPr>
        <w:t xml:space="preserve">Charter protective provisions.</w:t>
      </w:r>
      <w:r>
        <w:t xml:space="preserve"> </w:t>
      </w:r>
      <w:r>
        <w:t xml:space="preserve">The Charter’s protective provisions do not, on their face, restrict the issuance of Common Stock under a Board-approved equity incentive plan. Section 4.3.4(b)(i) expressly exempts from anti-dilution adjustment the issuance of Common Stock (or options/warrants) to employees, officers, directors, or consultants pursuant to equity incentive plans approved by the Board, including at least one director elected by the Preferred holders. Because the Board includes Preferred designees (the Series A, B, and C Directors), issuances under the Plan are exempt from anti-dilution adjustment. The share-reserve increase itself is a Plan amendment, not an issuance; it does not appear to trigger a Charter protective provision.</w:t>
      </w:r>
      <w:r>
        <w:t xml:space="preserve"> </w:t>
      </w:r>
      <w:r>
        <w:rPr>
          <w:b/>
          <w:bCs/>
        </w:rPr>
        <w:t xml:space="preserve">However, if the share-reserve increase required stockholder approval under the Plan and such approval was not obtained, the increase (and grants made from the increased reserve) could be challenged as invalid.</w:t>
      </w:r>
      <w:r>
        <w:t xml:space="preserve"> </w:t>
      </w:r>
      <w:r>
        <w:t xml:space="preserve">This is a gap to confirm.</w:t>
      </w:r>
    </w:p>
    <w:bookmarkEnd w:id="62"/>
    <w:bookmarkStart w:id="63" w:name="d.-recommendation"/>
    <w:p>
      <w:pPr>
        <w:pStyle w:val="Heading3"/>
      </w:pPr>
      <w:r>
        <w:t xml:space="preserve">D. Recommendation</w:t>
      </w:r>
    </w:p>
    <w:p>
      <w:pPr>
        <w:pStyle w:val="FirstParagraph"/>
      </w:pPr>
      <w:r>
        <w:t xml:space="preserve">Request the 2021 Equity Incentive Plan (as amended), all individual award agreements, the 409A valuation reports referenced in the minutes, and the stockholder consent records (if any) relating to the Plan and the share-reserve increase. Until these are produced, the change-of-control acceleration analysis and its dollar impact cannot be completed.</w:t>
      </w:r>
    </w:p>
    <w:p>
      <w:r>
        <w:pict>
          <v:rect style="width:0;height:1.5pt" o:hralign="center" o:hrstd="t" o:hr="t"/>
        </w:pict>
      </w:r>
    </w:p>
    <w:bookmarkEnd w:id="63"/>
    <w:bookmarkEnd w:id="64"/>
    <w:bookmarkStart w:id="69" w:name="X316cad0c881cd794ca2c1d7b1892b9ad412d6f6"/>
    <w:p>
      <w:pPr>
        <w:pStyle w:val="Heading2"/>
      </w:pPr>
      <w:r>
        <w:t xml:space="preserve">IX. Area 8 — Authorization of Corporate Actions: Board Minutes Review</w:t>
      </w:r>
    </w:p>
    <w:p>
      <w:pPr>
        <w:pStyle w:val="FirstParagraph"/>
      </w:pPr>
      <w:r>
        <w:t xml:space="preserve">We reviewed all eight sets of Board Minutes (January 18, 2023 through September 25, 2024). The following items require attention.</w:t>
      </w:r>
    </w:p>
    <w:bookmarkStart w:id="65" w:name="X8e41f528a48f3c911bb6be034da7723a7e71cf6"/>
    <w:p>
      <w:pPr>
        <w:pStyle w:val="Heading3"/>
      </w:pPr>
      <w:r>
        <w:t xml:space="preserve">A. Equity Plan Share Reserve Increase (July 19, 2023)</w:t>
      </w:r>
    </w:p>
    <w:p>
      <w:pPr>
        <w:pStyle w:val="FirstParagraph"/>
      </w:pPr>
      <w:r>
        <w:t xml:space="preserve">As detailed in Area 7, the Board approved an increase to the Plan’s share reserve from 8,000,000 to 9,500,000 shares. The minutes reflect Board approval (7-0) but do not reflect stockholder approval.</w:t>
      </w:r>
      <w:r>
        <w:t xml:space="preserve"> </w:t>
      </w:r>
      <w:r>
        <w:rPr>
          <w:b/>
          <w:bCs/>
        </w:rPr>
        <w:t xml:space="preserve">Confirm whether stockholder approval was required under the Plan and, if so, whether it was obtained.</w:t>
      </w:r>
      <w:r>
        <w:t xml:space="preserve"> </w:t>
      </w:r>
      <w:r>
        <w:t xml:space="preserve">If stockholder approval was required and not obtained, the validity of the increase and subsequent grants from the increased reserve is questionable.</w:t>
      </w:r>
      <w:r>
        <w:t xml:space="preserve"> </w:t>
      </w:r>
      <w:r>
        <w:rPr>
          <w:b/>
          <w:bCs/>
        </w:rPr>
        <w:t xml:space="preserve">Severity: Significant</w:t>
      </w:r>
      <w:r>
        <w:t xml:space="preserve"> </w:t>
      </w:r>
      <w:r>
        <w:t xml:space="preserve">(pending Plan review).</w:t>
      </w:r>
    </w:p>
    <w:bookmarkEnd w:id="65"/>
    <w:bookmarkStart w:id="66" w:name="Xf1fde9686521239ec375c823b885cf8f30761ec"/>
    <w:p>
      <w:pPr>
        <w:pStyle w:val="Heading3"/>
      </w:pPr>
      <w:r>
        <w:t xml:space="preserve">B. Clearfield National Bank Term Loan — Potential Protective Provision Violation (October 11, 2023)</w:t>
      </w:r>
    </w:p>
    <w:p>
      <w:pPr>
        <w:pStyle w:val="FirstParagraph"/>
      </w:pPr>
      <w:r>
        <w:t xml:space="preserve">At the October 11, 2023 Board meeting, the Board approved a secured term loan facility with Clearfield National Bank, N.A. in the aggregate principal amount of</w:t>
      </w:r>
      <w:r>
        <w:t xml:space="preserve"> </w:t>
      </w:r>
      <w:r>
        <w:rPr>
          <w:b/>
          <w:bCs/>
        </w:rPr>
        <w:t xml:space="preserve">$12,000,000</w:t>
      </w:r>
      <w:r>
        <w:t xml:space="preserve">, secured by substantially all of the Company’s assets, with a five-year term, SOFR + 3.50% interest, and customary financial covenants. The proceeds were to be used for working capital, capital expenditures, and general corporate purposes. The resolution was approved 7-0.</w:t>
      </w:r>
    </w:p>
    <w:p>
      <w:pPr>
        <w:pStyle w:val="BodyText"/>
      </w:pPr>
      <w:r>
        <w:rPr>
          <w:b/>
          <w:bCs/>
        </w:rPr>
        <w:t xml:space="preserve">This transaction implicates the Charter’s protective provision on indebtedness (Section 4.3.6(a)(v)).</w:t>
      </w:r>
      <w:r>
        <w:t xml:space="preserve"> </w:t>
      </w:r>
      <w:r>
        <w:t xml:space="preserve">That provision prohibits the Company from incurring, assuming, guaranteeing, or otherwise becoming liable for any indebtedness for borrowed money in excess of</w:t>
      </w:r>
      <w:r>
        <w:t xml:space="preserve"> </w:t>
      </w:r>
      <w:r>
        <w:rPr>
          <w:b/>
          <w:bCs/>
        </w:rPr>
        <w:t xml:space="preserve">$5,000,000</w:t>
      </w:r>
      <w:r>
        <w:t xml:space="preserve"> </w:t>
      </w:r>
      <w:r>
        <w:t xml:space="preserve">in the aggregate outstanding at any time, without the prior written consent or affirmative vote of the holders of a majority of the then-outstanding Preferred Stock (i.e., more than 8,250,000 shares). The provision contains two exceptions: (A) equipment financing or capital leases incurred in the ordinary course of business in an aggregate amount not exceeding $2,000,000, and (B) trade payables incurred in the ordinary course of business.</w:t>
      </w:r>
    </w:p>
    <w:p>
      <w:pPr>
        <w:pStyle w:val="BodyText"/>
      </w:pPr>
      <w:r>
        <w:t xml:space="preserve">The $12 million term loan</w:t>
      </w:r>
      <w:r>
        <w:t xml:space="preserve"> </w:t>
      </w:r>
      <w:r>
        <w:rPr>
          <w:b/>
          <w:bCs/>
        </w:rPr>
        <w:t xml:space="preserve">exceeds the $5 million threshold</w:t>
      </w:r>
      <w:r>
        <w:t xml:space="preserve"> </w:t>
      </w:r>
      <w:r>
        <w:t xml:space="preserve">and does</w:t>
      </w:r>
      <w:r>
        <w:t xml:space="preserve"> </w:t>
      </w:r>
      <w:r>
        <w:rPr>
          <w:b/>
          <w:bCs/>
        </w:rPr>
        <w:t xml:space="preserve">not</w:t>
      </w:r>
      <w:r>
        <w:t xml:space="preserve"> </w:t>
      </w:r>
      <w:r>
        <w:t xml:space="preserve">fit either exception: it is a general secured term loan for working capital and capital expenditures, not equipment financing or capital leases (and in any event exceeds the $2 million sub-limit), and it is not trade payables.</w:t>
      </w:r>
      <w:r>
        <w:t xml:space="preserve"> </w:t>
      </w:r>
      <w:r>
        <w:rPr>
          <w:b/>
          <w:bCs/>
        </w:rPr>
        <w:t xml:space="preserve">Accordingly, the Company was required to obtain the consent of the holders of a majority of the Preferred Stock before entering into the term loan.</w:t>
      </w:r>
    </w:p>
    <w:p>
      <w:pPr>
        <w:pStyle w:val="BodyText"/>
      </w:pPr>
      <w:r>
        <w:rPr>
          <w:b/>
          <w:bCs/>
        </w:rPr>
        <w:t xml:space="preserve">The Board Minutes do not reflect that the required Preferred Stockholder consent was obtained.</w:t>
      </w:r>
      <w:r>
        <w:t xml:space="preserve"> </w:t>
      </w:r>
      <w:r>
        <w:t xml:space="preserve">The minutes show only Board approval. This is a potential protective-provision violation. If the Preferred consent was not obtained, the term loan may be subject to challenge by the Preferred holders—including Stonemill, which (as the holder of 7,800,000 shares of Preferred, more than enough to join a majority) could assert that the Company breached the protective provision.</w:t>
      </w:r>
      <w:r>
        <w:t xml:space="preserve"> </w:t>
      </w:r>
      <w:r>
        <w:rPr>
          <w:b/>
          <w:bCs/>
        </w:rPr>
        <w:t xml:space="preserve">This is a leverage point for Stonemill</w:t>
      </w:r>
      <w:r>
        <w:t xml:space="preserve">: it supports a narrative that the Board has disregarded the Preferred holders’ protective rights, which Stonemill could invoke in any dispute over the Transaction (e.g., to support a breach-of-fiduciary-duty or breach-of-the-Charter claim, or to bolster its argument that the sale process has been conducted without proper regard for the Preferred holders’ rights).</w:t>
      </w:r>
    </w:p>
    <w:p>
      <w:pPr>
        <w:pStyle w:val="BodyText"/>
      </w:pPr>
      <w:r>
        <w:rPr>
          <w:b/>
          <w:bCs/>
        </w:rPr>
        <w:t xml:space="preserve">We must request the stockholder consent records to determine whether the Preferred consent was in fact obtained</w:t>
      </w:r>
      <w:r>
        <w:t xml:space="preserve"> </w:t>
      </w:r>
      <w:r>
        <w:t xml:space="preserve">(it may have been obtained by written consent outside the Board minutes). If it was obtained, the concern is mitigated (though the minutes’ failure to reflect it is a recordkeeping deficiency). If it was not obtained, this is a</w:t>
      </w:r>
      <w:r>
        <w:t xml:space="preserve"> </w:t>
      </w:r>
      <w:r>
        <w:rPr>
          <w:b/>
          <w:bCs/>
        </w:rPr>
        <w:t xml:space="preserve">Critical</w:t>
      </w:r>
      <w:r>
        <w:t xml:space="preserve"> </w:t>
      </w:r>
      <w:r>
        <w:t xml:space="preserve">issue that should be addressed before closing (e.g., through a ratifying consent).</w:t>
      </w:r>
      <w:r>
        <w:t xml:space="preserve"> </w:t>
      </w:r>
      <w:r>
        <w:rPr>
          <w:b/>
          <w:bCs/>
        </w:rPr>
        <w:t xml:space="preserve">Severity: Significant (potentially Critical if consent was not obtained).</w:t>
      </w:r>
    </w:p>
    <w:bookmarkEnd w:id="66"/>
    <w:bookmarkStart w:id="67" w:name="X16d219d62413973eae189e27d3f3b8a1cc553c7"/>
    <w:p>
      <w:pPr>
        <w:pStyle w:val="Heading3"/>
      </w:pPr>
      <w:r>
        <w:t xml:space="preserve">C. SensorLink Technologies LOI — Time-Sensitive Exclusivity Issue (January 24, 2024 / September 25, 2024)</w:t>
      </w:r>
    </w:p>
    <w:p>
      <w:pPr>
        <w:pStyle w:val="FirstParagraph"/>
      </w:pPr>
      <w:r>
        <w:t xml:space="preserve">At the January 24, 2024 Board meeting, the Board authorized the CEO to negotiate and execute a non-binding letter of intent with SensorLink Technologies, Inc. for a potential acquisition of 100% of SensorLink for up to $22,000,000. The Board Minutes and the September 25, 2024 meeting reflect the following:</w:t>
      </w:r>
    </w:p>
    <w:p>
      <w:pPr>
        <w:pStyle w:val="Compact"/>
        <w:numPr>
          <w:ilvl w:val="0"/>
          <w:numId w:val="1015"/>
        </w:numPr>
      </w:pPr>
      <w:r>
        <w:t xml:space="preserve">The SensorLink LOI was</w:t>
      </w:r>
      <w:r>
        <w:t xml:space="preserve"> </w:t>
      </w:r>
      <w:r>
        <w:rPr>
          <w:b/>
          <w:bCs/>
        </w:rPr>
        <w:t xml:space="preserve">executed on March 8, 2024</w:t>
      </w:r>
      <w:r>
        <w:t xml:space="preserve">.</w:t>
      </w:r>
    </w:p>
    <w:p>
      <w:pPr>
        <w:pStyle w:val="Compact"/>
        <w:numPr>
          <w:ilvl w:val="0"/>
          <w:numId w:val="1015"/>
        </w:numPr>
      </w:pPr>
      <w:r>
        <w:t xml:space="preserve">The LOI contained a</w:t>
      </w:r>
      <w:r>
        <w:t xml:space="preserve"> </w:t>
      </w:r>
      <w:r>
        <w:rPr>
          <w:b/>
          <w:bCs/>
        </w:rPr>
        <w:t xml:space="preserve">mutual exclusivity provision</w:t>
      </w:r>
      <w:r>
        <w:t xml:space="preserve"> </w:t>
      </w:r>
      <w:r>
        <w:t xml:space="preserve">with an initial term of</w:t>
      </w:r>
      <w:r>
        <w:t xml:space="preserve"> </w:t>
      </w:r>
      <w:r>
        <w:rPr>
          <w:b/>
          <w:bCs/>
        </w:rPr>
        <w:t xml:space="preserve">six months, expiring on September 8, 2024</w:t>
      </w:r>
      <w:r>
        <w:t xml:space="preserve">.</w:t>
      </w:r>
    </w:p>
    <w:p>
      <w:pPr>
        <w:pStyle w:val="Compact"/>
        <w:numPr>
          <w:ilvl w:val="0"/>
          <w:numId w:val="1015"/>
        </w:numPr>
      </w:pPr>
      <w:r>
        <w:t xml:space="preserve">The exclusivity provision contains an</w:t>
      </w:r>
      <w:r>
        <w:t xml:space="preserve"> </w:t>
      </w:r>
      <w:r>
        <w:rPr>
          <w:b/>
          <w:bCs/>
        </w:rPr>
        <w:t xml:space="preserve">automatic-renewal feature</w:t>
      </w:r>
      <w:r>
        <w:t xml:space="preserve">: the initial six-month exclusivity period is</w:t>
      </w:r>
      <w:r>
        <w:t xml:space="preserve"> </w:t>
      </w:r>
      <w:r>
        <w:rPr>
          <w:b/>
          <w:bCs/>
        </w:rPr>
        <w:t xml:space="preserve">automatically extended for successive 90-day periods</w:t>
      </w:r>
      <w:r>
        <w:t xml:space="preserve"> </w:t>
      </w:r>
      <w:r>
        <w:t xml:space="preserve">unless either party provides written notice of termination to the other party</w:t>
      </w:r>
      <w:r>
        <w:t xml:space="preserve"> </w:t>
      </w:r>
      <w:r>
        <w:rPr>
          <w:b/>
          <w:bCs/>
        </w:rPr>
        <w:t xml:space="preserve">at least 15 days prior to the expiration</w:t>
      </w:r>
      <w:r>
        <w:t xml:space="preserve"> </w:t>
      </w:r>
      <w:r>
        <w:t xml:space="preserve">of the then-current exclusivity period.</w:t>
      </w:r>
    </w:p>
    <w:p>
      <w:pPr>
        <w:pStyle w:val="Compact"/>
        <w:numPr>
          <w:ilvl w:val="0"/>
          <w:numId w:val="1015"/>
        </w:numPr>
      </w:pPr>
      <w:r>
        <w:t xml:space="preserve">At the September 25, 2024 meeting, the CEO (Mr. Ellery) reported that the exclusivity period had</w:t>
      </w:r>
      <w:r>
        <w:t xml:space="preserve"> </w:t>
      </w:r>
      <w:r>
        <w:t xml:space="preserve">“</w:t>
      </w:r>
      <w:r>
        <w:t xml:space="preserve">expired by its own terms on September 8, 2024</w:t>
      </w:r>
      <w:r>
        <w:t xml:space="preserve">”</w:t>
      </w:r>
      <w:r>
        <w:t xml:space="preserve"> </w:t>
      </w:r>
      <w:r>
        <w:t xml:space="preserve">and that the Company was no longer pursuing the SensorLink transaction. However, when asked by outside counsel (Mr. Rourke) whether a formal written termination notice had been delivered to SensorLink before September 8, 2024,</w:t>
      </w:r>
      <w:r>
        <w:t xml:space="preserve"> </w:t>
      </w:r>
      <w:r>
        <w:rPr>
          <w:b/>
          <w:bCs/>
        </w:rPr>
        <w:t xml:space="preserve">Mr. Ellery acknowledged that he was not certain whether such a notice had been sent.</w:t>
      </w:r>
      <w:r>
        <w:t xml:space="preserve"> </w:t>
      </w:r>
      <w:r>
        <w:t xml:space="preserve">Mr. Rourke recommended that the Company immediately confirm whether a termination notice was sent and, if not, send one promptly. The Chairman directed the CFO and outside counsel to investigate and take any necessary steps to terminate the exclusivity obligation.</w:t>
      </w:r>
    </w:p>
    <w:p>
      <w:pPr>
        <w:pStyle w:val="FirstParagraph"/>
      </w:pPr>
      <w:r>
        <w:rPr>
          <w:b/>
          <w:bCs/>
        </w:rPr>
        <w:t xml:space="preserve">This is a time-sensitive issue with potential deal-blocking consequences.</w:t>
      </w:r>
      <w:r>
        <w:t xml:space="preserve"> </w:t>
      </w:r>
      <w:r>
        <w:t xml:space="preserve">If no written termination notice was delivered to SensorLink at least 15 days before September 8, 2024, then the exclusivity period</w:t>
      </w:r>
      <w:r>
        <w:t xml:space="preserve"> </w:t>
      </w:r>
      <w:r>
        <w:rPr>
          <w:b/>
          <w:bCs/>
        </w:rPr>
        <w:t xml:space="preserve">automatically extended for a successive 90-day period</w:t>
      </w:r>
      <w:r>
        <w:t xml:space="preserve">—i.e., through approximately</w:t>
      </w:r>
      <w:r>
        <w:t xml:space="preserve"> </w:t>
      </w:r>
      <w:r>
        <w:rPr>
          <w:b/>
          <w:bCs/>
        </w:rPr>
        <w:t xml:space="preserve">December 7, 2024</w:t>
      </w:r>
      <w:r>
        <w:t xml:space="preserve">—and would continue to auto-renew every 90 days until properly terminated. The consequences include:</w:t>
      </w:r>
    </w:p>
    <w:p>
      <w:pPr>
        <w:pStyle w:val="Compact"/>
        <w:numPr>
          <w:ilvl w:val="0"/>
          <w:numId w:val="1016"/>
        </w:numPr>
      </w:pPr>
      <w:r>
        <w:rPr>
          <w:b/>
          <w:bCs/>
        </w:rPr>
        <w:t xml:space="preserve">Potential conflict with the Hargrove Transaction.</w:t>
      </w:r>
      <w:r>
        <w:t xml:space="preserve"> </w:t>
      </w:r>
      <w:r>
        <w:t xml:space="preserve">If the SensorLink LOI’s exclusivity is broadly drafted (e.g., prohibiting either party from pursuing, soliciting, or engaging in discussions regarding any alternative acquisition or corporate transaction), a live exclusivity obligation to SensorLink could conflict with Terravox’s ability to negotiate and sign a definitive merger agreement with Hargrove. The scope of the exclusivity is a function of the LOI’s exact language, which</w:t>
      </w:r>
      <w:r>
        <w:t xml:space="preserve"> </w:t>
      </w:r>
      <w:r>
        <w:rPr>
          <w:b/>
          <w:bCs/>
        </w:rPr>
        <w:t xml:space="preserve">we have not received</w:t>
      </w:r>
      <w:r>
        <w:t xml:space="preserve">.</w:t>
      </w:r>
    </w:p>
    <w:p>
      <w:pPr>
        <w:pStyle w:val="Compact"/>
        <w:numPr>
          <w:ilvl w:val="0"/>
          <w:numId w:val="1016"/>
        </w:numPr>
      </w:pPr>
      <w:r>
        <w:rPr>
          <w:b/>
          <w:bCs/>
        </w:rPr>
        <w:t xml:space="preserve">Breach-of-contract risk.</w:t>
      </w:r>
      <w:r>
        <w:t xml:space="preserve"> </w:t>
      </w:r>
      <w:r>
        <w:t xml:space="preserve">If Terravox signs the Hargrove merger agreement while the SensorLink exclusivity is live, Terravox may be in breach of the SensorLink LOI, exposing the Company to damages claims (typically limited by the LOI’s non-binding nature, but exclusivity provisions are often binding even in non-binding LOIs).</w:t>
      </w:r>
    </w:p>
    <w:p>
      <w:pPr>
        <w:pStyle w:val="Compact"/>
        <w:numPr>
          <w:ilvl w:val="0"/>
          <w:numId w:val="1016"/>
        </w:numPr>
      </w:pPr>
      <w:r>
        <w:rPr>
          <w:b/>
          <w:bCs/>
        </w:rPr>
        <w:t xml:space="preserve">Disclosure obligation.</w:t>
      </w:r>
      <w:r>
        <w:t xml:space="preserve"> </w:t>
      </w:r>
      <w:r>
        <w:t xml:space="preserve">The SensorLink LOI and any live exclusivity obligation must be disclosed in the merger agreement’s disclosure schedules and represented to Hargrove. A live exclusivity obligation would be a material disclosure that could affect Hargrove’s willingness to sign or could require a resolution before signing.</w:t>
      </w:r>
    </w:p>
    <w:p>
      <w:pPr>
        <w:pStyle w:val="FirstParagraph"/>
      </w:pPr>
      <w:r>
        <w:rPr>
          <w:b/>
          <w:bCs/>
        </w:rPr>
        <w:t xml:space="preserve">Immediate action required:</w:t>
      </w:r>
      <w:r>
        <w:t xml:space="preserve"> </w:t>
      </w:r>
      <w:r>
        <w:t xml:space="preserve">(i) Confirm whether a written termination notice was sent to SensorLink before September 8, 2024 (request the notice and any SensorLink acknowledgment); (ii) obtain and review the SensorLink LOI to determine the exact scope of the exclusivity (does it prohibit a sale of the Company, or only the acquisition of other targets?); (iii) if no notice was sent, send a written termination notice immediately, recognizing that the exclusivity may remain in effect until the end of the current 90-day auto-renewal period (approximately December 7, 2024); and (iv) assess whether the live exclusivity (if any) conflicts with the signing timeline for the Hargrove definitive agreement.</w:t>
      </w:r>
      <w:r>
        <w:t xml:space="preserve"> </w:t>
      </w:r>
      <w:r>
        <w:rPr>
          <w:b/>
          <w:bCs/>
        </w:rPr>
        <w:t xml:space="preserve">Severity: Critical (time-sensitive).</w:t>
      </w:r>
    </w:p>
    <w:bookmarkEnd w:id="67"/>
    <w:bookmarkStart w:id="68" w:name="d.-other-board-actions"/>
    <w:p>
      <w:pPr>
        <w:pStyle w:val="Heading3"/>
      </w:pPr>
      <w:r>
        <w:t xml:space="preserve">D. Other Board Actions</w:t>
      </w:r>
    </w:p>
    <w:p>
      <w:pPr>
        <w:pStyle w:val="FirstParagraph"/>
      </w:pPr>
      <w:r>
        <w:t xml:space="preserve">We reviewed the remaining Board actions and note the following:</w:t>
      </w:r>
    </w:p>
    <w:p>
      <w:pPr>
        <w:pStyle w:val="Compact"/>
        <w:numPr>
          <w:ilvl w:val="0"/>
          <w:numId w:val="1017"/>
        </w:numPr>
      </w:pPr>
      <w:r>
        <w:rPr>
          <w:b/>
          <w:bCs/>
        </w:rPr>
        <w:t xml:space="preserve">Strategic alternatives process (January 18, 2023 – September 25, 2024).</w:t>
      </w:r>
      <w:r>
        <w:t xml:space="preserve"> </w:t>
      </w:r>
      <w:r>
        <w:t xml:space="preserve">The Board authorized the engagement of Meridian Partners LLC as financial advisor (January 18, 2023), formed the Special Committee (April 12, 2023), authorized exclusivity with</w:t>
      </w:r>
      <w:r>
        <w:t xml:space="preserve"> </w:t>
      </w:r>
      <w:r>
        <w:t xml:space="preserve">“</w:t>
      </w:r>
      <w:r>
        <w:t xml:space="preserve">Beta</w:t>
      </w:r>
      <w:r>
        <w:t xml:space="preserve">”</w:t>
      </w:r>
      <w:r>
        <w:t xml:space="preserve"> </w:t>
      </w:r>
      <w:r>
        <w:t xml:space="preserve">(July 19, 2023, approved 6-1 with Mr. Trask dissenting), paused the process after Beta’s financing fell through (October 11, 2023), authorized engagement with Hargrove (April 17, 2024, approved 5-0 with Mr. Trask and Mr. Garrett absent), authorized 60-day exclusivity with Hargrove (July 10, 2024, approved 6-1 with Mr. Trask dissenting), and authorized negotiation of definitive documentation with Hargrove (September 25, 2024, approved 6-1 with Mr. Trask dissenting). The procedural aspects of the sale process are addressed in Area 9.</w:t>
      </w:r>
    </w:p>
    <w:p>
      <w:pPr>
        <w:pStyle w:val="Compact"/>
        <w:numPr>
          <w:ilvl w:val="0"/>
          <w:numId w:val="1017"/>
        </w:numPr>
      </w:pPr>
      <w:r>
        <w:rPr>
          <w:b/>
          <w:bCs/>
        </w:rPr>
        <w:t xml:space="preserve">Permian Basin Energy Co. MSA (January 18, 2023).</w:t>
      </w:r>
      <w:r>
        <w:t xml:space="preserve"> </w:t>
      </w:r>
      <w:r>
        <w:t xml:space="preserve">Authorized a master services agreement with up to $15,000,000 aggregate consideration. Approved 7-0. No governance concern.</w:t>
      </w:r>
    </w:p>
    <w:p>
      <w:pPr>
        <w:pStyle w:val="Compact"/>
        <w:numPr>
          <w:ilvl w:val="0"/>
          <w:numId w:val="1017"/>
        </w:numPr>
      </w:pPr>
      <w:r>
        <w:rPr>
          <w:b/>
          <w:bCs/>
        </w:rPr>
        <w:t xml:space="preserve">Option and RSU grants.</w:t>
      </w:r>
      <w:r>
        <w:t xml:space="preserve"> </w:t>
      </w:r>
      <w:r>
        <w:t xml:space="preserve">The Malhotra option grant (April 12, 2023) and the Yeung RSU grant (April 17, 2024) are addressed in Area 7. We note that the Yeung RSU grant was approved at the April 17, 2024 meeting by the five directors present (5-0), with Mr. Trask and Mr. Garrett absent. The grant appears within the (amended) Plan’s share reserve.</w:t>
      </w:r>
    </w:p>
    <w:p>
      <w:pPr>
        <w:pStyle w:val="Compact"/>
        <w:numPr>
          <w:ilvl w:val="0"/>
          <w:numId w:val="1017"/>
        </w:numPr>
      </w:pPr>
      <w:r>
        <w:rPr>
          <w:b/>
          <w:bCs/>
        </w:rPr>
        <w:t xml:space="preserve">D&amp;O insurance.</w:t>
      </w:r>
      <w:r>
        <w:t xml:space="preserve"> </w:t>
      </w:r>
      <w:r>
        <w:t xml:space="preserve">The SHA (Section 5.3) requires D&amp;O coverage of at least $5 million. The minutes do not reflect a specific D&amp;O policy review; confirm coverage is in place and address D&amp;O tail in the merger agreement.</w:t>
      </w:r>
    </w:p>
    <w:p>
      <w:pPr>
        <w:pStyle w:val="Compact"/>
        <w:numPr>
          <w:ilvl w:val="0"/>
          <w:numId w:val="1017"/>
        </w:numPr>
      </w:pPr>
      <w:r>
        <w:rPr>
          <w:b/>
          <w:bCs/>
        </w:rPr>
        <w:t xml:space="preserve">Quorum and voting.</w:t>
      </w:r>
      <w:r>
        <w:t xml:space="preserve"> </w:t>
      </w:r>
      <w:r>
        <w:t xml:space="preserve">All meetings except the April 17, 2024 meeting had all seven directors present. The April 17, 2024 meeting had five directors present (a quorum under Bylaws Section 3.7, which requires a majority of the directors then in office, i.e., four). The actions taken at that meeting (authorizing Hargrove engagement and the Yeung RSU grant) were validly approved by the directors present, but Mr. Trask’s absence and subsequent objection create a procedural vulnerability (Area 9).</w:t>
      </w:r>
    </w:p>
    <w:p>
      <w:r>
        <w:pict>
          <v:rect style="width:0;height:1.5pt" o:hralign="center" o:hrstd="t" o:hr="t"/>
        </w:pict>
      </w:r>
    </w:p>
    <w:bookmarkEnd w:id="68"/>
    <w:bookmarkEnd w:id="69"/>
    <w:bookmarkStart w:id="76" w:name="X959beca19d3a69f6209702c5f504073b73de4f8"/>
    <w:p>
      <w:pPr>
        <w:pStyle w:val="Heading2"/>
      </w:pPr>
      <w:r>
        <w:t xml:space="preserve">X. Area 9 — Fiduciary Duty / Sale Process Concerns</w:t>
      </w:r>
    </w:p>
    <w:bookmarkStart w:id="70" w:name="a.-special-committee-composition"/>
    <w:p>
      <w:pPr>
        <w:pStyle w:val="Heading3"/>
      </w:pPr>
      <w:r>
        <w:t xml:space="preserve">A. Special Committee Composition</w:t>
      </w:r>
    </w:p>
    <w:p>
      <w:pPr>
        <w:pStyle w:val="FirstParagraph"/>
      </w:pPr>
      <w:r>
        <w:t xml:space="preserve">The Special Committee was formed at the April 12, 2023 Board meeting and consists of</w:t>
      </w:r>
      <w:r>
        <w:t xml:space="preserve"> </w:t>
      </w:r>
      <w:r>
        <w:rPr>
          <w:b/>
          <w:bCs/>
        </w:rPr>
        <w:t xml:space="preserve">Rebecca Lau (Chair), Thomas Garrett, and Sandra Okafor.</w:t>
      </w:r>
      <w:r>
        <w:t xml:space="preserve"> </w:t>
      </w:r>
      <w:r>
        <w:t xml:space="preserve">Its mandate is to evaluate strategic alternatives, engage advisors, and make recommendations to the full Board.</w:t>
      </w:r>
    </w:p>
    <w:p>
      <w:pPr>
        <w:pStyle w:val="Compact"/>
        <w:numPr>
          <w:ilvl w:val="0"/>
          <w:numId w:val="1018"/>
        </w:numPr>
      </w:pPr>
      <w:r>
        <w:rPr>
          <w:b/>
          <w:bCs/>
        </w:rPr>
        <w:t xml:space="preserve">Rebecca Lau and Thomas Garrett</w:t>
      </w:r>
      <w:r>
        <w:t xml:space="preserve"> </w:t>
      </w:r>
      <w:r>
        <w:t xml:space="preserve">are the two Independent Directors designated under the Voting Agreement (Section 2.2(f)). They are not employees of the Company and not affiliates of any Investor Stockholder. They appear to be independent and disinterested.</w:t>
      </w:r>
    </w:p>
    <w:p>
      <w:pPr>
        <w:pStyle w:val="Compact"/>
        <w:numPr>
          <w:ilvl w:val="0"/>
          <w:numId w:val="1018"/>
        </w:numPr>
      </w:pPr>
      <w:r>
        <w:rPr>
          <w:b/>
          <w:bCs/>
        </w:rPr>
        <w:t xml:space="preserve">Sandra Okafor</w:t>
      </w:r>
      <w:r>
        <w:t xml:space="preserve"> </w:t>
      </w:r>
      <w:r>
        <w:t xml:space="preserve">is the Series B Director designated by Northbridge (Voting Agreement Section 2.2(b)) and is a Principal at Northbridge Growth Advisors, LLC. She is</w:t>
      </w:r>
      <w:r>
        <w:t xml:space="preserve"> </w:t>
      </w:r>
      <w:r>
        <w:rPr>
          <w:b/>
          <w:bCs/>
        </w:rPr>
        <w:t xml:space="preserve">not independent and not disinterested</w:t>
      </w:r>
      <w:r>
        <w:t xml:space="preserve">: she is affiliated with Northbridge, a significant stockholder holding 5,200,000 shares of Series B Preferred Stock with a liquidation preference of approximately $48.1 million. Northbridge has a direct economic interest in the Transaction.</w:t>
      </w:r>
    </w:p>
    <w:bookmarkEnd w:id="70"/>
    <w:bookmarkStart w:id="71" w:name="b.-the-independence-concern"/>
    <w:p>
      <w:pPr>
        <w:pStyle w:val="Heading3"/>
      </w:pPr>
      <w:r>
        <w:t xml:space="preserve">B. The Independence Concern</w:t>
      </w:r>
    </w:p>
    <w:p>
      <w:pPr>
        <w:pStyle w:val="FirstParagraph"/>
      </w:pPr>
      <w:r>
        <w:t xml:space="preserve">Under Delaware law, a special committee formed to evaluate and negotiate a sale-of-control transaction should be composed of</w:t>
      </w:r>
      <w:r>
        <w:t xml:space="preserve"> </w:t>
      </w:r>
      <w:r>
        <w:rPr>
          <w:b/>
          <w:bCs/>
        </w:rPr>
        <w:t xml:space="preserve">disinterested and independent</w:t>
      </w:r>
      <w:r>
        <w:t xml:space="preserve"> </w:t>
      </w:r>
      <w:r>
        <w:t xml:space="preserve">directors in order to invoke the protections of the business judgment rule (and, in controlling-stockholder contexts, the</w:t>
      </w:r>
      <w:r>
        <w:t xml:space="preserve"> </w:t>
      </w:r>
      <w:r>
        <w:rPr>
          <w:i/>
          <w:iCs/>
        </w:rPr>
        <w:t xml:space="preserve">MFW</w:t>
      </w:r>
      <w:r>
        <w:t xml:space="preserve"> </w:t>
      </w:r>
      <w:r>
        <w:t xml:space="preserve">framework). While Terravox has no controlling stockholder (no single holder has a majority), the</w:t>
      </w:r>
      <w:r>
        <w:t xml:space="preserve"> </w:t>
      </w:r>
      <w:r>
        <w:rPr>
          <w:i/>
          <w:iCs/>
        </w:rPr>
        <w:t xml:space="preserve">Revlon</w:t>
      </w:r>
      <w:r>
        <w:t xml:space="preserve"> </w:t>
      </w:r>
      <w:r>
        <w:t xml:space="preserve">line of authority applies to sale-of-control transactions: the Board’s duty is to maximize stockholder value, and the sale process is subject to enhanced judicial scrutiny. A special committee that includes a non-independent, interested director (Ms. Okafor) is vulnerable to challenge.</w:t>
      </w:r>
    </w:p>
    <w:p>
      <w:pPr>
        <w:pStyle w:val="BodyText"/>
      </w:pPr>
      <w:r>
        <w:t xml:space="preserve">Ms. Okafor’s presence on the Special Committee creates two related vulnerabilities:</w:t>
      </w:r>
    </w:p>
    <w:p>
      <w:pPr>
        <w:pStyle w:val="Compact"/>
        <w:numPr>
          <w:ilvl w:val="0"/>
          <w:numId w:val="1019"/>
        </w:numPr>
      </w:pPr>
      <w:r>
        <w:rPr>
          <w:b/>
          <w:bCs/>
        </w:rPr>
        <w:t xml:space="preserve">Process challenge.</w:t>
      </w:r>
      <w:r>
        <w:t xml:space="preserve"> </w:t>
      </w:r>
      <w:r>
        <w:t xml:space="preserve">A stockholder (particularly Stonemill, through Mr. Trask) could argue that the Special Committee’s recommendation was tainted by the participation of an interested director whose designator (Northbridge) stands to receive a significant payout in the Transaction. This could support a claim that the sale process was not the product of a fully independent, disinterested deliberation.</w:t>
      </w:r>
    </w:p>
    <w:p>
      <w:pPr>
        <w:pStyle w:val="Compact"/>
        <w:numPr>
          <w:ilvl w:val="0"/>
          <w:numId w:val="1019"/>
        </w:numPr>
      </w:pPr>
      <w:r>
        <w:rPr>
          <w:b/>
          <w:bCs/>
        </w:rPr>
        <w:t xml:space="preserve">Tension with the Voting Agreement.</w:t>
      </w:r>
      <w:r>
        <w:t xml:space="preserve"> </w:t>
      </w:r>
      <w:r>
        <w:t xml:space="preserve">The Voting Agreement (Section 2.4) requires that each Board committee include at least one Investor Stockholder designee, unless the Investor Stockholders agree otherwise in writing. Ms. Okafor’s presence on the Special Committee may therefore be</w:t>
      </w:r>
      <w:r>
        <w:t xml:space="preserve"> </w:t>
      </w:r>
      <w:r>
        <w:rPr>
          <w:b/>
          <w:bCs/>
        </w:rPr>
        <w:t xml:space="preserve">required</w:t>
      </w:r>
      <w:r>
        <w:t xml:space="preserve"> </w:t>
      </w:r>
      <w:r>
        <w:t xml:space="preserve">by the Voting Agreement—creating a structural tension between the Voting Agreement’s committee-composition requirement and the independence ideal for a sale-process committee. The Board Minutes do not reflect any written waiver of the Section 2.4 requirement that would have permitted a Special Committee composed solely of Ms. Lau and Mr. Garrett.</w:t>
      </w:r>
    </w:p>
    <w:bookmarkEnd w:id="71"/>
    <w:bookmarkStart w:id="72" w:name="X172f1d59df61b0755c816d7ed08600e6aa174fe"/>
    <w:p>
      <w:pPr>
        <w:pStyle w:val="Heading3"/>
      </w:pPr>
      <w:r>
        <w:t xml:space="preserve">C. Trask’s Absence and Objection (April 17, 2024)</w:t>
      </w:r>
    </w:p>
    <w:p>
      <w:pPr>
        <w:pStyle w:val="FirstParagraph"/>
      </w:pPr>
      <w:r>
        <w:t xml:space="preserve">Mr. Trask was absent from the April 17, 2024 Board meeting at which the Board authorized the Special Committee to engage with Hargrove and provide data room access. He did not provide a proxy or written direction. The Stonemill observer was also absent. Two days later (April 19, 2024), Mr. Trask sent an email (appended to the April 17 minutes) objecting to the Board’s decision, stating that Stonemill’s</w:t>
      </w:r>
      <w:r>
        <w:t xml:space="preserve"> </w:t>
      </w:r>
      <w:r>
        <w:t xml:space="preserve">“</w:t>
      </w:r>
      <w:r>
        <w:t xml:space="preserve">perspectives should have been sought before authorizing engagement with a potential acquirer</w:t>
      </w:r>
      <w:r>
        <w:t xml:space="preserve">”</w:t>
      </w:r>
      <w:r>
        <w:t xml:space="preserve"> </w:t>
      </w:r>
      <w:r>
        <w:t xml:space="preserve">and requesting that</w:t>
      </w:r>
      <w:r>
        <w:t xml:space="preserve"> </w:t>
      </w:r>
      <w:r>
        <w:t xml:space="preserve">“</w:t>
      </w:r>
      <w:r>
        <w:t xml:space="preserve">no further substantive steps be taken regarding a potential Hargrove transaction without Stonemill’s participation.</w:t>
      </w:r>
      <w:r>
        <w:t xml:space="preserve">”</w:t>
      </w:r>
    </w:p>
    <w:p>
      <w:pPr>
        <w:pStyle w:val="BodyText"/>
      </w:pPr>
      <w:r>
        <w:t xml:space="preserve">While the April 17 meeting had a quorum (five of seven directors) and the resolution was validly adopted by the directors present, the optics are unfavorable: the decision to engage with the eventual buyer was made without Stonemill’s board designee or observer present. Stonemill can and likely will argue that it was excluded from a pivotal decision in the sale process. This</w:t>
      </w:r>
      <w:r>
        <w:t xml:space="preserve"> </w:t>
      </w:r>
      <w:r>
        <w:t xml:space="preserve">“</w:t>
      </w:r>
      <w:r>
        <w:t xml:space="preserve">exclusion</w:t>
      </w:r>
      <w:r>
        <w:t xml:space="preserve">”</w:t>
      </w:r>
      <w:r>
        <w:t xml:space="preserve"> </w:t>
      </w:r>
      <w:r>
        <w:t xml:space="preserve">narrative is ammunition for a procedural challenge to the sale process, particularly if combined with the narrowness of the process (below).</w:t>
      </w:r>
    </w:p>
    <w:bookmarkEnd w:id="72"/>
    <w:bookmarkStart w:id="73" w:name="d.-narrowness-of-the-sale-process"/>
    <w:p>
      <w:pPr>
        <w:pStyle w:val="Heading3"/>
      </w:pPr>
      <w:r>
        <w:t xml:space="preserve">D. Narrowness of the Sale Process</w:t>
      </w:r>
    </w:p>
    <w:p>
      <w:pPr>
        <w:pStyle w:val="FirstParagraph"/>
      </w:pPr>
      <w:r>
        <w:t xml:space="preserve">The sale process has been relatively narrow. After the initial outreach to three parties (Alpha, Beta, Gamma) in early 2023, two withdrew or reduced their offers, and the Company entered a 45-day exclusivity with Beta (July 2023), which terminated when Beta could not secure financing (October 2023). The process was then paused. Hargrove’s interest was inbound (April 2024), and the Company entered a 60-day exclusivity with Hargrove (July 2024) without re-running a broad auction. Mr. Trask objected to the narrowness of the process at both the July 2023 meeting (voting against Beta exclusivity) and the July 2024 meeting (voting against Hargrove exclusivity).</w:t>
      </w:r>
    </w:p>
    <w:p>
      <w:pPr>
        <w:pStyle w:val="BodyText"/>
      </w:pPr>
      <w:r>
        <w:t xml:space="preserve">A stockholder could argue that the sale process did not include a robust market check and that the Company committed to exclusivity with Hargrove without fully testing the market. The process does have mitigating features: the Board formed a Special Committee, engaged Meridian Partners as financial advisor, contacted multiple parties in 2023, and engaged Thornbury &amp; Associates as an independent valuation advisor to provide a fairness analysis. The September 25, 2024 minutes reflect that the implied multiples (approximately 3.81x revenue and 15.25x EBITDA) are within the range of comparable transactions identified by Meridian, and that all Preferred holders would receive amounts at or above their liquidation preferences. These features provide some defense, but the narrowness and the Okafor-independence issue remain vulnerabilities.</w:t>
      </w:r>
    </w:p>
    <w:bookmarkEnd w:id="73"/>
    <w:bookmarkStart w:id="74" w:name="e.-recommendations"/>
    <w:p>
      <w:pPr>
        <w:pStyle w:val="Heading3"/>
      </w:pPr>
      <w:r>
        <w:t xml:space="preserve">E. Recommendations</w:t>
      </w:r>
    </w:p>
    <w:p>
      <w:pPr>
        <w:pStyle w:val="Compact"/>
        <w:numPr>
          <w:ilvl w:val="0"/>
          <w:numId w:val="1020"/>
        </w:numPr>
      </w:pPr>
      <w:r>
        <w:rPr>
          <w:b/>
          <w:bCs/>
        </w:rPr>
        <w:t xml:space="preserve">Reconstitute the Special Committee.</w:t>
      </w:r>
      <w:r>
        <w:t xml:space="preserve"> </w:t>
      </w:r>
      <w:r>
        <w:t xml:space="preserve">Consider reconstituting the Special Committee to exclude Ms. Okafor, with the written consent of the Investor Stockholders waiving the Voting Agreement Section 2.4 requirement (or adding additional independent directors). A Special Committee composed solely of independent, disinterested directors (Ms. Lau and Mr. Garrett, or expanded with additional independents) would significantly strengthen the process’s defensibility.</w:t>
      </w:r>
    </w:p>
    <w:p>
      <w:pPr>
        <w:pStyle w:val="Compact"/>
        <w:numPr>
          <w:ilvl w:val="0"/>
          <w:numId w:val="1020"/>
        </w:numPr>
      </w:pPr>
      <w:r>
        <w:rPr>
          <w:b/>
          <w:bCs/>
        </w:rPr>
        <w:t xml:space="preserve">Include Trask/Stonemill going forward.</w:t>
      </w:r>
      <w:r>
        <w:t xml:space="preserve"> </w:t>
      </w:r>
      <w:r>
        <w:t xml:space="preserve">Ensure Mr. Trask receives all Special Committee and Board materials, is invited to all meetings, and has a full opportunity to participate (even if he dissents). Document his participation. This undercuts the</w:t>
      </w:r>
      <w:r>
        <w:t xml:space="preserve"> </w:t>
      </w:r>
      <w:r>
        <w:t xml:space="preserve">“</w:t>
      </w:r>
      <w:r>
        <w:t xml:space="preserve">exclusion</w:t>
      </w:r>
      <w:r>
        <w:t xml:space="preserve">”</w:t>
      </w:r>
      <w:r>
        <w:t xml:space="preserve"> </w:t>
      </w:r>
      <w:r>
        <w:t xml:space="preserve">narrative.</w:t>
      </w:r>
    </w:p>
    <w:p>
      <w:pPr>
        <w:pStyle w:val="Compact"/>
        <w:numPr>
          <w:ilvl w:val="0"/>
          <w:numId w:val="1020"/>
        </w:numPr>
      </w:pPr>
      <w:r>
        <w:rPr>
          <w:b/>
          <w:bCs/>
        </w:rPr>
        <w:t xml:space="preserve">Consider a market check or go-shop.</w:t>
      </w:r>
      <w:r>
        <w:t xml:space="preserve"> </w:t>
      </w:r>
      <w:r>
        <w:t xml:space="preserve">To address the narrowness concern, consider either (a) a pre-signing market check (contacting additional potential acquirers before signing) or (b) a post-signing go-shop period in the merger agreement. A go-shop would also provide leverage in any negotiation with Stonemill (by demonstrating that the Board is maximizing value).</w:t>
      </w:r>
    </w:p>
    <w:p>
      <w:pPr>
        <w:pStyle w:val="Compact"/>
        <w:numPr>
          <w:ilvl w:val="0"/>
          <w:numId w:val="1020"/>
        </w:numPr>
      </w:pPr>
      <w:r>
        <w:rPr>
          <w:b/>
          <w:bCs/>
        </w:rPr>
        <w:t xml:space="preserve">Obtain a fairness opinion.</w:t>
      </w:r>
      <w:r>
        <w:t xml:space="preserve"> </w:t>
      </w:r>
      <w:r>
        <w:t xml:space="preserve">Thornbury &amp; Associates has been engaged; obtain a formal fairness opinion to support the price. The September 25, 2024 minutes reflect a preliminary valuation assessment; a final fairness opinion should be obtained and presented to the Board before it adopts the definitive merger agreement.</w:t>
      </w:r>
    </w:p>
    <w:p>
      <w:pPr>
        <w:pStyle w:val="Compact"/>
        <w:numPr>
          <w:ilvl w:val="0"/>
          <w:numId w:val="1020"/>
        </w:numPr>
      </w:pPr>
      <w:r>
        <w:rPr>
          <w:b/>
          <w:bCs/>
        </w:rPr>
        <w:t xml:space="preserve">Document the process carefully.</w:t>
      </w:r>
      <w:r>
        <w:t xml:space="preserve"> </w:t>
      </w:r>
      <w:r>
        <w:t xml:space="preserve">Ensure the Board Minutes and Special Committee minutes fully document the deliberative process, the alternatives considered, the advice of Meridian and Thornbury, and the basis for the Board’s recommendation.</w:t>
      </w:r>
    </w:p>
    <w:bookmarkEnd w:id="74"/>
    <w:bookmarkStart w:id="75" w:name="Xbc863c10a188e9e6daa95f62522248d023a8499"/>
    <w:p>
      <w:pPr>
        <w:pStyle w:val="Heading3"/>
      </w:pPr>
      <w:r>
        <w:t xml:space="preserve">F. The Drag-Along Equal-Consideration Constraint and Side Deals</w:t>
      </w:r>
    </w:p>
    <w:p>
      <w:pPr>
        <w:pStyle w:val="FirstParagraph"/>
      </w:pPr>
      <w:r>
        <w:t xml:space="preserve">As noted in Area 2, the drag-along (Section 3.2(a)) requires equal per-share consideration (subject to the waterfall), and the Charter’s waterfall governs the distribution. Any attempt to provide Stonemill with a side payment or enhanced allocation outside the waterfall would (i) conflict with the drag-along’s equal-treatment requirement (if the drag-along is invoked), (ii) raise fiduciary-duty concerns under Delaware law (favoring one stockholder over others without a valid corporate purpose), and (iii) potentially trigger claims from other stockholders. If Hargrove concludes that an economic concession to Stonemill is necessary to secure its consent, it must be structured carefully—ideally within the four corners of the merger consideration and the waterfall, or as a separate arrangement (e.g., a consulting or advisory agreement) that does not alter the per-share merger consideration. Any such arrangement should be reviewed for fiduciary-duty implications and disclosed to the Board and the Special Committee.</w:t>
      </w:r>
    </w:p>
    <w:p>
      <w:r>
        <w:pict>
          <v:rect style="width:0;height:1.5pt" o:hralign="center" o:hrstd="t" o:hr="t"/>
        </w:pict>
      </w:r>
    </w:p>
    <w:bookmarkEnd w:id="75"/>
    <w:bookmarkEnd w:id="76"/>
    <w:bookmarkStart w:id="82" w:name="X6b6f1a48946cd4ea06faf30f289dd033b0ee947"/>
    <w:p>
      <w:pPr>
        <w:pStyle w:val="Heading2"/>
      </w:pPr>
      <w:r>
        <w:t xml:space="preserve">XI. Area 10 — Registration Rights Post-Transaction</w:t>
      </w:r>
    </w:p>
    <w:bookmarkStart w:id="77" w:name="a.-rra-termination-provisions-section-9"/>
    <w:p>
      <w:pPr>
        <w:pStyle w:val="Heading3"/>
      </w:pPr>
      <w:r>
        <w:t xml:space="preserve">A. RRA Termination Provisions (Section 9)</w:t>
      </w:r>
    </w:p>
    <w:p>
      <w:pPr>
        <w:pStyle w:val="FirstParagraph"/>
      </w:pPr>
      <w:r>
        <w:t xml:space="preserve">The RRA terminates</w:t>
      </w:r>
      <w:r>
        <w:t xml:space="preserve"> </w:t>
      </w:r>
      <w:r>
        <w:rPr>
          <w:b/>
          <w:bCs/>
        </w:rPr>
        <w:t xml:space="preserve">as to any particular Holder</w:t>
      </w:r>
      <w:r>
        <w:t xml:space="preserve"> </w:t>
      </w:r>
      <w:r>
        <w:t xml:space="preserve">upon the earliest of: (a) the date on which such Holder can sell all of its Registrable Securities in a single three-month period under Rule 144 without volume or manner-of-sale restrictions and without the current-public-information requirement; (b) the fifth anniversary of the closing of the Company’s IPO; or (c)</w:t>
      </w:r>
      <w:r>
        <w:t xml:space="preserve"> </w:t>
      </w:r>
      <w:r>
        <w:rPr>
          <w:b/>
          <w:bCs/>
        </w:rPr>
        <w:t xml:space="preserve">a Deemed Liquidation Event</w:t>
      </w:r>
      <w:r>
        <w:t xml:space="preserve"> </w:t>
      </w:r>
      <w:r>
        <w:t xml:space="preserve">(Section 9(c)).</w:t>
      </w:r>
    </w:p>
    <w:p>
      <w:pPr>
        <w:pStyle w:val="BodyText"/>
      </w:pPr>
      <w:r>
        <w:t xml:space="preserve">The RRA terminates</w:t>
      </w:r>
      <w:r>
        <w:t xml:space="preserve"> </w:t>
      </w:r>
      <w:r>
        <w:rPr>
          <w:b/>
          <w:bCs/>
        </w:rPr>
        <w:t xml:space="preserve">in its entirety</w:t>
      </w:r>
      <w:r>
        <w:t xml:space="preserve"> </w:t>
      </w:r>
      <w:r>
        <w:t xml:space="preserve">upon the earliest of (i) the termination of registration rights as to all Holders pursuant to clauses (a), (b), or (c), or (ii) the written consent of the Company and the Holders of at least a majority of the then-outstanding Registrable Securities (Section 9, second paragraph).</w:t>
      </w:r>
    </w:p>
    <w:bookmarkEnd w:id="77"/>
    <w:bookmarkStart w:id="78" w:name="b.-the-deemed-liquidation-event-gap"/>
    <w:p>
      <w:pPr>
        <w:pStyle w:val="Heading3"/>
      </w:pPr>
      <w:r>
        <w:t xml:space="preserve">B. The</w:t>
      </w:r>
      <w:r>
        <w:t xml:space="preserve"> </w:t>
      </w:r>
      <w:r>
        <w:t xml:space="preserve">“</w:t>
      </w:r>
      <w:r>
        <w:t xml:space="preserve">Deemed Liquidation Event</w:t>
      </w:r>
      <w:r>
        <w:t xml:space="preserve">”</w:t>
      </w:r>
      <w:r>
        <w:t xml:space="preserve"> </w:t>
      </w:r>
      <w:r>
        <w:t xml:space="preserve">Gap</w:t>
      </w:r>
    </w:p>
    <w:p>
      <w:pPr>
        <w:pStyle w:val="FirstParagraph"/>
      </w:pPr>
      <w:r>
        <w:t xml:space="preserve">As detailed in Area 6, the RRA uses the term</w:t>
      </w:r>
      <w:r>
        <w:t xml:space="preserve"> </w:t>
      </w:r>
      <w:r>
        <w:t xml:space="preserve">“</w:t>
      </w:r>
      <w:r>
        <w:t xml:space="preserve">Deemed Liquidation Event</w:t>
      </w:r>
      <w:r>
        <w:t xml:space="preserve">”</w:t>
      </w:r>
      <w:r>
        <w:t xml:space="preserve"> </w:t>
      </w:r>
      <w:r>
        <w:t xml:space="preserve">in Section 9(c) but</w:t>
      </w:r>
      <w:r>
        <w:t xml:space="preserve"> </w:t>
      </w:r>
      <w:r>
        <w:rPr>
          <w:b/>
          <w:bCs/>
        </w:rPr>
        <w:t xml:space="preserve">does not define it.</w:t>
      </w:r>
      <w:r>
        <w:t xml:space="preserve"> </w:t>
      </w:r>
      <w:r>
        <w:t xml:space="preserve">The intended meaning is almost certainly the Charter’s</w:t>
      </w:r>
      <w:r>
        <w:t xml:space="preserve"> </w:t>
      </w:r>
      <w:r>
        <w:t xml:space="preserve">“</w:t>
      </w:r>
      <w:r>
        <w:t xml:space="preserve">Liquidation Event</w:t>
      </w:r>
      <w:r>
        <w:t xml:space="preserve">”</w:t>
      </w:r>
      <w:r>
        <w:t xml:space="preserve"> </w:t>
      </w:r>
      <w:r>
        <w:t xml:space="preserve">(Section 4.3.2(d)), under which the Transaction qualifies. Under that interpretation, the RRA terminates as to each Holder upon the consummation of the Transaction (a Deemed Liquidation Event), and registration rights do not survive closing.</w:t>
      </w:r>
    </w:p>
    <w:p>
      <w:pPr>
        <w:pStyle w:val="BodyText"/>
      </w:pPr>
      <w:r>
        <w:t xml:space="preserve">However, the undefined term creates a technical risk: a Holder could argue that</w:t>
      </w:r>
      <w:r>
        <w:t xml:space="preserve"> </w:t>
      </w:r>
      <w:r>
        <w:t xml:space="preserve">“</w:t>
      </w:r>
      <w:r>
        <w:t xml:space="preserve">Deemed Liquidation Event</w:t>
      </w:r>
      <w:r>
        <w:t xml:space="preserve">”</w:t>
      </w:r>
      <w:r>
        <w:t xml:space="preserve"> </w:t>
      </w:r>
      <w:r>
        <w:t xml:space="preserve">is ambiguous and that the RRA’s termination trigger is not clearly satisfied by the Transaction. This risk is largely theoretical—after the Transaction, Terravox is a wholly-owned subsidiary of Hargrove, all Registrable Securities (shares of Common issuable upon conversion of the Preferred) are cancelled for cash, and there are no Registrable Securities left to register. The registration rights are therefore practically moot post-closing. But a surviving contractual obligation (even one that is practically moot) is a post-closing liability that should be eliminated.</w:t>
      </w:r>
    </w:p>
    <w:bookmarkEnd w:id="78"/>
    <w:bookmarkStart w:id="79" w:name="X720541dbe5a9b611fc8d8957b0675b7d2cc6ee5"/>
    <w:p>
      <w:pPr>
        <w:pStyle w:val="Heading3"/>
      </w:pPr>
      <w:r>
        <w:t xml:space="preserve">C. Alternative Termination Path (Majority of Registrable Securities)</w:t>
      </w:r>
    </w:p>
    <w:p>
      <w:pPr>
        <w:pStyle w:val="FirstParagraph"/>
      </w:pPr>
      <w:r>
        <w:t xml:space="preserve">Even if the</w:t>
      </w:r>
      <w:r>
        <w:t xml:space="preserve"> </w:t>
      </w:r>
      <w:r>
        <w:t xml:space="preserve">“</w:t>
      </w:r>
      <w:r>
        <w:t xml:space="preserve">Deemed Liquidation Event</w:t>
      </w:r>
      <w:r>
        <w:t xml:space="preserve">”</w:t>
      </w:r>
      <w:r>
        <w:t xml:space="preserve"> </w:t>
      </w:r>
      <w:r>
        <w:t xml:space="preserve">trigger is disputed, the RRA can be terminated</w:t>
      </w:r>
      <w:r>
        <w:t xml:space="preserve"> </w:t>
      </w:r>
      <w:r>
        <w:rPr>
          <w:b/>
          <w:bCs/>
        </w:rPr>
        <w:t xml:space="preserve">in its entirety</w:t>
      </w:r>
      <w:r>
        <w:t xml:space="preserve"> </w:t>
      </w:r>
      <w:r>
        <w:t xml:space="preserve">by the written consent of the Company and the Holders of at least a majority of the then-outstanding Registrable Securities (Section 9, clause (ii)). The Registrable Securities consist of the Common Stock issuable upon conversion of the Preferred held by the Holders—i.e., 16,500,000 shares (3,500,000 Series A + 5,200,000 Series B + 7,800,000 Series C, at the 1:1 conversion rate). A majority is more than 8,250,000 shares.</w:t>
      </w:r>
      <w:r>
        <w:t xml:space="preserve"> </w:t>
      </w:r>
      <w:r>
        <w:rPr>
          <w:b/>
          <w:bCs/>
        </w:rPr>
        <w:t xml:space="preserve">Ridgeline (3,500,000) and Northbridge (5,200,000) together hold 8,700,000 shares of Registrable Securities, which exceeds 8,250,000.</w:t>
      </w:r>
      <w:r>
        <w:t xml:space="preserve"> </w:t>
      </w:r>
      <w:r>
        <w:t xml:space="preserve">Accordingly, the RRA can be terminated in its entirety by the Company, Ridgeline, and Northbridge—</w:t>
      </w:r>
      <w:r>
        <w:rPr>
          <w:b/>
          <w:bCs/>
        </w:rPr>
        <w:t xml:space="preserve">without Stonemill’s consent</w:t>
      </w:r>
      <w:r>
        <w:t xml:space="preserve">—pursuant to Section 9, clause (ii). This is a useful backstop: even if Stonemill refuses to consent to the RRA’s termination, the Company and the other two Investors can terminate it.</w:t>
      </w:r>
    </w:p>
    <w:bookmarkEnd w:id="79"/>
    <w:bookmarkStart w:id="80" w:name="d.-survival-of-indemnification-section-7"/>
    <w:p>
      <w:pPr>
        <w:pStyle w:val="Heading3"/>
      </w:pPr>
      <w:r>
        <w:t xml:space="preserve">D. Survival of Indemnification (Section 7)</w:t>
      </w:r>
    </w:p>
    <w:p>
      <w:pPr>
        <w:pStyle w:val="FirstParagraph"/>
      </w:pPr>
      <w:r>
        <w:t xml:space="preserve">Section 9 provides that any termination of the RRA is</w:t>
      </w:r>
      <w:r>
        <w:t xml:space="preserve"> </w:t>
      </w:r>
      <w:r>
        <w:t xml:space="preserve">“</w:t>
      </w:r>
      <w:r>
        <w:t xml:space="preserve">without prejudice to (x) the rights and obligations of the parties under Section 7 (Indemnification), which shall survive any such termination.</w:t>
      </w:r>
      <w:r>
        <w:t xml:space="preserve">”</w:t>
      </w:r>
      <w:r>
        <w:t xml:space="preserve"> </w:t>
      </w:r>
      <w:r>
        <w:t xml:space="preserve">Accordingly, the RRA’s indemnification provisions (Company indemnification of selling Holders; Holder several indemnification of the Company, capped at net proceeds; contribution) survive termination. The merger agreement should address any surviving indemnification obligations (which, in the context of a cashed-out merger, should be minimal, but should be confirmed).</w:t>
      </w:r>
    </w:p>
    <w:bookmarkEnd w:id="80"/>
    <w:bookmarkStart w:id="81" w:name="e.-recommendations-1"/>
    <w:p>
      <w:pPr>
        <w:pStyle w:val="Heading3"/>
      </w:pPr>
      <w:r>
        <w:t xml:space="preserve">E. Recommendations</w:t>
      </w:r>
    </w:p>
    <w:p>
      <w:pPr>
        <w:pStyle w:val="Compact"/>
        <w:numPr>
          <w:ilvl w:val="0"/>
          <w:numId w:val="1021"/>
        </w:numPr>
      </w:pPr>
      <w:r>
        <w:rPr>
          <w:b/>
          <w:bCs/>
        </w:rPr>
        <w:t xml:space="preserve">Express termination in the merger agreement.</w:t>
      </w:r>
      <w:r>
        <w:t xml:space="preserve"> </w:t>
      </w:r>
      <w:r>
        <w:t xml:space="preserve">Include a provision in the merger agreement providing that, at the effective time, the RRA terminates in its entirety pursuant to Section 9 (upon the Deemed Liquidation Event and/or the written consent of the Company and the Holders of a majority of the Registrable Securities), and that each Holder is deemed to have consented to such termination as a condition to receiving merger consideration. Obtain a termination/waiver instrument signed by each Investor (or rely on the majority-consent path with Ridgeline and Northbridge if Stonemill refuses).</w:t>
      </w:r>
    </w:p>
    <w:p>
      <w:pPr>
        <w:pStyle w:val="Compact"/>
        <w:numPr>
          <w:ilvl w:val="0"/>
          <w:numId w:val="1021"/>
        </w:numPr>
      </w:pPr>
      <w:r>
        <w:rPr>
          <w:b/>
          <w:bCs/>
        </w:rPr>
        <w:t xml:space="preserve">Define</w:t>
      </w:r>
      <w:r>
        <w:rPr>
          <w:b/>
          <w:bCs/>
        </w:rPr>
        <w:t xml:space="preserve"> </w:t>
      </w:r>
      <w:r>
        <w:rPr>
          <w:b/>
          <w:bCs/>
        </w:rPr>
        <w:t xml:space="preserve">“</w:t>
      </w:r>
      <w:r>
        <w:rPr>
          <w:b/>
          <w:bCs/>
        </w:rPr>
        <w:t xml:space="preserve">Deemed Liquidation Event.</w:t>
      </w:r>
      <w:r>
        <w:rPr>
          <w:b/>
          <w:bCs/>
        </w:rPr>
        <w:t xml:space="preserve">”</w:t>
      </w:r>
      <w:r>
        <w:t xml:space="preserve"> </w:t>
      </w:r>
      <w:r>
        <w:t xml:space="preserve">In the merger agreement, recite that the Transaction constitutes a</w:t>
      </w:r>
      <w:r>
        <w:t xml:space="preserve"> </w:t>
      </w:r>
      <w:r>
        <w:t xml:space="preserve">“</w:t>
      </w:r>
      <w:r>
        <w:t xml:space="preserve">Deemed Liquidation Event</w:t>
      </w:r>
      <w:r>
        <w:t xml:space="preserve">”</w:t>
      </w:r>
      <w:r>
        <w:t xml:space="preserve"> </w:t>
      </w:r>
      <w:r>
        <w:t xml:space="preserve">as that term is used in the RRA, and that the parties acknowledge and agree that the term incorporates the Charter’s</w:t>
      </w:r>
      <w:r>
        <w:t xml:space="preserve"> </w:t>
      </w:r>
      <w:r>
        <w:t xml:space="preserve">“</w:t>
      </w:r>
      <w:r>
        <w:t xml:space="preserve">Liquidation Event</w:t>
      </w:r>
      <w:r>
        <w:t xml:space="preserve">”</w:t>
      </w:r>
      <w:r>
        <w:t xml:space="preserve"> </w:t>
      </w:r>
      <w:r>
        <w:t xml:space="preserve">definition. This cures the definitional gap by contract.</w:t>
      </w:r>
    </w:p>
    <w:p>
      <w:pPr>
        <w:pStyle w:val="Compact"/>
        <w:numPr>
          <w:ilvl w:val="0"/>
          <w:numId w:val="1021"/>
        </w:numPr>
      </w:pPr>
      <w:r>
        <w:rPr>
          <w:b/>
          <w:bCs/>
        </w:rPr>
        <w:t xml:space="preserve">Address surviving indemnification.</w:t>
      </w:r>
      <w:r>
        <w:t xml:space="preserve"> </w:t>
      </w:r>
      <w:r>
        <w:t xml:space="preserve">Confirm that no registration-statement-related indemnification obligations are outstanding and address any survival in the merger agreement.</w:t>
      </w:r>
    </w:p>
    <w:p>
      <w:pPr>
        <w:pStyle w:val="Compact"/>
        <w:numPr>
          <w:ilvl w:val="0"/>
          <w:numId w:val="1021"/>
        </w:numPr>
      </w:pPr>
      <w:r>
        <w:rPr>
          <w:b/>
          <w:bCs/>
        </w:rPr>
        <w:t xml:space="preserve">Lock-up and market stand-off (Sections 4–5).</w:t>
      </w:r>
      <w:r>
        <w:t xml:space="preserve"> </w:t>
      </w:r>
      <w:r>
        <w:t xml:space="preserve">The RRA’s lock-up (180 days) and market stand-off (180 days) provisions apply only in the context of an underwritten public offering by the Company. They are not implicated by the all-cash merger. No action required.</w:t>
      </w:r>
    </w:p>
    <w:p>
      <w:r>
        <w:pict>
          <v:rect style="width:0;height:1.5pt" o:hralign="center" o:hrstd="t" o:hr="t"/>
        </w:pict>
      </w:r>
    </w:p>
    <w:bookmarkEnd w:id="81"/>
    <w:bookmarkEnd w:id="82"/>
    <w:bookmarkStart w:id="88" w:name="xii.-recommended-next-steps-action-items"/>
    <w:p>
      <w:pPr>
        <w:pStyle w:val="Heading2"/>
      </w:pPr>
      <w:r>
        <w:t xml:space="preserve">XII. Recommended Next Steps / Action Items</w:t>
      </w:r>
    </w:p>
    <w:p>
      <w:pPr>
        <w:pStyle w:val="FirstParagraph"/>
      </w:pPr>
      <w:r>
        <w:t xml:space="preserve">The following action items are organized by priority.</w:t>
      </w:r>
    </w:p>
    <w:bookmarkStart w:id="83" w:name="a.-immediate-time-sensitive"/>
    <w:p>
      <w:pPr>
        <w:pStyle w:val="Heading3"/>
      </w:pPr>
      <w:r>
        <w:t xml:space="preserve">A. Immediate / Time-Sensitive</w:t>
      </w:r>
    </w:p>
    <w:p>
      <w:pPr>
        <w:pStyle w:val="Compact"/>
        <w:numPr>
          <w:ilvl w:val="0"/>
          <w:numId w:val="1022"/>
        </w:numPr>
      </w:pPr>
      <w:r>
        <w:rPr>
          <w:b/>
          <w:bCs/>
        </w:rPr>
        <w:t xml:space="preserve">SensorLink LOI exclusivity (Critical).</w:t>
      </w:r>
      <w:r>
        <w:t xml:space="preserve"> </w:t>
      </w:r>
      <w:r>
        <w:t xml:space="preserve">Immediately confirm whether a written termination notice was sent to SensorLink before September 8, 2024. Obtain and review the SensorLink LOI to determine the scope of the exclusivity. If no notice was sent, send a termination notice immediately and assess whether the live exclusivity (through approximately December 7, 2024) conflicts with the Hargrove signing timeline. Route the document request for the SensorLink LOI through Jonathan Hsieh.</w:t>
      </w:r>
    </w:p>
    <w:p>
      <w:pPr>
        <w:pStyle w:val="Compact"/>
        <w:numPr>
          <w:ilvl w:val="0"/>
          <w:numId w:val="1022"/>
        </w:numPr>
      </w:pPr>
      <w:r>
        <w:rPr>
          <w:b/>
          <w:bCs/>
        </w:rPr>
        <w:t xml:space="preserve">Clearfield term loan Preferred consent (Significant/Critical).</w:t>
      </w:r>
      <w:r>
        <w:t xml:space="preserve"> </w:t>
      </w:r>
      <w:r>
        <w:t xml:space="preserve">Request the stockholder consent records to determine whether the holders of a majority of the Preferred Stock consented to the $12 million term loan as required by Charter Section 4.3.6(a)(v). If consent was not obtained, assess remediation (e.g., a ratifying consent) and evaluate Stonemill’s ability to leverage the violation.</w:t>
      </w:r>
    </w:p>
    <w:p>
      <w:pPr>
        <w:pStyle w:val="Compact"/>
        <w:numPr>
          <w:ilvl w:val="0"/>
          <w:numId w:val="1022"/>
        </w:numPr>
      </w:pPr>
      <w:r>
        <w:rPr>
          <w:b/>
          <w:bCs/>
        </w:rPr>
        <w:t xml:space="preserve">Flag the Series C blocking right to the client (Critical).</w:t>
      </w:r>
      <w:r>
        <w:t xml:space="preserve"> </w:t>
      </w:r>
      <w:r>
        <w:t xml:space="preserve">Confirm that Elena Marchetti and Katrina Voss understand that Stonemill holds a hard, charter-level blocking right (Section 4.3.6(b)(i)) that cannot be satisfied without Stonemill’s affirmative consent, and that the drag-along is not a reliable override. This fundamentally shapes the negotiation strategy.</w:t>
      </w:r>
    </w:p>
    <w:bookmarkEnd w:id="83"/>
    <w:bookmarkStart w:id="84" w:name="Xede54880503ec3f908e525a28196801672745c0"/>
    <w:p>
      <w:pPr>
        <w:pStyle w:val="Heading3"/>
      </w:pPr>
      <w:r>
        <w:t xml:space="preserve">B. Document Requests (to be routed through Jonathan Hsieh to Nathaniel Rourke at Avery, Pollard &amp; Glenn)</w:t>
      </w:r>
    </w:p>
    <w:p>
      <w:pPr>
        <w:pStyle w:val="Compact"/>
        <w:numPr>
          <w:ilvl w:val="0"/>
          <w:numId w:val="1023"/>
        </w:numPr>
      </w:pPr>
      <w:r>
        <w:t xml:space="preserve">The 2021 Equity Incentive Plan, as amended (including the July 2023 amendment increasing the share reserve).</w:t>
      </w:r>
    </w:p>
    <w:p>
      <w:pPr>
        <w:pStyle w:val="Compact"/>
        <w:numPr>
          <w:ilvl w:val="0"/>
          <w:numId w:val="1023"/>
        </w:numPr>
      </w:pPr>
      <w:r>
        <w:t xml:space="preserve">All individual award agreements (option agreements, RSU agreements) for the Malhotra option grant and the Yeung RSU grant, and a complete cap table / award schedule.</w:t>
      </w:r>
    </w:p>
    <w:p>
      <w:pPr>
        <w:pStyle w:val="Compact"/>
        <w:numPr>
          <w:ilvl w:val="0"/>
          <w:numId w:val="1023"/>
        </w:numPr>
      </w:pPr>
      <w:r>
        <w:t xml:space="preserve">Stockholder consent records (written consents) for: (a) the Clearfield term loan; (b) the Plan share-reserve increase; and (c) any other actions requiring Preferred consent.</w:t>
      </w:r>
    </w:p>
    <w:p>
      <w:pPr>
        <w:pStyle w:val="Compact"/>
        <w:numPr>
          <w:ilvl w:val="0"/>
          <w:numId w:val="1023"/>
        </w:numPr>
      </w:pPr>
      <w:r>
        <w:t xml:space="preserve">The SensorLink Technologies LOI and any related correspondence (including any termination notice).</w:t>
      </w:r>
    </w:p>
    <w:p>
      <w:pPr>
        <w:pStyle w:val="Compact"/>
        <w:numPr>
          <w:ilvl w:val="0"/>
          <w:numId w:val="1023"/>
        </w:numPr>
      </w:pPr>
      <w:r>
        <w:t xml:space="preserve">The Company’s current capitalization table (outstanding Common, Preferred, options, RSUs, and the common-versus-option split within the 10,100,000-share pool).</w:t>
      </w:r>
    </w:p>
    <w:p>
      <w:pPr>
        <w:pStyle w:val="Compact"/>
        <w:numPr>
          <w:ilvl w:val="0"/>
          <w:numId w:val="1023"/>
        </w:numPr>
      </w:pPr>
      <w:r>
        <w:t xml:space="preserve">The individual indemnification agreements with each director (referenced in Bylaws Section 6.4).</w:t>
      </w:r>
    </w:p>
    <w:p>
      <w:pPr>
        <w:pStyle w:val="Compact"/>
        <w:numPr>
          <w:ilvl w:val="0"/>
          <w:numId w:val="1023"/>
        </w:numPr>
      </w:pPr>
      <w:r>
        <w:t xml:space="preserve">The Audit Committee and Compensation Committee charters (referenced in Bylaws Section 3.10).</w:t>
      </w:r>
    </w:p>
    <w:p>
      <w:pPr>
        <w:pStyle w:val="Compact"/>
        <w:numPr>
          <w:ilvl w:val="0"/>
          <w:numId w:val="1023"/>
        </w:numPr>
      </w:pPr>
      <w:r>
        <w:t xml:space="preserve">The Confidentiality Agreement executed with Hargrove (after April 17, 2024) and the exclusivity agreement with Hargrove (authorized July 10, 2024).</w:t>
      </w:r>
    </w:p>
    <w:p>
      <w:pPr>
        <w:pStyle w:val="Compact"/>
        <w:numPr>
          <w:ilvl w:val="0"/>
          <w:numId w:val="1023"/>
        </w:numPr>
      </w:pPr>
      <w:r>
        <w:t xml:space="preserve">The Series C Preferred Stock Purchase Agreement (referenced in the RRA) and any other</w:t>
      </w:r>
      <w:r>
        <w:t xml:space="preserve"> </w:t>
      </w:r>
      <w:r>
        <w:t xml:space="preserve">“</w:t>
      </w:r>
      <w:r>
        <w:t xml:space="preserve">Transaction Documents</w:t>
      </w:r>
      <w:r>
        <w:t xml:space="preserve">”</w:t>
      </w:r>
      <w:r>
        <w:t xml:space="preserve"> </w:t>
      </w:r>
      <w:r>
        <w:t xml:space="preserve">defined therein.</w:t>
      </w:r>
    </w:p>
    <w:p>
      <w:pPr>
        <w:pStyle w:val="Compact"/>
        <w:numPr>
          <w:ilvl w:val="0"/>
          <w:numId w:val="1023"/>
        </w:numPr>
      </w:pPr>
      <w:r>
        <w:t xml:space="preserve">The 409A valuation reports referenced in the Board Minutes.</w:t>
      </w:r>
    </w:p>
    <w:p>
      <w:pPr>
        <w:pStyle w:val="Compact"/>
        <w:numPr>
          <w:ilvl w:val="0"/>
          <w:numId w:val="1023"/>
        </w:numPr>
      </w:pPr>
      <w:r>
        <w:t xml:space="preserve">The Company’s D&amp;O insurance policy (to confirm the $5 million coverage required by SHA Section 5.3 and to structure the D&amp;O tail).</w:t>
      </w:r>
    </w:p>
    <w:p>
      <w:pPr>
        <w:pStyle w:val="Compact"/>
        <w:numPr>
          <w:ilvl w:val="0"/>
          <w:numId w:val="1023"/>
        </w:numPr>
      </w:pPr>
      <w:r>
        <w:t xml:space="preserve">Any written waivers by the Investor Stockholders of the Voting Agreement Section 2.4 committee-composition requirement.</w:t>
      </w:r>
    </w:p>
    <w:bookmarkEnd w:id="84"/>
    <w:bookmarkStart w:id="85" w:name="Xf9e27758bcb56407a28a6e6033beb2009e9d573"/>
    <w:p>
      <w:pPr>
        <w:pStyle w:val="Heading3"/>
      </w:pPr>
      <w:r>
        <w:t xml:space="preserve">C. Open Legal Questions Requiring Further Analysis</w:t>
      </w:r>
    </w:p>
    <w:p>
      <w:pPr>
        <w:pStyle w:val="Compact"/>
        <w:numPr>
          <w:ilvl w:val="0"/>
          <w:numId w:val="1024"/>
        </w:numPr>
      </w:pPr>
      <w:r>
        <w:rPr>
          <w:b/>
          <w:bCs/>
        </w:rPr>
        <w:t xml:space="preserve">Drag-along override of the Series C protective provision.</w:t>
      </w:r>
      <w:r>
        <w:t xml:space="preserve"> </w:t>
      </w:r>
      <w:r>
        <w:t xml:space="preserve">If Hargrove wishes to evaluate the litigation path, we should prepare a focused Delaware-law memorandum analyzing whether the SHA drag-along (and its irrevocable proxy) can override the Charter’s Series C separate-class protective provision, including a survey of relevant Court of Chancery authority and an assessment of the equities.</w:t>
      </w:r>
    </w:p>
    <w:p>
      <w:pPr>
        <w:pStyle w:val="Compact"/>
        <w:numPr>
          <w:ilvl w:val="0"/>
          <w:numId w:val="1024"/>
        </w:numPr>
      </w:pPr>
      <w:r>
        <w:rPr>
          <w:b/>
          <w:bCs/>
        </w:rPr>
        <w:t xml:space="preserve">Interpretation of drag-along Prong (i).</w:t>
      </w:r>
      <w:r>
        <w:t xml:space="preserve"> </w:t>
      </w:r>
      <w:r>
        <w:t xml:space="preserve">Resolve whether</w:t>
      </w:r>
      <w:r>
        <w:t xml:space="preserve"> </w:t>
      </w:r>
      <w:r>
        <w:t xml:space="preserve">“</w:t>
      </w:r>
      <w:r>
        <w:t xml:space="preserve">as-converted to Common Stock basis</w:t>
      </w:r>
      <w:r>
        <w:t xml:space="preserve">”</w:t>
      </w:r>
      <w:r>
        <w:t xml:space="preserve"> </w:t>
      </w:r>
      <w:r>
        <w:t xml:space="preserve">in SHA Section 3.1(a)(i) includes unexercised options and RSUs, and confirm the common-versus-option split in the cap table.</w:t>
      </w:r>
    </w:p>
    <w:p>
      <w:pPr>
        <w:pStyle w:val="Compact"/>
        <w:numPr>
          <w:ilvl w:val="0"/>
          <w:numId w:val="1024"/>
        </w:numPr>
      </w:pPr>
      <w:r>
        <w:rPr>
          <w:b/>
          <w:bCs/>
        </w:rPr>
        <w:t xml:space="preserve">Plan change-of-control and acceleration.</w:t>
      </w:r>
      <w:r>
        <w:t xml:space="preserve"> </w:t>
      </w:r>
      <w:r>
        <w:t xml:space="preserve">Upon receipt of the Plan and award agreements, determine the change-of-control definition, single- vs. double-trigger acceleration, award treatment at the effective time, and the aggregate dollar impact.</w:t>
      </w:r>
    </w:p>
    <w:p>
      <w:pPr>
        <w:pStyle w:val="Compact"/>
        <w:numPr>
          <w:ilvl w:val="0"/>
          <w:numId w:val="1024"/>
        </w:numPr>
      </w:pPr>
      <w:r>
        <w:rPr>
          <w:b/>
          <w:bCs/>
        </w:rPr>
        <w:t xml:space="preserve">Special Committee reconstitution.</w:t>
      </w:r>
      <w:r>
        <w:t xml:space="preserve"> </w:t>
      </w:r>
      <w:r>
        <w:t xml:space="preserve">Advise on reconstituting the Special Committee to exclude Ms. Okafor (with a Voting Agreement Section 2.4 waiver) and on the fiduciary-duty implications of any economic concession to Stonemill.</w:t>
      </w:r>
    </w:p>
    <w:bookmarkEnd w:id="85"/>
    <w:bookmarkStart w:id="86" w:name="d.-merger-agreement-structuring-items"/>
    <w:p>
      <w:pPr>
        <w:pStyle w:val="Heading3"/>
      </w:pPr>
      <w:r>
        <w:t xml:space="preserve">D. Merger Agreement Structuring Items</w:t>
      </w:r>
    </w:p>
    <w:p>
      <w:pPr>
        <w:pStyle w:val="Compact"/>
        <w:numPr>
          <w:ilvl w:val="0"/>
          <w:numId w:val="1025"/>
        </w:numPr>
      </w:pPr>
      <w:r>
        <w:t xml:space="preserve">Include express terminations of the SHA, the Voting Agreement, and the RRA at the effective time, with each Holder deemed to consent as a condition to receiving merger consideration.</w:t>
      </w:r>
    </w:p>
    <w:p>
      <w:pPr>
        <w:pStyle w:val="Compact"/>
        <w:numPr>
          <w:ilvl w:val="0"/>
          <w:numId w:val="1025"/>
        </w:numPr>
      </w:pPr>
      <w:r>
        <w:t xml:space="preserve">Recite that the Transaction constitutes a Liquidation Event, a Sale of the Company, and a Deemed Liquidation Event.</w:t>
      </w:r>
    </w:p>
    <w:p>
      <w:pPr>
        <w:pStyle w:val="Compact"/>
        <w:numPr>
          <w:ilvl w:val="0"/>
          <w:numId w:val="1025"/>
        </w:numPr>
      </w:pPr>
      <w:r>
        <w:t xml:space="preserve">Provide for the 20-day Liquidation Event notice to Preferred holders (Charter Section 4.3.2(d)) as a closing deliverable.</w:t>
      </w:r>
    </w:p>
    <w:p>
      <w:pPr>
        <w:pStyle w:val="Compact"/>
        <w:numPr>
          <w:ilvl w:val="0"/>
          <w:numId w:val="1025"/>
        </w:numPr>
      </w:pPr>
      <w:r>
        <w:t xml:space="preserve">Provide for a D&amp;O tail insurance policy (six to seven years) and the survival of indemnification obligations (Charter Article VII; Bylaws Article VI; individual indemnification agreements).</w:t>
      </w:r>
    </w:p>
    <w:p>
      <w:pPr>
        <w:pStyle w:val="Compact"/>
        <w:numPr>
          <w:ilvl w:val="0"/>
          <w:numId w:val="1025"/>
        </w:numPr>
      </w:pPr>
      <w:r>
        <w:t xml:space="preserve">Reflect the drag-along’s limited representations and several indemnity (capped at consideration) in the stockholder representation and indemnity provisions.</w:t>
      </w:r>
    </w:p>
    <w:p>
      <w:pPr>
        <w:pStyle w:val="Compact"/>
        <w:numPr>
          <w:ilvl w:val="0"/>
          <w:numId w:val="1025"/>
        </w:numPr>
      </w:pPr>
      <w:r>
        <w:t xml:space="preserve">Address the SensorLink LOI and any live exclusivity in the disclosure schedules.</w:t>
      </w:r>
    </w:p>
    <w:p>
      <w:pPr>
        <w:pStyle w:val="Compact"/>
        <w:numPr>
          <w:ilvl w:val="0"/>
          <w:numId w:val="1025"/>
        </w:numPr>
      </w:pPr>
      <w:r>
        <w:t xml:space="preserve">Consider a go-shop or market-check provision to address the sale-process narrowness.</w:t>
      </w:r>
    </w:p>
    <w:p>
      <w:pPr>
        <w:pStyle w:val="Compact"/>
        <w:numPr>
          <w:ilvl w:val="0"/>
          <w:numId w:val="1025"/>
        </w:numPr>
      </w:pPr>
      <w:r>
        <w:t xml:space="preserve">Structure any economic concession to Stonemill (if pursued) to comply with the drag-along’s equal-treatment requirement and fiduciary duties.</w:t>
      </w:r>
    </w:p>
    <w:bookmarkEnd w:id="86"/>
    <w:bookmarkStart w:id="87" w:name="e.-items-requiring-client-input"/>
    <w:p>
      <w:pPr>
        <w:pStyle w:val="Heading3"/>
      </w:pPr>
      <w:r>
        <w:t xml:space="preserve">E. Items Requiring Client Input</w:t>
      </w:r>
    </w:p>
    <w:p>
      <w:pPr>
        <w:pStyle w:val="Compact"/>
        <w:numPr>
          <w:ilvl w:val="0"/>
          <w:numId w:val="1026"/>
        </w:numPr>
      </w:pPr>
      <w:r>
        <w:rPr>
          <w:b/>
          <w:bCs/>
        </w:rPr>
        <w:t xml:space="preserve">Negotiation strategy toward Stonemill.</w:t>
      </w:r>
      <w:r>
        <w:t xml:space="preserve"> </w:t>
      </w:r>
      <w:r>
        <w:t xml:space="preserve">Whether to (a) negotiate Stonemill’s consent directly (and on what terms), (b) pursue the drag-along/litigation path, or (c) some combination. The economic profile (Stonemill receiving approximately 1.0x at the current price) suggests Stonemill will seek a higher price or a side arrangement; the client should decide its ceiling for concessions.</w:t>
      </w:r>
    </w:p>
    <w:p>
      <w:pPr>
        <w:pStyle w:val="Compact"/>
        <w:numPr>
          <w:ilvl w:val="0"/>
          <w:numId w:val="1026"/>
        </w:numPr>
      </w:pPr>
      <w:r>
        <w:rPr>
          <w:b/>
          <w:bCs/>
        </w:rPr>
        <w:t xml:space="preserve">Sale-process enhancements.</w:t>
      </w:r>
      <w:r>
        <w:t xml:space="preserve"> </w:t>
      </w:r>
      <w:r>
        <w:t xml:space="preserve">Whether to reconstitute the Special Committee, conduct a market check, or include a go-shop, weighing process defensibility against timing and deal certainty.</w:t>
      </w:r>
    </w:p>
    <w:p>
      <w:pPr>
        <w:pStyle w:val="Compact"/>
        <w:numPr>
          <w:ilvl w:val="0"/>
          <w:numId w:val="1026"/>
        </w:numPr>
      </w:pPr>
      <w:r>
        <w:rPr>
          <w:b/>
          <w:bCs/>
        </w:rPr>
        <w:t xml:space="preserve">Risk tolerance for the SensorLink exclusivity.</w:t>
      </w:r>
      <w:r>
        <w:t xml:space="preserve"> </w:t>
      </w:r>
      <w:r>
        <w:t xml:space="preserve">Whether to proceed with signing if the SensorLink exclusivity is live (subject to a clean termination) or to require resolution before signing.</w:t>
      </w:r>
    </w:p>
    <w:p>
      <w:r>
        <w:pict>
          <v:rect style="width:0;height:1.5pt" o:hralign="center" o:hrstd="t" o:hr="t"/>
        </w:pict>
      </w:r>
    </w:p>
    <w:bookmarkEnd w:id="87"/>
    <w:bookmarkEnd w:id="88"/>
    <w:bookmarkStart w:id="89" w:name="xiii.-conclusion"/>
    <w:p>
      <w:pPr>
        <w:pStyle w:val="Heading2"/>
      </w:pPr>
      <w:r>
        <w:t xml:space="preserve">XIII. Conclusion</w:t>
      </w:r>
    </w:p>
    <w:p>
      <w:pPr>
        <w:pStyle w:val="FirstParagraph"/>
      </w:pPr>
      <w:r>
        <w:t xml:space="preserve">The governance documents reveal a Company with a well-structured but investor-protective governance framework typical of a Series C-stage Delaware corporation. The Transaction is clearly captured by the operative change-of-control definitions in the Charter, the SHA, and the Voting Agreement, and the SHA and Voting Agreement terminate cleanly upon a Sale of the Company. The principal obstacle is the</w:t>
      </w:r>
      <w:r>
        <w:t xml:space="preserve"> </w:t>
      </w:r>
      <w:r>
        <w:rPr>
          <w:b/>
          <w:bCs/>
        </w:rPr>
        <w:t xml:space="preserve">Series C separate-class protective provision in the Charter (Section 4.3.6(b)(i))</w:t>
      </w:r>
      <w:r>
        <w:t xml:space="preserve">, which gives Stonemill an absolute veto over the Transaction that cannot be satisfied without its affirmative consent. The drag-along in the SHA is a potential but unreliable tool to override that veto, and its use would likely require litigation with an uncertain outcome. The economic profile of the Transaction—under which Stonemill receives approximately a 1.0x return while other holders receive meaningful gains—provides Stonemill with both the incentive and the leverage to seek concessions.</w:t>
      </w:r>
    </w:p>
    <w:p>
      <w:pPr>
        <w:pStyle w:val="BodyText"/>
      </w:pPr>
      <w:r>
        <w:t xml:space="preserve">Two additional issues require immediate attention: the</w:t>
      </w:r>
      <w:r>
        <w:t xml:space="preserve"> </w:t>
      </w:r>
      <w:r>
        <w:rPr>
          <w:b/>
          <w:bCs/>
        </w:rPr>
        <w:t xml:space="preserve">potential live exclusivity obligation to SensorLink</w:t>
      </w:r>
      <w:r>
        <w:t xml:space="preserve"> </w:t>
      </w:r>
      <w:r>
        <w:t xml:space="preserve">(which may conflict with signing the Hargrove definitive agreement) and the</w:t>
      </w:r>
      <w:r>
        <w:t xml:space="preserve"> </w:t>
      </w:r>
      <w:r>
        <w:rPr>
          <w:b/>
          <w:bCs/>
        </w:rPr>
        <w:t xml:space="preserve">potential protective-provision violation in connection with the Clearfield term loan</w:t>
      </w:r>
      <w:r>
        <w:t xml:space="preserve"> </w:t>
      </w:r>
      <w:r>
        <w:t xml:space="preserve">(which Stonemill may leverage). The Special Committee’s composition (including a non-independent director) and the narrowness of the sale process create fiduciary-duty vulnerabilities that should be addressed before signing. Finally, several document gaps—notably the 2021 Equity Incentive Plan, the award agreements, the stockholder consent records, and the SensorLink LOI—must be closed to complete the diligence.</w:t>
      </w:r>
    </w:p>
    <w:p>
      <w:pPr>
        <w:pStyle w:val="BodyText"/>
      </w:pPr>
      <w:r>
        <w:t xml:space="preserve">We are available to discuss any of these findings, to prepare the focused Delaware-law memorandum on the drag-along override question, and to assist in structuring the merger agreement provisions described above.</w:t>
      </w:r>
    </w:p>
    <w:p>
      <w:r>
        <w:pict>
          <v:rect style="width:0;height:1.5pt" o:hralign="center" o:hrstd="t" o:hr="t"/>
        </w:pict>
      </w:r>
    </w:p>
    <w:bookmarkEnd w:id="89"/>
    <w:bookmarkStart w:id="90"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Approval / Consent</w:t>
            </w:r>
          </w:p>
        </w:tc>
        <w:tc>
          <w:tcPr/>
          <w:p>
            <w:pPr>
              <w:pStyle w:val="Compact"/>
              <w:jc w:val="left"/>
            </w:pPr>
            <w:r>
              <w:t xml:space="preserve">Source Provision</w:t>
            </w:r>
          </w:p>
        </w:tc>
        <w:tc>
          <w:tcPr/>
          <w:p>
            <w:pPr>
              <w:pStyle w:val="Compact"/>
              <w:jc w:val="left"/>
            </w:pPr>
            <w:r>
              <w:t xml:space="preserve">Threshold</w:t>
            </w:r>
          </w:p>
        </w:tc>
        <w:tc>
          <w:tcPr/>
          <w:p>
            <w:pPr>
              <w:pStyle w:val="Compact"/>
              <w:jc w:val="left"/>
            </w:pPr>
            <w:r>
              <w:t xml:space="preserve">Parties Whose Consent Is Required</w:t>
            </w:r>
          </w:p>
        </w:tc>
        <w:tc>
          <w:tcPr/>
          <w:p>
            <w:pPr>
              <w:pStyle w:val="Compact"/>
              <w:jc w:val="left"/>
            </w:pPr>
            <w:r>
              <w:t xml:space="preserve">Can Be Met Without Stonemill?</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Terravox Board adoption of merger agreement</w:t>
            </w:r>
          </w:p>
        </w:tc>
        <w:tc>
          <w:tcPr/>
          <w:p>
            <w:pPr>
              <w:pStyle w:val="Compact"/>
              <w:jc w:val="left"/>
            </w:pPr>
            <w:r>
              <w:t xml:space="preserve">DGCL § 251(b); Bylaws § 3.7</w:t>
            </w:r>
          </w:p>
        </w:tc>
        <w:tc>
          <w:tcPr/>
          <w:p>
            <w:pPr>
              <w:pStyle w:val="Compact"/>
              <w:jc w:val="left"/>
            </w:pPr>
            <w:r>
              <w:t xml:space="preserve">Majority of directors then in office (4 of 7)</w:t>
            </w:r>
          </w:p>
        </w:tc>
        <w:tc>
          <w:tcPr/>
          <w:p>
            <w:pPr>
              <w:pStyle w:val="Compact"/>
              <w:jc w:val="left"/>
            </w:pPr>
            <w:r>
              <w:t xml:space="preserve">Terravox Board</w:t>
            </w:r>
          </w:p>
        </w:tc>
        <w:tc>
          <w:tcPr/>
          <w:p>
            <w:pPr>
              <w:pStyle w:val="Compact"/>
              <w:jc w:val="left"/>
            </w:pPr>
            <w:r>
              <w:t xml:space="preserve">Yes (6 of 7 directors have supported the process; Trask dissenting)</w:t>
            </w:r>
          </w:p>
        </w:tc>
        <w:tc>
          <w:tcPr/>
          <w:p>
            <w:pPr>
              <w:pStyle w:val="Compact"/>
              <w:jc w:val="left"/>
            </w:pPr>
            <w:r>
              <w:t xml:space="preserve">Not yet obtained (Board authorized negotiation 9/25/24; definitive adoption required at signing)</w:t>
            </w:r>
          </w:p>
        </w:tc>
      </w:tr>
      <w:tr>
        <w:tc>
          <w:tcPr/>
          <w:p>
            <w:pPr>
              <w:pStyle w:val="Compact"/>
              <w:jc w:val="left"/>
            </w:pPr>
            <w:r>
              <w:t xml:space="preserve">2</w:t>
            </w:r>
          </w:p>
        </w:tc>
        <w:tc>
          <w:tcPr/>
          <w:p>
            <w:pPr>
              <w:pStyle w:val="Compact"/>
              <w:jc w:val="left"/>
            </w:pPr>
            <w:r>
              <w:t xml:space="preserve">Terravox stockholder approval (merger)</w:t>
            </w:r>
          </w:p>
        </w:tc>
        <w:tc>
          <w:tcPr/>
          <w:p>
            <w:pPr>
              <w:pStyle w:val="Compact"/>
              <w:jc w:val="left"/>
            </w:pPr>
            <w:r>
              <w:t xml:space="preserve">DGCL § 251(c); Charter §§ 4.2.1, 4.3.5; Bylaws § 2.6</w:t>
            </w:r>
          </w:p>
        </w:tc>
        <w:tc>
          <w:tcPr/>
          <w:p>
            <w:pPr>
              <w:pStyle w:val="Compact"/>
              <w:jc w:val="left"/>
            </w:pPr>
            <w:r>
              <w:t xml:space="preserve">Majority of outstanding shares entitled to vote (Common + Preferred, as-converted, single class)</w:t>
            </w:r>
          </w:p>
        </w:tc>
        <w:tc>
          <w:tcPr/>
          <w:p>
            <w:pPr>
              <w:pStyle w:val="Compact"/>
              <w:jc w:val="left"/>
            </w:pPr>
            <w:r>
              <w:t xml:space="preserve">Terravox stockholders (by written consent permitted)</w:t>
            </w:r>
          </w:p>
        </w:tc>
        <w:tc>
          <w:tcPr/>
          <w:p>
            <w:pPr>
              <w:pStyle w:val="Compact"/>
              <w:jc w:val="left"/>
            </w:pPr>
            <w:r>
              <w:t xml:space="preserve">Likely yes, subject to cap-table confirmation</w:t>
            </w:r>
          </w:p>
        </w:tc>
        <w:tc>
          <w:tcPr/>
          <w:p>
            <w:pPr>
              <w:pStyle w:val="Compact"/>
              <w:jc w:val="left"/>
            </w:pPr>
            <w:r>
              <w:t xml:space="preserve">Not yet obtained</w:t>
            </w:r>
          </w:p>
        </w:tc>
      </w:tr>
      <w:tr>
        <w:tc>
          <w:tcPr/>
          <w:p>
            <w:pPr>
              <w:pStyle w:val="Compact"/>
              <w:jc w:val="left"/>
            </w:pPr>
            <w:r>
              <w:t xml:space="preserve">3</w:t>
            </w:r>
          </w:p>
        </w:tc>
        <w:tc>
          <w:tcPr/>
          <w:p>
            <w:pPr>
              <w:pStyle w:val="Compact"/>
              <w:jc w:val="left"/>
            </w:pPr>
            <w:r>
              <w:t xml:space="preserve">All-Preferred protective consent (Liquidation Event)</w:t>
            </w:r>
          </w:p>
        </w:tc>
        <w:tc>
          <w:tcPr/>
          <w:p>
            <w:pPr>
              <w:pStyle w:val="Compact"/>
              <w:jc w:val="left"/>
            </w:pPr>
            <w:r>
              <w:t xml:space="preserve">Charter § 4.3.6(a)(vi)</w:t>
            </w:r>
          </w:p>
        </w:tc>
        <w:tc>
          <w:tcPr/>
          <w:p>
            <w:pPr>
              <w:pStyle w:val="Compact"/>
              <w:jc w:val="left"/>
            </w:pPr>
            <w:r>
              <w:t xml:space="preserve">Majority (&gt;50%) of Preferred, as-converted, single class (&gt;8,250,000 shares)</w:t>
            </w:r>
          </w:p>
        </w:tc>
        <w:tc>
          <w:tcPr/>
          <w:p>
            <w:pPr>
              <w:pStyle w:val="Compact"/>
              <w:jc w:val="left"/>
            </w:pPr>
            <w:r>
              <w:t xml:space="preserve">Holders of &gt;8,250,000 shares of Preferred</w:t>
            </w:r>
          </w:p>
        </w:tc>
        <w:tc>
          <w:tcPr/>
          <w:p>
            <w:pPr>
              <w:pStyle w:val="Compact"/>
              <w:jc w:val="left"/>
            </w:pPr>
            <w:r>
              <w:rPr>
                <w:b/>
                <w:bCs/>
              </w:rPr>
              <w:t xml:space="preserve">Yes</w:t>
            </w:r>
            <w:r>
              <w:t xml:space="preserve"> </w:t>
            </w:r>
            <w:r>
              <w:t xml:space="preserve">— Ridgeline + Northbridge = 8,700,000</w:t>
            </w:r>
          </w:p>
        </w:tc>
        <w:tc>
          <w:tcPr/>
          <w:p>
            <w:pPr>
              <w:pStyle w:val="Compact"/>
              <w:jc w:val="left"/>
            </w:pPr>
            <w:r>
              <w:t xml:space="preserve">Not yet obtained; achievable without Stonemill</w:t>
            </w:r>
          </w:p>
        </w:tc>
      </w:tr>
      <w:tr>
        <w:tc>
          <w:tcPr/>
          <w:p>
            <w:pPr>
              <w:pStyle w:val="Compact"/>
              <w:jc w:val="left"/>
            </w:pPr>
            <w:r>
              <w:t xml:space="preserve">4</w:t>
            </w:r>
          </w:p>
        </w:tc>
        <w:tc>
          <w:tcPr/>
          <w:p>
            <w:pPr>
              <w:pStyle w:val="Compact"/>
              <w:jc w:val="left"/>
            </w:pPr>
            <w:r>
              <w:t xml:space="preserve">Series C separate-class protective consent (Liquidation Event)</w:t>
            </w:r>
          </w:p>
        </w:tc>
        <w:tc>
          <w:tcPr/>
          <w:p>
            <w:pPr>
              <w:pStyle w:val="Compact"/>
              <w:jc w:val="left"/>
            </w:pPr>
            <w:r>
              <w:t xml:space="preserve">Charter § 4.3.6(b)(i)</w:t>
            </w:r>
          </w:p>
        </w:tc>
        <w:tc>
          <w:tcPr/>
          <w:p>
            <w:pPr>
              <w:pStyle w:val="Compact"/>
              <w:jc w:val="left"/>
            </w:pPr>
            <w:r>
              <w:t xml:space="preserve">66⅔% of Series C, separate class (≥5,200,000 shares)</w:t>
            </w:r>
          </w:p>
        </w:tc>
        <w:tc>
          <w:tcPr/>
          <w:p>
            <w:pPr>
              <w:pStyle w:val="Compact"/>
              <w:jc w:val="left"/>
            </w:pPr>
            <w:r>
              <w:t xml:space="preserve">Holders of ≥5,200,000 shares of Series C</w:t>
            </w:r>
          </w:p>
        </w:tc>
        <w:tc>
          <w:tcPr/>
          <w:p>
            <w:pPr>
              <w:pStyle w:val="Compact"/>
              <w:jc w:val="left"/>
            </w:pPr>
            <w:r>
              <w:rPr>
                <w:b/>
                <w:bCs/>
              </w:rPr>
              <w:t xml:space="preserve">No</w:t>
            </w:r>
            <w:r>
              <w:t xml:space="preserve"> </w:t>
            </w:r>
            <w:r>
              <w:t xml:space="preserve">— Stonemill holds 100% of Series C (7,800,000)</w:t>
            </w:r>
          </w:p>
        </w:tc>
        <w:tc>
          <w:tcPr/>
          <w:p>
            <w:pPr>
              <w:pStyle w:val="Compact"/>
              <w:jc w:val="left"/>
            </w:pPr>
            <w:r>
              <w:t xml:space="preserve">Not yet obtained;</w:t>
            </w:r>
            <w:r>
              <w:t xml:space="preserve"> </w:t>
            </w:r>
            <w:r>
              <w:rPr>
                <w:b/>
                <w:bCs/>
              </w:rPr>
              <w:t xml:space="preserve">requires Stonemill’s affirmative consent (hard block)</w:t>
            </w:r>
          </w:p>
        </w:tc>
      </w:tr>
      <w:tr>
        <w:tc>
          <w:tcPr/>
          <w:p>
            <w:pPr>
              <w:pStyle w:val="Compact"/>
              <w:jc w:val="left"/>
            </w:pPr>
            <w:r>
              <w:t xml:space="preserve">5</w:t>
            </w:r>
          </w:p>
        </w:tc>
        <w:tc>
          <w:tcPr/>
          <w:p>
            <w:pPr>
              <w:pStyle w:val="Compact"/>
              <w:jc w:val="left"/>
            </w:pPr>
            <w:r>
              <w:t xml:space="preserve">Drag-Along Approval (if relied upon)</w:t>
            </w:r>
          </w:p>
        </w:tc>
        <w:tc>
          <w:tcPr/>
          <w:p>
            <w:pPr>
              <w:pStyle w:val="Compact"/>
              <w:jc w:val="left"/>
            </w:pPr>
            <w:r>
              <w:t xml:space="preserve">SHA § 3.1(a)</w:t>
            </w:r>
          </w:p>
        </w:tc>
        <w:tc>
          <w:tcPr/>
          <w:p>
            <w:pPr>
              <w:pStyle w:val="Compact"/>
              <w:jc w:val="left"/>
            </w:pPr>
            <w:r>
              <w:t xml:space="preserve">All three prongs: (i) majority of Common as-converted; (ii) majority of Preferred as-converted; (iii) 2 of 3 Investor Stockholders</w:t>
            </w:r>
          </w:p>
        </w:tc>
        <w:tc>
          <w:tcPr/>
          <w:p>
            <w:pPr>
              <w:pStyle w:val="Compact"/>
              <w:jc w:val="left"/>
            </w:pPr>
            <w:r>
              <w:t xml:space="preserve">Prong (i): Common/option holders; Prong (ii): Preferred holders; Prong (iii): Investor Stockholders</w:t>
            </w:r>
          </w:p>
        </w:tc>
        <w:tc>
          <w:tcPr/>
          <w:p>
            <w:pPr>
              <w:pStyle w:val="Compact"/>
              <w:jc w:val="left"/>
            </w:pPr>
            <w:r>
              <w:t xml:space="preserve">Prongs (ii) and (iii): yes. Prong (i): likely yes under textual interpretation; no under fully-diluted interpretation without ~950,000 from option pool</w:t>
            </w:r>
          </w:p>
        </w:tc>
        <w:tc>
          <w:tcPr/>
          <w:p>
            <w:pPr>
              <w:pStyle w:val="Compact"/>
              <w:jc w:val="left"/>
            </w:pPr>
            <w:r>
              <w:t xml:space="preserve">Not yet obtained; trigger uncertain; override of Consent #4 contested</w:t>
            </w:r>
          </w:p>
        </w:tc>
      </w:tr>
      <w:tr>
        <w:tc>
          <w:tcPr/>
          <w:p>
            <w:pPr>
              <w:pStyle w:val="Compact"/>
              <w:jc w:val="left"/>
            </w:pPr>
            <w:r>
              <w:t xml:space="preserve">6</w:t>
            </w:r>
          </w:p>
        </w:tc>
        <w:tc>
          <w:tcPr/>
          <w:p>
            <w:pPr>
              <w:pStyle w:val="Compact"/>
              <w:jc w:val="left"/>
            </w:pPr>
            <w:r>
              <w:t xml:space="preserve">20-day Liquidation Event notice</w:t>
            </w:r>
          </w:p>
        </w:tc>
        <w:tc>
          <w:tcPr/>
          <w:p>
            <w:pPr>
              <w:pStyle w:val="Compact"/>
              <w:jc w:val="left"/>
            </w:pPr>
            <w:r>
              <w:t xml:space="preserve">Charter § 4.3.2(d)</w:t>
            </w:r>
          </w:p>
        </w:tc>
        <w:tc>
          <w:tcPr/>
          <w:p>
            <w:pPr>
              <w:pStyle w:val="Compact"/>
              <w:jc w:val="left"/>
            </w:pPr>
            <w:r>
              <w:t xml:space="preserve">Notice ≥20 days before anticipated closing</w:t>
            </w:r>
          </w:p>
        </w:tc>
        <w:tc>
          <w:tcPr/>
          <w:p>
            <w:pPr>
              <w:pStyle w:val="Compact"/>
              <w:jc w:val="left"/>
            </w:pPr>
            <w:r>
              <w:t xml:space="preserve">Company to each Preferred holder</w:t>
            </w:r>
          </w:p>
        </w:tc>
        <w:tc>
          <w:tcPr/>
          <w:p>
            <w:pPr>
              <w:pStyle w:val="Compact"/>
              <w:jc w:val="left"/>
            </w:pPr>
            <w:r>
              <w:t xml:space="preserve">N/A (procedural)</w:t>
            </w:r>
          </w:p>
        </w:tc>
        <w:tc>
          <w:tcPr/>
          <w:p>
            <w:pPr>
              <w:pStyle w:val="Compact"/>
              <w:jc w:val="left"/>
            </w:pPr>
            <w:r>
              <w:t xml:space="preserve">Not yet given</w:t>
            </w:r>
          </w:p>
        </w:tc>
      </w:tr>
      <w:tr>
        <w:tc>
          <w:tcPr/>
          <w:p>
            <w:pPr>
              <w:pStyle w:val="Compact"/>
              <w:jc w:val="left"/>
            </w:pPr>
            <w:r>
              <w:t xml:space="preserve">7</w:t>
            </w:r>
          </w:p>
        </w:tc>
        <w:tc>
          <w:tcPr/>
          <w:p>
            <w:pPr>
              <w:pStyle w:val="Compact"/>
              <w:jc w:val="left"/>
            </w:pPr>
            <w:r>
              <w:t xml:space="preserve">Charter amendment (if effected at effective time)</w:t>
            </w:r>
          </w:p>
        </w:tc>
        <w:tc>
          <w:tcPr/>
          <w:p>
            <w:pPr>
              <w:pStyle w:val="Compact"/>
              <w:jc w:val="left"/>
            </w:pPr>
            <w:r>
              <w:t xml:space="preserve">Charter §§ 8.1, 4.3.6(a)(i), 4.3.6(b)(ii)</w:t>
            </w:r>
          </w:p>
        </w:tc>
        <w:tc>
          <w:tcPr/>
          <w:p>
            <w:pPr>
              <w:pStyle w:val="Compact"/>
              <w:jc w:val="left"/>
            </w:pPr>
            <w:r>
              <w:t xml:space="preserve">Board + majority of outstanding stock + Preferred protective consents</w:t>
            </w:r>
          </w:p>
        </w:tc>
        <w:tc>
          <w:tcPr/>
          <w:p>
            <w:pPr>
              <w:pStyle w:val="Compact"/>
              <w:jc w:val="left"/>
            </w:pPr>
            <w:r>
              <w:t xml:space="preserve">Terravox Board and stockholders (covered by Consents #2–4)</w:t>
            </w:r>
          </w:p>
        </w:tc>
        <w:tc>
          <w:tcPr/>
          <w:p>
            <w:pPr>
              <w:pStyle w:val="Compact"/>
              <w:jc w:val="left"/>
            </w:pPr>
            <w:r>
              <w:t xml:space="preserve">No (requires Series C consent under 4.3.6(b)(ii))</w:t>
            </w:r>
          </w:p>
        </w:tc>
        <w:tc>
          <w:tcPr/>
          <w:p>
            <w:pPr>
              <w:pStyle w:val="Compact"/>
              <w:jc w:val="left"/>
            </w:pPr>
            <w:r>
              <w:t xml:space="preserve">Not yet obtained; structure to be covered by merger vote</w:t>
            </w:r>
          </w:p>
        </w:tc>
      </w:tr>
      <w:tr>
        <w:tc>
          <w:tcPr/>
          <w:p>
            <w:pPr>
              <w:pStyle w:val="Compact"/>
              <w:jc w:val="left"/>
            </w:pPr>
            <w:r>
              <w:t xml:space="preserve">8</w:t>
            </w:r>
          </w:p>
        </w:tc>
        <w:tc>
          <w:tcPr/>
          <w:p>
            <w:pPr>
              <w:pStyle w:val="Compact"/>
              <w:jc w:val="left"/>
            </w:pPr>
            <w:r>
              <w:t xml:space="preserve">Hargrove / Merger Sub approvals</w:t>
            </w:r>
          </w:p>
        </w:tc>
        <w:tc>
          <w:tcPr/>
          <w:p>
            <w:pPr>
              <w:pStyle w:val="Compact"/>
              <w:jc w:val="left"/>
            </w:pPr>
            <w:r>
              <w:t xml:space="preserve">DGCL § 251(b)</w:t>
            </w:r>
          </w:p>
        </w:tc>
        <w:tc>
          <w:tcPr/>
          <w:p>
            <w:pPr>
              <w:pStyle w:val="Compact"/>
              <w:jc w:val="left"/>
            </w:pPr>
            <w:r>
              <w:t xml:space="preserve">Board/sole-stockholder approvals of Merger Sub; Hargrove approval per its org. docs</w:t>
            </w:r>
          </w:p>
        </w:tc>
        <w:tc>
          <w:tcPr/>
          <w:p>
            <w:pPr>
              <w:pStyle w:val="Compact"/>
              <w:jc w:val="left"/>
            </w:pPr>
            <w:r>
              <w:t xml:space="preserve">Hargrove / Merger Sub</w:t>
            </w:r>
          </w:p>
        </w:tc>
        <w:tc>
          <w:tcPr/>
          <w:p>
            <w:pPr>
              <w:pStyle w:val="Compact"/>
              <w:jc w:val="left"/>
            </w:pPr>
            <w:r>
              <w:t xml:space="preserve">N/A (Buyer-side)</w:t>
            </w:r>
          </w:p>
        </w:tc>
        <w:tc>
          <w:tcPr/>
          <w:p>
            <w:pPr>
              <w:pStyle w:val="Compact"/>
              <w:jc w:val="left"/>
            </w:pPr>
            <w:r>
              <w:t xml:space="preserve">Buyer-side; outside this diligence</w:t>
            </w:r>
          </w:p>
        </w:tc>
      </w:tr>
      <w:tr>
        <w:tc>
          <w:tcPr/>
          <w:p>
            <w:pPr>
              <w:pStyle w:val="Compact"/>
              <w:jc w:val="left"/>
            </w:pPr>
            <w:r>
              <w:t xml:space="preserve">9</w:t>
            </w:r>
          </w:p>
        </w:tc>
        <w:tc>
          <w:tcPr/>
          <w:p>
            <w:pPr>
              <w:pStyle w:val="Compact"/>
              <w:jc w:val="left"/>
            </w:pPr>
            <w:r>
              <w:t xml:space="preserve">SHA termination</w:t>
            </w:r>
          </w:p>
        </w:tc>
        <w:tc>
          <w:tcPr/>
          <w:p>
            <w:pPr>
              <w:pStyle w:val="Compact"/>
              <w:jc w:val="left"/>
            </w:pPr>
            <w:r>
              <w:t xml:space="preserve">SHA § 6.1(b)</w:t>
            </w:r>
          </w:p>
        </w:tc>
        <w:tc>
          <w:tcPr/>
          <w:p>
            <w:pPr>
              <w:pStyle w:val="Compact"/>
              <w:jc w:val="left"/>
            </w:pPr>
            <w:r>
              <w:t xml:space="preserve">Automatic upon Sale of the Company</w:t>
            </w:r>
          </w:p>
        </w:tc>
        <w:tc>
          <w:tcPr/>
          <w:p>
            <w:pPr>
              <w:pStyle w:val="Compact"/>
              <w:jc w:val="left"/>
            </w:pPr>
            <w:r>
              <w:t xml:space="preserve">N/A (automatic)</w:t>
            </w:r>
          </w:p>
        </w:tc>
        <w:tc>
          <w:tcPr/>
          <w:p>
            <w:pPr>
              <w:pStyle w:val="Compact"/>
              <w:jc w:val="left"/>
            </w:pPr>
            <w:r>
              <w:t xml:space="preserve">N/A</w:t>
            </w:r>
          </w:p>
        </w:tc>
        <w:tc>
          <w:tcPr/>
          <w:p>
            <w:pPr>
              <w:pStyle w:val="Compact"/>
              <w:jc w:val="left"/>
            </w:pPr>
            <w:r>
              <w:t xml:space="preserve">Will terminate at effective time</w:t>
            </w:r>
          </w:p>
        </w:tc>
      </w:tr>
      <w:tr>
        <w:tc>
          <w:tcPr/>
          <w:p>
            <w:pPr>
              <w:pStyle w:val="Compact"/>
              <w:jc w:val="left"/>
            </w:pPr>
            <w:r>
              <w:t xml:space="preserve">10</w:t>
            </w:r>
          </w:p>
        </w:tc>
        <w:tc>
          <w:tcPr/>
          <w:p>
            <w:pPr>
              <w:pStyle w:val="Compact"/>
              <w:jc w:val="left"/>
            </w:pPr>
            <w:r>
              <w:t xml:space="preserve">Voting Agreement termination</w:t>
            </w:r>
          </w:p>
        </w:tc>
        <w:tc>
          <w:tcPr/>
          <w:p>
            <w:pPr>
              <w:pStyle w:val="Compact"/>
              <w:jc w:val="left"/>
            </w:pPr>
            <w:r>
              <w:t xml:space="preserve">Voting Agmt § 7.1(b)</w:t>
            </w:r>
          </w:p>
        </w:tc>
        <w:tc>
          <w:tcPr/>
          <w:p>
            <w:pPr>
              <w:pStyle w:val="Compact"/>
              <w:jc w:val="left"/>
            </w:pPr>
            <w:r>
              <w:t xml:space="preserve">Automatic upon Sale of the Company</w:t>
            </w:r>
          </w:p>
        </w:tc>
        <w:tc>
          <w:tcPr/>
          <w:p>
            <w:pPr>
              <w:pStyle w:val="Compact"/>
              <w:jc w:val="left"/>
            </w:pPr>
            <w:r>
              <w:t xml:space="preserve">N/A (automatic)</w:t>
            </w:r>
          </w:p>
        </w:tc>
        <w:tc>
          <w:tcPr/>
          <w:p>
            <w:pPr>
              <w:pStyle w:val="Compact"/>
              <w:jc w:val="left"/>
            </w:pPr>
            <w:r>
              <w:t xml:space="preserve">N/A</w:t>
            </w:r>
          </w:p>
        </w:tc>
        <w:tc>
          <w:tcPr/>
          <w:p>
            <w:pPr>
              <w:pStyle w:val="Compact"/>
              <w:jc w:val="left"/>
            </w:pPr>
            <w:r>
              <w:t xml:space="preserve">Will terminate at effective time</w:t>
            </w:r>
          </w:p>
        </w:tc>
      </w:tr>
      <w:tr>
        <w:tc>
          <w:tcPr/>
          <w:p>
            <w:pPr>
              <w:pStyle w:val="Compact"/>
              <w:jc w:val="left"/>
            </w:pPr>
            <w:r>
              <w:t xml:space="preserve">11</w:t>
            </w:r>
          </w:p>
        </w:tc>
        <w:tc>
          <w:tcPr/>
          <w:p>
            <w:pPr>
              <w:pStyle w:val="Compact"/>
              <w:jc w:val="left"/>
            </w:pPr>
            <w:r>
              <w:t xml:space="preserve">RRA termination</w:t>
            </w:r>
          </w:p>
        </w:tc>
        <w:tc>
          <w:tcPr/>
          <w:p>
            <w:pPr>
              <w:pStyle w:val="Compact"/>
              <w:jc w:val="left"/>
            </w:pPr>
            <w:r>
              <w:t xml:space="preserve">RRA § 9(c) / § 9(ii)</w:t>
            </w:r>
          </w:p>
        </w:tc>
        <w:tc>
          <w:tcPr/>
          <w:p>
            <w:pPr>
              <w:pStyle w:val="Compact"/>
              <w:jc w:val="left"/>
            </w:pPr>
            <w:r>
              <w:t xml:space="preserve">Per-Holder on</w:t>
            </w:r>
            <w:r>
              <w:t xml:space="preserve"> </w:t>
            </w:r>
            <w:r>
              <w:t xml:space="preserve">“</w:t>
            </w:r>
            <w:r>
              <w:t xml:space="preserve">Deemed Liquidation Event</w:t>
            </w:r>
            <w:r>
              <w:t xml:space="preserve">”</w:t>
            </w:r>
            <w:r>
              <w:t xml:space="preserve"> </w:t>
            </w:r>
            <w:r>
              <w:t xml:space="preserve">(undefined); or in entirety by Company + majority of Registrable Securities (&gt;8,250,000)</w:t>
            </w:r>
          </w:p>
        </w:tc>
        <w:tc>
          <w:tcPr/>
          <w:p>
            <w:pPr>
              <w:pStyle w:val="Compact"/>
              <w:jc w:val="left"/>
            </w:pPr>
            <w:r>
              <w:t xml:space="preserve">Company + Holders (per-Holder) or Company + majority of Registrable Securities</w:t>
            </w:r>
          </w:p>
        </w:tc>
        <w:tc>
          <w:tcPr/>
          <w:p>
            <w:pPr>
              <w:pStyle w:val="Compact"/>
              <w:jc w:val="left"/>
            </w:pPr>
            <w:r>
              <w:rPr>
                <w:b/>
                <w:bCs/>
              </w:rPr>
              <w:t xml:space="preserve">Yes</w:t>
            </w:r>
            <w:r>
              <w:t xml:space="preserve"> </w:t>
            </w:r>
            <w:r>
              <w:t xml:space="preserve">for entirety termination — Ridgeline + Northbridge = 8,700,000 &gt; 8,250,000</w:t>
            </w:r>
          </w:p>
        </w:tc>
        <w:tc>
          <w:tcPr/>
          <w:p>
            <w:pPr>
              <w:pStyle w:val="Compact"/>
              <w:jc w:val="left"/>
            </w:pPr>
            <w:r>
              <w:t xml:space="preserve">Not yet obtained; address in merger agreement</w:t>
            </w:r>
          </w:p>
        </w:tc>
      </w:tr>
    </w:tbl>
    <w:p>
      <w:r>
        <w:pict>
          <v:rect style="width:0;height:1.5pt" o:hralign="center" o:hrstd="t" o:hr="t"/>
        </w:pict>
      </w:r>
    </w:p>
    <w:bookmarkEnd w:id="90"/>
    <w:bookmarkStart w:id="94" w:name="X95b871a80998c609fa902c912e18c5a9bf4b409"/>
    <w:p>
      <w:pPr>
        <w:pStyle w:val="Heading2"/>
      </w:pPr>
      <w:r>
        <w:t xml:space="preserve">Appendix B — Severity Classification Summary</w:t>
      </w:r>
    </w:p>
    <w:bookmarkStart w:id="91" w:name="critical"/>
    <w:p>
      <w:pPr>
        <w:pStyle w:val="Heading3"/>
      </w:pPr>
      <w:r>
        <w:t xml:space="preserve">Critical</w:t>
      </w:r>
    </w:p>
    <w:p>
      <w:pPr>
        <w:pStyle w:val="Compact"/>
        <w:numPr>
          <w:ilvl w:val="0"/>
          <w:numId w:val="1027"/>
        </w:numPr>
      </w:pPr>
      <w:r>
        <w:rPr>
          <w:b/>
          <w:bCs/>
        </w:rPr>
        <w:t xml:space="preserve">Series C separate-class blocking right (Charter § 4.3.6(b)(i)).</w:t>
      </w:r>
      <w:r>
        <w:t xml:space="preserve"> </w:t>
      </w:r>
      <w:r>
        <w:t xml:space="preserve">Stonemill holds 100% of the Series C; the 66⅔% separate-class consent cannot be obtained without Stonemill. This is a hard, charter-level veto over the Transaction.</w:t>
      </w:r>
      <w:r>
        <w:t xml:space="preserve"> </w:t>
      </w:r>
      <w:r>
        <w:rPr>
          <w:i/>
          <w:iCs/>
        </w:rPr>
        <w:t xml:space="preserve">(Areas 1, 2)</w:t>
      </w:r>
    </w:p>
    <w:p>
      <w:pPr>
        <w:pStyle w:val="Compact"/>
        <w:numPr>
          <w:ilvl w:val="0"/>
          <w:numId w:val="1027"/>
        </w:numPr>
      </w:pPr>
      <w:r>
        <w:rPr>
          <w:b/>
          <w:bCs/>
        </w:rPr>
        <w:t xml:space="preserve">SensorLink LOI auto-renewal / potential live exclusivity.</w:t>
      </w:r>
      <w:r>
        <w:t xml:space="preserve"> </w:t>
      </w:r>
      <w:r>
        <w:t xml:space="preserve">If no termination notice was sent before September 8, 2024, the exclusivity may have auto-renewed through approximately December 7, 2024, potentially conflicting with the Hargrove definitive agreement. Time-sensitive.</w:t>
      </w:r>
      <w:r>
        <w:t xml:space="preserve"> </w:t>
      </w:r>
      <w:r>
        <w:rPr>
          <w:i/>
          <w:iCs/>
        </w:rPr>
        <w:t xml:space="preserve">(Area 8(C))</w:t>
      </w:r>
    </w:p>
    <w:p>
      <w:pPr>
        <w:pStyle w:val="Compact"/>
        <w:numPr>
          <w:ilvl w:val="0"/>
          <w:numId w:val="1027"/>
        </w:numPr>
      </w:pPr>
      <w:r>
        <w:rPr>
          <w:b/>
          <w:bCs/>
        </w:rPr>
        <w:t xml:space="preserve">Uncertainty whether the drag-along can override the Series C protective provision.</w:t>
      </w:r>
      <w:r>
        <w:t xml:space="preserve"> </w:t>
      </w:r>
      <w:r>
        <w:t xml:space="preserve">Contested question of Delaware law; reliance on the drag-along as the primary path to closing is not recommended and would likely require litigation.</w:t>
      </w:r>
      <w:r>
        <w:t xml:space="preserve"> </w:t>
      </w:r>
      <w:r>
        <w:rPr>
          <w:i/>
          <w:iCs/>
        </w:rPr>
        <w:t xml:space="preserve">(Area 2)</w:t>
      </w:r>
    </w:p>
    <w:bookmarkEnd w:id="91"/>
    <w:bookmarkStart w:id="92" w:name="significant"/>
    <w:p>
      <w:pPr>
        <w:pStyle w:val="Heading3"/>
      </w:pPr>
      <w:r>
        <w:t xml:space="preserve">Significant</w:t>
      </w:r>
    </w:p>
    <w:p>
      <w:pPr>
        <w:pStyle w:val="Compact"/>
        <w:numPr>
          <w:ilvl w:val="0"/>
          <w:numId w:val="1028"/>
        </w:numPr>
      </w:pPr>
      <w:r>
        <w:rPr>
          <w:b/>
          <w:bCs/>
        </w:rPr>
        <w:t xml:space="preserve">Clearfield term loan — potential protective-provision violation (Charter § 4.3.6(a)(v)).</w:t>
      </w:r>
      <w:r>
        <w:t xml:space="preserve"> </w:t>
      </w:r>
      <w:r>
        <w:t xml:space="preserve">The $12 million term loan exceeded the $5 million indebtedness threshold; the Board Minutes do not reflect the required Preferred consent. Stonemill leverage point. Potentially Critical if consent was not obtained.</w:t>
      </w:r>
      <w:r>
        <w:t xml:space="preserve"> </w:t>
      </w:r>
      <w:r>
        <w:rPr>
          <w:i/>
          <w:iCs/>
        </w:rPr>
        <w:t xml:space="preserve">(Area 8(B))</w:t>
      </w:r>
    </w:p>
    <w:p>
      <w:pPr>
        <w:pStyle w:val="Compact"/>
        <w:numPr>
          <w:ilvl w:val="0"/>
          <w:numId w:val="1028"/>
        </w:numPr>
      </w:pPr>
      <w:r>
        <w:rPr>
          <w:b/>
          <w:bCs/>
        </w:rPr>
        <w:t xml:space="preserve">Special Committee composition — Okafor not independent.</w:t>
      </w:r>
      <w:r>
        <w:t xml:space="preserve"> </w:t>
      </w:r>
      <w:r>
        <w:t xml:space="preserve">Ms. Okafor (Northbridge designee) is interested and not independent; creates</w:t>
      </w:r>
      <w:r>
        <w:t xml:space="preserve"> </w:t>
      </w:r>
      <w:r>
        <w:rPr>
          <w:i/>
          <w:iCs/>
        </w:rPr>
        <w:t xml:space="preserve">Revlon</w:t>
      </w:r>
      <w:r>
        <w:t xml:space="preserve"> </w:t>
      </w:r>
      <w:r>
        <w:t xml:space="preserve">/ fiduciary-duty vulnerability; tension with Voting Agreement § 2.4.</w:t>
      </w:r>
      <w:r>
        <w:t xml:space="preserve"> </w:t>
      </w:r>
      <w:r>
        <w:rPr>
          <w:i/>
          <w:iCs/>
        </w:rPr>
        <w:t xml:space="preserve">(Area 9)</w:t>
      </w:r>
    </w:p>
    <w:p>
      <w:pPr>
        <w:pStyle w:val="Compact"/>
        <w:numPr>
          <w:ilvl w:val="0"/>
          <w:numId w:val="1028"/>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undefined.</w:t>
      </w:r>
      <w:r>
        <w:t xml:space="preserve"> </w:t>
      </w:r>
      <w:r>
        <w:t xml:space="preserve">Definitional gap creates termination risk for registration rights; must be cured in the merger agreement.</w:t>
      </w:r>
      <w:r>
        <w:t xml:space="preserve"> </w:t>
      </w:r>
      <w:r>
        <w:rPr>
          <w:i/>
          <w:iCs/>
        </w:rPr>
        <w:t xml:space="preserve">(Areas 6, 10)</w:t>
      </w:r>
    </w:p>
    <w:p>
      <w:pPr>
        <w:pStyle w:val="Compact"/>
        <w:numPr>
          <w:ilvl w:val="0"/>
          <w:numId w:val="1028"/>
        </w:numPr>
      </w:pPr>
      <w:r>
        <w:rPr>
          <w:b/>
          <w:bCs/>
        </w:rPr>
        <w:t xml:space="preserve">Drag-along Prong (i) ambiguity.</w:t>
      </w:r>
      <w:r>
        <w:t xml:space="preserve"> </w:t>
      </w:r>
      <w:r>
        <w:t xml:space="preserve">Whether</w:t>
      </w:r>
      <w:r>
        <w:t xml:space="preserve"> </w:t>
      </w:r>
      <w:r>
        <w:t xml:space="preserve">“</w:t>
      </w:r>
      <w:r>
        <w:t xml:space="preserve">as-converted</w:t>
      </w:r>
      <w:r>
        <w:t xml:space="preserve">”</w:t>
      </w:r>
      <w:r>
        <w:t xml:space="preserve"> </w:t>
      </w:r>
      <w:r>
        <w:t xml:space="preserve">includes unexercised options/RSUs determines whether the drag can be triggered without the option pool; depends on cap-table details not yet received.</w:t>
      </w:r>
      <w:r>
        <w:t xml:space="preserve"> </w:t>
      </w:r>
      <w:r>
        <w:rPr>
          <w:i/>
          <w:iCs/>
        </w:rPr>
        <w:t xml:space="preserve">(Area 2)</w:t>
      </w:r>
    </w:p>
    <w:p>
      <w:pPr>
        <w:pStyle w:val="Compact"/>
        <w:numPr>
          <w:ilvl w:val="0"/>
          <w:numId w:val="1028"/>
        </w:numPr>
      </w:pPr>
      <w:r>
        <w:rPr>
          <w:b/>
          <w:bCs/>
        </w:rPr>
        <w:t xml:space="preserve">Equity plan share-reserve increase — stockholder approval not reflected.</w:t>
      </w:r>
      <w:r>
        <w:t xml:space="preserve"> </w:t>
      </w:r>
      <w:r>
        <w:t xml:space="preserve">The July 2023 increase from 8,000,000 to 9,500,000 shares shows only Board approval; confirm whether stockholder approval was required under the Plan and obtained.</w:t>
      </w:r>
      <w:r>
        <w:t xml:space="preserve"> </w:t>
      </w:r>
      <w:r>
        <w:rPr>
          <w:i/>
          <w:iCs/>
        </w:rPr>
        <w:t xml:space="preserve">(Areas 7, 8(A))</w:t>
      </w:r>
    </w:p>
    <w:p>
      <w:pPr>
        <w:pStyle w:val="Compact"/>
        <w:numPr>
          <w:ilvl w:val="0"/>
          <w:numId w:val="1028"/>
        </w:numPr>
      </w:pPr>
      <w:r>
        <w:rPr>
          <w:b/>
          <w:bCs/>
        </w:rPr>
        <w:t xml:space="preserve">Document gaps.</w:t>
      </w:r>
      <w:r>
        <w:t xml:space="preserve"> </w:t>
      </w:r>
      <w:r>
        <w:t xml:space="preserve">2021 Equity Incentive Plan, award agreements, stockholder consent records, SensorLink LOI, indemnification agreements, committee charters, Hargrove NDA/exclusivity, and cap table not yet received.</w:t>
      </w:r>
      <w:r>
        <w:t xml:space="preserve"> </w:t>
      </w:r>
      <w:r>
        <w:rPr>
          <w:i/>
          <w:iCs/>
        </w:rPr>
        <w:t xml:space="preserve">(Areas 7, 8)</w:t>
      </w:r>
    </w:p>
    <w:bookmarkEnd w:id="92"/>
    <w:bookmarkStart w:id="93" w:name="moderate"/>
    <w:p>
      <w:pPr>
        <w:pStyle w:val="Heading3"/>
      </w:pPr>
      <w:r>
        <w:t xml:space="preserve">Moderate</w:t>
      </w:r>
    </w:p>
    <w:p>
      <w:pPr>
        <w:pStyle w:val="Compact"/>
        <w:numPr>
          <w:ilvl w:val="0"/>
          <w:numId w:val="1029"/>
        </w:numPr>
      </w:pPr>
      <w:r>
        <w:rPr>
          <w:b/>
          <w:bCs/>
        </w:rPr>
        <w:t xml:space="preserve">Cross-document definitional inconsistencies.</w:t>
      </w:r>
      <w:r>
        <w:t xml:space="preserve"> </w:t>
      </w:r>
      <w:r>
        <w:t xml:space="preserve">“</w:t>
      </w:r>
      <w:r>
        <w:t xml:space="preserve">Liquidation Event</w:t>
      </w:r>
      <w:r>
        <w:t xml:space="preserve">”</w:t>
      </w:r>
      <w:r>
        <w:t xml:space="preserve"> </w:t>
      </w:r>
      <w:r>
        <w:t xml:space="preserve">(≥50% retention) vs. </w:t>
      </w:r>
      <w:r>
        <w:t xml:space="preserve">“</w:t>
      </w:r>
      <w:r>
        <w:t xml:space="preserve">Sale of the Company</w:t>
      </w:r>
      <w:r>
        <w:t xml:space="preserve">”</w:t>
      </w:r>
      <w:r>
        <w:t xml:space="preserve"> </w:t>
      </w:r>
      <w:r>
        <w:t xml:space="preserve">(majority retention) gap at the 50% boundary; RRA</w:t>
      </w:r>
      <w:r>
        <w:t xml:space="preserve"> </w:t>
      </w:r>
      <w:r>
        <w:t xml:space="preserve">“</w:t>
      </w:r>
      <w:r>
        <w:t xml:space="preserve">Deemed Liquidation Event</w:t>
      </w:r>
      <w:r>
        <w:t xml:space="preserve">”</w:t>
      </w:r>
      <w:r>
        <w:t xml:space="preserve"> </w:t>
      </w:r>
      <w:r>
        <w:t xml:space="preserve">undefined. No practical effect on the Transaction (0% retention) but a latent inconsistency.</w:t>
      </w:r>
      <w:r>
        <w:t xml:space="preserve"> </w:t>
      </w:r>
      <w:r>
        <w:rPr>
          <w:i/>
          <w:iCs/>
        </w:rPr>
        <w:t xml:space="preserve">(Area 6)</w:t>
      </w:r>
    </w:p>
    <w:p>
      <w:pPr>
        <w:pStyle w:val="Compact"/>
        <w:numPr>
          <w:ilvl w:val="0"/>
          <w:numId w:val="1029"/>
        </w:numPr>
      </w:pPr>
      <w:r>
        <w:rPr>
          <w:b/>
          <w:bCs/>
        </w:rPr>
        <w:t xml:space="preserve">Trask’s absence and objection (April 17, 2024).</w:t>
      </w:r>
      <w:r>
        <w:t xml:space="preserve"> </w:t>
      </w:r>
      <w:r>
        <w:t xml:space="preserve">Procedural vulnerability; supports Stonemill’s</w:t>
      </w:r>
      <w:r>
        <w:t xml:space="preserve"> </w:t>
      </w:r>
      <w:r>
        <w:t xml:space="preserve">“</w:t>
      </w:r>
      <w:r>
        <w:t xml:space="preserve">exclusion</w:t>
      </w:r>
      <w:r>
        <w:t xml:space="preserve">”</w:t>
      </w:r>
      <w:r>
        <w:t xml:space="preserve"> </w:t>
      </w:r>
      <w:r>
        <w:t xml:space="preserve">narrative.</w:t>
      </w:r>
      <w:r>
        <w:t xml:space="preserve"> </w:t>
      </w:r>
      <w:r>
        <w:rPr>
          <w:i/>
          <w:iCs/>
        </w:rPr>
        <w:t xml:space="preserve">(Area 9)</w:t>
      </w:r>
    </w:p>
    <w:p>
      <w:pPr>
        <w:pStyle w:val="Compact"/>
        <w:numPr>
          <w:ilvl w:val="0"/>
          <w:numId w:val="1029"/>
        </w:numPr>
      </w:pPr>
      <w:r>
        <w:rPr>
          <w:b/>
          <w:bCs/>
        </w:rPr>
        <w:t xml:space="preserve">Voting Agreement 5-year sunset (November 3, 2026).</w:t>
      </w:r>
      <w:r>
        <w:t xml:space="preserve"> </w:t>
      </w:r>
      <w:r>
        <w:t xml:space="preserve">Backstop termination date; confirm the Voting Agreement terminates on the Sale of the Company rather than lingering to 2026.</w:t>
      </w:r>
      <w:r>
        <w:t xml:space="preserve"> </w:t>
      </w:r>
      <w:r>
        <w:rPr>
          <w:i/>
          <w:iCs/>
        </w:rPr>
        <w:t xml:space="preserve">(Area 5)</w:t>
      </w:r>
    </w:p>
    <w:p>
      <w:pPr>
        <w:pStyle w:val="Compact"/>
        <w:numPr>
          <w:ilvl w:val="0"/>
          <w:numId w:val="1029"/>
        </w:numPr>
      </w:pPr>
      <w:r>
        <w:rPr>
          <w:b/>
          <w:bCs/>
        </w:rPr>
        <w:t xml:space="preserve">Stonemill board observer right.</w:t>
      </w:r>
      <w:r>
        <w:t xml:space="preserve"> </w:t>
      </w:r>
      <w:r>
        <w:t xml:space="preserve">Terminates on the Sale of the Company; confirm termination at the effective time. Observer was absent from the April 17, 2024 meeting.</w:t>
      </w:r>
      <w:r>
        <w:t xml:space="preserve"> </w:t>
      </w:r>
      <w:r>
        <w:rPr>
          <w:i/>
          <w:iCs/>
        </w:rPr>
        <w:t xml:space="preserve">(Area 5)</w:t>
      </w:r>
    </w:p>
    <w:p>
      <w:pPr>
        <w:pStyle w:val="Compact"/>
        <w:numPr>
          <w:ilvl w:val="0"/>
          <w:numId w:val="1029"/>
        </w:numPr>
      </w:pPr>
      <w:r>
        <w:rPr>
          <w:b/>
          <w:bCs/>
        </w:rPr>
        <w:t xml:space="preserve">D&amp;O indemnification and insurance.</w:t>
      </w:r>
      <w:r>
        <w:t xml:space="preserve"> </w:t>
      </w:r>
      <w:r>
        <w:t xml:space="preserve">Ensure a D&amp;O tail policy and survival of indemnification obligations in the merger agreement; confirm the $5 million D&amp;O coverage required by SHA § 5.3.</w:t>
      </w:r>
      <w:r>
        <w:t xml:space="preserve"> </w:t>
      </w:r>
      <w:r>
        <w:rPr>
          <w:i/>
          <w:iCs/>
        </w:rPr>
        <w:t xml:space="preserve">(Areas 3, 8)</w:t>
      </w:r>
    </w:p>
    <w:p>
      <w:pPr>
        <w:pStyle w:val="Compact"/>
        <w:numPr>
          <w:ilvl w:val="0"/>
          <w:numId w:val="1029"/>
        </w:numPr>
      </w:pPr>
      <w:r>
        <w:rPr>
          <w:b/>
          <w:bCs/>
        </w:rPr>
        <w:t xml:space="preserve">20-day Liquidation Event notice.</w:t>
      </w:r>
      <w:r>
        <w:t xml:space="preserve"> </w:t>
      </w:r>
      <w:r>
        <w:t xml:space="preserve">Procedural prerequisite to closing; must be calendared as a closing deliverable.</w:t>
      </w:r>
      <w:r>
        <w:t xml:space="preserve"> </w:t>
      </w:r>
      <w:r>
        <w:rPr>
          <w:i/>
          <w:iCs/>
        </w:rPr>
        <w:t xml:space="preserve">(Area 1)</w:t>
      </w:r>
    </w:p>
    <w:p>
      <w:pPr>
        <w:pStyle w:val="Compact"/>
        <w:numPr>
          <w:ilvl w:val="0"/>
          <w:numId w:val="1029"/>
        </w:numPr>
      </w:pPr>
      <w:r>
        <w:rPr>
          <w:b/>
          <w:bCs/>
        </w:rPr>
        <w:t xml:space="preserve">Special-meeting calling right (Bylaws § 2.2).</w:t>
      </w:r>
      <w:r>
        <w:t xml:space="preserve"> </w:t>
      </w:r>
      <w:r>
        <w:t xml:space="preserve">Stonemill (approximately 23% fully diluted) may, alone or with a small ally, be able to call a special meeting depending on whether unexercised options count toward the 25% threshold; minor leverage point.</w:t>
      </w:r>
      <w:r>
        <w:t xml:space="preserve"> </w:t>
      </w:r>
      <w:r>
        <w:rPr>
          <w:i/>
          <w:iCs/>
        </w:rPr>
        <w:t xml:space="preserve">(Area 1)</w:t>
      </w:r>
    </w:p>
    <w:p>
      <w:pPr>
        <w:pStyle w:val="Compact"/>
        <w:numPr>
          <w:ilvl w:val="0"/>
          <w:numId w:val="1029"/>
        </w:numPr>
      </w:pPr>
      <w:r>
        <w:rPr>
          <w:b/>
          <w:bCs/>
        </w:rPr>
        <w:t xml:space="preserve">Drag-along equal-consideration constraint (SHA § 3.2(a)).</w:t>
      </w:r>
      <w:r>
        <w:t xml:space="preserve"> </w:t>
      </w:r>
      <w:r>
        <w:t xml:space="preserve">Limits the ability to</w:t>
      </w:r>
      <w:r>
        <w:t xml:space="preserve"> </w:t>
      </w:r>
      <w:r>
        <w:t xml:space="preserve">“</w:t>
      </w:r>
      <w:r>
        <w:t xml:space="preserve">sweeten</w:t>
      </w:r>
      <w:r>
        <w:t xml:space="preserve">”</w:t>
      </w:r>
      <w:r>
        <w:t xml:space="preserve"> </w:t>
      </w:r>
      <w:r>
        <w:t xml:space="preserve">Stonemill’s deal; any side concession must be structured to comply with the drag-along and fiduciary duties.</w:t>
      </w:r>
      <w:r>
        <w:t xml:space="preserve"> </w:t>
      </w:r>
      <w:r>
        <w:rPr>
          <w:i/>
          <w:iCs/>
        </w:rPr>
        <w:t xml:space="preserve">(Areas 2, 9)</w:t>
      </w:r>
    </w:p>
    <w:p>
      <w:pPr>
        <w:pStyle w:val="Compact"/>
        <w:numPr>
          <w:ilvl w:val="0"/>
          <w:numId w:val="1029"/>
        </w:numPr>
      </w:pPr>
      <w:r>
        <w:rPr>
          <w:b/>
          <w:bCs/>
        </w:rPr>
        <w:t xml:space="preserve">RRA indemnification survival (§ 7).</w:t>
      </w:r>
      <w:r>
        <w:t xml:space="preserve"> </w:t>
      </w:r>
      <w:r>
        <w:t xml:space="preserve">Survives RRA termination; address in the merger agreement.</w:t>
      </w:r>
      <w:r>
        <w:t xml:space="preserve"> </w:t>
      </w:r>
      <w:r>
        <w:rPr>
          <w:i/>
          <w:iCs/>
        </w:rPr>
        <w:t xml:space="preserve">(Area 10)</w:t>
      </w:r>
    </w:p>
    <w:p>
      <w:pPr>
        <w:pStyle w:val="Compact"/>
        <w:numPr>
          <w:ilvl w:val="0"/>
          <w:numId w:val="1029"/>
        </w:numPr>
      </w:pPr>
      <w:r>
        <w:rPr>
          <w:b/>
          <w:bCs/>
        </w:rPr>
        <w:t xml:space="preserve">Sale-process narrowness.</w:t>
      </w:r>
      <w:r>
        <w:t xml:space="preserve"> </w:t>
      </w:r>
      <w:r>
        <w:t xml:space="preserve">The process involved limited outreach and exclusivity without a broad auction; mitigated by the Special Committee, Meridian, and Thornbury, but vulnerable to challenge.</w:t>
      </w:r>
      <w:r>
        <w:t xml:space="preserve"> </w:t>
      </w:r>
      <w:r>
        <w:rPr>
          <w:i/>
          <w:iCs/>
        </w:rPr>
        <w:t xml:space="preserve">(Area 9)</w:t>
      </w:r>
    </w:p>
    <w:p>
      <w:r>
        <w:pict>
          <v:rect style="width:0;height:1.5pt" o:hralign="center" o:hrstd="t" o:hr="t"/>
        </w:pict>
      </w:r>
    </w:p>
    <w:bookmarkEnd w:id="93"/>
    <w:bookmarkEnd w:id="94"/>
    <w:bookmarkStart w:id="95" w:name="appendix-c-document-request-list"/>
    <w:p>
      <w:pPr>
        <w:pStyle w:val="Heading2"/>
      </w:pPr>
      <w:r>
        <w:t xml:space="preserve">Appendix C — Document Request List</w:t>
      </w:r>
    </w:p>
    <w:p>
      <w:pPr>
        <w:pStyle w:val="FirstParagraph"/>
      </w:pPr>
      <w:r>
        <w:t xml:space="preserve">The following documents should be requested from Avery, Pollard &amp; Glenn LLP (via Jonathan Hsieh) to complete the governance diligence:</w:t>
      </w:r>
    </w:p>
    <w:p>
      <w:pPr>
        <w:pStyle w:val="Compact"/>
        <w:numPr>
          <w:ilvl w:val="0"/>
          <w:numId w:val="1030"/>
        </w:numPr>
      </w:pPr>
      <w:r>
        <w:t xml:space="preserve">2021 Equity Incentive Plan, as amended (including the July 2023 amendment increasing the share reserve from 8,000,000 to 9,500,000 shares).</w:t>
      </w:r>
    </w:p>
    <w:p>
      <w:pPr>
        <w:pStyle w:val="Compact"/>
        <w:numPr>
          <w:ilvl w:val="0"/>
          <w:numId w:val="1030"/>
        </w:numPr>
      </w:pPr>
      <w:r>
        <w:t xml:space="preserve">All individual equity award agreements (option agreements, RSU agreements), including the Raj Malhotra option agreement and the Linda Yeung RSU agreement, and a complete award schedule.</w:t>
      </w:r>
    </w:p>
    <w:p>
      <w:pPr>
        <w:pStyle w:val="Compact"/>
        <w:numPr>
          <w:ilvl w:val="0"/>
          <w:numId w:val="1030"/>
        </w:numPr>
      </w:pPr>
      <w:r>
        <w:t xml:space="preserve">Current capitalization table (outstanding Common Stock, Preferred Stock by series, options, RSUs, and the split between outstanding Common and unexercised options/RSUs within the 10,100,000-share pool).</w:t>
      </w:r>
    </w:p>
    <w:p>
      <w:pPr>
        <w:pStyle w:val="Compact"/>
        <w:numPr>
          <w:ilvl w:val="0"/>
          <w:numId w:val="1030"/>
        </w:numPr>
      </w:pPr>
      <w:r>
        <w:t xml:space="preserve">Stockholder written-consent records for: (a) the Clearfield National Bank $12 million term loan (October 2023); (b) the 2021 Equity Incentive Plan share-reserve increase (July 2023); and (c) any other corporate actions requiring Preferred Stockholder consent.</w:t>
      </w:r>
    </w:p>
    <w:p>
      <w:pPr>
        <w:pStyle w:val="Compact"/>
        <w:numPr>
          <w:ilvl w:val="0"/>
          <w:numId w:val="1030"/>
        </w:numPr>
      </w:pPr>
      <w:r>
        <w:t xml:space="preserve">SensorLink Technologies LOI (executed March 8, 2024) and all related correspondence, including any termination notice and any SensorLink acknowledgment thereof.</w:t>
      </w:r>
    </w:p>
    <w:p>
      <w:pPr>
        <w:pStyle w:val="Compact"/>
        <w:numPr>
          <w:ilvl w:val="0"/>
          <w:numId w:val="1030"/>
        </w:numPr>
      </w:pPr>
      <w:r>
        <w:t xml:space="preserve">Individual indemnification agreements with each director (referenced in Bylaws Section 6.4).</w:t>
      </w:r>
    </w:p>
    <w:p>
      <w:pPr>
        <w:pStyle w:val="Compact"/>
        <w:numPr>
          <w:ilvl w:val="0"/>
          <w:numId w:val="1030"/>
        </w:numPr>
      </w:pPr>
      <w:r>
        <w:t xml:space="preserve">Audit Committee charter and Compensation Committee charter (referenced in Bylaws Section 3.10).</w:t>
      </w:r>
    </w:p>
    <w:p>
      <w:pPr>
        <w:pStyle w:val="Compact"/>
        <w:numPr>
          <w:ilvl w:val="0"/>
          <w:numId w:val="1030"/>
        </w:numPr>
      </w:pPr>
      <w:r>
        <w:t xml:space="preserve">Confidentiality Agreement executed with Hargrove Capital Partners III, LP (after April 17, 2024).</w:t>
      </w:r>
    </w:p>
    <w:p>
      <w:pPr>
        <w:pStyle w:val="Compact"/>
        <w:numPr>
          <w:ilvl w:val="0"/>
          <w:numId w:val="1030"/>
        </w:numPr>
      </w:pPr>
      <w:r>
        <w:t xml:space="preserve">Exclusivity agreement with Hargrove Capital Partners III, LP (60-day exclusivity authorized July 10, 2024).</w:t>
      </w:r>
    </w:p>
    <w:p>
      <w:pPr>
        <w:pStyle w:val="Compact"/>
        <w:numPr>
          <w:ilvl w:val="0"/>
          <w:numId w:val="1030"/>
        </w:numPr>
      </w:pPr>
      <w:r>
        <w:t xml:space="preserve">Series C Preferred Stock Purchase Agreement (dated November 3, 2021) and any other</w:t>
      </w:r>
      <w:r>
        <w:t xml:space="preserve"> </w:t>
      </w:r>
      <w:r>
        <w:t xml:space="preserve">“</w:t>
      </w:r>
      <w:r>
        <w:t xml:space="preserve">Transaction Documents</w:t>
      </w:r>
      <w:r>
        <w:t xml:space="preserve">”</w:t>
      </w:r>
      <w:r>
        <w:t xml:space="preserve"> </w:t>
      </w:r>
      <w:r>
        <w:t xml:space="preserve">as defined therein.</w:t>
      </w:r>
    </w:p>
    <w:p>
      <w:pPr>
        <w:pStyle w:val="Compact"/>
        <w:numPr>
          <w:ilvl w:val="0"/>
          <w:numId w:val="1030"/>
        </w:numPr>
      </w:pPr>
      <w:r>
        <w:t xml:space="preserve">409A valuation reports referenced in the Board Minutes (for the Malhotra option grant and the Yeung RSU grant).</w:t>
      </w:r>
    </w:p>
    <w:p>
      <w:pPr>
        <w:pStyle w:val="Compact"/>
        <w:numPr>
          <w:ilvl w:val="0"/>
          <w:numId w:val="1030"/>
        </w:numPr>
      </w:pPr>
      <w:r>
        <w:t xml:space="preserve">Current D&amp;O liability insurance policy (to confirm the $5 million coverage required by SHA Section 5.3 and to structure the D&amp;O tail).</w:t>
      </w:r>
    </w:p>
    <w:p>
      <w:pPr>
        <w:pStyle w:val="Compact"/>
        <w:numPr>
          <w:ilvl w:val="0"/>
          <w:numId w:val="1030"/>
        </w:numPr>
      </w:pPr>
      <w:r>
        <w:t xml:space="preserve">Any written waivers by the Investor Stockholders of the Voting Agreement Section 2.4 committee-composition requirement.</w:t>
      </w:r>
    </w:p>
    <w:p>
      <w:pPr>
        <w:pStyle w:val="Compact"/>
        <w:numPr>
          <w:ilvl w:val="0"/>
          <w:numId w:val="1030"/>
        </w:numPr>
      </w:pPr>
      <w:r>
        <w:t xml:space="preserve">Special Committee minutes (April 10, 2024 and any subsequent Special Committee meetings) and the Special Committee charter, if any.</w:t>
      </w:r>
    </w:p>
    <w:p>
      <w:pPr>
        <w:pStyle w:val="Compact"/>
        <w:numPr>
          <w:ilvl w:val="0"/>
          <w:numId w:val="1030"/>
        </w:numPr>
      </w:pPr>
      <w:r>
        <w:t xml:space="preserve">Meridian Partners engagement letter and Thornbury &amp; Associates engagement letter.</w:t>
      </w:r>
    </w:p>
    <w:p>
      <w:r>
        <w:pict>
          <v:rect style="width:0;height:1.5pt" o:hralign="center" o:hrstd="t" o:hr="t"/>
        </w:pict>
      </w:r>
    </w:p>
    <w:p>
      <w:pPr>
        <w:pStyle w:val="FirstParagraph"/>
      </w:pPr>
      <w:r>
        <w:rPr>
          <w:i/>
          <w:iCs/>
        </w:rPr>
        <w:t xml:space="preserve">Prepared by Whitfield &amp; Crane LLP. This memorandum is privileged and confidential attorney work product and is intended solely for the internal use of Whitfield &amp; Crane LLP and Hargrove Capital Management, LLC in connection with the proposed Transaction.</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2026-06-28T18:20:53Z</dcterms:created>
  <dcterms:modified xsi:type="dcterms:W3CDTF">2026-06-28T18:20:53Z</dcterms:modified>
</cp:coreProperties>
</file>

<file path=docProps/custom.xml><?xml version="1.0" encoding="utf-8"?>
<Properties xmlns="http://schemas.openxmlformats.org/officeDocument/2006/custom-properties" xmlns:vt="http://schemas.openxmlformats.org/officeDocument/2006/docPropsVTypes"/>
</file>