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 WORK PRODUCT</w:t>
      </w:r>
    </w:p>
    <w:p>
      <w:pPr>
        <w:pStyle w:val="BodyText"/>
      </w:pPr>
      <w:r>
        <w:rPr>
          <w:b/>
          <w:bCs/>
        </w:rPr>
        <w:t xml:space="preserve">PREPARED IN ANTICIPATION OF LITIGATION / TRANSACTIONAL COUNSELING</w:t>
      </w:r>
    </w:p>
    <w:p>
      <w:r>
        <w:pict>
          <v:rect style="width:0;height:1.5pt" o:hralign="center" o:hrstd="t" o:hr="t"/>
        </w:pict>
      </w:r>
    </w:p>
    <w:bookmarkStart w:id="37" w:name="governance-diligence-memorandum"/>
    <w:p>
      <w:pPr>
        <w:pStyle w:val="Heading1"/>
      </w:pPr>
      <w:r>
        <w:t xml:space="preserve">GOVERNANCE DILIGENCE MEMORANDUM</w:t>
      </w:r>
    </w:p>
    <w:p>
      <w:pPr>
        <w:pStyle w:val="FirstParagraph"/>
      </w:pPr>
      <w:r>
        <w:rPr>
          <w:b/>
          <w:bCs/>
        </w:rPr>
        <w:t xml:space="preserve">TO:</w:t>
      </w:r>
      <w:r>
        <w:t xml:space="preserve"> </w:t>
      </w:r>
      <w:r>
        <w:t xml:space="preserve">Elena Marchetti, Partner; Jonathan Hsieh, Senior Associate — Whitfield &amp; Crane LLP</w:t>
      </w:r>
      <w:r>
        <w:t xml:space="preserve"> </w:t>
      </w:r>
      <w:r>
        <w:rPr>
          <w:b/>
          <w:bCs/>
        </w:rPr>
        <w:t xml:space="preserve">FROM:</w:t>
      </w:r>
      <w:r>
        <w:t xml:space="preserve"> </w:t>
      </w:r>
      <w:r>
        <w:t xml:space="preserve">[Associate], Whitfield &amp; Crane LLP</w:t>
      </w:r>
      <w:r>
        <w:t xml:space="preserve"> </w:t>
      </w:r>
      <w:r>
        <w:rPr>
          <w:b/>
          <w:bCs/>
        </w:rPr>
        <w:t xml:space="preserve">DATE:</w:t>
      </w:r>
      <w:r>
        <w:t xml:space="preserve"> </w:t>
      </w:r>
      <w:r>
        <w:t xml:space="preserve">October 25, 2024</w:t>
      </w:r>
      <w:r>
        <w:t xml:space="preserve"> </w:t>
      </w:r>
      <w:r>
        <w:rPr>
          <w:b/>
          <w:bCs/>
        </w:rPr>
        <w:t xml:space="preserve">RE:</w:t>
      </w:r>
      <w:r>
        <w:t xml:space="preserve"> </w:t>
      </w:r>
      <w:r>
        <w:t xml:space="preserve">Terravox Systems, Inc. — Governance Diligence in Connection with the Proposed Acquisition by Hargrove Capital Partners III, LP</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summarizes our review of the governance documents of Terravox Systems, Inc. (</w:t>
      </w:r>
      <w:r>
        <w:t xml:space="preserve">“</w:t>
      </w:r>
      <w:r>
        <w:t xml:space="preserve">Terravox</w:t>
      </w:r>
      <w:r>
        <w:t xml:space="preserve">”</w:t>
      </w:r>
      <w:r>
        <w:t xml:space="preserve"> </w:t>
      </w:r>
      <w:r>
        <w:t xml:space="preserve">or the</w:t>
      </w:r>
      <w:r>
        <w:t xml:space="preserve"> </w:t>
      </w:r>
      <w:r>
        <w:t xml:space="preserve">“</w:t>
      </w:r>
      <w:r>
        <w:t xml:space="preserve">Company</w:t>
      </w:r>
      <w:r>
        <w:t xml:space="preserve">”</w:t>
      </w:r>
      <w:r>
        <w:t xml:space="preserve">) in connection with the proposed acquisition of 100% of the Company’s outstanding equity by Hargrove Capital Partners III, LP (</w:t>
      </w:r>
      <w:r>
        <w:t xml:space="preserve">“</w:t>
      </w:r>
      <w:r>
        <w:t xml:space="preserve">Hargrove</w:t>
      </w:r>
      <w:r>
        <w:t xml:space="preserve">”</w:t>
      </w:r>
      <w:r>
        <w:t xml:space="preserve"> </w:t>
      </w:r>
      <w:r>
        <w:t xml:space="preserve">or</w:t>
      </w:r>
      <w:r>
        <w:t xml:space="preserve"> </w:t>
      </w:r>
      <w:r>
        <w:t xml:space="preserve">“</w:t>
      </w:r>
      <w:r>
        <w:t xml:space="preserve">Buyer</w:t>
      </w:r>
      <w:r>
        <w:t xml:space="preserve">”</w:t>
      </w:r>
      <w:r>
        <w:t xml:space="preserve">), structured as a reverse triangular merger at an enterprise value of $485 million (the</w:t>
      </w:r>
      <w:r>
        <w:t xml:space="preserve"> </w:t>
      </w:r>
      <w:r>
        <w:t xml:space="preserve">“</w:t>
      </w:r>
      <w:r>
        <w:t xml:space="preserve">Transaction</w:t>
      </w:r>
      <w:r>
        <w:t xml:space="preserve">”</w:t>
      </w:r>
      <w:r>
        <w:t xml:space="preserve">), targeting a Q1 2025 closing. As requested, the posture of Stonemill Capital Partners Fund VI, LP (</w:t>
      </w:r>
      <w:r>
        <w:t xml:space="preserve">“</w:t>
      </w:r>
      <w:r>
        <w:t xml:space="preserve">Stonemill</w:t>
      </w:r>
      <w:r>
        <w:t xml:space="preserve">”</w:t>
      </w:r>
      <w:r>
        <w:t xml:space="preserve">), the Series C lead investor, is the throughline of this analysis; we have mapped every leverage point Stonemill holds and assessed the paths to closing with and without its cooperation.</w:t>
      </w:r>
    </w:p>
    <w:p>
      <w:pPr>
        <w:pStyle w:val="BodyText"/>
      </w:pPr>
      <w:r>
        <w:rPr>
          <w:b/>
          <w:bCs/>
        </w:rPr>
        <w:t xml:space="preserve">Documents reviewed:</w:t>
      </w:r>
      <w:r>
        <w:t xml:space="preserve"> </w:t>
      </w:r>
      <w:r>
        <w:t xml:space="preserve">the Third Amended and Restated Certificate of Incorporation (the</w:t>
      </w:r>
      <w:r>
        <w:t xml:space="preserve"> </w:t>
      </w:r>
      <w:r>
        <w:t xml:space="preserve">“</w:t>
      </w:r>
      <w:r>
        <w:t xml:space="preserve">Restated Certificate</w:t>
      </w:r>
      <w:r>
        <w:t xml:space="preserve">”</w:t>
      </w:r>
      <w:r>
        <w:t xml:space="preserve">), the Amended and Restated Bylaws (the</w:t>
      </w:r>
      <w:r>
        <w:t xml:space="preserve"> </w:t>
      </w:r>
      <w:r>
        <w:t xml:space="preserve">“</w:t>
      </w:r>
      <w:r>
        <w:t xml:space="preserve">Bylaws</w:t>
      </w:r>
      <w:r>
        <w:t xml:space="preserve">”</w:t>
      </w:r>
      <w:r>
        <w:t xml:space="preserve">), the Stockholders’ Agreement (</w:t>
      </w:r>
      <w:r>
        <w:t xml:space="preserve">“</w:t>
      </w:r>
      <w:r>
        <w:t xml:space="preserve">SHA</w:t>
      </w:r>
      <w:r>
        <w:t xml:space="preserve">”</w:t>
      </w:r>
      <w:r>
        <w:t xml:space="preserve">), the Voting Agreement (</w:t>
      </w:r>
      <w:r>
        <w:t xml:space="preserve">“</w:t>
      </w:r>
      <w:r>
        <w:t xml:space="preserve">VA</w:t>
      </w:r>
      <w:r>
        <w:t xml:space="preserve">”</w:t>
      </w:r>
      <w:r>
        <w:t xml:space="preserve">), and the Registration Rights Agreement (</w:t>
      </w:r>
      <w:r>
        <w:t xml:space="preserve">“</w:t>
      </w:r>
      <w:r>
        <w:t xml:space="preserve">RRA</w:t>
      </w:r>
      <w:r>
        <w:t xml:space="preserve">”</w:t>
      </w:r>
      <w:r>
        <w:t xml:space="preserve">) — each dated/effective November 3, 2021 — and compiled Board minutes for eight meetings from January 18, 2023 through September 25, 2024 (the</w:t>
      </w:r>
      <w:r>
        <w:t xml:space="preserve"> </w:t>
      </w:r>
      <w:r>
        <w:t xml:space="preserve">“</w:t>
      </w:r>
      <w:r>
        <w:t xml:space="preserve">Board Minutes</w:t>
      </w:r>
      <w:r>
        <w:t xml:space="preserve">”</w:t>
      </w:r>
      <w:r>
        <w:t xml:space="preserve">). We have</w:t>
      </w:r>
      <w:r>
        <w:t xml:space="preserve"> </w:t>
      </w:r>
      <w:r>
        <w:rPr>
          <w:b/>
          <w:bCs/>
        </w:rPr>
        <w:t xml:space="preserve">not</w:t>
      </w:r>
      <w:r>
        <w:t xml:space="preserve"> </w:t>
      </w:r>
      <w:r>
        <w:t xml:space="preserve">received the 2021 Equity Incentive Plan or individual award agreements — a material gap flagged below.</w:t>
      </w:r>
    </w:p>
    <w:p>
      <w:pPr>
        <w:pStyle w:val="BodyText"/>
      </w:pPr>
      <w:r>
        <w:rPr>
          <w:b/>
          <w:bCs/>
        </w:rPr>
        <w:t xml:space="preserve">Headline findings.</w:t>
      </w:r>
    </w:p>
    <w:p>
      <w:pPr>
        <w:numPr>
          <w:ilvl w:val="0"/>
          <w:numId w:val="1001"/>
        </w:numPr>
      </w:pPr>
      <w:r>
        <w:rPr>
          <w:b/>
          <w:bCs/>
        </w:rPr>
        <w:t xml:space="preserve">Stonemill holds a hard, charter-level blocking right over the Transaction.</w:t>
      </w:r>
      <w:r>
        <w:t xml:space="preserve"> </w:t>
      </w:r>
      <w:r>
        <w:t xml:space="preserve">The Restated Certificate requires the separate class consent of holders of at least 66⅔% of the Series C Preferred Stock to effect any</w:t>
      </w:r>
      <w:r>
        <w:t xml:space="preserve"> </w:t>
      </w:r>
      <w:r>
        <w:t xml:space="preserve">“</w:t>
      </w:r>
      <w:r>
        <w:t xml:space="preserve">Liquidation Event</w:t>
      </w:r>
      <w:r>
        <w:t xml:space="preserve">”</w:t>
      </w:r>
      <w:r>
        <w:t xml:space="preserve"> </w:t>
      </w:r>
      <w:r>
        <w:t xml:space="preserve">(Section 4.3.6(b)(i)). Stonemill holds 7,800,000 of the 7,800,000 outstanding Series C shares — i.e., 100% of the class. The threshold (5,200,000 shares) therefore cannot be reached without Stonemill’s affirmative consent. This is the single most important governance fact in the deal.</w:t>
      </w:r>
      <w:r>
        <w:t xml:space="preserve"> </w:t>
      </w:r>
      <w:r>
        <w:rPr>
          <w:i/>
          <w:iCs/>
        </w:rPr>
        <w:t xml:space="preserve">(Critical.)</w:t>
      </w:r>
    </w:p>
    <w:p>
      <w:pPr>
        <w:numPr>
          <w:ilvl w:val="0"/>
          <w:numId w:val="1001"/>
        </w:numPr>
      </w:pPr>
      <w:r>
        <w:rPr>
          <w:b/>
          <w:bCs/>
        </w:rPr>
        <w:t xml:space="preserve">There is a viable — but legally contested — path to closing over Stonemill’s objection via the drag-along.</w:t>
      </w:r>
      <w:r>
        <w:t xml:space="preserve"> </w:t>
      </w:r>
      <w:r>
        <w:t xml:space="preserve">The SHA drag-along (Article 3) can be triggered without Stonemill: all three prongs are mathematically satisfiable with the Founders, Ridgeline, and Northbridge. Once triggered, the drag-along purports to compel every party — including Stonemill — to vote and consent its shares in favor, and grants an irrevocable proxy to do so. There is a colorable argument, grounded in DGCL § 218(c) and the drag-along’s express</w:t>
      </w:r>
      <w:r>
        <w:t xml:space="preserve"> </w:t>
      </w:r>
      <w:r>
        <w:t xml:space="preserve">“</w:t>
      </w:r>
      <w:r>
        <w:t xml:space="preserve">by written consent</w:t>
      </w:r>
      <w:r>
        <w:t xml:space="preserve">”</w:t>
      </w:r>
      <w:r>
        <w:t xml:space="preserve"> </w:t>
      </w:r>
      <w:r>
        <w:t xml:space="preserve">/</w:t>
      </w:r>
      <w:r>
        <w:t xml:space="preserve"> </w:t>
      </w:r>
      <w:r>
        <w:t xml:space="preserve">“</w:t>
      </w:r>
      <w:r>
        <w:t xml:space="preserve">any other matter required to be approved</w:t>
      </w:r>
      <w:r>
        <w:t xml:space="preserve">”</w:t>
      </w:r>
      <w:r>
        <w:t xml:space="preserve"> </w:t>
      </w:r>
      <w:r>
        <w:t xml:space="preserve">language, that this can satisfy the Series C class consent.</w:t>
      </w:r>
      <w:r>
        <w:t xml:space="preserve"> </w:t>
      </w:r>
      <w:r>
        <w:rPr>
          <w:b/>
          <w:bCs/>
        </w:rPr>
        <w:t xml:space="preserve">However, whether a stockholder-agreement drag-along can override a charter protective provision is a contested question of Delaware law with limited direct authority, and Stonemill will almost certainly challenge it in the Court of Chancery.</w:t>
      </w:r>
      <w:r>
        <w:t xml:space="preserve"> </w:t>
      </w:r>
      <w:r>
        <w:t xml:space="preserve">This changes the negotiating posture — Stonemill’s block is not absolute — but Buyer must be prepared to litigate to enforce it.</w:t>
      </w:r>
      <w:r>
        <w:t xml:space="preserve"> </w:t>
      </w:r>
      <w:r>
        <w:rPr>
          <w:i/>
          <w:iCs/>
        </w:rPr>
        <w:t xml:space="preserve">(Critical / Significant.)</w:t>
      </w:r>
    </w:p>
    <w:p>
      <w:pPr>
        <w:numPr>
          <w:ilvl w:val="0"/>
          <w:numId w:val="1001"/>
        </w:numPr>
      </w:pPr>
      <w:r>
        <w:rPr>
          <w:b/>
          <w:bCs/>
        </w:rPr>
        <w:t xml:space="preserve">A potentially live exclusivity obligation to SensorLink Technologies may conflict with signing a definitive agreement with Hargrove.</w:t>
      </w:r>
      <w:r>
        <w:t xml:space="preserve"> </w:t>
      </w:r>
      <w:r>
        <w:t xml:space="preserve">The SensorLink LOI contains an auto-renewing exclusivity provision; the Company has been unable to confirm whether a termination notice was sent before the September 8, 2024 expiration. If no notice was sent, exclusivity auto-renewed for 90 days (through approximately December 7, 2024) and will continue to renew. This is time-sensitive and must be resolved immediately.</w:t>
      </w:r>
      <w:r>
        <w:t xml:space="preserve"> </w:t>
      </w:r>
      <w:r>
        <w:rPr>
          <w:i/>
          <w:iCs/>
        </w:rPr>
        <w:t xml:space="preserve">(Critical / Time-Sensitive.)</w:t>
      </w:r>
    </w:p>
    <w:p>
      <w:pPr>
        <w:numPr>
          <w:ilvl w:val="0"/>
          <w:numId w:val="1001"/>
        </w:numPr>
      </w:pPr>
      <w:r>
        <w:rPr>
          <w:b/>
          <w:bCs/>
        </w:rPr>
        <w:t xml:space="preserve">The $12 million Clearfield National Bank term loan appears to have been incurred without the Preferred Stockholder consent required by the charter.</w:t>
      </w:r>
      <w:r>
        <w:t xml:space="preserve"> </w:t>
      </w:r>
      <w:r>
        <w:t xml:space="preserve">Section 4.3.6(a)(v) requires majority-of-Preferred consent to incur borrowed-money indebtedness exceeding $5,000,000. The October 2023 Board minutes reflect only Board approval. This is a governance defect that Stonemill can exploit and that should be cured or explained.</w:t>
      </w:r>
      <w:r>
        <w:t xml:space="preserve"> </w:t>
      </w:r>
      <w:r>
        <w:rPr>
          <w:i/>
          <w:iCs/>
        </w:rPr>
        <w:t xml:space="preserve">(Significant.)</w:t>
      </w:r>
    </w:p>
    <w:p>
      <w:pPr>
        <w:numPr>
          <w:ilvl w:val="0"/>
          <w:numId w:val="1001"/>
        </w:numPr>
      </w:pPr>
      <w:r>
        <w:rPr>
          <w:b/>
          <w:bCs/>
        </w:rPr>
        <w:t xml:space="preserve">The Special Committee is not fully independent.</w:t>
      </w:r>
      <w:r>
        <w:t xml:space="preserve"> </w:t>
      </w:r>
      <w:r>
        <w:t xml:space="preserve">Sandra Okafor — Northbridge’s board designee and a Northbridge Principal — sits on the three-member Special Committee evaluating the sale. Under Delaware’s Revlon framework, this creates a sale-process vulnerability that Stonemill (or a plaintiff) could challenge.</w:t>
      </w:r>
      <w:r>
        <w:t xml:space="preserve"> </w:t>
      </w:r>
      <w:r>
        <w:rPr>
          <w:i/>
          <w:iCs/>
        </w:rPr>
        <w:t xml:space="preserve">(Significant.)</w:t>
      </w:r>
    </w:p>
    <w:p>
      <w:pPr>
        <w:numPr>
          <w:ilvl w:val="0"/>
          <w:numId w:val="1001"/>
        </w:numPr>
      </w:pPr>
      <w:r>
        <w:rPr>
          <w:b/>
          <w:bCs/>
        </w:rPr>
        <w:t xml:space="preserve">The Registration Rights Agreement may not terminate cleanly on the Transaction.</w:t>
      </w:r>
      <w:r>
        <w:t xml:space="preserve"> </w:t>
      </w:r>
      <w:r>
        <w:t xml:space="preserve">The RRA terminates on a</w:t>
      </w:r>
      <w:r>
        <w:t xml:space="preserve"> </w:t>
      </w:r>
      <w:r>
        <w:t xml:space="preserve">“</w:t>
      </w:r>
      <w:r>
        <w:t xml:space="preserve">Deemed Liquidation Event,</w:t>
      </w:r>
      <w:r>
        <w:t xml:space="preserve">”</w:t>
      </w:r>
      <w:r>
        <w:t xml:space="preserve"> </w:t>
      </w:r>
      <w:r>
        <w:t xml:space="preserve">but that term is</w:t>
      </w:r>
      <w:r>
        <w:t xml:space="preserve"> </w:t>
      </w:r>
      <w:r>
        <w:rPr>
          <w:b/>
          <w:bCs/>
        </w:rPr>
        <w:t xml:space="preserve">not defined</w:t>
      </w:r>
      <w:r>
        <w:t xml:space="preserve"> </w:t>
      </w:r>
      <w:r>
        <w:t xml:space="preserve">in the RRA (the charter uses</w:t>
      </w:r>
      <w:r>
        <w:t xml:space="preserve"> </w:t>
      </w:r>
      <w:r>
        <w:t xml:space="preserve">“</w:t>
      </w:r>
      <w:r>
        <w:t xml:space="preserve">Liquidation Event</w:t>
      </w:r>
      <w:r>
        <w:t xml:space="preserve">”</w:t>
      </w:r>
      <w:r>
        <w:t xml:space="preserve">; the SHA/VA use</w:t>
      </w:r>
      <w:r>
        <w:t xml:space="preserve"> </w:t>
      </w:r>
      <w:r>
        <w:t xml:space="preserve">“</w:t>
      </w:r>
      <w:r>
        <w:t xml:space="preserve">Sale of the Company</w:t>
      </w:r>
      <w:r>
        <w:t xml:space="preserve">”</w:t>
      </w:r>
      <w:r>
        <w:t xml:space="preserve">). This definitional gap should be closed by an express termination/waiver in the merger agreement.</w:t>
      </w:r>
      <w:r>
        <w:t xml:space="preserve"> </w:t>
      </w:r>
      <w:r>
        <w:rPr>
          <w:i/>
          <w:iCs/>
        </w:rPr>
        <w:t xml:space="preserve">(Significant.)</w:t>
      </w:r>
    </w:p>
    <w:p>
      <w:pPr>
        <w:numPr>
          <w:ilvl w:val="0"/>
          <w:numId w:val="1001"/>
        </w:numPr>
      </w:pPr>
      <w:r>
        <w:rPr>
          <w:b/>
          <w:bCs/>
        </w:rPr>
        <w:t xml:space="preserve">The September 25, 2024 Board minutes’ waterfall characterization appears inconsistent with the charter’s non-participating preferred mechanics.</w:t>
      </w:r>
      <w:r>
        <w:t xml:space="preserve"> </w:t>
      </w:r>
      <w:r>
        <w:t xml:space="preserve">The minutes state that all Preferred holders would receive</w:t>
      </w:r>
      <w:r>
        <w:t xml:space="preserve"> </w:t>
      </w:r>
      <w:r>
        <w:t xml:space="preserve">“</w:t>
      </w:r>
      <w:r>
        <w:t xml:space="preserve">in excess of</w:t>
      </w:r>
      <w:r>
        <w:t xml:space="preserve">”</w:t>
      </w:r>
      <w:r>
        <w:t xml:space="preserve"> </w:t>
      </w:r>
      <w:r>
        <w:t xml:space="preserve">their liquidation preferences on an as-converted basis. In fact, Series C’s $18.50 per-share liquidation preference exceeds the ~$13.95 blended as-converted value, so Series C would elect its preference rather than convert. This affects the fairness analysis and should be reconciled with Thornbury &amp; Associates’ work.</w:t>
      </w:r>
      <w:r>
        <w:t xml:space="preserve"> </w:t>
      </w:r>
      <w:r>
        <w:rPr>
          <w:i/>
          <w:iCs/>
        </w:rPr>
        <w:t xml:space="preserve">(Significant.)</w:t>
      </w:r>
    </w:p>
    <w:p>
      <w:pPr>
        <w:numPr>
          <w:ilvl w:val="0"/>
          <w:numId w:val="1001"/>
        </w:numPr>
      </w:pPr>
      <w:r>
        <w:rPr>
          <w:b/>
          <w:bCs/>
        </w:rPr>
        <w:t xml:space="preserve">Document gaps remain.</w:t>
      </w:r>
      <w:r>
        <w:t xml:space="preserve"> </w:t>
      </w:r>
      <w:r>
        <w:t xml:space="preserve">The 2021 Equity Incentive Plan, individual award agreements, the Clearfield loan agreement, the SensorLink LOI, and stockholder consent records have not been produced. Several conclusions below are necessarily preliminary pending those items.</w:t>
      </w:r>
      <w:r>
        <w:t xml:space="preserve"> </w:t>
      </w:r>
      <w:r>
        <w:rPr>
          <w:i/>
          <w:iCs/>
        </w:rPr>
        <w:t xml:space="preserve">(Significant.)</w:t>
      </w:r>
    </w:p>
    <w:p>
      <w:pPr>
        <w:pStyle w:val="FirstParagraph"/>
      </w:pPr>
      <w:r>
        <w:rPr>
          <w:b/>
          <w:bCs/>
        </w:rPr>
        <w:t xml:space="preserve">Severity at a glance.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Series C separate-class blocking right (Stonemill holds 100%)</w:t>
            </w:r>
          </w:p>
        </w:tc>
        <w:tc>
          <w:tcPr/>
          <w:p>
            <w:pPr>
              <w:pStyle w:val="Compact"/>
              <w:jc w:val="left"/>
            </w:pPr>
            <w:r>
              <w:t xml:space="preserve">Critical</w:t>
            </w:r>
          </w:p>
        </w:tc>
      </w:tr>
      <w:tr>
        <w:tc>
          <w:tcPr/>
          <w:p>
            <w:pPr>
              <w:pStyle w:val="Compact"/>
              <w:jc w:val="left"/>
            </w:pPr>
            <w:r>
              <w:t xml:space="preserve">2</w:t>
            </w:r>
          </w:p>
        </w:tc>
        <w:tc>
          <w:tcPr/>
          <w:p>
            <w:pPr>
              <w:pStyle w:val="Compact"/>
              <w:jc w:val="left"/>
            </w:pPr>
            <w:r>
              <w:t xml:space="preserve">SensorLink LOI auto-renewing exclusivity — possible live conflict</w:t>
            </w:r>
          </w:p>
        </w:tc>
        <w:tc>
          <w:tcPr/>
          <w:p>
            <w:pPr>
              <w:pStyle w:val="Compact"/>
              <w:jc w:val="left"/>
            </w:pPr>
            <w:r>
              <w:t xml:space="preserve">Critical / Time-Sensitive</w:t>
            </w:r>
          </w:p>
        </w:tc>
      </w:tr>
      <w:tr>
        <w:tc>
          <w:tcPr/>
          <w:p>
            <w:pPr>
              <w:pStyle w:val="Compact"/>
              <w:jc w:val="left"/>
            </w:pPr>
            <w:r>
              <w:t xml:space="preserve">3</w:t>
            </w:r>
          </w:p>
        </w:tc>
        <w:tc>
          <w:tcPr/>
          <w:p>
            <w:pPr>
              <w:pStyle w:val="Compact"/>
              <w:jc w:val="left"/>
            </w:pPr>
            <w:r>
              <w:t xml:space="preserve">Drag-along override of charter protective provision — contested</w:t>
            </w:r>
          </w:p>
        </w:tc>
        <w:tc>
          <w:tcPr/>
          <w:p>
            <w:pPr>
              <w:pStyle w:val="Compact"/>
              <w:jc w:val="left"/>
            </w:pPr>
            <w:r>
              <w:t xml:space="preserve">Critical / Significant</w:t>
            </w:r>
          </w:p>
        </w:tc>
      </w:tr>
      <w:tr>
        <w:tc>
          <w:tcPr/>
          <w:p>
            <w:pPr>
              <w:pStyle w:val="Compact"/>
              <w:jc w:val="left"/>
            </w:pPr>
            <w:r>
              <w:t xml:space="preserve">4</w:t>
            </w:r>
          </w:p>
        </w:tc>
        <w:tc>
          <w:tcPr/>
          <w:p>
            <w:pPr>
              <w:pStyle w:val="Compact"/>
              <w:jc w:val="left"/>
            </w:pPr>
            <w:r>
              <w:t xml:space="preserve">Clearfield $12M loan incurred without apparent Preferred consent</w:t>
            </w:r>
          </w:p>
        </w:tc>
        <w:tc>
          <w:tcPr/>
          <w:p>
            <w:pPr>
              <w:pStyle w:val="Compact"/>
              <w:jc w:val="left"/>
            </w:pPr>
            <w:r>
              <w:t xml:space="preserve">Significant</w:t>
            </w:r>
          </w:p>
        </w:tc>
      </w:tr>
      <w:tr>
        <w:tc>
          <w:tcPr/>
          <w:p>
            <w:pPr>
              <w:pStyle w:val="Compact"/>
              <w:jc w:val="left"/>
            </w:pPr>
            <w:r>
              <w:t xml:space="preserve">5</w:t>
            </w:r>
          </w:p>
        </w:tc>
        <w:tc>
          <w:tcPr/>
          <w:p>
            <w:pPr>
              <w:pStyle w:val="Compact"/>
              <w:jc w:val="left"/>
            </w:pPr>
            <w:r>
              <w:t xml:space="preserve">Special Committee not fully independent (Okafor)</w:t>
            </w:r>
          </w:p>
        </w:tc>
        <w:tc>
          <w:tcPr/>
          <w:p>
            <w:pPr>
              <w:pStyle w:val="Compact"/>
              <w:jc w:val="left"/>
            </w:pPr>
            <w:r>
              <w:t xml:space="preserve">Significant</w:t>
            </w:r>
          </w:p>
        </w:tc>
      </w:tr>
      <w:tr>
        <w:tc>
          <w:tcPr/>
          <w:p>
            <w:pPr>
              <w:pStyle w:val="Compact"/>
              <w:jc w:val="left"/>
            </w:pPr>
            <w:r>
              <w:t xml:space="preserve">6</w:t>
            </w:r>
          </w:p>
        </w:tc>
        <w:tc>
          <w:tcPr/>
          <w:p>
            <w:pPr>
              <w:pStyle w:val="Compact"/>
              <w:jc w:val="left"/>
            </w:pPr>
            <w:r>
              <w:t xml:space="preserve">RRA</w:t>
            </w:r>
            <w:r>
              <w:t xml:space="preserve"> </w:t>
            </w:r>
            <w:r>
              <w:t xml:space="preserve">“</w:t>
            </w:r>
            <w:r>
              <w:t xml:space="preserve">Deemed Liquidation Event</w:t>
            </w:r>
            <w:r>
              <w:t xml:space="preserve">”</w:t>
            </w:r>
            <w:r>
              <w:t xml:space="preserve"> </w:t>
            </w:r>
            <w:r>
              <w:t xml:space="preserve">undefined — termination gap</w:t>
            </w:r>
          </w:p>
        </w:tc>
        <w:tc>
          <w:tcPr/>
          <w:p>
            <w:pPr>
              <w:pStyle w:val="Compact"/>
              <w:jc w:val="left"/>
            </w:pPr>
            <w:r>
              <w:t xml:space="preserve">Significant</w:t>
            </w:r>
          </w:p>
        </w:tc>
      </w:tr>
      <w:tr>
        <w:tc>
          <w:tcPr/>
          <w:p>
            <w:pPr>
              <w:pStyle w:val="Compact"/>
              <w:jc w:val="left"/>
            </w:pPr>
            <w:r>
              <w:t xml:space="preserve">7</w:t>
            </w:r>
          </w:p>
        </w:tc>
        <w:tc>
          <w:tcPr/>
          <w:p>
            <w:pPr>
              <w:pStyle w:val="Compact"/>
              <w:jc w:val="left"/>
            </w:pPr>
            <w:r>
              <w:t xml:space="preserve">Equity plan / award agreements not produced</w:t>
            </w:r>
          </w:p>
        </w:tc>
        <w:tc>
          <w:tcPr/>
          <w:p>
            <w:pPr>
              <w:pStyle w:val="Compact"/>
              <w:jc w:val="left"/>
            </w:pPr>
            <w:r>
              <w:t xml:space="preserve">Significant</w:t>
            </w:r>
          </w:p>
        </w:tc>
      </w:tr>
      <w:tr>
        <w:tc>
          <w:tcPr/>
          <w:p>
            <w:pPr>
              <w:pStyle w:val="Compact"/>
              <w:jc w:val="left"/>
            </w:pPr>
            <w:r>
              <w:t xml:space="preserve">8</w:t>
            </w:r>
          </w:p>
        </w:tc>
        <w:tc>
          <w:tcPr/>
          <w:p>
            <w:pPr>
              <w:pStyle w:val="Compact"/>
              <w:jc w:val="left"/>
            </w:pPr>
            <w:r>
              <w:t xml:space="preserve">Trask absence/objection + observer not present (Apr 17, 2024)</w:t>
            </w:r>
          </w:p>
        </w:tc>
        <w:tc>
          <w:tcPr/>
          <w:p>
            <w:pPr>
              <w:pStyle w:val="Compact"/>
              <w:jc w:val="left"/>
            </w:pPr>
            <w:r>
              <w:t xml:space="preserve">Significant</w:t>
            </w:r>
          </w:p>
        </w:tc>
      </w:tr>
      <w:tr>
        <w:tc>
          <w:tcPr/>
          <w:p>
            <w:pPr>
              <w:pStyle w:val="Compact"/>
              <w:jc w:val="left"/>
            </w:pPr>
            <w:r>
              <w:t xml:space="preserve">9</w:t>
            </w:r>
          </w:p>
        </w:tc>
        <w:tc>
          <w:tcPr/>
          <w:p>
            <w:pPr>
              <w:pStyle w:val="Compact"/>
              <w:jc w:val="left"/>
            </w:pPr>
            <w:r>
              <w:t xml:space="preserve">Sept 25 minutes waterfall characterization appears incorrect</w:t>
            </w:r>
          </w:p>
        </w:tc>
        <w:tc>
          <w:tcPr/>
          <w:p>
            <w:pPr>
              <w:pStyle w:val="Compact"/>
              <w:jc w:val="left"/>
            </w:pPr>
            <w:r>
              <w:t xml:space="preserve">Significant</w:t>
            </w:r>
          </w:p>
        </w:tc>
      </w:tr>
      <w:tr>
        <w:tc>
          <w:tcPr/>
          <w:p>
            <w:pPr>
              <w:pStyle w:val="Compact"/>
              <w:jc w:val="left"/>
            </w:pPr>
            <w:r>
              <w:t xml:space="preserve">10</w:t>
            </w:r>
          </w:p>
        </w:tc>
        <w:tc>
          <w:tcPr/>
          <w:p>
            <w:pPr>
              <w:pStyle w:val="Compact"/>
              <w:jc w:val="left"/>
            </w:pPr>
            <w:r>
              <w:t xml:space="preserve">Drag-along prong (i) denominator ambiguity</w:t>
            </w:r>
          </w:p>
        </w:tc>
        <w:tc>
          <w:tcPr/>
          <w:p>
            <w:pPr>
              <w:pStyle w:val="Compact"/>
              <w:jc w:val="left"/>
            </w:pPr>
            <w:r>
              <w:t xml:space="preserve">Moderate</w:t>
            </w:r>
          </w:p>
        </w:tc>
      </w:tr>
      <w:tr>
        <w:tc>
          <w:tcPr/>
          <w:p>
            <w:pPr>
              <w:pStyle w:val="Compact"/>
              <w:jc w:val="left"/>
            </w:pPr>
            <w:r>
              <w:t xml:space="preserve">11</w:t>
            </w:r>
          </w:p>
        </w:tc>
        <w:tc>
          <w:tcPr/>
          <w:p>
            <w:pPr>
              <w:pStyle w:val="Compact"/>
              <w:jc w:val="left"/>
            </w:pPr>
            <w:r>
              <w:t xml:space="preserve">Equity plan share-reserve increase — stockholder approval unclear</w:t>
            </w:r>
          </w:p>
        </w:tc>
        <w:tc>
          <w:tcPr/>
          <w:p>
            <w:pPr>
              <w:pStyle w:val="Compact"/>
              <w:jc w:val="left"/>
            </w:pPr>
            <w:r>
              <w:t xml:space="preserve">Moderate</w:t>
            </w:r>
          </w:p>
        </w:tc>
      </w:tr>
      <w:tr>
        <w:tc>
          <w:tcPr/>
          <w:p>
            <w:pPr>
              <w:pStyle w:val="Compact"/>
              <w:jc w:val="left"/>
            </w:pPr>
            <w:r>
              <w:t xml:space="preserve">12</w:t>
            </w:r>
          </w:p>
        </w:tc>
        <w:tc>
          <w:tcPr/>
          <w:p>
            <w:pPr>
              <w:pStyle w:val="Compact"/>
              <w:jc w:val="left"/>
            </w:pPr>
            <w:r>
              <w:t xml:space="preserve">Clearfield loan change-of-control covenants unknown</w:t>
            </w:r>
          </w:p>
        </w:tc>
        <w:tc>
          <w:tcPr/>
          <w:p>
            <w:pPr>
              <w:pStyle w:val="Compact"/>
              <w:jc w:val="left"/>
            </w:pPr>
            <w:r>
              <w:t xml:space="preserve">Moderate</w:t>
            </w:r>
          </w:p>
        </w:tc>
      </w:tr>
      <w:tr>
        <w:tc>
          <w:tcPr/>
          <w:p>
            <w:pPr>
              <w:pStyle w:val="Compact"/>
              <w:jc w:val="left"/>
            </w:pPr>
            <w:r>
              <w:t xml:space="preserve">13</w:t>
            </w:r>
          </w:p>
        </w:tc>
        <w:tc>
          <w:tcPr/>
          <w:p>
            <w:pPr>
              <w:pStyle w:val="Compact"/>
              <w:jc w:val="left"/>
            </w:pPr>
            <w:r>
              <w:t xml:space="preserve">Voting Agreement 5-year sunset as backstop</w:t>
            </w:r>
          </w:p>
        </w:tc>
        <w:tc>
          <w:tcPr/>
          <w:p>
            <w:pPr>
              <w:pStyle w:val="Compact"/>
              <w:jc w:val="left"/>
            </w:pPr>
            <w:r>
              <w:t xml:space="preserve">Moderate</w:t>
            </w:r>
          </w:p>
        </w:tc>
      </w:tr>
      <w:tr>
        <w:tc>
          <w:tcPr/>
          <w:p>
            <w:pPr>
              <w:pStyle w:val="Compact"/>
              <w:jc w:val="left"/>
            </w:pPr>
            <w:r>
              <w:t xml:space="preserve">14</w:t>
            </w:r>
          </w:p>
        </w:tc>
        <w:tc>
          <w:tcPr/>
          <w:p>
            <w:pPr>
              <w:pStyle w:val="Compact"/>
              <w:jc w:val="left"/>
            </w:pPr>
            <w:r>
              <w:t xml:space="preserve">Stonemill observer notice/materials (Apr 17, 2024)</w:t>
            </w:r>
          </w:p>
        </w:tc>
        <w:tc>
          <w:tcPr/>
          <w:p>
            <w:pPr>
              <w:pStyle w:val="Compact"/>
              <w:jc w:val="left"/>
            </w:pPr>
            <w:r>
              <w:t xml:space="preserve">Moderate</w:t>
            </w:r>
          </w:p>
        </w:tc>
      </w:tr>
      <w:tr>
        <w:tc>
          <w:tcPr/>
          <w:p>
            <w:pPr>
              <w:pStyle w:val="Compact"/>
              <w:jc w:val="left"/>
            </w:pPr>
            <w:r>
              <w:t xml:space="preserve">15</w:t>
            </w:r>
          </w:p>
        </w:tc>
        <w:tc>
          <w:tcPr/>
          <w:p>
            <w:pPr>
              <w:pStyle w:val="Compact"/>
              <w:jc w:val="left"/>
            </w:pPr>
            <w:r>
              <w:t xml:space="preserve">Indemnification survival post-closing</w:t>
            </w:r>
          </w:p>
        </w:tc>
        <w:tc>
          <w:tcPr/>
          <w:p>
            <w:pPr>
              <w:pStyle w:val="Compact"/>
              <w:jc w:val="left"/>
            </w:pPr>
            <w:r>
              <w:t xml:space="preserve">Moderate</w:t>
            </w:r>
          </w:p>
        </w:tc>
      </w:tr>
    </w:tbl>
    <w:p>
      <w:pPr>
        <w:pStyle w:val="BodyText"/>
      </w:pPr>
      <w:r>
        <w:t xml:space="preserve">The balance of this memo addresses the ten diligence areas you specified, followed by a Consent/Approval Matrix and Recommended Next Steps.</w:t>
      </w:r>
    </w:p>
    <w:p>
      <w:r>
        <w:pict>
          <v:rect style="width:0;height:1.5pt" o:hralign="center" o:hrstd="t" o:hr="t"/>
        </w:pict>
      </w:r>
    </w:p>
    <w:bookmarkEnd w:id="20"/>
    <w:bookmarkStart w:id="21" w:name="X89f3fddf0ba7e85ba5c7ec40e499146c3e84e75"/>
    <w:p>
      <w:pPr>
        <w:pStyle w:val="Heading2"/>
      </w:pPr>
      <w:r>
        <w:t xml:space="preserve">II. Transaction Background and Capitalization Context</w:t>
      </w:r>
    </w:p>
    <w:p>
      <w:pPr>
        <w:pStyle w:val="FirstParagraph"/>
      </w:pPr>
      <w:r>
        <w:rPr>
          <w:b/>
          <w:bCs/>
        </w:rPr>
        <w:t xml:space="preserve">The Transaction.</w:t>
      </w:r>
      <w:r>
        <w:t xml:space="preserve"> </w:t>
      </w:r>
      <w:r>
        <w:t xml:space="preserve">Hargrove will form a wholly-owned acquisition subsidiary (</w:t>
      </w:r>
      <w:r>
        <w:t xml:space="preserve">“</w:t>
      </w:r>
      <w:r>
        <w:t xml:space="preserve">Merger Sub</w:t>
      </w:r>
      <w:r>
        <w:t xml:space="preserve">”</w:t>
      </w:r>
      <w:r>
        <w:t xml:space="preserve">) that will merge with and into Terravox, with Terravox surviving as a wholly-owned subsidiary of Hargrove. All outstanding equity of Terravox — Common, Series A, Series B, and Series C — will be cancelled and converted into the right to receive cash merger consideration. Enterprise value is $485 million; with approximately $12 million of outstanding indebtedness under the Clearfield National Bank term loan, implied equity value is approximately $473 million. Against FY2023 revenue of $127.3 million and Adjusted EBITDA of $31.8 million, the multiples are approximately 3.81x revenue and 15.25x EBITDA. (Board Minutes, Sept. 25, 2024; Hsieh email, Oct. 14, 2024.)</w:t>
      </w:r>
    </w:p>
    <w:p>
      <w:pPr>
        <w:pStyle w:val="BodyText"/>
      </w:pPr>
      <w:r>
        <w:rPr>
          <w:b/>
          <w:bCs/>
        </w:rPr>
        <w:t xml:space="preserve">Capitalization.</w:t>
      </w:r>
      <w:r>
        <w:t xml:space="preserve"> </w:t>
      </w:r>
      <w:r>
        <w:t xml:space="preserve">The following table is drawn from the Restated Certificate (Article IV), the SHA (Exhibit B), and the VA (Exhibit A):</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Holder</w:t>
            </w:r>
          </w:p>
        </w:tc>
        <w:tc>
          <w:tcPr/>
          <w:p>
            <w:pPr>
              <w:pStyle w:val="Compact"/>
              <w:jc w:val="left"/>
            </w:pPr>
            <w:r>
              <w:t xml:space="preserve">Class</w:t>
            </w:r>
          </w:p>
        </w:tc>
        <w:tc>
          <w:tcPr/>
          <w:p>
            <w:pPr>
              <w:pStyle w:val="Compact"/>
              <w:jc w:val="left"/>
            </w:pPr>
            <w:r>
              <w:t xml:space="preserve">Shares</w:t>
            </w:r>
          </w:p>
        </w:tc>
        <w:tc>
          <w:tcPr/>
          <w:p>
            <w:pPr>
              <w:pStyle w:val="Compact"/>
              <w:jc w:val="left"/>
            </w:pPr>
            <w:r>
              <w:t xml:space="preserve">As-Converted (1:1)</w:t>
            </w:r>
          </w:p>
        </w:tc>
        <w:tc>
          <w:tcPr/>
          <w:p>
            <w:pPr>
              <w:pStyle w:val="Compact"/>
              <w:jc w:val="left"/>
            </w:pPr>
            <w:r>
              <w:t xml:space="preserve">Liquidation Preference</w:t>
            </w:r>
          </w:p>
        </w:tc>
      </w:tr>
      <w:tr>
        <w:tc>
          <w:tcPr/>
          <w:p>
            <w:pPr>
              <w:pStyle w:val="Compact"/>
              <w:jc w:val="left"/>
            </w:pPr>
            <w:r>
              <w:t xml:space="preserve">Marcus Ellery</w:t>
            </w:r>
          </w:p>
        </w:tc>
        <w:tc>
          <w:tcPr/>
          <w:p>
            <w:pPr>
              <w:pStyle w:val="Compact"/>
              <w:jc w:val="left"/>
            </w:pPr>
            <w:r>
              <w:t xml:space="preserve">Common</w:t>
            </w:r>
          </w:p>
        </w:tc>
        <w:tc>
          <w:tcPr/>
          <w:p>
            <w:pPr>
              <w:pStyle w:val="Compact"/>
              <w:jc w:val="left"/>
            </w:pPr>
            <w:r>
              <w:t xml:space="preserve">4,200,000</w:t>
            </w:r>
          </w:p>
        </w:tc>
        <w:tc>
          <w:tcPr/>
          <w:p>
            <w:pPr>
              <w:pStyle w:val="Compact"/>
              <w:jc w:val="left"/>
            </w:pPr>
            <w:r>
              <w:t xml:space="preserve">4,200,000</w:t>
            </w:r>
          </w:p>
        </w:tc>
        <w:tc>
          <w:tcPr/>
          <w:p>
            <w:pPr>
              <w:pStyle w:val="Compact"/>
              <w:jc w:val="left"/>
            </w:pPr>
            <w:r>
              <w:t xml:space="preserve">—</w:t>
            </w:r>
          </w:p>
        </w:tc>
      </w:tr>
      <w:tr>
        <w:tc>
          <w:tcPr/>
          <w:p>
            <w:pPr>
              <w:pStyle w:val="Compact"/>
              <w:jc w:val="left"/>
            </w:pPr>
            <w:r>
              <w:t xml:space="preserve">Priya Chandrasekaran</w:t>
            </w:r>
          </w:p>
        </w:tc>
        <w:tc>
          <w:tcPr/>
          <w:p>
            <w:pPr>
              <w:pStyle w:val="Compact"/>
              <w:jc w:val="left"/>
            </w:pPr>
            <w:r>
              <w:t xml:space="preserve">Common</w:t>
            </w:r>
          </w:p>
        </w:tc>
        <w:tc>
          <w:tcPr/>
          <w:p>
            <w:pPr>
              <w:pStyle w:val="Compact"/>
              <w:jc w:val="left"/>
            </w:pPr>
            <w:r>
              <w:t xml:space="preserve">3,100,000</w:t>
            </w:r>
          </w:p>
        </w:tc>
        <w:tc>
          <w:tcPr/>
          <w:p>
            <w:pPr>
              <w:pStyle w:val="Compact"/>
              <w:jc w:val="left"/>
            </w:pPr>
            <w:r>
              <w:t xml:space="preserve">3,100,000</w:t>
            </w:r>
          </w:p>
        </w:tc>
        <w:tc>
          <w:tcPr/>
          <w:p>
            <w:pPr>
              <w:pStyle w:val="Compact"/>
              <w:jc w:val="left"/>
            </w:pPr>
            <w:r>
              <w:t xml:space="preserve">—</w:t>
            </w:r>
          </w:p>
        </w:tc>
      </w:tr>
      <w:tr>
        <w:tc>
          <w:tcPr/>
          <w:p>
            <w:pPr>
              <w:pStyle w:val="Compact"/>
              <w:jc w:val="left"/>
            </w:pPr>
            <w:r>
              <w:t xml:space="preserve">Ridgeline Ventures Fund II, LP</w:t>
            </w:r>
          </w:p>
        </w:tc>
        <w:tc>
          <w:tcPr/>
          <w:p>
            <w:pPr>
              <w:pStyle w:val="Compact"/>
              <w:jc w:val="left"/>
            </w:pPr>
            <w:r>
              <w:t xml:space="preserve">Series A</w:t>
            </w:r>
          </w:p>
        </w:tc>
        <w:tc>
          <w:tcPr/>
          <w:p>
            <w:pPr>
              <w:pStyle w:val="Compact"/>
              <w:jc w:val="left"/>
            </w:pPr>
            <w:r>
              <w:t xml:space="preserve">3,500,000</w:t>
            </w:r>
          </w:p>
        </w:tc>
        <w:tc>
          <w:tcPr/>
          <w:p>
            <w:pPr>
              <w:pStyle w:val="Compact"/>
              <w:jc w:val="left"/>
            </w:pPr>
            <w:r>
              <w:t xml:space="preserve">3,500,000</w:t>
            </w:r>
          </w:p>
        </w:tc>
        <w:tc>
          <w:tcPr/>
          <w:p>
            <w:pPr>
              <w:pStyle w:val="Compact"/>
              <w:jc w:val="left"/>
            </w:pPr>
            <w:r>
              <w:t xml:space="preserve">$14,000,000 ($4.00/sh)</w:t>
            </w:r>
          </w:p>
        </w:tc>
      </w:tr>
      <w:tr>
        <w:tc>
          <w:tcPr/>
          <w:p>
            <w:pPr>
              <w:pStyle w:val="Compact"/>
              <w:jc w:val="left"/>
            </w:pPr>
            <w:r>
              <w:t xml:space="preserve">Northbridge Growth Equity Fund IV, LP</w:t>
            </w:r>
          </w:p>
        </w:tc>
        <w:tc>
          <w:tcPr/>
          <w:p>
            <w:pPr>
              <w:pStyle w:val="Compact"/>
              <w:jc w:val="left"/>
            </w:pPr>
            <w:r>
              <w:t xml:space="preserve">Series B</w:t>
            </w:r>
          </w:p>
        </w:tc>
        <w:tc>
          <w:tcPr/>
          <w:p>
            <w:pPr>
              <w:pStyle w:val="Compact"/>
              <w:jc w:val="left"/>
            </w:pPr>
            <w:r>
              <w:t xml:space="preserve">5,200,000</w:t>
            </w:r>
          </w:p>
        </w:tc>
        <w:tc>
          <w:tcPr/>
          <w:p>
            <w:pPr>
              <w:pStyle w:val="Compact"/>
              <w:jc w:val="left"/>
            </w:pPr>
            <w:r>
              <w:t xml:space="preserve">5,200,000</w:t>
            </w:r>
          </w:p>
        </w:tc>
        <w:tc>
          <w:tcPr/>
          <w:p>
            <w:pPr>
              <w:pStyle w:val="Compact"/>
              <w:jc w:val="left"/>
            </w:pPr>
            <w:r>
              <w:t xml:space="preserve">$48,100,000 ($9.25/sh)</w:t>
            </w:r>
          </w:p>
        </w:tc>
      </w:tr>
      <w:tr>
        <w:tc>
          <w:tcPr/>
          <w:p>
            <w:pPr>
              <w:pStyle w:val="Compact"/>
              <w:jc w:val="left"/>
            </w:pPr>
            <w:r>
              <w:t xml:space="preserve">Stonemill Capital Partners Fund VI, LP</w:t>
            </w:r>
          </w:p>
        </w:tc>
        <w:tc>
          <w:tcPr/>
          <w:p>
            <w:pPr>
              <w:pStyle w:val="Compact"/>
              <w:jc w:val="left"/>
            </w:pPr>
            <w:r>
              <w:t xml:space="preserve">Series C</w:t>
            </w:r>
          </w:p>
        </w:tc>
        <w:tc>
          <w:tcPr/>
          <w:p>
            <w:pPr>
              <w:pStyle w:val="Compact"/>
              <w:jc w:val="left"/>
            </w:pPr>
            <w:r>
              <w:t xml:space="preserve">7,800,000</w:t>
            </w:r>
          </w:p>
        </w:tc>
        <w:tc>
          <w:tcPr/>
          <w:p>
            <w:pPr>
              <w:pStyle w:val="Compact"/>
              <w:jc w:val="left"/>
            </w:pPr>
            <w:r>
              <w:t xml:space="preserve">7,800,000</w:t>
            </w:r>
          </w:p>
        </w:tc>
        <w:tc>
          <w:tcPr/>
          <w:p>
            <w:pPr>
              <w:pStyle w:val="Compact"/>
              <w:jc w:val="left"/>
            </w:pPr>
            <w:r>
              <w:t xml:space="preserve">$144,300,000 ($18.50/sh)</w:t>
            </w:r>
          </w:p>
        </w:tc>
      </w:tr>
      <w:tr>
        <w:tc>
          <w:tcPr/>
          <w:p>
            <w:pPr>
              <w:pStyle w:val="Compact"/>
              <w:jc w:val="left"/>
            </w:pPr>
            <w:r>
              <w:t xml:space="preserve">Various Common holders / option pool</w:t>
            </w:r>
          </w:p>
        </w:tc>
        <w:tc>
          <w:tcPr/>
          <w:p>
            <w:pPr>
              <w:pStyle w:val="Compact"/>
              <w:jc w:val="left"/>
            </w:pPr>
            <w:r>
              <w:t xml:space="preserve">Common / options / RSUs</w:t>
            </w:r>
          </w:p>
        </w:tc>
        <w:tc>
          <w:tcPr/>
          <w:p>
            <w:pPr>
              <w:pStyle w:val="Compact"/>
              <w:jc w:val="left"/>
            </w:pPr>
            <w:r>
              <w:t xml:space="preserve">10,100,000</w:t>
            </w:r>
          </w:p>
        </w:tc>
        <w:tc>
          <w:tcPr/>
          <w:p>
            <w:pPr>
              <w:pStyle w:val="Compact"/>
              <w:jc w:val="left"/>
            </w:pPr>
            <w:r>
              <w:t xml:space="preserve">10,100,000</w:t>
            </w:r>
          </w:p>
        </w:tc>
        <w:tc>
          <w:tcPr/>
          <w:p>
            <w:pPr>
              <w:pStyle w:val="Compact"/>
              <w:jc w:val="left"/>
            </w:pPr>
            <w:r>
              <w:t xml:space="preserve">—</w:t>
            </w:r>
          </w:p>
        </w:tc>
      </w:tr>
      <w:tr>
        <w:tc>
          <w:tcPr/>
          <w:p>
            <w:pPr>
              <w:pStyle w:val="Compact"/>
              <w:jc w:val="left"/>
            </w:pPr>
            <w:r>
              <w:rPr>
                <w:b/>
                <w:bCs/>
              </w:rPr>
              <w:t xml:space="preserve">Total (fully diluted)</w:t>
            </w:r>
          </w:p>
        </w:tc>
        <w:tc>
          <w:tcPr/>
          <w:p>
            <w:pPr>
              <w:pStyle w:val="Compact"/>
            </w:pPr>
          </w:p>
        </w:tc>
        <w:tc>
          <w:tcPr/>
          <w:p>
            <w:pPr>
              <w:pStyle w:val="Compact"/>
              <w:jc w:val="left"/>
            </w:pPr>
            <w:r>
              <w:rPr>
                <w:b/>
                <w:bCs/>
              </w:rPr>
              <w:t xml:space="preserve">33,900,000</w:t>
            </w:r>
          </w:p>
        </w:tc>
        <w:tc>
          <w:tcPr/>
          <w:p>
            <w:pPr>
              <w:pStyle w:val="Compact"/>
              <w:jc w:val="left"/>
            </w:pPr>
            <w:r>
              <w:rPr>
                <w:b/>
                <w:bCs/>
              </w:rPr>
              <w:t xml:space="preserve">33,900,000</w:t>
            </w:r>
          </w:p>
        </w:tc>
        <w:tc>
          <w:tcPr/>
          <w:p>
            <w:pPr>
              <w:pStyle w:val="Compact"/>
              <w:jc w:val="left"/>
            </w:pPr>
            <w:r>
              <w:rPr>
                <w:b/>
                <w:bCs/>
              </w:rPr>
              <w:t xml:space="preserve">$206,400,000</w:t>
            </w:r>
          </w:p>
        </w:tc>
      </w:tr>
    </w:tbl>
    <w:p>
      <w:pPr>
        <w:pStyle w:val="BodyText"/>
      </w:pPr>
      <w:r>
        <w:t xml:space="preserve">Two features of this table drive much of the analysis below.</w:t>
      </w:r>
      <w:r>
        <w:t xml:space="preserve"> </w:t>
      </w:r>
      <w:r>
        <w:rPr>
          <w:b/>
          <w:bCs/>
        </w:rPr>
        <w:t xml:space="preserve">First</w:t>
      </w:r>
      <w:r>
        <w:t xml:space="preserve">, each investor holds 100% of its respective series (Ridgeline all Series A; Northbridge all Series B; Stonemill all Series C).</w:t>
      </w:r>
      <w:r>
        <w:t xml:space="preserve"> </w:t>
      </w:r>
      <w:r>
        <w:rPr>
          <w:b/>
          <w:bCs/>
        </w:rPr>
        <w:t xml:space="preserve">Second</w:t>
      </w:r>
      <w:r>
        <w:t xml:space="preserve">, the Preferred is non-participating (Restated Certificate § 4.3.2(b)), so each holder elects between its liquidation preference and conversion to Common, and is deemed to elect whichever yields the greater return. At the Transaction price, Series C’s $18.50 preference exceeds the ~$13.95 blended as-converted value, so Series C will elect its preference — meaning Stonemill is economically protected at a $144.3 million floor and its leverage is</w:t>
      </w:r>
      <w:r>
        <w:t xml:space="preserve"> </w:t>
      </w:r>
      <w:r>
        <w:rPr>
          <w:b/>
          <w:bCs/>
        </w:rPr>
        <w:t xml:space="preserve">governance (consent rights), not economics</w:t>
      </w:r>
      <w:r>
        <w:t xml:space="preserve">. We develop this point in Section X (Area 7) and the waterfall discussion in Section XI (Area 8).</w:t>
      </w:r>
    </w:p>
    <w:p>
      <w:r>
        <w:pict>
          <v:rect style="width:0;height:1.5pt" o:hralign="center" o:hrstd="t" o:hr="t"/>
        </w:pict>
      </w:r>
    </w:p>
    <w:bookmarkEnd w:id="21"/>
    <w:bookmarkStart w:id="22" w:name="Xd15357f244735efa6aba1899a51c1118483d554"/>
    <w:p>
      <w:pPr>
        <w:pStyle w:val="Heading2"/>
      </w:pPr>
      <w:r>
        <w:t xml:space="preserve">III. Area 1 — Change-of-Control Consent Requirements</w:t>
      </w:r>
    </w:p>
    <w:p>
      <w:pPr>
        <w:pStyle w:val="FirstParagraph"/>
      </w:pPr>
      <w:r>
        <w:t xml:space="preserve">To consummate the reverse triangular merger, the following consents and approvals must be satisfied. We have built the consolidated matrix in Section XV; the narrative below explains each requirement and its current status.</w:t>
      </w:r>
    </w:p>
    <w:p>
      <w:pPr>
        <w:pStyle w:val="BodyText"/>
      </w:pPr>
      <w:r>
        <w:rPr>
          <w:b/>
          <w:bCs/>
        </w:rPr>
        <w:t xml:space="preserve">A. Board approval (DGCL § 251; Bylaws Art. III; Restated Certificate Art. V).</w:t>
      </w:r>
      <w:r>
        <w:t xml:space="preserve"> </w:t>
      </w:r>
      <w:r>
        <w:t xml:space="preserve">The Terravox Board must approve the definitive merger agreement. The September 25, 2024 minutes authorized management to</w:t>
      </w:r>
      <w:r>
        <w:t xml:space="preserve"> </w:t>
      </w:r>
      <w:r>
        <w:rPr>
          <w:i/>
          <w:iCs/>
        </w:rPr>
        <w:t xml:space="preserve">negotiate</w:t>
      </w:r>
      <w:r>
        <w:t xml:space="preserve"> </w:t>
      </w:r>
      <w:r>
        <w:t xml:space="preserve">definitive documentation (approved 6-1, Trask dissenting), but the Board has</w:t>
      </w:r>
      <w:r>
        <w:t xml:space="preserve"> </w:t>
      </w:r>
      <w:r>
        <w:rPr>
          <w:b/>
          <w:bCs/>
        </w:rPr>
        <w:t xml:space="preserve">not yet approved a signed merger agreement</w:t>
      </w:r>
      <w:r>
        <w:t xml:space="preserve">. Board approval of the executed agreement remains to be obtained. The Board’s quorum is a majority of directors then in office (Bylaws § 3.7) — four of seven — so the absence of any single director (e.g., Trask) does not disable the Board.</w:t>
      </w:r>
      <w:r>
        <w:t xml:space="preserve"> </w:t>
      </w:r>
      <w:r>
        <w:rPr>
          <w:i/>
          <w:iCs/>
        </w:rPr>
        <w:t xml:space="preserve">Status: Not yet obtained (pending definitive documentation).</w:t>
      </w:r>
    </w:p>
    <w:p>
      <w:pPr>
        <w:pStyle w:val="BodyText"/>
      </w:pPr>
      <w:r>
        <w:rPr>
          <w:b/>
          <w:bCs/>
        </w:rPr>
        <w:t xml:space="preserve">B. Stockholder approval — DGCL § 251(d).</w:t>
      </w:r>
      <w:r>
        <w:t xml:space="preserve"> </w:t>
      </w:r>
      <w:r>
        <w:t xml:space="preserve">Adoption of the merger agreement requires the affirmative vote of a majority of the outstanding shares of stock entitled to vote (Common and Preferred vote together as a single class on an as-converted basis per Restated Certificate § 4.2.1). The Bylaws (§ 2.6) and the Restated Certificate (§ 6.2) permit stockholder action by written consent in lieu of a meeting under DGCL § 228, which the Company’s counsel flagged as an efficient mechanism (Board Minutes, Sept. 25, 2024).</w:t>
      </w:r>
      <w:r>
        <w:t xml:space="preserve"> </w:t>
      </w:r>
      <w:r>
        <w:rPr>
          <w:i/>
          <w:iCs/>
        </w:rPr>
        <w:t xml:space="preserve">Status: Not yet obtained.</w:t>
      </w:r>
      <w:r>
        <w:t xml:space="preserve"> </w:t>
      </w:r>
      <w:r>
        <w:t xml:space="preserve">As analyzed in Section IV, this statutory vote is satisfiable without Stonemill (the Founders, Ridgeline, and Northbridge together hold 16,000,000 as-converted shares, a majority under any reasonable reading of the outstanding share count), and is comfortably satisfied if the drag-along compels Stonemill’s 7,800,000 shares.</w:t>
      </w:r>
    </w:p>
    <w:p>
      <w:pPr>
        <w:pStyle w:val="BodyText"/>
      </w:pPr>
      <w:r>
        <w:rPr>
          <w:b/>
          <w:bCs/>
        </w:rPr>
        <w:t xml:space="preserve">C. All-Preferred protective provision — Restated Certificate § 4.3.6(a)(vi).</w:t>
      </w:r>
      <w:r>
        <w:t xml:space="preserve"> </w:t>
      </w:r>
      <w:r>
        <w:t xml:space="preserve">So long as any Preferred is outstanding, the Company may not</w:t>
      </w:r>
      <w:r>
        <w:t xml:space="preserve"> </w:t>
      </w:r>
      <w:r>
        <w:t xml:space="preserve">“</w:t>
      </w:r>
      <w:r>
        <w:t xml:space="preserve">effect any Liquidation Event</w:t>
      </w:r>
      <w:r>
        <w:t xml:space="preserve">”</w:t>
      </w:r>
      <w:r>
        <w:t xml:space="preserve"> </w:t>
      </w:r>
      <w:r>
        <w:t xml:space="preserve">without the prior written consent or affirmative vote of holders of more than 50% of the then-outstanding Preferred, voting together as a single class on an as-converted basis. The charter fixes this threshold at more than 8,250,000 shares (based on 16,500,000 Preferred outstanding). The Transaction is a</w:t>
      </w:r>
      <w:r>
        <w:t xml:space="preserve"> </w:t>
      </w:r>
      <w:r>
        <w:t xml:space="preserve">“</w:t>
      </w:r>
      <w:r>
        <w:t xml:space="preserve">Liquidation Event</w:t>
      </w:r>
      <w:r>
        <w:t xml:space="preserve">”</w:t>
      </w:r>
      <w:r>
        <w:t xml:space="preserve"> </w:t>
      </w:r>
      <w:r>
        <w:t xml:space="preserve">under § 4.3.2(d)(i) (a merger in which pre-transaction holders retain less than 50% of the surviving entity’s voting power — here, 0%).</w:t>
      </w:r>
      <w:r>
        <w:t xml:space="preserve"> </w:t>
      </w:r>
      <w:r>
        <w:rPr>
          <w:i/>
          <w:iCs/>
        </w:rPr>
        <w:t xml:space="preserve">Status: Not yet obtained.</w:t>
      </w:r>
      <w:r>
        <w:t xml:space="preserve"> </w:t>
      </w:r>
      <w:r>
        <w:rPr>
          <w:b/>
          <w:bCs/>
        </w:rPr>
        <w:t xml:space="preserve">This vote can be satisfied without Stonemill</w:t>
      </w:r>
      <w:r>
        <w:t xml:space="preserve">: Ridgeline (3,500,000) plus Northbridge (5,200,000) equals 8,700,000, which exceeds 8,250,000 — but only by 450,000 shares. Both Ridgeline and Northbridge must vote in favor; the loss of either defeats this prong absent Stonemill.</w:t>
      </w:r>
    </w:p>
    <w:p>
      <w:pPr>
        <w:pStyle w:val="BodyText"/>
      </w:pPr>
      <w:r>
        <w:rPr>
          <w:b/>
          <w:bCs/>
        </w:rPr>
        <w:t xml:space="preserve">D. Series C separate-class protective provision — Restated Certificate § 4.3.6(b)(i).</w:t>
      </w:r>
      <w:r>
        <w:t xml:space="preserve"> </w:t>
      </w:r>
      <w:r>
        <w:t xml:space="preserve">So long as any Series C is outstanding, the Company may not effect any Liquidation Event without the separate-class consent of holders of at least 66⅔% of the outstanding Series C. The charter fixes this at 5,200,000 shares (of 7,800,000 outstanding).</w:t>
      </w:r>
      <w:r>
        <w:t xml:space="preserve"> </w:t>
      </w:r>
      <w:r>
        <w:rPr>
          <w:b/>
          <w:bCs/>
        </w:rPr>
        <w:t xml:space="preserve">Stonemill holds 7,800,000 of 7,800,000 Series C shares — 100% of the class.</w:t>
      </w:r>
      <w:r>
        <w:t xml:space="preserve"> </w:t>
      </w:r>
      <w:r>
        <w:t xml:space="preserve">The 5,200,000-share threshold therefore cannot be reached without Stonemill’s affirmative consent. Julian Trask confirmed this on the record at the September 25, 2024 meeting.</w:t>
      </w:r>
      <w:r>
        <w:t xml:space="preserve"> </w:t>
      </w:r>
      <w:r>
        <w:rPr>
          <w:i/>
          <w:iCs/>
        </w:rPr>
        <w:t xml:space="preserve">Status: Not yet obtained; cannot be obtained without Stonemill absent a successful drag-along override (see Section IV).</w:t>
      </w:r>
      <w:r>
        <w:t xml:space="preserve"> </w:t>
      </w:r>
      <w:r>
        <w:t xml:space="preserve">This is the</w:t>
      </w:r>
      <w:r>
        <w:t xml:space="preserve"> </w:t>
      </w:r>
      <w:r>
        <w:rPr>
          <w:b/>
          <w:bCs/>
        </w:rPr>
        <w:t xml:space="preserve">hard blocking right</w:t>
      </w:r>
      <w:r>
        <w:t xml:space="preserve">.</w:t>
      </w:r>
    </w:p>
    <w:p>
      <w:pPr>
        <w:pStyle w:val="BodyText"/>
      </w:pPr>
      <w:r>
        <w:rPr>
          <w:b/>
          <w:bCs/>
        </w:rPr>
        <w:t xml:space="preserve">E. Drag-along (SHA Article 3).</w:t>
      </w:r>
      <w:r>
        <w:t xml:space="preserve"> </w:t>
      </w:r>
      <w:r>
        <w:t xml:space="preserve">If the three-prong</w:t>
      </w:r>
      <w:r>
        <w:t xml:space="preserve"> </w:t>
      </w:r>
      <w:r>
        <w:t xml:space="preserve">“</w:t>
      </w:r>
      <w:r>
        <w:t xml:space="preserve">Drag-Along Approval</w:t>
      </w:r>
      <w:r>
        <w:t xml:space="preserve">”</w:t>
      </w:r>
      <w:r>
        <w:t xml:space="preserve"> </w:t>
      </w:r>
      <w:r>
        <w:t xml:space="preserve">is obtained, all party-stockholders — including Stonemill — are obligated to vote and consent in favor.</w:t>
      </w:r>
      <w:r>
        <w:t xml:space="preserve"> </w:t>
      </w:r>
      <w:r>
        <w:rPr>
          <w:i/>
          <w:iCs/>
        </w:rPr>
        <w:t xml:space="preserve">Status: Not yet triggered.</w:t>
      </w:r>
      <w:r>
        <w:t xml:space="preserve"> </w:t>
      </w:r>
      <w:r>
        <w:t xml:space="preserve">Analyzed in detail in Section IV.</w:t>
      </w:r>
    </w:p>
    <w:p>
      <w:pPr>
        <w:pStyle w:val="BodyText"/>
      </w:pPr>
      <w:r>
        <w:rPr>
          <w:b/>
          <w:bCs/>
        </w:rPr>
        <w:t xml:space="preserve">F. Charter/Bylaws amendment (if any).</w:t>
      </w:r>
      <w:r>
        <w:t xml:space="preserve"> </w:t>
      </w:r>
      <w:r>
        <w:t xml:space="preserve">A reverse triangular merger under § 251 does not, by itself, require a target charter amendment. If the merger agreement or closing mechanics require any charter amendment, Restated Certificate § 8.1 would require Board approval, a majority of outstanding stock, the all-Preferred consent under § 4.3.6(a)(i), and — if the amendment adversely and disproportionately affects Series C — the 66⅔% Series C consent under § 4.3.6(b)(ii). A Bylaws amendment by stockholders requires 66⅔% of voting power (Bylaws § 9.2). We do not currently anticipate a charter amendment, but the merger agreement should be reviewed to confirm none is structurally required.</w:t>
      </w:r>
    </w:p>
    <w:p>
      <w:pPr>
        <w:pStyle w:val="BodyText"/>
      </w:pPr>
      <w:r>
        <w:rPr>
          <w:b/>
          <w:bCs/>
        </w:rPr>
        <w:t xml:space="preserve">G. Third-party and contractual consents.</w:t>
      </w:r>
      <w:r>
        <w:t xml:space="preserve"> </w:t>
      </w:r>
      <w:r>
        <w:t xml:space="preserve">(i)</w:t>
      </w:r>
      <w:r>
        <w:t xml:space="preserve"> </w:t>
      </w:r>
      <w:r>
        <w:rPr>
          <w:b/>
          <w:bCs/>
        </w:rPr>
        <w:t xml:space="preserve">Clearfield term loan</w:t>
      </w:r>
      <w:r>
        <w:t xml:space="preserve">: the loan agreement almost certainly contains change-of-control covenants; lender consent or payoff at closing is likely required. The loan agreement has not been produced. (ii)</w:t>
      </w:r>
      <w:r>
        <w:t xml:space="preserve"> </w:t>
      </w:r>
      <w:r>
        <w:rPr>
          <w:b/>
          <w:bCs/>
        </w:rPr>
        <w:t xml:space="preserve">SensorLink LOI</w:t>
      </w:r>
      <w:r>
        <w:t xml:space="preserve">: a live exclusivity obligation could impede signing — see Section XI (Area 8(c)). (iii)</w:t>
      </w:r>
      <w:r>
        <w:t xml:space="preserve"> </w:t>
      </w:r>
      <w:r>
        <w:rPr>
          <w:b/>
          <w:bCs/>
        </w:rPr>
        <w:t xml:space="preserve">HSR</w:t>
      </w:r>
      <w:r>
        <w:t xml:space="preserve">: at $485 million, the Transaction exceeds the 2024 HSR notification threshold and an HSR filing will be required; this is a timing, not governance, item but should be on the critical path.</w:t>
      </w:r>
    </w:p>
    <w:p>
      <w:pPr>
        <w:pStyle w:val="BodyText"/>
      </w:pPr>
      <w:r>
        <w:rPr>
          <w:b/>
          <w:bCs/>
        </w:rPr>
        <w:t xml:space="preserve">H. Voting Agreement and RRA.</w:t>
      </w:r>
      <w:r>
        <w:t xml:space="preserve"> </w:t>
      </w:r>
      <w:r>
        <w:t xml:space="preserve">The Voting Agreement imposes</w:t>
      </w:r>
      <w:r>
        <w:t xml:space="preserve"> </w:t>
      </w:r>
      <w:r>
        <w:rPr>
          <w:b/>
          <w:bCs/>
        </w:rPr>
        <w:t xml:space="preserve">no</w:t>
      </w:r>
      <w:r>
        <w:t xml:space="preserve"> </w:t>
      </w:r>
      <w:r>
        <w:t xml:space="preserve">obligation to vote in favor of a merger (VA § 3.2 expressly disclaims any such obligation beyond board-composition matters), so it adds no consent requirement for the Transaction itself; it terminates on a Sale of the Company (VA § 7.1(b)). The RRA terminates on a</w:t>
      </w:r>
      <w:r>
        <w:t xml:space="preserve"> </w:t>
      </w:r>
      <w:r>
        <w:t xml:space="preserve">“</w:t>
      </w:r>
      <w:r>
        <w:t xml:space="preserve">Deemed Liquidation Event</w:t>
      </w:r>
      <w:r>
        <w:t xml:space="preserve">”</w:t>
      </w:r>
      <w:r>
        <w:t xml:space="preserve"> </w:t>
      </w:r>
      <w:r>
        <w:t xml:space="preserve">(RRA § 9(c)) — a term it does not define (see Section IX, Area 6).</w:t>
      </w:r>
    </w:p>
    <w:p>
      <w:pPr>
        <w:pStyle w:val="BodyText"/>
      </w:pPr>
      <w:r>
        <w:rPr>
          <w:b/>
          <w:bCs/>
        </w:rPr>
        <w:t xml:space="preserve">Bottom line for Area 1.</w:t>
      </w:r>
      <w:r>
        <w:t xml:space="preserve"> </w:t>
      </w:r>
      <w:r>
        <w:t xml:space="preserve">The consents divide into three groups: (1) those satisfiable without Stonemill (Board, DGCL § 251 stockholder vote, all-Preferred vote — the last only if both Ridgeline and Northbridge cooperate); (2) the</w:t>
      </w:r>
      <w:r>
        <w:t xml:space="preserve"> </w:t>
      </w:r>
      <w:r>
        <w:rPr>
          <w:b/>
          <w:bCs/>
        </w:rPr>
        <w:t xml:space="preserve">Series C separate-class vote, which is a hard block without Stonemill</w:t>
      </w:r>
      <w:r>
        <w:t xml:space="preserve">; and (3) the drag-along, which is the only mechanism that purports to bridge the gap. The entire deal turns on the Series C class vote and the drag-along’s ability to satisfy it.</w:t>
      </w:r>
    </w:p>
    <w:p>
      <w:r>
        <w:pict>
          <v:rect style="width:0;height:1.5pt" o:hralign="center" o:hrstd="t" o:hr="t"/>
        </w:pict>
      </w:r>
    </w:p>
    <w:bookmarkEnd w:id="22"/>
    <w:bookmarkStart w:id="23" w:name="iv.-area-2-drag-along-analysis"/>
    <w:p>
      <w:pPr>
        <w:pStyle w:val="Heading2"/>
      </w:pPr>
      <w:r>
        <w:t xml:space="preserve">IV. Area 2 — Drag-Along Analysis</w:t>
      </w:r>
    </w:p>
    <w:p>
      <w:pPr>
        <w:pStyle w:val="FirstParagraph"/>
      </w:pPr>
      <w:r>
        <w:t xml:space="preserve">This is the analytical centerpiece. We address (A) whether the drag-along can be triggered without Stonemill, (B) whether, once triggered, it can override the charter-level Series C protective provision, and (C) the practical and litigation implications.</w:t>
      </w:r>
    </w:p>
    <w:p>
      <w:pPr>
        <w:pStyle w:val="BodyText"/>
      </w:pPr>
      <w:r>
        <w:rPr>
          <w:b/>
          <w:bCs/>
        </w:rPr>
        <w:t xml:space="preserve">A. The three-prong trigger — can it be satisfied without Stonemill?</w:t>
      </w:r>
    </w:p>
    <w:p>
      <w:pPr>
        <w:pStyle w:val="BodyText"/>
      </w:pPr>
      <w:r>
        <w:t xml:space="preserve">The drag-along is triggered by a</w:t>
      </w:r>
      <w:r>
        <w:t xml:space="preserve"> </w:t>
      </w:r>
      <w:r>
        <w:t xml:space="preserve">“</w:t>
      </w:r>
      <w:r>
        <w:t xml:space="preserve">Drag-Along Approval,</w:t>
      </w:r>
      <w:r>
        <w:t xml:space="preserve">”</w:t>
      </w:r>
      <w:r>
        <w:t xml:space="preserve"> </w:t>
      </w:r>
      <w:r>
        <w:t xml:space="preserve">which requires the satisfaction of</w:t>
      </w:r>
      <w:r>
        <w:t xml:space="preserve"> </w:t>
      </w:r>
      <w:r>
        <w:rPr>
          <w:b/>
          <w:bCs/>
        </w:rPr>
        <w:t xml:space="preserve">all three</w:t>
      </w:r>
      <w:r>
        <w:t xml:space="preserve"> </w:t>
      </w:r>
      <w:r>
        <w:t xml:space="preserve">of the following (SHA § 3.1(a)):</w:t>
      </w:r>
    </w:p>
    <w:p>
      <w:pPr>
        <w:pStyle w:val="Compact"/>
        <w:numPr>
          <w:ilvl w:val="0"/>
          <w:numId w:val="1002"/>
        </w:numPr>
      </w:pPr>
      <w:r>
        <w:rPr>
          <w:b/>
          <w:bCs/>
        </w:rPr>
        <w:t xml:space="preserve">Prong (i):</w:t>
      </w:r>
      <w:r>
        <w:t xml:space="preserve"> </w:t>
      </w:r>
      <w:r>
        <w:t xml:space="preserve">holders of at least a majority of the outstanding shares of Common Stock, calculated on an as-converted basis (treating Preferred as converted);</w:t>
      </w:r>
    </w:p>
    <w:p>
      <w:pPr>
        <w:pStyle w:val="Compact"/>
        <w:numPr>
          <w:ilvl w:val="0"/>
          <w:numId w:val="1002"/>
        </w:numPr>
      </w:pPr>
      <w:r>
        <w:rPr>
          <w:b/>
          <w:bCs/>
        </w:rPr>
        <w:t xml:space="preserve">Prong (ii):</w:t>
      </w:r>
      <w:r>
        <w:t xml:space="preserve"> </w:t>
      </w:r>
      <w:r>
        <w:t xml:space="preserve">holders of at least a majority of the outstanding Preferred Stock, as-converted, voting as a single class; and</w:t>
      </w:r>
    </w:p>
    <w:p>
      <w:pPr>
        <w:pStyle w:val="Compact"/>
        <w:numPr>
          <w:ilvl w:val="0"/>
          <w:numId w:val="1002"/>
        </w:numPr>
      </w:pPr>
      <w:r>
        <w:rPr>
          <w:b/>
          <w:bCs/>
        </w:rPr>
        <w:t xml:space="preserve">Prong (iii):</w:t>
      </w:r>
      <w:r>
        <w:t xml:space="preserve"> </w:t>
      </w:r>
      <w:r>
        <w:t xml:space="preserve">at least two of the three Investor Stockholders.</w:t>
      </w:r>
    </w:p>
    <w:p>
      <w:pPr>
        <w:pStyle w:val="FirstParagraph"/>
      </w:pPr>
      <w:r>
        <w:t xml:space="preserve">Running the numbers without Stonemill: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Prong</w:t>
            </w:r>
          </w:p>
        </w:tc>
        <w:tc>
          <w:tcPr/>
          <w:p>
            <w:pPr>
              <w:pStyle w:val="Compact"/>
              <w:jc w:val="left"/>
            </w:pPr>
            <w:r>
              <w:t xml:space="preserve">Threshold</w:t>
            </w:r>
          </w:p>
        </w:tc>
        <w:tc>
          <w:tcPr/>
          <w:p>
            <w:pPr>
              <w:pStyle w:val="Compact"/>
              <w:jc w:val="left"/>
            </w:pPr>
            <w:r>
              <w:t xml:space="preserve">Votes available without Stonemill</w:t>
            </w:r>
          </w:p>
        </w:tc>
        <w:tc>
          <w:tcPr/>
          <w:p>
            <w:pPr>
              <w:pStyle w:val="Compact"/>
              <w:jc w:val="left"/>
            </w:pPr>
            <w:r>
              <w:t xml:space="preserve">Result</w:t>
            </w:r>
          </w:p>
        </w:tc>
      </w:tr>
      <w:tr>
        <w:tc>
          <w:tcPr/>
          <w:p>
            <w:pPr>
              <w:pStyle w:val="Compact"/>
              <w:jc w:val="left"/>
            </w:pPr>
            <w:r>
              <w:t xml:space="preserve">(i) Majority of Common (as-converted)</w:t>
            </w:r>
          </w:p>
        </w:tc>
        <w:tc>
          <w:tcPr/>
          <w:p>
            <w:pPr>
              <w:pStyle w:val="Compact"/>
              <w:jc w:val="left"/>
            </w:pPr>
            <w:r>
              <w:t xml:space="preserve">&gt; 50% of (outstanding Common + Preferred-as-converted)</w:t>
            </w:r>
          </w:p>
        </w:tc>
        <w:tc>
          <w:tcPr/>
          <w:p>
            <w:pPr>
              <w:pStyle w:val="Compact"/>
              <w:jc w:val="left"/>
            </w:pPr>
            <w:r>
              <w:t xml:space="preserve">Founders 7,300,000 + Ridgeline 3,500,000 + Northbridge 5,200,000 = 16,000,000</w:t>
            </w:r>
          </w:p>
        </w:tc>
        <w:tc>
          <w:tcPr/>
          <w:p>
            <w:pPr>
              <w:pStyle w:val="Compact"/>
              <w:jc w:val="left"/>
            </w:pPr>
            <w:r>
              <w:rPr>
                <w:b/>
                <w:bCs/>
              </w:rPr>
              <w:t xml:space="preserve">Satisfiable</w:t>
            </w:r>
            <w:r>
              <w:t xml:space="preserve"> </w:t>
            </w:r>
            <w:r>
              <w:t xml:space="preserve">(see note)</w:t>
            </w:r>
          </w:p>
        </w:tc>
      </w:tr>
      <w:tr>
        <w:tc>
          <w:tcPr/>
          <w:p>
            <w:pPr>
              <w:pStyle w:val="Compact"/>
              <w:jc w:val="left"/>
            </w:pPr>
            <w:r>
              <w:t xml:space="preserve">(ii) Majority of Preferred (as-converted, single class)</w:t>
            </w:r>
          </w:p>
        </w:tc>
        <w:tc>
          <w:tcPr/>
          <w:p>
            <w:pPr>
              <w:pStyle w:val="Compact"/>
              <w:jc w:val="left"/>
            </w:pPr>
            <w:r>
              <w:t xml:space="preserve">&gt; 8,250,000 of 16,500,000</w:t>
            </w:r>
          </w:p>
        </w:tc>
        <w:tc>
          <w:tcPr/>
          <w:p>
            <w:pPr>
              <w:pStyle w:val="Compact"/>
              <w:jc w:val="left"/>
            </w:pPr>
            <w:r>
              <w:t xml:space="preserve">Ridgeline 3,500,000 + Northbridge 5,200,000 = 8,700,000</w:t>
            </w:r>
          </w:p>
        </w:tc>
        <w:tc>
          <w:tcPr/>
          <w:p>
            <w:pPr>
              <w:pStyle w:val="Compact"/>
              <w:jc w:val="left"/>
            </w:pPr>
            <w:r>
              <w:rPr>
                <w:b/>
                <w:bCs/>
              </w:rPr>
              <w:t xml:space="preserve">Satisfiable</w:t>
            </w:r>
            <w:r>
              <w:t xml:space="preserve"> </w:t>
            </w:r>
            <w:r>
              <w:t xml:space="preserve">(margin 450,000)</w:t>
            </w:r>
          </w:p>
        </w:tc>
      </w:tr>
      <w:tr>
        <w:tc>
          <w:tcPr/>
          <w:p>
            <w:pPr>
              <w:pStyle w:val="Compact"/>
              <w:jc w:val="left"/>
            </w:pPr>
            <w:r>
              <w:t xml:space="preserve">(iii) 2 of 3 Investor Stockholders</w:t>
            </w:r>
          </w:p>
        </w:tc>
        <w:tc>
          <w:tcPr/>
          <w:p>
            <w:pPr>
              <w:pStyle w:val="Compact"/>
              <w:jc w:val="left"/>
            </w:pPr>
            <w:r>
              <w:t xml:space="preserve">2 of {Ridgeline, Northbridge, Stonemill}</w:t>
            </w:r>
          </w:p>
        </w:tc>
        <w:tc>
          <w:tcPr/>
          <w:p>
            <w:pPr>
              <w:pStyle w:val="Compact"/>
              <w:jc w:val="left"/>
            </w:pPr>
            <w:r>
              <w:t xml:space="preserve">Ridgeline + Northbridge = 2 of 3</w:t>
            </w:r>
          </w:p>
        </w:tc>
        <w:tc>
          <w:tcPr/>
          <w:p>
            <w:pPr>
              <w:pStyle w:val="Compact"/>
              <w:jc w:val="left"/>
            </w:pPr>
            <w:r>
              <w:rPr>
                <w:b/>
                <w:bCs/>
              </w:rPr>
              <w:t xml:space="preserve">Satisfiable</w:t>
            </w:r>
          </w:p>
        </w:tc>
      </w:tr>
    </w:tbl>
    <w:p>
      <w:pPr>
        <w:pStyle w:val="BodyText"/>
      </w:pPr>
      <w:r>
        <w:rPr>
          <w:b/>
          <w:bCs/>
        </w:rPr>
        <w:t xml:space="preserve">Prong (i) — denominator note (Moderate severity).</w:t>
      </w:r>
      <w:r>
        <w:t xml:space="preserve"> </w:t>
      </w:r>
      <w:r>
        <w:t xml:space="preserve">The phrase</w:t>
      </w:r>
      <w:r>
        <w:t xml:space="preserve"> </w:t>
      </w:r>
      <w:r>
        <w:t xml:space="preserve">“</w:t>
      </w:r>
      <w:r>
        <w:t xml:space="preserve">outstanding shares of Common Stock (calculated on an as-converted to Common Stock basis, treating each share of Preferred Stock as having been converted)</w:t>
      </w:r>
      <w:r>
        <w:t xml:space="preserve">”</w:t>
      </w:r>
      <w:r>
        <w:t xml:space="preserve"> </w:t>
      </w:r>
      <w:r>
        <w:t xml:space="preserve">most naturally reads to include outstanding Common plus Preferred-as-converted, while</w:t>
      </w:r>
      <w:r>
        <w:t xml:space="preserve"> </w:t>
      </w:r>
      <w:r>
        <w:rPr>
          <w:b/>
          <w:bCs/>
        </w:rPr>
        <w:t xml:space="preserve">excluding unexercised options and unsettled RSUs</w:t>
      </w:r>
      <w:r>
        <w:t xml:space="preserve"> </w:t>
      </w:r>
      <w:r>
        <w:t xml:space="preserve">(which are not yet</w:t>
      </w:r>
      <w:r>
        <w:t xml:space="preserve"> </w:t>
      </w:r>
      <w:r>
        <w:t xml:space="preserve">“</w:t>
      </w:r>
      <w:r>
        <w:t xml:space="preserve">outstanding shares</w:t>
      </w:r>
      <w:r>
        <w:t xml:space="preserve">”</w:t>
      </w:r>
      <w:r>
        <w:t xml:space="preserve">). On that reading, the denominator is approximately 23,800,000 (Founders’ 7,300,000 + Preferred-as-converted 16,500,000) plus whatever portion of the 10,100,000</w:t>
      </w:r>
      <w:r>
        <w:t xml:space="preserve"> </w:t>
      </w:r>
      <w:r>
        <w:t xml:space="preserve">“</w:t>
      </w:r>
      <w:r>
        <w:t xml:space="preserve">various/option pool</w:t>
      </w:r>
      <w:r>
        <w:t xml:space="preserve">”</w:t>
      </w:r>
      <w:r>
        <w:t xml:space="preserve"> </w:t>
      </w:r>
      <w:r>
        <w:t xml:space="preserve">consists of</w:t>
      </w:r>
      <w:r>
        <w:t xml:space="preserve"> </w:t>
      </w:r>
      <w:r>
        <w:rPr>
          <w:i/>
          <w:iCs/>
        </w:rPr>
        <w:t xml:space="preserve">issued and outstanding</w:t>
      </w:r>
      <w:r>
        <w:t xml:space="preserve"> </w:t>
      </w:r>
      <w:r>
        <w:t xml:space="preserve">Common (as opposed to unexercised awards). Even at the high end of that range, the majority threshold is well below the 16,000,000 as-converted votes held by the Founders, Ridgeline, and Northbridge.</w:t>
      </w:r>
      <w:r>
        <w:t xml:space="preserve"> </w:t>
      </w:r>
      <w:r>
        <w:rPr>
          <w:b/>
          <w:bCs/>
        </w:rPr>
        <w:t xml:space="preserve">Under the natural reading, prong (i) is satisfied without Stonemill.</w:t>
      </w:r>
      <w:r>
        <w:t xml:space="preserve"> </w:t>
      </w:r>
      <w:r>
        <w:t xml:space="preserve">If, however, a court were to read the denominator as fully diluted (33,900,000, including all unexercised options/RSUs), the threshold would be ~16,950,000 and the 16,000,000 held by Founders + Ridgeline + Northbridge would fall short by ~950,000 — requiring additional Common-holder support. We flag this ambiguity and recommend confirming the precise outstanding share count and the treatment of unexercised awards with Company counsel.</w:t>
      </w:r>
    </w:p>
    <w:p>
      <w:pPr>
        <w:pStyle w:val="BodyText"/>
      </w:pPr>
      <w:r>
        <w:rPr>
          <w:b/>
          <w:bCs/>
        </w:rPr>
        <w:t xml:space="preserve">Prongs (ii) and (iii) are tight but satisfiable.</w:t>
      </w:r>
      <w:r>
        <w:t xml:space="preserve"> </w:t>
      </w:r>
      <w:r>
        <w:t xml:space="preserve">Prong (ii) requires both Ridgeline and Northbridge to vote in favor (8,700,000 vs. 8,250,000); the loss of either defeats it without Stonemill. Prong (iii) likewise requires both.</w:t>
      </w:r>
      <w:r>
        <w:t xml:space="preserve"> </w:t>
      </w:r>
      <w:r>
        <w:rPr>
          <w:b/>
          <w:bCs/>
        </w:rPr>
        <w:t xml:space="preserve">Ridgeline and Northbridge are the swing votes.</w:t>
      </w:r>
      <w:r>
        <w:t xml:space="preserve"> </w:t>
      </w:r>
      <w:r>
        <w:t xml:space="preserve">Securing their written consents is a prerequisite to any drag-along strategy.</w:t>
      </w:r>
    </w:p>
    <w:p>
      <w:pPr>
        <w:pStyle w:val="BodyText"/>
      </w:pPr>
      <w:r>
        <w:rPr>
          <w:b/>
          <w:bCs/>
        </w:rPr>
        <w:t xml:space="preserve">Conclusion (A): The drag-along can be triggered without Stonemill</w:t>
      </w:r>
      <w:r>
        <w:t xml:space="preserve">, provided the Founders, Ridgeline, and Northbridge all support the Transaction (and subject to the prong (i) denominator clarification). This is a significant strategic fact: it means the drag-along machinery can be activated over Stonemill’s objection.</w:t>
      </w:r>
    </w:p>
    <w:p>
      <w:pPr>
        <w:pStyle w:val="BodyText"/>
      </w:pPr>
      <w:r>
        <w:rPr>
          <w:b/>
          <w:bCs/>
        </w:rPr>
        <w:t xml:space="preserve">B. Can the drag-along override the charter Series C protective provision?</w:t>
      </w:r>
    </w:p>
    <w:p>
      <w:pPr>
        <w:pStyle w:val="BodyText"/>
      </w:pPr>
      <w:r>
        <w:t xml:space="preserve">This is the key legal question you flagged. Once a Drag-Along Approval is obtained, SHA § 3.1(a)(A) requires each party-stockholder (including any that voted against) to:</w:t>
      </w:r>
    </w:p>
    <w:p>
      <w:pPr>
        <w:pStyle w:val="BlockText"/>
      </w:pPr>
      <w:r>
        <w:t xml:space="preserve">“</w:t>
      </w:r>
      <w:r>
        <w:t xml:space="preserve">vote (in person, by proxy, or by written consent) all Shares held by such Restricted Stockholder in favor of such Sale of the Company and in favor of any other matter required to be approved in connection with such Sale of the Company.</w:t>
      </w:r>
      <w:r>
        <w:t xml:space="preserve">”</w:t>
      </w:r>
    </w:p>
    <w:p>
      <w:pPr>
        <w:pStyle w:val="FirstParagraph"/>
      </w:pPr>
      <w:r>
        <w:t xml:space="preserve">Section 3.3 additionally grants the holders constituting the Drag-Along Approval an</w:t>
      </w:r>
      <w:r>
        <w:t xml:space="preserve"> </w:t>
      </w:r>
      <w:r>
        <w:rPr>
          <w:b/>
          <w:bCs/>
        </w:rPr>
        <w:t xml:space="preserve">irrevocable proxy</w:t>
      </w:r>
      <w:r>
        <w:t xml:space="preserve"> </w:t>
      </w:r>
      <w:r>
        <w:t xml:space="preserve">(coupled with an interest) to vote each party-stockholder’s shares in favor of the Sale and</w:t>
      </w:r>
      <w:r>
        <w:t xml:space="preserve"> </w:t>
      </w:r>
      <w:r>
        <w:t xml:space="preserve">“</w:t>
      </w:r>
      <w:r>
        <w:t xml:space="preserve">any matter required to be approved in connection with such Sale.</w:t>
      </w:r>
      <w:r>
        <w:t xml:space="preserve">”</w:t>
      </w:r>
      <w:r>
        <w:t xml:space="preserve"> </w:t>
      </w:r>
      <w:r>
        <w:t xml:space="preserve">Stonemill is a party to the SHA and therefore a</w:t>
      </w:r>
      <w:r>
        <w:t xml:space="preserve"> </w:t>
      </w:r>
      <w:r>
        <w:t xml:space="preserve">“</w:t>
      </w:r>
      <w:r>
        <w:t xml:space="preserve">Restricted Stockholder</w:t>
      </w:r>
      <w:r>
        <w:t xml:space="preserve">”</w:t>
      </w:r>
      <w:r>
        <w:t xml:space="preserve"> </w:t>
      </w:r>
      <w:r>
        <w:t xml:space="preserve">bound by these provisions.</w:t>
      </w:r>
    </w:p>
    <w:p>
      <w:pPr>
        <w:pStyle w:val="BodyText"/>
      </w:pPr>
      <w:r>
        <w:rPr>
          <w:b/>
          <w:bCs/>
        </w:rPr>
        <w:t xml:space="preserve">Arguments that the drag-along can compel Stonemill’s Series C consent (and thus satisfy § 4.3.6(b)):</w:t>
      </w:r>
    </w:p>
    <w:p>
      <w:pPr>
        <w:pStyle w:val="Compact"/>
        <w:numPr>
          <w:ilvl w:val="0"/>
          <w:numId w:val="1003"/>
        </w:numPr>
      </w:pPr>
      <w:r>
        <w:rPr>
          <w:b/>
          <w:bCs/>
        </w:rPr>
        <w:t xml:space="preserve">DGCL § 218(c).</w:t>
      </w:r>
      <w:r>
        <w:t xml:space="preserve"> </w:t>
      </w:r>
      <w:r>
        <w:t xml:space="preserve">Voting agreements among stockholders — agreements to vote their shares in a specified way — are expressly authorized and specifically enforceable under § 218(c). The drag-along is, in substance, a voting agreement. Stonemill agreed, as a contracting party, to vote in favor of a Drag-Along-Approved Sale.</w:t>
      </w:r>
    </w:p>
    <w:p>
      <w:pPr>
        <w:pStyle w:val="Compact"/>
        <w:numPr>
          <w:ilvl w:val="0"/>
          <w:numId w:val="1003"/>
        </w:numPr>
      </w:pPr>
      <w:r>
        <w:rPr>
          <w:b/>
          <w:bCs/>
        </w:rPr>
        <w:t xml:space="preserve">Express</w:t>
      </w:r>
      <w:r>
        <w:rPr>
          <w:b/>
          <w:bCs/>
        </w:rPr>
        <w:t xml:space="preserve"> </w:t>
      </w:r>
      <w:r>
        <w:rPr>
          <w:b/>
          <w:bCs/>
        </w:rPr>
        <w:t xml:space="preserve">“</w:t>
      </w:r>
      <w:r>
        <w:rPr>
          <w:b/>
          <w:bCs/>
        </w:rPr>
        <w:t xml:space="preserve">written consent</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any other matter</w:t>
      </w:r>
      <w:r>
        <w:rPr>
          <w:b/>
          <w:bCs/>
        </w:rPr>
        <w:t xml:space="preserve">”</w:t>
      </w:r>
      <w:r>
        <w:rPr>
          <w:b/>
          <w:bCs/>
        </w:rPr>
        <w:t xml:space="preserve"> </w:t>
      </w:r>
      <w:r>
        <w:rPr>
          <w:b/>
          <w:bCs/>
        </w:rPr>
        <w:t xml:space="preserve">language.</w:t>
      </w:r>
      <w:r>
        <w:t xml:space="preserve"> </w:t>
      </w:r>
      <w:r>
        <w:t xml:space="preserve">§ 3.1(a)(A) obligates Stonemill to vote</w:t>
      </w:r>
      <w:r>
        <w:t xml:space="preserve"> </w:t>
      </w:r>
      <w:r>
        <w:t xml:space="preserve">“</w:t>
      </w:r>
      <w:r>
        <w:t xml:space="preserve">by written consent</w:t>
      </w:r>
      <w:r>
        <w:t xml:space="preserve">”</w:t>
      </w:r>
      <w:r>
        <w:t xml:space="preserve"> </w:t>
      </w:r>
      <w:r>
        <w:t xml:space="preserve">and to support</w:t>
      </w:r>
      <w:r>
        <w:t xml:space="preserve"> </w:t>
      </w:r>
      <w:r>
        <w:t xml:space="preserve">“</w:t>
      </w:r>
      <w:r>
        <w:t xml:space="preserve">any other matter required to be approved in connection with such Sale.</w:t>
      </w:r>
      <w:r>
        <w:t xml:space="preserve">”</w:t>
      </w:r>
      <w:r>
        <w:t xml:space="preserve"> </w:t>
      </w:r>
      <w:r>
        <w:t xml:space="preserve">The Series C separate-class consent under § 4.3.6(b)(i) is, by its terms,</w:t>
      </w:r>
      <w:r>
        <w:t xml:space="preserve"> </w:t>
      </w:r>
      <w:r>
        <w:t xml:space="preserve">“</w:t>
      </w:r>
      <w:r>
        <w:t xml:space="preserve">a matter required to be approved in connection with</w:t>
      </w:r>
      <w:r>
        <w:t xml:space="preserve">”</w:t>
      </w:r>
      <w:r>
        <w:t xml:space="preserve"> </w:t>
      </w:r>
      <w:r>
        <w:t xml:space="preserve">the Sale. The drag-along thus expressly reaches the class-consent mechanism, not merely a generic stockholder vote.</w:t>
      </w:r>
    </w:p>
    <w:p>
      <w:pPr>
        <w:pStyle w:val="Compact"/>
        <w:numPr>
          <w:ilvl w:val="0"/>
          <w:numId w:val="1003"/>
        </w:numPr>
      </w:pPr>
      <w:r>
        <w:rPr>
          <w:b/>
          <w:bCs/>
        </w:rPr>
        <w:t xml:space="preserve">Irrevocable proxy / self-help.</w:t>
      </w:r>
      <w:r>
        <w:t xml:space="preserve"> </w:t>
      </w:r>
      <w:r>
        <w:t xml:space="preserve">§ 3.3 gives the Drag-Along Approval holders an irrevocable proxy to vote Stonemill’s shares, providing an enforcement mechanism that does not depend on Stonemill’s cooperation.</w:t>
      </w:r>
    </w:p>
    <w:p>
      <w:pPr>
        <w:pStyle w:val="Compact"/>
        <w:numPr>
          <w:ilvl w:val="0"/>
          <w:numId w:val="1003"/>
        </w:numPr>
      </w:pPr>
      <w:r>
        <w:rPr>
          <w:b/>
          <w:bCs/>
        </w:rPr>
        <w:t xml:space="preserve">Stonemill’s own undertaking.</w:t>
      </w:r>
      <w:r>
        <w:t xml:space="preserve"> </w:t>
      </w:r>
      <w:r>
        <w:t xml:space="preserve">The protective provision is a right granted</w:t>
      </w:r>
      <w:r>
        <w:t xml:space="preserve"> </w:t>
      </w:r>
      <w:r>
        <w:rPr>
          <w:i/>
          <w:iCs/>
        </w:rPr>
        <w:t xml:space="preserve">to</w:t>
      </w:r>
      <w:r>
        <w:t xml:space="preserve"> </w:t>
      </w:r>
      <w:r>
        <w:t xml:space="preserve">Stonemill; a holder may waive its own protective provision, and Stonemill contractually agreed (in the SHA it signed) to do so in the context of a Drag-Along-Approved Sale. It is not a third party seeking to strip Stonemill’s rights — Stonemill itself bargained for this obligation.</w:t>
      </w:r>
    </w:p>
    <w:p>
      <w:pPr>
        <w:pStyle w:val="Compact"/>
        <w:numPr>
          <w:ilvl w:val="0"/>
          <w:numId w:val="1003"/>
        </w:numPr>
      </w:pPr>
      <w:r>
        <w:rPr>
          <w:b/>
          <w:bCs/>
        </w:rPr>
        <w:t xml:space="preserve">Economic fairness supports enforcement.</w:t>
      </w:r>
      <w:r>
        <w:t xml:space="preserve"> </w:t>
      </w:r>
      <w:r>
        <w:t xml:space="preserve">SHA § 3.2(a) requires consideration to be distributed per the charter’s liquidation waterfall, so Stonemill receives its full $18.50 per-share preference ($144.3 million). The drag-along is not being used to deprive Stonemill of value, which undercuts any argument that enforcement would be inequitable.</w:t>
      </w:r>
    </w:p>
    <w:p>
      <w:pPr>
        <w:pStyle w:val="FirstParagraph"/>
      </w:pPr>
      <w:r>
        <w:rPr>
          <w:b/>
          <w:bCs/>
        </w:rPr>
        <w:t xml:space="preserve">Arguments that the drag-along cannot override the protective provision (Stonemill’s likely position):</w:t>
      </w:r>
    </w:p>
    <w:p>
      <w:pPr>
        <w:pStyle w:val="Compact"/>
        <w:numPr>
          <w:ilvl w:val="0"/>
          <w:numId w:val="1004"/>
        </w:numPr>
      </w:pPr>
      <w:r>
        <w:rPr>
          <w:b/>
          <w:bCs/>
        </w:rPr>
        <w:t xml:space="preserve">Charter paramountcy.</w:t>
      </w:r>
      <w:r>
        <w:t xml:space="preserve"> </w:t>
      </w:r>
      <w:r>
        <w:t xml:space="preserve">The Voting Agreement itself provides that, on conflict,</w:t>
      </w:r>
      <w:r>
        <w:t xml:space="preserve"> </w:t>
      </w:r>
      <w:r>
        <w:t xml:space="preserve">“</w:t>
      </w:r>
      <w:r>
        <w:t xml:space="preserve">the terms of the Restated Certificate shall control</w:t>
      </w:r>
      <w:r>
        <w:t xml:space="preserve">”</w:t>
      </w:r>
      <w:r>
        <w:t xml:space="preserve"> </w:t>
      </w:r>
      <w:r>
        <w:t xml:space="preserve">(VA § 8.3). Although the drag-along sits in the SHA (which lacks an identical clause), Delaware law treats the charter as the paramount governance instrument; a stockholder agreement cannot be used to nullify a charter class-voting right that the holder did not intend to waive in this context.</w:t>
      </w:r>
    </w:p>
    <w:p>
      <w:pPr>
        <w:pStyle w:val="Compact"/>
        <w:numPr>
          <w:ilvl w:val="0"/>
          <w:numId w:val="1004"/>
        </w:numPr>
      </w:pPr>
      <w:r>
        <w:rPr>
          <w:b/>
          <w:bCs/>
        </w:rPr>
        <w:t xml:space="preserve">Consent vs. vote distinction.</w:t>
      </w:r>
      <w:r>
        <w:t xml:space="preserve"> </w:t>
      </w:r>
      <w:r>
        <w:t xml:space="preserve">The protective provision is satisfied by</w:t>
      </w:r>
      <w:r>
        <w:t xml:space="preserve"> </w:t>
      </w:r>
      <w:r>
        <w:t xml:space="preserve">“</w:t>
      </w:r>
      <w:r>
        <w:t xml:space="preserve">prior written consent</w:t>
      </w:r>
      <w:r>
        <w:t xml:space="preserve"> </w:t>
      </w:r>
      <w:r>
        <w:rPr>
          <w:i/>
          <w:iCs/>
        </w:rPr>
        <w:t xml:space="preserve">or</w:t>
      </w:r>
      <w:r>
        <w:t xml:space="preserve"> </w:t>
      </w:r>
      <w:r>
        <w:t xml:space="preserve">affirmative vote</w:t>
      </w:r>
      <w:r>
        <w:t xml:space="preserve">”</w:t>
      </w:r>
      <w:r>
        <w:t xml:space="preserve"> </w:t>
      </w:r>
      <w:r>
        <w:t xml:space="preserve">as a separate class. Stonemill may argue that an obligation to</w:t>
      </w:r>
      <w:r>
        <w:t xml:space="preserve"> </w:t>
      </w:r>
      <w:r>
        <w:t xml:space="preserve">“</w:t>
      </w:r>
      <w:r>
        <w:t xml:space="preserve">vote in favor</w:t>
      </w:r>
      <w:r>
        <w:t xml:space="preserve">”</w:t>
      </w:r>
      <w:r>
        <w:t xml:space="preserve"> </w:t>
      </w:r>
      <w:r>
        <w:t xml:space="preserve">does not equate to an obligation to deliver a separate-class</w:t>
      </w:r>
      <w:r>
        <w:t xml:space="preserve"> </w:t>
      </w:r>
      <w:r>
        <w:rPr>
          <w:i/>
          <w:iCs/>
        </w:rPr>
        <w:t xml:space="preserve">written consent</w:t>
      </w:r>
      <w:r>
        <w:t xml:space="preserve">, and that the class-consent right is a distinct legal mechanism that the drag-along does not squarely reach (though the</w:t>
      </w:r>
      <w:r>
        <w:t xml:space="preserve"> </w:t>
      </w:r>
      <w:r>
        <w:t xml:space="preserve">“</w:t>
      </w:r>
      <w:r>
        <w:t xml:space="preserve">by written consent</w:t>
      </w:r>
      <w:r>
        <w:t xml:space="preserve">”</w:t>
      </w:r>
      <w:r>
        <w:t xml:space="preserve"> </w:t>
      </w:r>
      <w:r>
        <w:t xml:space="preserve">language in § 3.1(a)(A) weakens this argument).</w:t>
      </w:r>
    </w:p>
    <w:p>
      <w:pPr>
        <w:pStyle w:val="Compact"/>
        <w:numPr>
          <w:ilvl w:val="0"/>
          <w:numId w:val="1004"/>
        </w:numPr>
      </w:pPr>
      <w:r>
        <w:rPr>
          <w:b/>
          <w:bCs/>
        </w:rPr>
        <w:t xml:space="preserve">Fiduciary duty / good faith.</w:t>
      </w:r>
      <w:r>
        <w:t xml:space="preserve"> </w:t>
      </w:r>
      <w:r>
        <w:t xml:space="preserve">A drag-along must be exercised in good faith and consistently with its terms. Stonemill may argue the process was tainted (Trask’s exclusion, the non-independent Special Committee — see Sections XI and XII) such that equitable enforcement should be refused.</w:t>
      </w:r>
    </w:p>
    <w:p>
      <w:pPr>
        <w:pStyle w:val="Compact"/>
        <w:numPr>
          <w:ilvl w:val="0"/>
          <w:numId w:val="1004"/>
        </w:numPr>
      </w:pPr>
      <w:r>
        <w:rPr>
          <w:b/>
          <w:bCs/>
        </w:rPr>
        <w:t xml:space="preserve">Limited direct authority.</w:t>
      </w:r>
      <w:r>
        <w:t xml:space="preserve"> </w:t>
      </w:r>
      <w:r>
        <w:t xml:space="preserve">There is little Delaware case law directly on point — i.e., a stockholder-agreement drag-along compelling a holder to waive a</w:t>
      </w:r>
      <w:r>
        <w:t xml:space="preserve"> </w:t>
      </w:r>
      <w:r>
        <w:rPr>
          <w:i/>
          <w:iCs/>
        </w:rPr>
        <w:t xml:space="preserve">charter</w:t>
      </w:r>
      <w:r>
        <w:t xml:space="preserve"> </w:t>
      </w:r>
      <w:r>
        <w:t xml:space="preserve">class protective provision. The closest authorities (e.g.,</w:t>
      </w:r>
      <w:r>
        <w:t xml:space="preserve"> </w:t>
      </w:r>
      <w:r>
        <w:rPr>
          <w:i/>
          <w:iCs/>
        </w:rPr>
        <w:t xml:space="preserve">Halpin v. Riverstone National, LLC</w:t>
      </w:r>
      <w:r>
        <w:t xml:space="preserve"> </w:t>
      </w:r>
      <w:r>
        <w:t xml:space="preserve">(Del. Ch. 2016);</w:t>
      </w:r>
      <w:r>
        <w:t xml:space="preserve"> </w:t>
      </w:r>
      <w:r>
        <w:rPr>
          <w:i/>
          <w:iCs/>
        </w:rPr>
        <w:t xml:space="preserve">Lashkajani v. Lashkajani</w:t>
      </w:r>
      <w:r>
        <w:t xml:space="preserve"> </w:t>
      </w:r>
      <w:r>
        <w:t xml:space="preserve">(Del. Ch. 2021)) enforce voting agreements/drag-alongs under § 218(c) but do not squarely address override of a charter class vote. This novelty cuts both ways but favors litigation risk.</w:t>
      </w:r>
    </w:p>
    <w:p>
      <w:pPr>
        <w:pStyle w:val="FirstParagraph"/>
      </w:pPr>
      <w:r>
        <w:rPr>
          <w:b/>
          <w:bCs/>
        </w:rPr>
        <w:t xml:space="preserve">Our assessment.</w:t>
      </w:r>
      <w:r>
        <w:t xml:space="preserve"> </w:t>
      </w:r>
      <w:r>
        <w:t xml:space="preserve">There is a</w:t>
      </w:r>
      <w:r>
        <w:t xml:space="preserve"> </w:t>
      </w:r>
      <w:r>
        <w:rPr>
          <w:b/>
          <w:bCs/>
        </w:rPr>
        <w:t xml:space="preserve">colorable and, in our view, reasonably strong</w:t>
      </w:r>
      <w:r>
        <w:t xml:space="preserve"> </w:t>
      </w:r>
      <w:r>
        <w:t xml:space="preserve">argument that the drag-along can compel Stonemill to vote and consent its Series C in favor, thereby satisfying § 4.3.6(b)(i). The argument is strongest on the text (§ 3.1(a)(A)’s</w:t>
      </w:r>
      <w:r>
        <w:t xml:space="preserve"> </w:t>
      </w:r>
      <w:r>
        <w:t xml:space="preserve">“</w:t>
      </w:r>
      <w:r>
        <w:t xml:space="preserve">by written consent</w:t>
      </w:r>
      <w:r>
        <w:t xml:space="preserve">”</w:t>
      </w:r>
      <w:r>
        <w:t xml:space="preserve"> </w:t>
      </w:r>
      <w:r>
        <w:t xml:space="preserve">and</w:t>
      </w:r>
      <w:r>
        <w:t xml:space="preserve"> </w:t>
      </w:r>
      <w:r>
        <w:t xml:space="preserve">“</w:t>
      </w:r>
      <w:r>
        <w:t xml:space="preserve">any other matter required to be approved</w:t>
      </w:r>
      <w:r>
        <w:t xml:space="preserve">”</w:t>
      </w:r>
      <w:r>
        <w:t xml:space="preserve"> </w:t>
      </w:r>
      <w:r>
        <w:t xml:space="preserve">language), on § 218(c) enforceability, on the irrevocable proxy, and on the fact that Stonemill itself signed the SHA.</w:t>
      </w:r>
      <w:r>
        <w:t xml:space="preserve"> </w:t>
      </w:r>
      <w:r>
        <w:rPr>
          <w:b/>
          <w:bCs/>
        </w:rPr>
        <w:t xml:space="preserve">It is not, however, free from doubt.</w:t>
      </w:r>
      <w:r>
        <w:t xml:space="preserve"> </w:t>
      </w:r>
      <w:r>
        <w:t xml:space="preserve">The charter-paramountcy principle, the consent/vote distinction, and the absence of directly on-point authority mean Stonemill has real arguments, and the question is likely to be litigated. We do</w:t>
      </w:r>
      <w:r>
        <w:t xml:space="preserve"> </w:t>
      </w:r>
      <w:r>
        <w:rPr>
          <w:b/>
          <w:bCs/>
        </w:rPr>
        <w:t xml:space="preserve">not</w:t>
      </w:r>
      <w:r>
        <w:t xml:space="preserve"> </w:t>
      </w:r>
      <w:r>
        <w:t xml:space="preserve">recommend treating the drag-along as a guaranteed solution; we recommend treating it as a</w:t>
      </w:r>
      <w:r>
        <w:t xml:space="preserve"> </w:t>
      </w:r>
      <w:r>
        <w:rPr>
          <w:b/>
          <w:bCs/>
        </w:rPr>
        <w:t xml:space="preserve">viable but contested path that Buyer must be prepared to enforce in expedited Court of Chancery proceedings.</w:t>
      </w:r>
    </w:p>
    <w:p>
      <w:pPr>
        <w:pStyle w:val="BodyText"/>
      </w:pPr>
      <w:r>
        <w:rPr>
          <w:b/>
          <w:bCs/>
        </w:rPr>
        <w:t xml:space="preserve">C. Practical and litigation implications.</w:t>
      </w:r>
    </w:p>
    <w:p>
      <w:pPr>
        <w:pStyle w:val="Compact"/>
        <w:numPr>
          <w:ilvl w:val="0"/>
          <w:numId w:val="1005"/>
        </w:numPr>
      </w:pPr>
      <w:r>
        <w:rPr>
          <w:b/>
          <w:bCs/>
        </w:rPr>
        <w:t xml:space="preserve">Sequencing.</w:t>
      </w:r>
      <w:r>
        <w:t xml:space="preserve"> </w:t>
      </w:r>
      <w:r>
        <w:t xml:space="preserve">Trigger the drag-along only after securing written consents from the Founders, Ridgeline, and Northbridge (satisfying all three prongs), and after the Board approves the definitive agreement. The drag-along notice and the written-consent solicitation should be coordinated.</w:t>
      </w:r>
    </w:p>
    <w:p>
      <w:pPr>
        <w:pStyle w:val="Compact"/>
        <w:numPr>
          <w:ilvl w:val="0"/>
          <w:numId w:val="1005"/>
        </w:numPr>
      </w:pPr>
      <w:r>
        <w:rPr>
          <w:b/>
          <w:bCs/>
        </w:rPr>
        <w:t xml:space="preserve">Irrevocable proxy as self-help.</w:t>
      </w:r>
      <w:r>
        <w:t xml:space="preserve"> </w:t>
      </w:r>
      <w:r>
        <w:t xml:space="preserve">If Stonemill refuses to deliver its Series C consent, the Drag-Along Approval holders can exercise the § 3.3 irrevocable proxy to vote Stonemill’s Series C in favor at a stockholder meeting (or execute written consents on its behalf, to the extent the proxy and § 228 mechanics support that). This is the enforcement lever.</w:t>
      </w:r>
    </w:p>
    <w:p>
      <w:pPr>
        <w:pStyle w:val="Compact"/>
        <w:numPr>
          <w:ilvl w:val="0"/>
          <w:numId w:val="1005"/>
        </w:numPr>
      </w:pPr>
      <w:r>
        <w:rPr>
          <w:b/>
          <w:bCs/>
        </w:rPr>
        <w:t xml:space="preserve">Expected challenge.</w:t>
      </w:r>
      <w:r>
        <w:t xml:space="preserve"> </w:t>
      </w:r>
      <w:r>
        <w:t xml:space="preserve">Anticipate that Stonemill will seek a temporary restraining order / preliminary injunction in the Court of Chancery to enjoin the vote or closing, arguing the drag-along cannot override § 4.3.6(b) and/or that the process was unfair. The forum-selection clauses (Bylaws § 8.1; VA § 8.2; SHA § 7.2) channel such disputes to the Delaware Court of Chancery, which is favorable from a predictability standpoint but means Buyer must be ready for expedited Delaware litigation.</w:t>
      </w:r>
    </w:p>
    <w:p>
      <w:pPr>
        <w:pStyle w:val="Compact"/>
        <w:numPr>
          <w:ilvl w:val="0"/>
          <w:numId w:val="1005"/>
        </w:numPr>
      </w:pPr>
      <w:r>
        <w:rPr>
          <w:b/>
          <w:bCs/>
        </w:rPr>
        <w:t xml:space="preserve">Merger agreement drafting.</w:t>
      </w:r>
      <w:r>
        <w:t xml:space="preserve"> </w:t>
      </w:r>
      <w:r>
        <w:t xml:space="preserve">The merger agreement should (i) condition closing on receipt of the required consents (DGCL § 251, all-Preferred, Series C), (ii) allocate the risk of a Stonemill challenge (e.g., a</w:t>
      </w:r>
      <w:r>
        <w:t xml:space="preserve"> </w:t>
      </w:r>
      <w:r>
        <w:t xml:space="preserve">“</w:t>
      </w:r>
      <w:r>
        <w:t xml:space="preserve">litigation covenant</w:t>
      </w:r>
      <w:r>
        <w:t xml:space="preserve">”</w:t>
      </w:r>
      <w:r>
        <w:t xml:space="preserve"> </w:t>
      </w:r>
      <w:r>
        <w:t xml:space="preserve">requiring the Company to enforce the drag-along and cooperate with Buyer), and (iii) address the possibility that the drag-along is judicially invalidated (e.g., a termination right or a</w:t>
      </w:r>
      <w:r>
        <w:t xml:space="preserve"> </w:t>
      </w:r>
      <w:r>
        <w:t xml:space="preserve">“</w:t>
      </w:r>
      <w:r>
        <w:t xml:space="preserve">Stonemill consent</w:t>
      </w:r>
      <w:r>
        <w:t xml:space="preserve">”</w:t>
      </w:r>
      <w:r>
        <w:t xml:space="preserve"> </w:t>
      </w:r>
      <w:r>
        <w:t xml:space="preserve">closing condition). Buyer should not agree to a</w:t>
      </w:r>
      <w:r>
        <w:t xml:space="preserve"> </w:t>
      </w:r>
      <w:r>
        <w:t xml:space="preserve">“</w:t>
      </w:r>
      <w:r>
        <w:t xml:space="preserve">no-shop</w:t>
      </w:r>
      <w:r>
        <w:t xml:space="preserve">”</w:t>
      </w:r>
      <w:r>
        <w:t xml:space="preserve"> </w:t>
      </w:r>
      <w:r>
        <w:t xml:space="preserve">or restrictive exclusivity that would impair its leverage without first assessing the drag-along litigation risk.</w:t>
      </w:r>
    </w:p>
    <w:p>
      <w:pPr>
        <w:pStyle w:val="Compact"/>
        <w:numPr>
          <w:ilvl w:val="0"/>
          <w:numId w:val="1005"/>
        </w:numPr>
      </w:pPr>
      <w:r>
        <w:rPr>
          <w:b/>
          <w:bCs/>
        </w:rPr>
        <w:t xml:space="preserve">Negotiating posture.</w:t>
      </w:r>
      <w:r>
        <w:t xml:space="preserve"> </w:t>
      </w:r>
      <w:r>
        <w:t xml:space="preserve">The existence of a viable drag-along path</w:t>
      </w:r>
      <w:r>
        <w:t xml:space="preserve"> </w:t>
      </w:r>
      <w:r>
        <w:t xml:space="preserve">“</w:t>
      </w:r>
      <w:r>
        <w:t xml:space="preserve">fundamentally changes the negotiation dynamic,</w:t>
      </w:r>
      <w:r>
        <w:t xml:space="preserve">”</w:t>
      </w:r>
      <w:r>
        <w:t xml:space="preserve"> </w:t>
      </w:r>
      <w:r>
        <w:t xml:space="preserve">as you noted. Hargrove can negotiate with Stonemill from a position where Stonemill’s consent, while highly desirable, is not strictly indispensable — but only if Hargrove is prepared to litigate. The credible threat of a drag-along enforcement action is itself a negotiating tool.</w:t>
      </w:r>
    </w:p>
    <w:p>
      <w:r>
        <w:pict>
          <v:rect style="width:0;height:1.5pt" o:hralign="center" o:hrstd="t" o:hr="t"/>
        </w:pict>
      </w:r>
    </w:p>
    <w:bookmarkEnd w:id="23"/>
    <w:bookmarkStart w:id="24" w:name="Xec9540fcdb55ea5ae66c3fbc65eaa6a2ca04222"/>
    <w:p>
      <w:pPr>
        <w:pStyle w:val="Heading2"/>
      </w:pPr>
      <w:r>
        <w:t xml:space="preserve">V. Area 3 — Impediments to Closing a Reverse Triangular Merger</w:t>
      </w:r>
    </w:p>
    <w:p>
      <w:pPr>
        <w:pStyle w:val="FirstParagraph"/>
      </w:pPr>
      <w:r>
        <w:rPr>
          <w:b/>
          <w:bCs/>
        </w:rPr>
        <w:t xml:space="preserve">A. Do the defined terms capture the structure?</w:t>
      </w:r>
      <w:r>
        <w:t xml:space="preserve"> </w:t>
      </w:r>
      <w:r>
        <w:t xml:space="preserve">Yes. The reverse triangular merger is squarely captured by every relevant defined term:</w:t>
      </w:r>
    </w:p>
    <w:p>
      <w:pPr>
        <w:pStyle w:val="Compact"/>
        <w:numPr>
          <w:ilvl w:val="0"/>
          <w:numId w:val="1006"/>
        </w:numPr>
      </w:pPr>
      <w:r>
        <w:rPr>
          <w:b/>
          <w:bCs/>
        </w:rPr>
        <w:t xml:space="preserve">“</w:t>
      </w:r>
      <w:r>
        <w:rPr>
          <w:b/>
          <w:bCs/>
        </w:rPr>
        <w:t xml:space="preserve">Liquidation Event</w:t>
      </w:r>
      <w:r>
        <w:rPr>
          <w:b/>
          <w:bCs/>
        </w:rPr>
        <w:t xml:space="preserve">”</w:t>
      </w:r>
      <w:r>
        <w:t xml:space="preserve"> </w:t>
      </w:r>
      <w:r>
        <w:t xml:space="preserve">(Restated Certificate § 4.3.2(d)(i)):</w:t>
      </w:r>
      <w:r>
        <w:t xml:space="preserve"> </w:t>
      </w:r>
      <w:r>
        <w:t xml:space="preserve">“</w:t>
      </w:r>
      <w:r>
        <w:t xml:space="preserve">any merger, consolidation, or other business combination … (whether or not the Corporation is the surviving entity), other than [one in which] the stockholders of the Corporation immediately prior to such transaction continue to hold at least fifty percent (50%) of the voting power of the surviving or resulting entity.</w:t>
      </w:r>
      <w:r>
        <w:t xml:space="preserve">”</w:t>
      </w:r>
      <w:r>
        <w:t xml:space="preserve"> </w:t>
      </w:r>
      <w:r>
        <w:t xml:space="preserve">Terravox’s pre-Transaction holders will retain 0% of Hargrove.</w:t>
      </w:r>
      <w:r>
        <w:t xml:space="preserve"> </w:t>
      </w:r>
      <w:r>
        <w:rPr>
          <w:b/>
          <w:bCs/>
        </w:rPr>
        <w:t xml:space="preserve">Captured.</w:t>
      </w:r>
      <w:r>
        <w:t xml:space="preserve"> </w:t>
      </w:r>
      <w:r>
        <w:t xml:space="preserve">(The structure is also captured by § 4.3.2(d)(iii), transfer of &gt;50% voting power.) The charter requires 20 days’ written notice to Preferred holders before the anticipated closing (§ 4.3.2(d), last paragraph) — a scheduling item for the merger agreement.</w:t>
      </w:r>
    </w:p>
    <w:p>
      <w:pPr>
        <w:pStyle w:val="Compact"/>
        <w:numPr>
          <w:ilvl w:val="0"/>
          <w:numId w:val="1006"/>
        </w:numPr>
      </w:pPr>
      <w:r>
        <w:rPr>
          <w:b/>
          <w:bCs/>
        </w:rPr>
        <w:t xml:space="preserve">“</w:t>
      </w:r>
      <w:r>
        <w:rPr>
          <w:b/>
          <w:bCs/>
        </w:rPr>
        <w:t xml:space="preserve">Sale of the Company</w:t>
      </w:r>
      <w:r>
        <w:rPr>
          <w:b/>
          <w:bCs/>
        </w:rPr>
        <w:t xml:space="preserve">”</w:t>
      </w:r>
      <w:r>
        <w:t xml:space="preserve"> </w:t>
      </w:r>
      <w:r>
        <w:t xml:space="preserve">(SHA § 1.1; VA § 1):</w:t>
      </w:r>
      <w:r>
        <w:t xml:space="preserve"> </w:t>
      </w:r>
      <w:r>
        <w:t xml:space="preserve">“</w:t>
      </w:r>
      <w:r>
        <w:t xml:space="preserve">any merger, consolidation, or reorganization … in which the stockholders of the Company immediately prior to such transaction do not retain a majority of the voting power of the surviving or resulting entity.</w:t>
      </w:r>
      <w:r>
        <w:t xml:space="preserve">”</w:t>
      </w:r>
      <w:r>
        <w:t xml:space="preserve"> </w:t>
      </w:r>
      <w:r>
        <w:rPr>
          <w:b/>
          <w:bCs/>
        </w:rPr>
        <w:t xml:space="preserve">Captured</w:t>
      </w:r>
      <w:r>
        <w:t xml:space="preserve"> </w:t>
      </w:r>
      <w:r>
        <w:t xml:space="preserve">(identical in both agreements).</w:t>
      </w:r>
    </w:p>
    <w:p>
      <w:pPr>
        <w:pStyle w:val="Compact"/>
        <w:numPr>
          <w:ilvl w:val="0"/>
          <w:numId w:val="1006"/>
        </w:numPr>
      </w:pPr>
      <w:r>
        <w:rPr>
          <w:b/>
          <w:bCs/>
        </w:rPr>
        <w:t xml:space="preserve">“</w:t>
      </w:r>
      <w:r>
        <w:rPr>
          <w:b/>
          <w:bCs/>
        </w:rPr>
        <w:t xml:space="preserve">Deemed Liquidation Event</w:t>
      </w:r>
      <w:r>
        <w:rPr>
          <w:b/>
          <w:bCs/>
        </w:rPr>
        <w:t xml:space="preserve">”</w:t>
      </w:r>
      <w:r>
        <w:t xml:space="preserve"> </w:t>
      </w:r>
      <w:r>
        <w:t xml:space="preserve">(RRA § 9(c)):</w:t>
      </w:r>
      <w:r>
        <w:t xml:space="preserve"> </w:t>
      </w:r>
      <w:r>
        <w:rPr>
          <w:b/>
          <w:bCs/>
        </w:rPr>
        <w:t xml:space="preserve">undefined</w:t>
      </w:r>
      <w:r>
        <w:t xml:space="preserve"> </w:t>
      </w:r>
      <w:r>
        <w:t xml:space="preserve">— see Section IX (Area 6). This is the one structural ambiguity.</w:t>
      </w:r>
    </w:p>
    <w:p>
      <w:pPr>
        <w:pStyle w:val="FirstParagraph"/>
      </w:pPr>
      <w:r>
        <w:rPr>
          <w:b/>
          <w:bCs/>
        </w:rPr>
        <w:t xml:space="preserve">B. Reverse-triangular-specific considerations.</w:t>
      </w:r>
      <w:r>
        <w:t xml:space="preserve"> </w:t>
      </w:r>
      <w:r>
        <w:t xml:space="preserve">Because Terravox survives as a wholly-owned subsidiary, its charter and Bylaws survive at the subsidiary level. The protective provisions technically survive in the subsidiary’s charter, but post-closing Hargrove (as sole stockholder) can amend them at will, so they pose no post-closing obstacle. The more important consequences of the surviving-entity structure are:</w:t>
      </w:r>
    </w:p>
    <w:p>
      <w:pPr>
        <w:pStyle w:val="Compact"/>
        <w:numPr>
          <w:ilvl w:val="0"/>
          <w:numId w:val="1007"/>
        </w:numPr>
      </w:pPr>
      <w:r>
        <w:rPr>
          <w:b/>
          <w:bCs/>
        </w:rPr>
        <w:t xml:space="preserve">Surviving contracts.</w:t>
      </w:r>
      <w:r>
        <w:t xml:space="preserve"> </w:t>
      </w:r>
      <w:r>
        <w:t xml:space="preserve">The Company’s contracts — including the Clearfield term loan (secured by substantially all assets, including IP) and any live SensorLink exclusivity — survive in the subsidiary. The Clearfield loan must be paid off, refinanced, or assumed with lender consent at closing (and its change-of-control covenants must be reviewed). The SensorLink exclusivity, if live, is a surviving contract that could conflict with the Transaction (Section XI).</w:t>
      </w:r>
    </w:p>
    <w:p>
      <w:pPr>
        <w:pStyle w:val="Compact"/>
        <w:numPr>
          <w:ilvl w:val="0"/>
          <w:numId w:val="1007"/>
        </w:numPr>
      </w:pPr>
      <w:r>
        <w:rPr>
          <w:b/>
          <w:bCs/>
        </w:rPr>
        <w:t xml:space="preserve">Indemnification survival.</w:t>
      </w:r>
      <w:r>
        <w:t xml:space="preserve"> </w:t>
      </w:r>
      <w:r>
        <w:t xml:space="preserve">The charter’s indemnification provisions (Art. VII), the Bylaws’ indemnification/advancement provisions (Art. VI), the individual indemnification agreements with each director (Bylaws § 6.4), and the survival clauses in the SHA (§ 6.2), VA (§ 7.2), and RRA (§ 9) all survive termination/closing as to pre-closing conduct. Hargrove should address successor indemnification obligations in the merger agreement (e.g., assumption of indemnification obligations, D&amp;O tail insurance). The SHA also requires D&amp;O insurance of at least $5 million per occurrence (SHA § 5.3).</w:t>
      </w:r>
    </w:p>
    <w:p>
      <w:pPr>
        <w:pStyle w:val="Compact"/>
        <w:numPr>
          <w:ilvl w:val="0"/>
          <w:numId w:val="1007"/>
        </w:numPr>
      </w:pPr>
      <w:r>
        <w:rPr>
          <w:b/>
          <w:bCs/>
        </w:rPr>
        <w:t xml:space="preserve">Consideration waterfall.</w:t>
      </w:r>
      <w:r>
        <w:t xml:space="preserve"> </w:t>
      </w:r>
      <w:r>
        <w:t xml:space="preserve">SHA § 3.2(a) requires merger consideration to be distributed per the charter’s liquidation waterfall</w:t>
      </w:r>
      <w:r>
        <w:t xml:space="preserve"> </w:t>
      </w:r>
      <w:r>
        <w:t xml:space="preserve">“</w:t>
      </w:r>
      <w:r>
        <w:t xml:space="preserve">as if the Sale of the Company were a Liquidation Event.</w:t>
      </w:r>
      <w:r>
        <w:t xml:space="preserve">”</w:t>
      </w:r>
      <w:r>
        <w:t xml:space="preserve"> </w:t>
      </w:r>
      <w:r>
        <w:t xml:space="preserve">The merger agreement’s consideration-allocation mechanics must track the charter waterfall (Section X).</w:t>
      </w:r>
    </w:p>
    <w:p>
      <w:pPr>
        <w:pStyle w:val="Compact"/>
        <w:numPr>
          <w:ilvl w:val="0"/>
          <w:numId w:val="1007"/>
        </w:numPr>
      </w:pPr>
      <w:r>
        <w:rPr>
          <w:b/>
          <w:bCs/>
        </w:rPr>
        <w:t xml:space="preserve">No structural impediment to the form itself.</w:t>
      </w:r>
      <w:r>
        <w:t xml:space="preserve"> </w:t>
      </w:r>
      <w:r>
        <w:t xml:space="preserve">The reverse triangular merger is a standard DGCL § 251 structure; nothing in the governance documents prohibits it or favors a forward merger or stock purchase instead. The impediments are the consent requirements (Section III) and the third-party contract issues (Clearfield, SensorLink), not the merger form.</w:t>
      </w:r>
    </w:p>
    <w:p>
      <w:pPr>
        <w:pStyle w:val="FirstParagraph"/>
      </w:pPr>
      <w:r>
        <w:rPr>
          <w:b/>
          <w:bCs/>
        </w:rPr>
        <w:t xml:space="preserve">C. Recommendation.</w:t>
      </w:r>
      <w:r>
        <w:t xml:space="preserve"> </w:t>
      </w:r>
      <w:r>
        <w:t xml:space="preserve">Confirm in the merger agreement that (i) the Transaction is acknowledged by the parties to constitute a</w:t>
      </w:r>
      <w:r>
        <w:t xml:space="preserve"> </w:t>
      </w:r>
      <w:r>
        <w:t xml:space="preserve">“</w:t>
      </w:r>
      <w:r>
        <w:t xml:space="preserve">Liquidation Event</w:t>
      </w:r>
      <w:r>
        <w:t xml:space="preserve">”</w:t>
      </w:r>
      <w:r>
        <w:t xml:space="preserve"> </w:t>
      </w:r>
      <w:r>
        <w:t xml:space="preserve">and a</w:t>
      </w:r>
      <w:r>
        <w:t xml:space="preserve"> </w:t>
      </w:r>
      <w:r>
        <w:t xml:space="preserve">“</w:t>
      </w:r>
      <w:r>
        <w:t xml:space="preserve">Sale of the Company,</w:t>
      </w:r>
      <w:r>
        <w:t xml:space="preserve">”</w:t>
      </w:r>
      <w:r>
        <w:t xml:space="preserve"> </w:t>
      </w:r>
      <w:r>
        <w:t xml:space="preserve">(ii) the 20-day Liquidation Event notice is given, (iii) the Clearfield loan is discharged/assumed with any required lender consent, (iv) the SensorLink exclusivity is resolved before signing, and (v) the RRA is expressly terminated (closing the</w:t>
      </w:r>
      <w:r>
        <w:t xml:space="preserve"> </w:t>
      </w:r>
      <w:r>
        <w:t xml:space="preserve">“</w:t>
      </w:r>
      <w:r>
        <w:t xml:space="preserve">Deemed Liquidation Event</w:t>
      </w:r>
      <w:r>
        <w:t xml:space="preserve">”</w:t>
      </w:r>
      <w:r>
        <w:t xml:space="preserve"> </w:t>
      </w:r>
      <w:r>
        <w:t xml:space="preserve">gap).</w:t>
      </w:r>
    </w:p>
    <w:p>
      <w:r>
        <w:pict>
          <v:rect style="width:0;height:1.5pt" o:hralign="center" o:hrstd="t" o:hr="t"/>
        </w:pict>
      </w:r>
    </w:p>
    <w:bookmarkEnd w:id="24"/>
    <w:bookmarkStart w:id="25" w:name="vi.-area-4-transfer-restrictions"/>
    <w:p>
      <w:pPr>
        <w:pStyle w:val="Heading2"/>
      </w:pPr>
      <w:r>
        <w:t xml:space="preserve">VI. Area 4 — Transfer Restrictions</w:t>
      </w:r>
    </w:p>
    <w:p>
      <w:pPr>
        <w:pStyle w:val="FirstParagraph"/>
      </w:pPr>
      <w:r>
        <w:rPr>
          <w:b/>
          <w:bCs/>
        </w:rPr>
        <w:t xml:space="preserve">A. ROFR and co-sale (SHA §§ 2.2–2.3).</w:t>
      </w:r>
      <w:r>
        <w:t xml:space="preserve"> </w:t>
      </w:r>
      <w:r>
        <w:t xml:space="preserve">The ROFR is triggered when a</w:t>
      </w:r>
      <w:r>
        <w:t xml:space="preserve"> </w:t>
      </w:r>
      <w:r>
        <w:t xml:space="preserve">“</w:t>
      </w:r>
      <w:r>
        <w:t xml:space="preserve">Selling Stockholder</w:t>
      </w:r>
      <w:r>
        <w:t xml:space="preserve">”</w:t>
      </w:r>
      <w:r>
        <w:t xml:space="preserve"> </w:t>
      </w:r>
      <w:r>
        <w:t xml:space="preserve">receives a bona fide written offer from a third party (non-Affiliate) to purchase Shares and wishes to accept it; the Company has a 30-day right to purchase all, followed by a 20-day pro rata stockholder ROFR, with a 60-day window to complete the transfer. The co-sale right (§ 2.3) allows Investor Stockholders to participate pro rata if the Company and other stockholders do not purchase all the offered Shares.</w:t>
      </w:r>
    </w:p>
    <w:p>
      <w:pPr>
        <w:pStyle w:val="BodyText"/>
      </w:pPr>
      <w:r>
        <w:rPr>
          <w:b/>
          <w:bCs/>
        </w:rPr>
        <w:t xml:space="preserve">B. Does the merger trigger ROFR or co-sale?</w:t>
      </w:r>
      <w:r>
        <w:t xml:space="preserve"> </w:t>
      </w:r>
      <w:r>
        <w:t xml:space="preserve">No, provided the Transaction is a</w:t>
      </w:r>
      <w:r>
        <w:t xml:space="preserve"> </w:t>
      </w:r>
      <w:r>
        <w:t xml:space="preserve">“</w:t>
      </w:r>
      <w:r>
        <w:t xml:space="preserve">Sale of the Company consummated in accordance with Article 3.</w:t>
      </w:r>
      <w:r>
        <w:t xml:space="preserve">”</w:t>
      </w:r>
      <w:r>
        <w:t xml:space="preserve"> </w:t>
      </w:r>
      <w:r>
        <w:t xml:space="preserve">SHA § 2.1(c) and § 2.7(e) each carve out Transfers</w:t>
      </w:r>
      <w:r>
        <w:t xml:space="preserve"> </w:t>
      </w:r>
      <w:r>
        <w:t xml:space="preserve">“</w:t>
      </w:r>
      <w:r>
        <w:t xml:space="preserve">in connection with a Sale of the Company consummated in accordance with Article 3</w:t>
      </w:r>
      <w:r>
        <w:t xml:space="preserve">”</w:t>
      </w:r>
      <w:r>
        <w:t xml:space="preserve"> </w:t>
      </w:r>
      <w:r>
        <w:t xml:space="preserve">from the general transfer restriction and the ROFR/co-sale regime, respectively. The reverse triangular merger is a</w:t>
      </w:r>
      <w:r>
        <w:t xml:space="preserve"> </w:t>
      </w:r>
      <w:r>
        <w:t xml:space="preserve">“</w:t>
      </w:r>
      <w:r>
        <w:t xml:space="preserve">Sale of the Company</w:t>
      </w:r>
      <w:r>
        <w:t xml:space="preserve">”</w:t>
      </w:r>
      <w:r>
        <w:t xml:space="preserve"> </w:t>
      </w:r>
      <w:r>
        <w:t xml:space="preserve">(Section V), so the carve-out applies</w:t>
      </w:r>
      <w:r>
        <w:t xml:space="preserve"> </w:t>
      </w:r>
      <w:r>
        <w:rPr>
          <w:b/>
          <w:bCs/>
        </w:rPr>
        <w:t xml:space="preserve">if the drag-along is properly invoked under Article 3</w:t>
      </w:r>
      <w:r>
        <w:t xml:space="preserve">. In a 100% acquisition, the practical concerns animating ROFR/co-sale (a selling stockholder exiting while others are forced to buy or are excluded) are absent — every holder is selling to the same buyer on the same terms — so even outside the Article 3 carve-out, ROFR/co-sale would not realistically impede the Transaction.</w:t>
      </w:r>
      <w:r>
        <w:t xml:space="preserve"> </w:t>
      </w:r>
      <w:r>
        <w:rPr>
          <w:b/>
          <w:bCs/>
        </w:rPr>
        <w:t xml:space="preserve">However, the carve-out’s express conditioning on Article 3 creates a technical dependency</w:t>
      </w:r>
      <w:r>
        <w:t xml:space="preserve">: if the Transaction were to proceed by unanimous written consent rather than via the drag-along, the Article 3 carve-out would not literally apply. We recommend the merger agreement or an ancillary stockholder consent confirm that the Transaction is a Sale of the Company consummated in accordance with Article 3 (or that all holders waive any ROFR/co-sale objections), to eliminate this technicality.</w:t>
      </w:r>
    </w:p>
    <w:p>
      <w:pPr>
        <w:pStyle w:val="BodyText"/>
      </w:pPr>
      <w:r>
        <w:rPr>
          <w:b/>
          <w:bCs/>
        </w:rPr>
        <w:t xml:space="preserve">C. Tag-along (SHA § 2.4).</w:t>
      </w:r>
      <w:r>
        <w:t xml:space="preserve"> </w:t>
      </w:r>
      <w:r>
        <w:t xml:space="preserve">Tag-along is triggered by a Founder transferring more than 5% of outstanding Shares to a non-Affiliate. In the Transaction, all holders (including Founders) are selling 100% to Hargrove; the Sale-of-the-Company carve-out (§§ 2.1(c), 2.7(e)) applies, and all Investor Stockholders are already participating, so tag-along is moot.</w:t>
      </w:r>
    </w:p>
    <w:p>
      <w:pPr>
        <w:pStyle w:val="BodyText"/>
      </w:pPr>
      <w:r>
        <w:rPr>
          <w:b/>
          <w:bCs/>
        </w:rPr>
        <w:t xml:space="preserve">D. Termination of transfer restrictions.</w:t>
      </w:r>
      <w:r>
        <w:t xml:space="preserve"> </w:t>
      </w:r>
      <w:r>
        <w:t xml:space="preserve">The SHA terminates upon a Sale of the Company (§ 6.1(b)), and upon termination all transfer restrictions, ROFR, co-sale, tag-along, and drag-along rights</w:t>
      </w:r>
      <w:r>
        <w:t xml:space="preserve"> </w:t>
      </w:r>
      <w:r>
        <w:t xml:space="preserve">“</w:t>
      </w:r>
      <w:r>
        <w:t xml:space="preserve">cease to be of any further force and effect</w:t>
      </w:r>
      <w:r>
        <w:t xml:space="preserve">”</w:t>
      </w:r>
      <w:r>
        <w:t xml:space="preserve"> </w:t>
      </w:r>
      <w:r>
        <w:t xml:space="preserve">(§ 6.3), with the Company obligated to remove restrictive legends. Because the merger is a Sale of the Company, the SHA — and all transfer restrictions — terminate at closing.</w:t>
      </w:r>
      <w:r>
        <w:t xml:space="preserve"> </w:t>
      </w:r>
      <w:r>
        <w:rPr>
          <w:b/>
          <w:bCs/>
        </w:rPr>
        <w:t xml:space="preserve">Confirmed: the merger fits the</w:t>
      </w:r>
      <w:r>
        <w:rPr>
          <w:b/>
          <w:bCs/>
        </w:rPr>
        <w:t xml:space="preserve"> </w:t>
      </w:r>
      <w:r>
        <w:rPr>
          <w:b/>
          <w:bCs/>
        </w:rPr>
        <w:t xml:space="preserve">“</w:t>
      </w:r>
      <w:r>
        <w:rPr>
          <w:b/>
          <w:bCs/>
        </w:rPr>
        <w:t xml:space="preserve">Sale of the Company</w:t>
      </w:r>
      <w:r>
        <w:rPr>
          <w:b/>
          <w:bCs/>
        </w:rPr>
        <w:t xml:space="preserve">”</w:t>
      </w:r>
      <w:r>
        <w:rPr>
          <w:b/>
          <w:bCs/>
        </w:rPr>
        <w:t xml:space="preserve"> </w:t>
      </w:r>
      <w:r>
        <w:rPr>
          <w:b/>
          <w:bCs/>
        </w:rPr>
        <w:t xml:space="preserve">definition, and the SHA terminates on closing.</w:t>
      </w:r>
    </w:p>
    <w:p>
      <w:pPr>
        <w:pStyle w:val="BodyText"/>
      </w:pPr>
      <w:r>
        <w:rPr>
          <w:b/>
          <w:bCs/>
        </w:rPr>
        <w:t xml:space="preserve">E. Founder lock-up (SHA § 2.5).</w:t>
      </w:r>
      <w:r>
        <w:t xml:space="preserve"> </w:t>
      </w:r>
      <w:r>
        <w:t xml:space="preserve">The 12-month Founder lock-up expired November 3, 2022, and is no longer relevant.</w:t>
      </w:r>
    </w:p>
    <w:p>
      <w:r>
        <w:pict>
          <v:rect style="width:0;height:1.5pt" o:hralign="center" o:hrstd="t" o:hr="t"/>
        </w:pict>
      </w:r>
    </w:p>
    <w:bookmarkEnd w:id="25"/>
    <w:bookmarkStart w:id="26" w:name="X6344b7399ebb669b609ab552eb07173a80f0df7"/>
    <w:p>
      <w:pPr>
        <w:pStyle w:val="Heading2"/>
      </w:pPr>
      <w:r>
        <w:t xml:space="preserve">VII. Area 5 — Board Composition — Post-Closing Implications</w:t>
      </w:r>
    </w:p>
    <w:p>
      <w:pPr>
        <w:pStyle w:val="FirstParagraph"/>
      </w:pPr>
      <w:r>
        <w:rPr>
          <w:b/>
          <w:bCs/>
        </w:rPr>
        <w:t xml:space="preserve">A. Current board composition (VA § 2.2).</w:t>
      </w:r>
      <w:r>
        <w:t xml:space="preserve"> </w:t>
      </w:r>
      <w:r>
        <w:t xml:space="preserve">The seven-member board is: Marcus Ellery (CEO Director/Chair); Priya Chandrasekaran (Founder Director); David Kleinhans (Ridgeline/Series A Director); Sandra Okafor (Northbridge/Series B Director); Julian Trask (Stonemill/Series C Director); and Rebecca Lau and Thomas Garrett (Independent Directors). Each Investor’s designation right continues</w:t>
      </w:r>
      <w:r>
        <w:t xml:space="preserve"> </w:t>
      </w:r>
      <w:r>
        <w:t xml:space="preserve">“</w:t>
      </w:r>
      <w:r>
        <w:t xml:space="preserve">so long as</w:t>
      </w:r>
      <w:r>
        <w:t xml:space="preserve">”</w:t>
      </w:r>
      <w:r>
        <w:t xml:space="preserve"> </w:t>
      </w:r>
      <w:r>
        <w:t xml:space="preserve">the Investor holds at least 1,000,000 shares of its series (or Common issued upon conversion) (VA §§ 2.2(a)–(c), 7.3).</w:t>
      </w:r>
    </w:p>
    <w:p>
      <w:pPr>
        <w:pStyle w:val="BodyText"/>
      </w:pPr>
      <w:r>
        <w:rPr>
          <w:b/>
          <w:bCs/>
        </w:rPr>
        <w:t xml:space="preserve">B. What happens to designation rights on closing?</w:t>
      </w:r>
      <w:r>
        <w:t xml:space="preserve"> </w:t>
      </w:r>
      <w:r>
        <w:t xml:space="preserve">In the reverse triangular merger, all Terravox equity is cancelled for merger consideration, so each Investor ceases to hold its Preferred (or conversion Common) shares. Two independent mechanisms therefore terminate the designation rights: (i) the condition precedent fails — each Investor drops below 1,000,000 shares, so its designation right terminates under VA §§ 2.2/7.3, with the vacancy filled by the Board; and (ii) the Voting Agreement itself terminates upon</w:t>
      </w:r>
      <w:r>
        <w:t xml:space="preserve"> </w:t>
      </w:r>
      <w:r>
        <w:t xml:space="preserve">“</w:t>
      </w:r>
      <w:r>
        <w:t xml:space="preserve">the consummation of a Sale of the Company</w:t>
      </w:r>
      <w:r>
        <w:t xml:space="preserve">”</w:t>
      </w:r>
      <w:r>
        <w:t xml:space="preserve"> </w:t>
      </w:r>
      <w:r>
        <w:t xml:space="preserve">(VA § 7.1(b)), extinguishing all designation rights. Either way,</w:t>
      </w:r>
      <w:r>
        <w:t xml:space="preserve"> </w:t>
      </w:r>
      <w:r>
        <w:rPr>
          <w:b/>
          <w:bCs/>
        </w:rPr>
        <w:t xml:space="preserve">the designation rights do not survive closing.</w:t>
      </w:r>
      <w:r>
        <w:t xml:space="preserve"> </w:t>
      </w:r>
      <w:r>
        <w:t xml:space="preserve">Post-closing, Hargrove as sole stockholder controls the subsidiary’s board.</w:t>
      </w:r>
    </w:p>
    <w:p>
      <w:pPr>
        <w:pStyle w:val="BodyText"/>
      </w:pPr>
      <w:r>
        <w:rPr>
          <w:b/>
          <w:bCs/>
        </w:rPr>
        <w:t xml:space="preserve">C. Stonemill’s board observer right (VA § 4).</w:t>
      </w:r>
      <w:r>
        <w:t xml:space="preserve"> </w:t>
      </w:r>
      <w:r>
        <w:t xml:space="preserve">Stonemill may appoint a non-voting observer</w:t>
      </w:r>
      <w:r>
        <w:t xml:space="preserve"> </w:t>
      </w:r>
      <w:r>
        <w:t xml:space="preserve">“</w:t>
      </w:r>
      <w:r>
        <w:t xml:space="preserve">for so long as Stonemill holds at least 1,000,000 shares of Series C Preferred Stock (or Common Stock issued upon conversion thereof)</w:t>
      </w:r>
      <w:r>
        <w:t xml:space="preserve">”</w:t>
      </w:r>
      <w:r>
        <w:t xml:space="preserve"> </w:t>
      </w:r>
      <w:r>
        <w:t xml:space="preserve">(§ 4.1). On closing, Stonemill’s Series C is cancelled, so the condition fails and the observer right terminates under § 7.3. In addition, the Voting Agreement terminates on the Sale of the Company (§ 7.1(b)), independently extinguishing the observer right. The Company may also exclude the observer to preserve attorney-client privilege or address a Stonemill–Company conflict (§ 4.2) — a provision that may be relevant during the pendency of the Transaction if Stonemill’s interests diverge from the Company’s.</w:t>
      </w:r>
      <w:r>
        <w:t xml:space="preserve"> </w:t>
      </w:r>
      <w:r>
        <w:rPr>
          <w:b/>
          <w:bCs/>
        </w:rPr>
        <w:t xml:space="preserve">The observer right does not survive closing.</w:t>
      </w:r>
    </w:p>
    <w:p>
      <w:pPr>
        <w:pStyle w:val="BodyText"/>
      </w:pPr>
      <w:r>
        <w:rPr>
          <w:b/>
          <w:bCs/>
        </w:rPr>
        <w:t xml:space="preserve">D. The 5-year sunset as a backstop (VA § 7.1(d)).</w:t>
      </w:r>
      <w:r>
        <w:t xml:space="preserve"> </w:t>
      </w:r>
      <w:r>
        <w:t xml:space="preserve">The Voting Agreement also terminates on November 3, 2026 (the fifth anniversary). Because the Sale-of-the-Company termination (§ 7.1(b)) clearly captures the merger (stockholders retain 0% &lt; majority), the VA should terminate at closing well before the sunset.</w:t>
      </w:r>
      <w:r>
        <w:t xml:space="preserve"> </w:t>
      </w:r>
      <w:r>
        <w:rPr>
          <w:b/>
          <w:bCs/>
        </w:rPr>
        <w:t xml:space="preserve">The sunset matters only as a backstop</w:t>
      </w:r>
      <w:r>
        <w:t xml:space="preserve"> </w:t>
      </w:r>
      <w:r>
        <w:t xml:space="preserve">in the unlikely event the Sale-of-the-Company termination were disputed. We see no realistic basis for such a dispute given the definition’s clarity, but recommend the merger agreement include an express termination/waiver of the VA at closing to foreclose any argument that designation or observer rights linger until 2026.</w:t>
      </w:r>
    </w:p>
    <w:p>
      <w:pPr>
        <w:pStyle w:val="BodyText"/>
      </w:pPr>
      <w:r>
        <w:rPr>
          <w:b/>
          <w:bCs/>
        </w:rPr>
        <w:t xml:space="preserve">E. Voting Agreement voting obligations (VA § 3).</w:t>
      </w:r>
      <w:r>
        <w:t xml:space="preserve"> </w:t>
      </w:r>
      <w:r>
        <w:t xml:space="preserve">The VA obligates parties to vote to maintain the § 2.2 board composition (§ 3.1) but</w:t>
      </w:r>
      <w:r>
        <w:t xml:space="preserve"> </w:t>
      </w:r>
      <w:r>
        <w:rPr>
          <w:b/>
          <w:bCs/>
        </w:rPr>
        <w:t xml:space="preserve">expressly disclaims</w:t>
      </w:r>
      <w:r>
        <w:t xml:space="preserve"> </w:t>
      </w:r>
      <w:r>
        <w:t xml:space="preserve">any obligation to vote in any particular way on</w:t>
      </w:r>
      <w:r>
        <w:t xml:space="preserve"> </w:t>
      </w:r>
      <w:r>
        <w:t xml:space="preserve">“</w:t>
      </w:r>
      <w:r>
        <w:t xml:space="preserve">any proposed merger, consolidation, sale of assets, or other corporate transaction</w:t>
      </w:r>
      <w:r>
        <w:t xml:space="preserve">”</w:t>
      </w:r>
      <w:r>
        <w:t xml:space="preserve"> </w:t>
      </w:r>
      <w:r>
        <w:t xml:space="preserve">(§ 3.2). The VA therefore neither helps nor hinders the merger vote; it is neutral on the Transaction and terminates on closing.</w:t>
      </w:r>
    </w:p>
    <w:p>
      <w:r>
        <w:pict>
          <v:rect style="width:0;height:1.5pt" o:hralign="center" o:hrstd="t" o:hr="t"/>
        </w:pict>
      </w:r>
    </w:p>
    <w:bookmarkEnd w:id="26"/>
    <w:bookmarkStart w:id="27" w:name="X5735d5a9a6508e99bab280e3b65c0e0be9c8c6d"/>
    <w:p>
      <w:pPr>
        <w:pStyle w:val="Heading2"/>
      </w:pPr>
      <w:r>
        <w:t xml:space="preserve">VIII. Area 6 — Cross-Document Definitional Inconsistencies</w:t>
      </w:r>
    </w:p>
    <w:p>
      <w:pPr>
        <w:pStyle w:val="FirstParagraph"/>
      </w:pPr>
      <w:r>
        <w:t xml:space="preserve">We compared the change-of-control defined terms across all five governance documents: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Document</w:t>
            </w:r>
          </w:p>
        </w:tc>
        <w:tc>
          <w:tcPr/>
          <w:p>
            <w:pPr>
              <w:pStyle w:val="Compact"/>
              <w:jc w:val="left"/>
            </w:pPr>
            <w:r>
              <w:t xml:space="preserve">Defined term</w:t>
            </w:r>
          </w:p>
        </w:tc>
        <w:tc>
          <w:tcPr/>
          <w:p>
            <w:pPr>
              <w:pStyle w:val="Compact"/>
              <w:jc w:val="left"/>
            </w:pPr>
            <w:r>
              <w:t xml:space="preserve">Captures reverse triangular merger?</w:t>
            </w:r>
          </w:p>
        </w:tc>
        <w:tc>
          <w:tcPr/>
          <w:p>
            <w:pPr>
              <w:pStyle w:val="Compact"/>
              <w:jc w:val="left"/>
            </w:pPr>
            <w:r>
              <w:t xml:space="preserve">Consistent?</w:t>
            </w:r>
          </w:p>
        </w:tc>
      </w:tr>
      <w:tr>
        <w:tc>
          <w:tcPr/>
          <w:p>
            <w:pPr>
              <w:pStyle w:val="Compact"/>
              <w:jc w:val="left"/>
            </w:pPr>
            <w:r>
              <w:t xml:space="preserve">Restated Certificate § 4.3.2(d)</w:t>
            </w:r>
          </w:p>
        </w:tc>
        <w:tc>
          <w:tcPr/>
          <w:p>
            <w:pPr>
              <w:pStyle w:val="Compact"/>
              <w:jc w:val="left"/>
            </w:pPr>
            <w:r>
              <w:t xml:space="preserve">“</w:t>
            </w:r>
            <w:r>
              <w:t xml:space="preserve">Liquidation Event</w:t>
            </w:r>
            <w:r>
              <w:t xml:space="preserve">”</w:t>
            </w:r>
          </w:p>
        </w:tc>
        <w:tc>
          <w:tcPr/>
          <w:p>
            <w:pPr>
              <w:pStyle w:val="Compact"/>
              <w:jc w:val="left"/>
            </w:pPr>
            <w:r>
              <w:t xml:space="preserve">Yes (§ (d)(i): merger where holders retain &lt;50% voting power)</w:t>
            </w:r>
          </w:p>
        </w:tc>
        <w:tc>
          <w:tcPr/>
          <w:p>
            <w:pPr>
              <w:pStyle w:val="Compact"/>
              <w:jc w:val="left"/>
            </w:pPr>
            <w:r>
              <w:t xml:space="preserve">Baseline</w:t>
            </w:r>
          </w:p>
        </w:tc>
      </w:tr>
      <w:tr>
        <w:tc>
          <w:tcPr/>
          <w:p>
            <w:pPr>
              <w:pStyle w:val="Compact"/>
              <w:jc w:val="left"/>
            </w:pPr>
            <w:r>
              <w:t xml:space="preserve">Stockholders’ Agreement § 1.1</w:t>
            </w:r>
          </w:p>
        </w:tc>
        <w:tc>
          <w:tcPr/>
          <w:p>
            <w:pPr>
              <w:pStyle w:val="Compact"/>
              <w:jc w:val="left"/>
            </w:pPr>
            <w:r>
              <w:t xml:space="preserve">“</w:t>
            </w:r>
            <w:r>
              <w:t xml:space="preserve">Sale of the Company</w:t>
            </w:r>
            <w:r>
              <w:t xml:space="preserve">”</w:t>
            </w:r>
          </w:p>
        </w:tc>
        <w:tc>
          <w:tcPr/>
          <w:p>
            <w:pPr>
              <w:pStyle w:val="Compact"/>
              <w:jc w:val="left"/>
            </w:pPr>
            <w:r>
              <w:t xml:space="preserve">Yes (merger where holders do not retain majority voting power)</w:t>
            </w:r>
          </w:p>
        </w:tc>
        <w:tc>
          <w:tcPr/>
          <w:p>
            <w:pPr>
              <w:pStyle w:val="Compact"/>
              <w:jc w:val="left"/>
            </w:pPr>
            <w:r>
              <w:t xml:space="preserve">Consistent with charter in substance</w:t>
            </w:r>
          </w:p>
        </w:tc>
      </w:tr>
      <w:tr>
        <w:tc>
          <w:tcPr/>
          <w:p>
            <w:pPr>
              <w:pStyle w:val="Compact"/>
              <w:jc w:val="left"/>
            </w:pPr>
            <w:r>
              <w:t xml:space="preserve">Voting Agreement § 1</w:t>
            </w:r>
          </w:p>
        </w:tc>
        <w:tc>
          <w:tcPr/>
          <w:p>
            <w:pPr>
              <w:pStyle w:val="Compact"/>
              <w:jc w:val="left"/>
            </w:pPr>
            <w:r>
              <w:t xml:space="preserve">“</w:t>
            </w:r>
            <w:r>
              <w:t xml:space="preserve">Sale of the Company</w:t>
            </w:r>
            <w:r>
              <w:t xml:space="preserve">”</w:t>
            </w:r>
          </w:p>
        </w:tc>
        <w:tc>
          <w:tcPr/>
          <w:p>
            <w:pPr>
              <w:pStyle w:val="Compact"/>
              <w:jc w:val="left"/>
            </w:pPr>
            <w:r>
              <w:t xml:space="preserve">Yes (identical to SHA)</w:t>
            </w:r>
          </w:p>
        </w:tc>
        <w:tc>
          <w:tcPr/>
          <w:p>
            <w:pPr>
              <w:pStyle w:val="Compact"/>
              <w:jc w:val="left"/>
            </w:pPr>
            <w:r>
              <w:t xml:space="preserve">Consistent with SHA</w:t>
            </w:r>
          </w:p>
        </w:tc>
      </w:tr>
      <w:tr>
        <w:tc>
          <w:tcPr/>
          <w:p>
            <w:pPr>
              <w:pStyle w:val="Compact"/>
              <w:jc w:val="left"/>
            </w:pPr>
            <w:r>
              <w:t xml:space="preserve">Registration Rights Agreement § 9(c)</w:t>
            </w:r>
          </w:p>
        </w:tc>
        <w:tc>
          <w:tcPr/>
          <w:p>
            <w:pPr>
              <w:pStyle w:val="Compact"/>
              <w:jc w:val="left"/>
            </w:pPr>
            <w:r>
              <w:t xml:space="preserve">“</w:t>
            </w:r>
            <w:r>
              <w:t xml:space="preserve">Deemed Liquidation Event</w:t>
            </w:r>
            <w:r>
              <w:t xml:space="preserve">”</w:t>
            </w:r>
          </w:p>
        </w:tc>
        <w:tc>
          <w:tcPr/>
          <w:p>
            <w:pPr>
              <w:pStyle w:val="Compact"/>
              <w:jc w:val="left"/>
            </w:pPr>
            <w:r>
              <w:rPr>
                <w:b/>
                <w:bCs/>
              </w:rPr>
              <w:t xml:space="preserve">Undefined</w:t>
            </w:r>
          </w:p>
        </w:tc>
        <w:tc>
          <w:tcPr/>
          <w:p>
            <w:pPr>
              <w:pStyle w:val="Compact"/>
              <w:jc w:val="left"/>
            </w:pPr>
            <w:r>
              <w:rPr>
                <w:b/>
                <w:bCs/>
              </w:rPr>
              <w:t xml:space="preserve">Inconsistent / gap</w:t>
            </w:r>
          </w:p>
        </w:tc>
      </w:tr>
    </w:tbl>
    <w:p>
      <w:pPr>
        <w:pStyle w:val="BodyText"/>
      </w:pPr>
      <w:r>
        <w:rPr>
          <w:b/>
          <w:bCs/>
        </w:rPr>
        <w:t xml:space="preserve">A. The</w:t>
      </w:r>
      <w:r>
        <w:rPr>
          <w:b/>
          <w:bCs/>
        </w:rPr>
        <w:t xml:space="preserve"> </w:t>
      </w:r>
      <w:r>
        <w:rPr>
          <w:b/>
          <w:bCs/>
        </w:rPr>
        <w:t xml:space="preserve">“</w:t>
      </w:r>
      <w:r>
        <w:rPr>
          <w:b/>
          <w:bCs/>
        </w:rPr>
        <w:t xml:space="preserve">Sale of the Company</w:t>
      </w:r>
      <w:r>
        <w:rPr>
          <w:b/>
          <w:bCs/>
        </w:rPr>
        <w:t xml:space="preserve">”</w:t>
      </w:r>
      <w:r>
        <w:rPr>
          <w:b/>
          <w:bCs/>
        </w:rPr>
        <w:t xml:space="preserve"> </w:t>
      </w:r>
      <w:r>
        <w:rPr>
          <w:b/>
          <w:bCs/>
        </w:rPr>
        <w:t xml:space="preserve">definitions are consistent.</w:t>
      </w:r>
      <w:r>
        <w:t xml:space="preserve"> </w:t>
      </w:r>
      <w:r>
        <w:t xml:space="preserve">The SHA and VA define</w:t>
      </w:r>
      <w:r>
        <w:t xml:space="preserve"> </w:t>
      </w:r>
      <w:r>
        <w:t xml:space="preserve">“</w:t>
      </w:r>
      <w:r>
        <w:t xml:space="preserve">Sale of the Company</w:t>
      </w:r>
      <w:r>
        <w:t xml:space="preserve">”</w:t>
      </w:r>
      <w:r>
        <w:t xml:space="preserve"> </w:t>
      </w:r>
      <w:r>
        <w:t xml:space="preserve">identically (a merger in which pre-transaction holders do not retain a majority of the surviving entity’s voting power; a sale of all/substantially all assets; or a transfer of &gt;50% voting power). Both capture the reverse triangular merger. These are substantively consistent with the charter’s</w:t>
      </w:r>
      <w:r>
        <w:t xml:space="preserve"> </w:t>
      </w:r>
      <w:r>
        <w:t xml:space="preserve">“</w:t>
      </w:r>
      <w:r>
        <w:t xml:space="preserve">Liquidation Event</w:t>
      </w:r>
      <w:r>
        <w:t xml:space="preserve">”</w:t>
      </w:r>
      <w:r>
        <w:t xml:space="preserve"> </w:t>
      </w:r>
      <w:r>
        <w:t xml:space="preserve">(which uses a 50%-voting-power threshold and adds an asset-sale and a &gt;50%-voting-power-transfer prong). The minor drafting differences (e.g.,</w:t>
      </w:r>
      <w:r>
        <w:t xml:space="preserve"> </w:t>
      </w:r>
      <w:r>
        <w:t xml:space="preserve">“</w:t>
      </w:r>
      <w:r>
        <w:t xml:space="preserve">do not retain a majority</w:t>
      </w:r>
      <w:r>
        <w:t xml:space="preserve">”</w:t>
      </w:r>
      <w:r>
        <w:t xml:space="preserve"> </w:t>
      </w:r>
      <w:r>
        <w:t xml:space="preserve">vs. </w:t>
      </w:r>
      <w:r>
        <w:t xml:space="preserve">“</w:t>
      </w:r>
      <w:r>
        <w:t xml:space="preserve">continue to hold at least fifty percent (50%)</w:t>
      </w:r>
      <w:r>
        <w:t xml:space="preserve">”</w:t>
      </w:r>
      <w:r>
        <w:t xml:space="preserve">) do not produce different outcomes for this Transaction.</w:t>
      </w:r>
    </w:p>
    <w:p>
      <w:pPr>
        <w:pStyle w:val="BodyText"/>
      </w:pPr>
      <w:r>
        <w:rPr>
          <w:b/>
          <w:bCs/>
        </w:rPr>
        <w:t xml:space="preserve">B. The RRA’s</w:t>
      </w:r>
      <w:r>
        <w:rPr>
          <w:b/>
          <w:bCs/>
        </w:rPr>
        <w:t xml:space="preserve"> </w:t>
      </w:r>
      <w:r>
        <w:rPr>
          <w:b/>
          <w:bCs/>
        </w:rPr>
        <w:t xml:space="preserve">“</w:t>
      </w:r>
      <w:r>
        <w:rPr>
          <w:b/>
          <w:bCs/>
        </w:rPr>
        <w:t xml:space="preserve">Deemed Liquidation Event</w:t>
      </w:r>
      <w:r>
        <w:rPr>
          <w:b/>
          <w:bCs/>
        </w:rPr>
        <w:t xml:space="preserve">”</w:t>
      </w:r>
      <w:r>
        <w:rPr>
          <w:b/>
          <w:bCs/>
        </w:rPr>
        <w:t xml:space="preserve"> </w:t>
      </w:r>
      <w:r>
        <w:rPr>
          <w:b/>
          <w:bCs/>
        </w:rPr>
        <w:t xml:space="preserve">is undefined — a material gap (Significant).</w:t>
      </w:r>
      <w:r>
        <w:t xml:space="preserve"> </w:t>
      </w:r>
      <w:r>
        <w:t xml:space="preserve">The RRA terminates each Holder’s registration rights upon</w:t>
      </w:r>
      <w:r>
        <w:t xml:space="preserve"> </w:t>
      </w:r>
      <w:r>
        <w:t xml:space="preserve">“</w:t>
      </w:r>
      <w:r>
        <w:t xml:space="preserve">a Deemed Liquidation Event</w:t>
      </w:r>
      <w:r>
        <w:t xml:space="preserve">”</w:t>
      </w:r>
      <w:r>
        <w:t xml:space="preserve"> </w:t>
      </w:r>
      <w:r>
        <w:t xml:space="preserve">(§ 9(c)) and terminates the agreement in its entirety when all Holders’ rights have so terminated (§ 9, second paragraph).</w:t>
      </w:r>
      <w:r>
        <w:t xml:space="preserve"> </w:t>
      </w:r>
      <w:r>
        <w:rPr>
          <w:b/>
          <w:bCs/>
        </w:rPr>
        <w:t xml:space="preserve">The RRA does not define</w:t>
      </w:r>
      <w:r>
        <w:rPr>
          <w:b/>
          <w:bCs/>
        </w:rPr>
        <w:t xml:space="preserve"> </w:t>
      </w:r>
      <w:r>
        <w:rPr>
          <w:b/>
          <w:bCs/>
        </w:rPr>
        <w:t xml:space="preserve">“</w:t>
      </w:r>
      <w:r>
        <w:rPr>
          <w:b/>
          <w:bCs/>
        </w:rPr>
        <w:t xml:space="preserve">Deemed Liquidation Event.</w:t>
      </w:r>
      <w:r>
        <w:rPr>
          <w:b/>
          <w:bCs/>
        </w:rPr>
        <w:t xml:space="preserve">”</w:t>
      </w:r>
      <w:r>
        <w:t xml:space="preserve"> </w:t>
      </w:r>
      <w:r>
        <w:t xml:space="preserve">The term does not appear in the charter (which uses</w:t>
      </w:r>
      <w:r>
        <w:t xml:space="preserve"> </w:t>
      </w:r>
      <w:r>
        <w:t xml:space="preserve">“</w:t>
      </w:r>
      <w:r>
        <w:t xml:space="preserve">Liquidation Event</w:t>
      </w:r>
      <w:r>
        <w:t xml:space="preserve">”</w:t>
      </w:r>
      <w:r>
        <w:t xml:space="preserve">) or in the SHA/VA (which use</w:t>
      </w:r>
      <w:r>
        <w:t xml:space="preserve"> </w:t>
      </w:r>
      <w:r>
        <w:t xml:space="preserve">“</w:t>
      </w:r>
      <w:r>
        <w:t xml:space="preserve">Sale of the Company</w:t>
      </w:r>
      <w:r>
        <w:t xml:space="preserve">”</w:t>
      </w:r>
      <w:r>
        <w:t xml:space="preserve">). The RRA’s definitions section (§ 1) omits it entirely.</w:t>
      </w:r>
    </w:p>
    <w:p>
      <w:pPr>
        <w:pStyle w:val="BodyText"/>
      </w:pPr>
      <w:r>
        <w:t xml:space="preserve">This creates two risks:</w:t>
      </w:r>
    </w:p>
    <w:p>
      <w:pPr>
        <w:pStyle w:val="Compact"/>
        <w:numPr>
          <w:ilvl w:val="0"/>
          <w:numId w:val="1008"/>
        </w:numPr>
      </w:pPr>
      <w:r>
        <w:rPr>
          <w:b/>
          <w:bCs/>
        </w:rPr>
        <w:t xml:space="preserve">Ambiguity as to RRA termination.</w:t>
      </w:r>
      <w:r>
        <w:t xml:space="preserve"> </w:t>
      </w:r>
      <w:r>
        <w:t xml:space="preserve">If</w:t>
      </w:r>
      <w:r>
        <w:t xml:space="preserve"> </w:t>
      </w:r>
      <w:r>
        <w:t xml:space="preserve">“</w:t>
      </w:r>
      <w:r>
        <w:t xml:space="preserve">Deemed Liquidation Event</w:t>
      </w:r>
      <w:r>
        <w:t xml:space="preserve">”</w:t>
      </w:r>
      <w:r>
        <w:t xml:space="preserve"> </w:t>
      </w:r>
      <w:r>
        <w:t xml:space="preserve">is construed to mean the charter’s</w:t>
      </w:r>
      <w:r>
        <w:t xml:space="preserve"> </w:t>
      </w:r>
      <w:r>
        <w:t xml:space="preserve">“</w:t>
      </w:r>
      <w:r>
        <w:t xml:space="preserve">Liquidation Event</w:t>
      </w:r>
      <w:r>
        <w:t xml:space="preserve">”</w:t>
      </w:r>
      <w:r>
        <w:t xml:space="preserve"> </w:t>
      </w:r>
      <w:r>
        <w:t xml:space="preserve">(or the SHA/VA’s</w:t>
      </w:r>
      <w:r>
        <w:t xml:space="preserve"> </w:t>
      </w:r>
      <w:r>
        <w:t xml:space="preserve">“</w:t>
      </w:r>
      <w:r>
        <w:t xml:space="preserve">Sale of the Company</w:t>
      </w:r>
      <w:r>
        <w:t xml:space="preserve">”</w:t>
      </w:r>
      <w:r>
        <w:t xml:space="preserve">), the RRA terminates on the merger. But because the term is undefined, a Holder (Stonemill, holding 7,800,000 of 16,500,000 Registrable Securities — 47.3%) could argue the merger is not a</w:t>
      </w:r>
      <w:r>
        <w:t xml:space="preserve"> </w:t>
      </w:r>
      <w:r>
        <w:t xml:space="preserve">“</w:t>
      </w:r>
      <w:r>
        <w:t xml:space="preserve">Deemed Liquidation Event,</w:t>
      </w:r>
      <w:r>
        <w:t xml:space="preserve">”</w:t>
      </w:r>
      <w:r>
        <w:t xml:space="preserve"> </w:t>
      </w:r>
      <w:r>
        <w:t xml:space="preserve">so the RRA does not terminate and registration rights survive. The term</w:t>
      </w:r>
      <w:r>
        <w:t xml:space="preserve"> </w:t>
      </w:r>
      <w:r>
        <w:t xml:space="preserve">“</w:t>
      </w:r>
      <w:r>
        <w:t xml:space="preserve">Deemed Liquidation Event</w:t>
      </w:r>
      <w:r>
        <w:t xml:space="preserve">”</w:t>
      </w:r>
      <w:r>
        <w:t xml:space="preserve"> </w:t>
      </w:r>
      <w:r>
        <w:t xml:space="preserve">is a familiar NVCA-style concept typically</w:t>
      </w:r>
      <w:r>
        <w:t xml:space="preserve"> </w:t>
      </w:r>
      <w:r>
        <w:rPr>
          <w:i/>
          <w:iCs/>
        </w:rPr>
        <w:t xml:space="preserve">defined in the charter</w:t>
      </w:r>
      <w:r>
        <w:t xml:space="preserve">; its appearance in the RRA without definition appears to be a drafting error (likely intended to cross-reference the charter’s</w:t>
      </w:r>
      <w:r>
        <w:t xml:space="preserve"> </w:t>
      </w:r>
      <w:r>
        <w:t xml:space="preserve">“</w:t>
      </w:r>
      <w:r>
        <w:t xml:space="preserve">Liquidation Event</w:t>
      </w:r>
      <w:r>
        <w:t xml:space="preserve">”</w:t>
      </w:r>
      <w:r>
        <w:t xml:space="preserve">).</w:t>
      </w:r>
    </w:p>
    <w:p>
      <w:pPr>
        <w:pStyle w:val="Compact"/>
        <w:numPr>
          <w:ilvl w:val="0"/>
          <w:numId w:val="1008"/>
        </w:numPr>
      </w:pPr>
      <w:r>
        <w:rPr>
          <w:b/>
          <w:bCs/>
        </w:rPr>
        <w:t xml:space="preserve">Post-closing liability.</w:t>
      </w:r>
      <w:r>
        <w:t xml:space="preserve"> </w:t>
      </w:r>
      <w:r>
        <w:t xml:space="preserve">If the RRA survives, Hargrove (as successor to Terravox) could inherit registration-rights obligations. The practical impact is limited because the Registrable Securities (Common issuable upon conversion of the cancelled Preferred) are cancelled in the merger, leaving no Registrable Securities to register — but the survival could matter if any Holder rolls over equity or receives registered securities as consideration, and the indemnification provisions (RRA § 7) survive any termination (§ 9). Note also that demand registration rights became available November 3, 2024 (three years after the RRA date) (§ 2.1(a)); Stonemill alone exceeds the 30% Initiating Holder threshold (4,950,000 shares) and could theoretically demand registration, though the Company’s Deferral Right (§ 2.1(d)) — which expressly covers material interference with</w:t>
      </w:r>
      <w:r>
        <w:t xml:space="preserve"> </w:t>
      </w:r>
      <w:r>
        <w:t xml:space="preserve">“</w:t>
      </w:r>
      <w:r>
        <w:t xml:space="preserve">a significant acquisition, corporate reorganization, or other similar transaction</w:t>
      </w:r>
      <w:r>
        <w:t xml:space="preserve">”</w:t>
      </w:r>
      <w:r>
        <w:t xml:space="preserve"> </w:t>
      </w:r>
      <w:r>
        <w:t xml:space="preserve">— would likely permit deferral during the Transaction.</w:t>
      </w:r>
    </w:p>
    <w:p>
      <w:pPr>
        <w:pStyle w:val="FirstParagraph"/>
      </w:pPr>
      <w:r>
        <w:rPr>
          <w:b/>
          <w:bCs/>
        </w:rPr>
        <w:t xml:space="preserve">C. Recommendation.</w:t>
      </w:r>
      <w:r>
        <w:t xml:space="preserve"> </w:t>
      </w:r>
      <w:r>
        <w:t xml:space="preserve">Do not rely on the undefined</w:t>
      </w:r>
      <w:r>
        <w:t xml:space="preserve"> </w:t>
      </w:r>
      <w:r>
        <w:t xml:space="preserve">“</w:t>
      </w:r>
      <w:r>
        <w:t xml:space="preserve">Deemed Liquidation Event</w:t>
      </w:r>
      <w:r>
        <w:t xml:space="preserve">”</w:t>
      </w:r>
      <w:r>
        <w:t xml:space="preserve"> </w:t>
      </w:r>
      <w:r>
        <w:t xml:space="preserve">to terminate the RRA. The merger agreement should include an</w:t>
      </w:r>
      <w:r>
        <w:t xml:space="preserve"> </w:t>
      </w:r>
      <w:r>
        <w:rPr>
          <w:b/>
          <w:bCs/>
        </w:rPr>
        <w:t xml:space="preserve">express termination and waiver of the RRA at closing</w:t>
      </w:r>
      <w:r>
        <w:t xml:space="preserve">, signed by the Company and the Holders (or by Hargrove as successor), with the indemnification survival expressly preserved. This closes the definitional gap and eliminates post-closing registration-rights exposure.</w:t>
      </w:r>
    </w:p>
    <w:p>
      <w:r>
        <w:pict>
          <v:rect style="width:0;height:1.5pt" o:hralign="center" o:hrstd="t" o:hr="t"/>
        </w:pict>
      </w:r>
    </w:p>
    <w:bookmarkEnd w:id="27"/>
    <w:bookmarkStart w:id="28" w:name="X878afb753682845ab3a0f0812c7dee481e37bd1"/>
    <w:p>
      <w:pPr>
        <w:pStyle w:val="Heading2"/>
      </w:pPr>
      <w:r>
        <w:t xml:space="preserve">IX. Area 7 — Outstanding Equity Awards and Change-of-Control Acceleration</w:t>
      </w:r>
    </w:p>
    <w:p>
      <w:pPr>
        <w:pStyle w:val="FirstParagraph"/>
      </w:pPr>
      <w:r>
        <w:rPr>
          <w:b/>
          <w:bCs/>
        </w:rPr>
        <w:t xml:space="preserve">A. Document gap (Significant).</w:t>
      </w:r>
      <w:r>
        <w:t xml:space="preserve"> </w:t>
      </w:r>
      <w:r>
        <w:t xml:space="preserve">We have</w:t>
      </w:r>
      <w:r>
        <w:t xml:space="preserve"> </w:t>
      </w:r>
      <w:r>
        <w:rPr>
          <w:b/>
          <w:bCs/>
        </w:rPr>
        <w:t xml:space="preserve">not</w:t>
      </w:r>
      <w:r>
        <w:t xml:space="preserve"> </w:t>
      </w:r>
      <w:r>
        <w:t xml:space="preserve">received the 2021 Equity Incentive Plan (the</w:t>
      </w:r>
      <w:r>
        <w:t xml:space="preserve"> </w:t>
      </w:r>
      <w:r>
        <w:t xml:space="preserve">“</w:t>
      </w:r>
      <w:r>
        <w:t xml:space="preserve">Plan</w:t>
      </w:r>
      <w:r>
        <w:t xml:space="preserve">”</w:t>
      </w:r>
      <w:r>
        <w:t xml:space="preserve">) or any individual award agreements. The Plan was adopted November 3, 2021 (Board Minutes, Apr. 12, 2023). Without the Plan and award agreements, we cannot definitively determine (i) whether the merger constitutes a</w:t>
      </w:r>
      <w:r>
        <w:t xml:space="preserve"> </w:t>
      </w:r>
      <w:r>
        <w:t xml:space="preserve">“</w:t>
      </w:r>
      <w:r>
        <w:t xml:space="preserve">change of control</w:t>
      </w:r>
      <w:r>
        <w:t xml:space="preserve">”</w:t>
      </w:r>
      <w:r>
        <w:t xml:space="preserve"> </w:t>
      </w:r>
      <w:r>
        <w:t xml:space="preserve">under the Plan, (ii) whether unvested awards accelerate on a single-trigger or double-trigger basis, or (iii) the aggregate dollar impact of any acceleration.</w:t>
      </w:r>
      <w:r>
        <w:t xml:space="preserve"> </w:t>
      </w:r>
      <w:r>
        <w:rPr>
          <w:b/>
          <w:bCs/>
        </w:rPr>
        <w:t xml:space="preserve">These documents must be requested</w:t>
      </w:r>
      <w:r>
        <w:t xml:space="preserve"> </w:t>
      </w:r>
      <w:r>
        <w:t xml:space="preserve">(see Section XVI).</w:t>
      </w:r>
    </w:p>
    <w:p>
      <w:pPr>
        <w:pStyle w:val="BodyText"/>
      </w:pPr>
      <w:r>
        <w:rPr>
          <w:b/>
          <w:bCs/>
        </w:rPr>
        <w:t xml:space="preserve">B. What the Board Minutes reveal.</w:t>
      </w:r>
    </w:p>
    <w:p>
      <w:pPr>
        <w:pStyle w:val="Compact"/>
        <w:numPr>
          <w:ilvl w:val="0"/>
          <w:numId w:val="1009"/>
        </w:numPr>
      </w:pPr>
      <w:r>
        <w:rPr>
          <w:b/>
          <w:bCs/>
        </w:rPr>
        <w:t xml:space="preserve">Share-reserve increase (July 19, 2023).</w:t>
      </w:r>
      <w:r>
        <w:t xml:space="preserve"> </w:t>
      </w:r>
      <w:r>
        <w:t xml:space="preserve">The Board approved increasing the Plan’s share reserve from 8,000,000 to 9,500,000 shares (+1,500,000), raising the fully diluted option pool from ~16.7% to ~20.1% (Board Minutes, July 19, 2023). Outside counsel (Rourke) advised that</w:t>
      </w:r>
      <w:r>
        <w:t xml:space="preserve"> </w:t>
      </w:r>
      <w:r>
        <w:t xml:space="preserve">“</w:t>
      </w:r>
      <w:r>
        <w:t xml:space="preserve">the amendment required Board approval</w:t>
      </w:r>
      <w:r>
        <w:t xml:space="preserve">”</w:t>
      </w:r>
      <w:r>
        <w:t xml:space="preserve"> </w:t>
      </w:r>
      <w:r>
        <w:t xml:space="preserve">but</w:t>
      </w:r>
      <w:r>
        <w:t xml:space="preserve"> </w:t>
      </w:r>
      <w:r>
        <w:rPr>
          <w:b/>
          <w:bCs/>
        </w:rPr>
        <w:t xml:space="preserve">did not address whether stockholder approval was required</w:t>
      </w:r>
      <w:r>
        <w:t xml:space="preserve">. The minutes reflect only Board approval (7-0).</w:t>
      </w:r>
      <w:r>
        <w:t xml:space="preserve"> </w:t>
      </w:r>
      <w:r>
        <w:rPr>
          <w:i/>
          <w:iCs/>
        </w:rPr>
        <w:t xml:space="preserve">(Moderate severity.)</w:t>
      </w:r>
      <w:r>
        <w:t xml:space="preserve"> </w:t>
      </w:r>
      <w:r>
        <w:t xml:space="preserve">Under the Restated Certificate, increasing the Plan reserve does</w:t>
      </w:r>
      <w:r>
        <w:t xml:space="preserve"> </w:t>
      </w:r>
      <w:r>
        <w:rPr>
          <w:b/>
          <w:bCs/>
        </w:rPr>
        <w:t xml:space="preserve">not</w:t>
      </w:r>
      <w:r>
        <w:t xml:space="preserve"> </w:t>
      </w:r>
      <w:r>
        <w:t xml:space="preserve">increase the</w:t>
      </w:r>
      <w:r>
        <w:t xml:space="preserve"> </w:t>
      </w:r>
      <w:r>
        <w:rPr>
          <w:i/>
          <w:iCs/>
        </w:rPr>
        <w:t xml:space="preserve">authorized</w:t>
      </w:r>
      <w:r>
        <w:t xml:space="preserve"> </w:t>
      </w:r>
      <w:r>
        <w:t xml:space="preserve">shares of Common (it draws on the 50,000,000 authorized Common), so the all-Preferred protective provision on authorized-share changes (§ 4.3.6(a)(ii)) is not triggered, and the anti-dilution exception for plan issuances (§ 4.3.4(b)(i)) is satisfied so long as the Plan is approved by a Board including at least one Preferred-elected director (it is — Kleinhans, Okafor, and Trask are all Preferred designees).</w:t>
      </w:r>
      <w:r>
        <w:t xml:space="preserve"> </w:t>
      </w:r>
      <w:r>
        <w:rPr>
          <w:b/>
          <w:bCs/>
        </w:rPr>
        <w:t xml:space="preserve">However, whether the Plan itself (or applicable tax/listing rules) required stockholder approval for the reserve increase cannot be confirmed without the Plan.</w:t>
      </w:r>
      <w:r>
        <w:t xml:space="preserve"> </w:t>
      </w:r>
      <w:r>
        <w:t xml:space="preserve">We flag this and recommend confirming that any required stockholder approval was obtained; if it was not, grants under the increased reserve could be vulnerable to challenge.</w:t>
      </w:r>
    </w:p>
    <w:p>
      <w:pPr>
        <w:pStyle w:val="Compact"/>
        <w:numPr>
          <w:ilvl w:val="0"/>
          <w:numId w:val="1009"/>
        </w:numPr>
      </w:pPr>
      <w:r>
        <w:rPr>
          <w:b/>
          <w:bCs/>
        </w:rPr>
        <w:t xml:space="preserve">Option grant — Raj Malhotra (VP Engineering), April 12, 2023.</w:t>
      </w:r>
      <w:r>
        <w:t xml:space="preserve"> </w:t>
      </w:r>
      <w:r>
        <w:t xml:space="preserve">350,000 options, exercise price $14.30 (the 409A fair market value), four-year vesting with a one-year cliff, under the Plan.</w:t>
      </w:r>
    </w:p>
    <w:p>
      <w:pPr>
        <w:pStyle w:val="Compact"/>
        <w:numPr>
          <w:ilvl w:val="0"/>
          <w:numId w:val="1009"/>
        </w:numPr>
      </w:pPr>
      <w:r>
        <w:rPr>
          <w:b/>
          <w:bCs/>
        </w:rPr>
        <w:t xml:space="preserve">RSU grant — Linda Yeung (CFO/Secretary), April 17, 2024.</w:t>
      </w:r>
      <w:r>
        <w:t xml:space="preserve"> </w:t>
      </w:r>
      <w:r>
        <w:t xml:space="preserve">200,000 RSUs, fair market value $14.30, three-year vesting (one-third per year), under the Plan (as amended). We note that Ms. Yeung serves as both CFO and the recording Secretary; the grant was approved by the Compensation Committee (chaired by Lau) and the Board, not by Ms. Yeung herself, but the dual role warrants a brief conflict check in the merger agreement reps.</w:t>
      </w:r>
    </w:p>
    <w:p>
      <w:pPr>
        <w:pStyle w:val="FirstParagraph"/>
      </w:pPr>
      <w:r>
        <w:rPr>
          <w:b/>
          <w:bCs/>
        </w:rPr>
        <w:t xml:space="preserve">C. Preliminary economic observations (subject to the Plan/award agreements).</w:t>
      </w:r>
      <w:r>
        <w:t xml:space="preserve"> </w:t>
      </w:r>
      <w:r>
        <w:t xml:space="preserve">The 409A valuation used for both grants is $14.30 per share. The Transaction’s blended as-converted equity value is ~$13.95 per share ($473M / 33,900,000), and — applying the charter’s non-participating waterfall — the per-share consideration to Common (and to converting Series A/B holders) is approximately</w:t>
      </w:r>
      <w:r>
        <w:t xml:space="preserve"> </w:t>
      </w:r>
      <w:r>
        <w:rPr>
          <w:b/>
          <w:bCs/>
        </w:rPr>
        <w:t xml:space="preserve">$12.59</w:t>
      </w:r>
      <w:r>
        <w:t xml:space="preserve"> </w:t>
      </w:r>
      <w:r>
        <w:t xml:space="preserve">per share (Series C elects its $18.50 preference; the remaining ~$328.7 million is shared among Common, Series A, and Series B, totaling 26,100,000 as-converted shares).</w:t>
      </w:r>
      <w:r>
        <w:t xml:space="preserve"> </w:t>
      </w:r>
      <w:r>
        <w:rPr>
          <w:b/>
          <w:bCs/>
        </w:rPr>
        <w:t xml:space="preserve">Implication: options with a $14.30 exercise price are out-of-the-money at the deal price</w:t>
      </w:r>
      <w:r>
        <w:t xml:space="preserve"> </w:t>
      </w:r>
      <w:r>
        <w:t xml:space="preserve">(strike $14.30 &gt; ~$12.59 Common consideration), so accelerated vesting of those options would produce little or no spread value unless the Plan provides for a cash-out at fair value or a different treatment. RSUs (no exercise price) would have value at ~$12.59 per share (e.g., Yeung’s 200,000 RSUs ≈ $2.5 million, before vesting/acceleration). These figures are preliminary; the actual Common per-share consideration depends on the final waterfall and any deal-specific allocation, and the acceleration treatment depends entirely on the Plan and award agreements.</w:t>
      </w:r>
    </w:p>
    <w:p>
      <w:pPr>
        <w:pStyle w:val="BodyText"/>
      </w:pPr>
      <w:r>
        <w:rPr>
          <w:b/>
          <w:bCs/>
        </w:rPr>
        <w:t xml:space="preserve">D. Items to confirm.</w:t>
      </w:r>
      <w:r>
        <w:t xml:space="preserve"> </w:t>
      </w:r>
      <w:r>
        <w:t xml:space="preserve">(i) The Plan’s change-of-control definition and whether the merger qualifies; (ii) single-trigger vs. double-trigger acceleration (double-trigger typically requires both a change of control</w:t>
      </w:r>
      <w:r>
        <w:t xml:space="preserve"> </w:t>
      </w:r>
      <w:r>
        <w:rPr>
          <w:i/>
          <w:iCs/>
        </w:rPr>
        <w:t xml:space="preserve">and</w:t>
      </w:r>
      <w:r>
        <w:t xml:space="preserve"> </w:t>
      </w:r>
      <w:r>
        <w:t xml:space="preserve">a qualifying termination); (iii) the treatment of underwater options (cancellation for no consideration vs. cash-out vs. acceleration); (iv) the full outstanding award schedule (grants, vesting, exercise prices) to compute aggregate acceleration cost; (v) whether the Plan administrator (Board/Compensation Committee) must approve the change-of-control treatment; and (vi) whether stockholder approval was obtained for the July 2023 reserve increase. The aggregate acceleration cost should be modeled and reflected in the deal economics and the merger agreement’s treatment of Company equity awards.</w:t>
      </w:r>
    </w:p>
    <w:p>
      <w:r>
        <w:pict>
          <v:rect style="width:0;height:1.5pt" o:hralign="center" o:hrstd="t" o:hr="t"/>
        </w:pict>
      </w:r>
    </w:p>
    <w:bookmarkEnd w:id="28"/>
    <w:bookmarkStart w:id="29" w:name="X58fac29804cc1cfbdb8bed52a70f6386472f7f0"/>
    <w:p>
      <w:pPr>
        <w:pStyle w:val="Heading2"/>
      </w:pPr>
      <w:r>
        <w:t xml:space="preserve">X. Area 8 — Authorization of Corporate Actions — Board Minutes Review</w:t>
      </w:r>
    </w:p>
    <w:p>
      <w:pPr>
        <w:pStyle w:val="FirstParagraph"/>
      </w:pPr>
      <w:r>
        <w:t xml:space="preserve">We reviewed all eight sets of Board minutes (January 18, 2023 – September 25, 2024). Most actions were properly noticed, quorate (Bylaws § 3.7: majority of directors then in office = 4 of 7), and approved by appropriate Board vote. We focus below on the three items you flagged and one additional concern.</w:t>
      </w:r>
    </w:p>
    <w:p>
      <w:pPr>
        <w:pStyle w:val="BodyText"/>
      </w:pPr>
      <w:r>
        <w:rPr>
          <w:b/>
          <w:bCs/>
        </w:rPr>
        <w:t xml:space="preserve">(a) Equity plan share-reserve increase (July 19, 2023).</w:t>
      </w:r>
      <w:r>
        <w:t xml:space="preserve"> </w:t>
      </w:r>
      <w:r>
        <w:t xml:space="preserve">Addressed in Section IX (Area 7). The Board approved the increase 7-0; outside counsel addressed only Board approval.</w:t>
      </w:r>
      <w:r>
        <w:t xml:space="preserve"> </w:t>
      </w:r>
      <w:r>
        <w:rPr>
          <w:b/>
          <w:bCs/>
        </w:rPr>
        <w:t xml:space="preserve">Open question: was stockholder approval required and, if so, obtained?</w:t>
      </w:r>
      <w:r>
        <w:t xml:space="preserve"> </w:t>
      </w:r>
      <w:r>
        <w:t xml:space="preserve">Status: unknown pending the Plan.</w:t>
      </w:r>
      <w:r>
        <w:t xml:space="preserve"> </w:t>
      </w:r>
      <w:r>
        <w:rPr>
          <w:i/>
          <w:iCs/>
        </w:rPr>
        <w:t xml:space="preserve">(Moderate.)</w:t>
      </w:r>
    </w:p>
    <w:p>
      <w:pPr>
        <w:pStyle w:val="BodyText"/>
      </w:pPr>
      <w:r>
        <w:rPr>
          <w:b/>
          <w:bCs/>
        </w:rPr>
        <w:t xml:space="preserve">(b) Clearfield National Bank $12 million term loan (October 11, 2023) — Significant.</w:t>
      </w:r>
      <w:r>
        <w:t xml:space="preserve"> </w:t>
      </w:r>
      <w:r>
        <w:t xml:space="preserve">The Board approved a $12,000,000 secured term loan (SOFR + 3.50%, five-year term, secured by substantially all assets including accounts receivable, inventory, equipment, and IP) by a 7-0 vote.</w:t>
      </w:r>
      <w:r>
        <w:t xml:space="preserve"> </w:t>
      </w:r>
      <w:r>
        <w:rPr>
          <w:b/>
          <w:bCs/>
        </w:rPr>
        <w:t xml:space="preserve">The Restated Certificate § 4.3.6(a)(v) requires the prior written consent or affirmative vote of holders of a majority of the Preferred (as-converted) before the Company may</w:t>
      </w:r>
      <w:r>
        <w:rPr>
          <w:b/>
          <w:bCs/>
        </w:rPr>
        <w:t xml:space="preserve"> </w:t>
      </w:r>
      <w:r>
        <w:rPr>
          <w:b/>
          <w:bCs/>
        </w:rPr>
        <w:t xml:space="preserve">“</w:t>
      </w:r>
      <w:r>
        <w:rPr>
          <w:b/>
          <w:bCs/>
        </w:rPr>
        <w:t xml:space="preserve">incur, assume, guarantee, or otherwise become liable for any indebtedness for borrowed money in excess of $5,000,000.</w:t>
      </w:r>
      <w:r>
        <w:rPr>
          <w:b/>
          <w:bCs/>
        </w:rPr>
        <w:t xml:space="preserve">”</w:t>
      </w:r>
      <w:r>
        <w:t xml:space="preserve"> </w:t>
      </w:r>
      <w:r>
        <w:t xml:space="preserve">The $12 million loan exceeds $5,000,000 and falls within neither stated exception (equipment financing/capital leases ≤ $2,000,000; ordinary-course trade payables).</w:t>
      </w:r>
      <w:r>
        <w:t xml:space="preserve"> </w:t>
      </w:r>
      <w:r>
        <w:rPr>
          <w:b/>
          <w:bCs/>
        </w:rPr>
        <w:t xml:space="preserve">The Board minutes reflect only Board approval and do not reflect that the required Preferred Stockholder consent was obtained.</w:t>
      </w:r>
      <w:r>
        <w:t xml:space="preserve"> </w:t>
      </w:r>
      <w:r>
        <w:t xml:space="preserve">This is a potential violation of the charter protective provisions. Consequences and considerations:</w:t>
      </w:r>
    </w:p>
    <w:p>
      <w:pPr>
        <w:pStyle w:val="Compact"/>
        <w:numPr>
          <w:ilvl w:val="0"/>
          <w:numId w:val="1010"/>
        </w:numPr>
      </w:pPr>
      <w:r>
        <w:t xml:space="preserve">The loan is likely enforceable against the Company as to the lender (Clearfield), which presumably had no notice of any protective-provision issue, but the Company may have a governance defect and the directors may have exposure for acting without the required consent.</w:t>
      </w:r>
    </w:p>
    <w:p>
      <w:pPr>
        <w:pStyle w:val="Compact"/>
        <w:numPr>
          <w:ilvl w:val="0"/>
          <w:numId w:val="1010"/>
        </w:numPr>
      </w:pPr>
      <w:r>
        <w:rPr>
          <w:b/>
          <w:bCs/>
        </w:rPr>
        <w:t xml:space="preserve">Stonemill can exploit this.</w:t>
      </w:r>
      <w:r>
        <w:t xml:space="preserve"> </w:t>
      </w:r>
      <w:r>
        <w:t xml:space="preserve">It supports a narrative that the Board has disregarded Preferred protective provisions — the same provisions Stonemill now invokes on the Transaction — and could be raised in any challenge to the sale process or the drag-along enforcement.</w:t>
      </w:r>
    </w:p>
    <w:p>
      <w:pPr>
        <w:pStyle w:val="Compact"/>
        <w:numPr>
          <w:ilvl w:val="0"/>
          <w:numId w:val="1010"/>
        </w:numPr>
      </w:pPr>
      <w:r>
        <w:t xml:space="preserve">The loan’s security interest in substantially all assets (including IP) and its change-of-control covenants are material to the Transaction and must be reviewed (the loan agreement has not been produced).</w:t>
      </w:r>
    </w:p>
    <w:p>
      <w:pPr>
        <w:pStyle w:val="Compact"/>
        <w:numPr>
          <w:ilvl w:val="0"/>
          <w:numId w:val="1010"/>
        </w:numPr>
      </w:pPr>
      <w:r>
        <w:rPr>
          <w:b/>
          <w:bCs/>
        </w:rPr>
        <w:t xml:space="preserve">Recommendation:</w:t>
      </w:r>
      <w:r>
        <w:t xml:space="preserve"> </w:t>
      </w:r>
      <w:r>
        <w:t xml:space="preserve">Request the stockholder consent records (if any) for the Clearfield loan and the loan agreement itself. If Preferred consent was not obtained, assess whether it can be ratified/confirmed now and address the defect in the merger agreement reps and the sale-process record. This should be raised with Company counsel through you (not directly).</w:t>
      </w:r>
    </w:p>
    <w:p>
      <w:pPr>
        <w:pStyle w:val="FirstParagraph"/>
      </w:pPr>
      <w:r>
        <w:rPr>
          <w:b/>
          <w:bCs/>
        </w:rPr>
        <w:t xml:space="preserve">(c) SensorLink Technologies LOI — Critical / Time-Sensitive.</w:t>
      </w:r>
      <w:r>
        <w:t xml:space="preserve"> </w:t>
      </w:r>
      <w:r>
        <w:t xml:space="preserve">The Board authorized pursuing a SensorLink acquisition (up to $22 million) on January 24, 2024; a non-binding LOI was executed March 8, 2024, containing a</w:t>
      </w:r>
      <w:r>
        <w:t xml:space="preserve"> </w:t>
      </w:r>
      <w:r>
        <w:rPr>
          <w:b/>
          <w:bCs/>
        </w:rPr>
        <w:t xml:space="preserve">mutual exclusivity provision with an initial six-month term expiring September 8, 2024, and an automatic renewal clause</w:t>
      </w:r>
      <w:r>
        <w:t xml:space="preserve"> </w:t>
      </w:r>
      <w:r>
        <w:t xml:space="preserve">— the exclusivity period</w:t>
      </w:r>
      <w:r>
        <w:t xml:space="preserve"> </w:t>
      </w:r>
      <w:r>
        <w:t xml:space="preserve">“</w:t>
      </w:r>
      <w:r>
        <w:t xml:space="preserve">automatically extended for successive ninety (90)-day periods unless either party provided written notice of termination to the other party at least fifteen (15) days prior to the expiration of the then-current exclusivity period</w:t>
      </w:r>
      <w:r>
        <w:t xml:space="preserve">”</w:t>
      </w:r>
      <w:r>
        <w:t xml:space="preserve"> </w:t>
      </w:r>
      <w:r>
        <w:t xml:space="preserve">(Board Minutes, Sept. 25, 2024). At the September 25, 2024 meeting, the CEO reported that the Company was no longer pursuing SensorLink and believed the exclusivity</w:t>
      </w:r>
      <w:r>
        <w:t xml:space="preserve"> </w:t>
      </w:r>
      <w:r>
        <w:t xml:space="preserve">“</w:t>
      </w:r>
      <w:r>
        <w:t xml:space="preserve">expired by its own terms,</w:t>
      </w:r>
      <w:r>
        <w:t xml:space="preserve">”</w:t>
      </w:r>
      <w:r>
        <w:t xml:space="preserve"> </w:t>
      </w:r>
      <w:r>
        <w:t xml:space="preserve">but</w:t>
      </w:r>
      <w:r>
        <w:t xml:space="preserve"> </w:t>
      </w:r>
      <w:r>
        <w:rPr>
          <w:b/>
          <w:bCs/>
        </w:rPr>
        <w:t xml:space="preserve">outside counsel (Rourke) flagged the auto-renewal and asked whether a written termination notice had been sent before September 8, 2024. The CEO acknowledged he was</w:t>
      </w:r>
      <w:r>
        <w:rPr>
          <w:b/>
          <w:bCs/>
        </w:rPr>
        <w:t xml:space="preserve"> </w:t>
      </w:r>
      <w:r>
        <w:rPr>
          <w:b/>
          <w:bCs/>
        </w:rPr>
        <w:t xml:space="preserve">“</w:t>
      </w:r>
      <w:r>
        <w:rPr>
          <w:b/>
          <w:bCs/>
        </w:rPr>
        <w:t xml:space="preserve">not certain</w:t>
      </w:r>
      <w:r>
        <w:rPr>
          <w:b/>
          <w:bCs/>
        </w:rPr>
        <w:t xml:space="preserve">”</w:t>
      </w:r>
      <w:r>
        <w:rPr>
          <w:b/>
          <w:bCs/>
        </w:rPr>
        <w:t xml:space="preserve"> </w:t>
      </w:r>
      <w:r>
        <w:rPr>
          <w:b/>
          <w:bCs/>
        </w:rPr>
        <w:t xml:space="preserve">whether a formal termination notice had been delivered.</w:t>
      </w:r>
      <w:r>
        <w:t xml:space="preserve"> </w:t>
      </w:r>
      <w:r>
        <w:t xml:space="preserve">The Chairman directed the CFO and outside counsel to investigate and</w:t>
      </w:r>
      <w:r>
        <w:t xml:space="preserve"> </w:t>
      </w:r>
      <w:r>
        <w:t xml:space="preserve">“</w:t>
      </w:r>
      <w:r>
        <w:t xml:space="preserve">take any necessary steps to terminate.</w:t>
      </w:r>
      <w:r>
        <w:t xml:space="preserve">”</w:t>
      </w:r>
    </w:p>
    <w:p>
      <w:pPr>
        <w:pStyle w:val="BodyText"/>
      </w:pPr>
      <w:r>
        <w:rPr>
          <w:b/>
          <w:bCs/>
        </w:rPr>
        <w:t xml:space="preserve">This is time-sensitive and potentially deal-blocking.</w:t>
      </w:r>
      <w:r>
        <w:t xml:space="preserve"> </w:t>
      </w:r>
      <w:r>
        <w:t xml:space="preserve">If no termination notice was sent before September 8, 2024, the exclusivity</w:t>
      </w:r>
      <w:r>
        <w:t xml:space="preserve"> </w:t>
      </w:r>
      <w:r>
        <w:rPr>
          <w:b/>
          <w:bCs/>
        </w:rPr>
        <w:t xml:space="preserve">auto-renewed for a 90-day period through approximately December 7, 2024</w:t>
      </w:r>
      <w:r>
        <w:t xml:space="preserve">, and will continue to auto-renew every 90 days until properly terminated. A live exclusivity obligation could (i) constitute a breach if Terravox signs a definitive agreement with Hargrove during the exclusivity period, (ii) give SensorLink a damages or specific-performance claim, and (iii) conflict with any exclusivity Hargrove expects. Although the LOI is</w:t>
      </w:r>
      <w:r>
        <w:t xml:space="preserve"> </w:t>
      </w:r>
      <w:r>
        <w:t xml:space="preserve">“</w:t>
      </w:r>
      <w:r>
        <w:t xml:space="preserve">non-binding</w:t>
      </w:r>
      <w:r>
        <w:t xml:space="preserve">”</w:t>
      </w:r>
      <w:r>
        <w:t xml:space="preserve"> </w:t>
      </w:r>
      <w:r>
        <w:t xml:space="preserve">as to the acquisition,</w:t>
      </w:r>
      <w:r>
        <w:t xml:space="preserve"> </w:t>
      </w:r>
      <w:r>
        <w:rPr>
          <w:b/>
          <w:bCs/>
        </w:rPr>
        <w:t xml:space="preserve">exclusivity provisions in LOIs are typically binding.</w:t>
      </w:r>
      <w:r>
        <w:t xml:space="preserve"> </w:t>
      </w:r>
      <w:r>
        <w:t xml:space="preserve">Required actions, in order of urgency:</w:t>
      </w:r>
    </w:p>
    <w:p>
      <w:pPr>
        <w:pStyle w:val="Compact"/>
        <w:numPr>
          <w:ilvl w:val="0"/>
          <w:numId w:val="1011"/>
        </w:numPr>
      </w:pPr>
      <w:r>
        <w:rPr>
          <w:b/>
          <w:bCs/>
        </w:rPr>
        <w:t xml:space="preserve">Immediately confirm</w:t>
      </w:r>
      <w:r>
        <w:t xml:space="preserve"> </w:t>
      </w:r>
      <w:r>
        <w:t xml:space="preserve">whether a written termination notice was sent to SensorLink before September 8, 2024 (request the notice and any SensorLink acknowledgment from Company counsel).</w:t>
      </w:r>
    </w:p>
    <w:p>
      <w:pPr>
        <w:pStyle w:val="Compact"/>
        <w:numPr>
          <w:ilvl w:val="0"/>
          <w:numId w:val="1011"/>
        </w:numPr>
      </w:pPr>
      <w:r>
        <w:rPr>
          <w:b/>
          <w:bCs/>
        </w:rPr>
        <w:t xml:space="preserve">If no notice was sent, send one immediately.</w:t>
      </w:r>
      <w:r>
        <w:t xml:space="preserve"> </w:t>
      </w:r>
      <w:r>
        <w:t xml:space="preserve">Timing trap: to stop renewal, notice must be given at least 15 days before the</w:t>
      </w:r>
      <w:r>
        <w:t xml:space="preserve"> </w:t>
      </w:r>
      <w:r>
        <w:rPr>
          <w:i/>
          <w:iCs/>
        </w:rPr>
        <w:t xml:space="preserve">then-current</w:t>
      </w:r>
      <w:r>
        <w:t xml:space="preserve"> </w:t>
      </w:r>
      <w:r>
        <w:t xml:space="preserve">period ends. If the current period ends ~December 7, 2024, notice by ~November 22, 2024 prevents a further 90-day renewal (through ~March 7, 2025).</w:t>
      </w:r>
      <w:r>
        <w:t xml:space="preserve"> </w:t>
      </w:r>
      <w:r>
        <w:rPr>
          <w:b/>
          <w:bCs/>
        </w:rPr>
        <w:t xml:space="preserve">The sooner notice is sent, the sooner the obligation ends.</w:t>
      </w:r>
    </w:p>
    <w:p>
      <w:pPr>
        <w:pStyle w:val="Compact"/>
        <w:numPr>
          <w:ilvl w:val="0"/>
          <w:numId w:val="1011"/>
        </w:numPr>
      </w:pPr>
      <w:r>
        <w:rPr>
          <w:b/>
          <w:bCs/>
        </w:rPr>
        <w:t xml:space="preserve">Request the SensorLink LOI and all related correspondence</w:t>
      </w:r>
      <w:r>
        <w:t xml:space="preserve"> </w:t>
      </w:r>
      <w:r>
        <w:t xml:space="preserve">to confirm the exact renewal mechanics, notice addresses, and SensorLink’s position.</w:t>
      </w:r>
    </w:p>
    <w:p>
      <w:pPr>
        <w:pStyle w:val="Compact"/>
        <w:numPr>
          <w:ilvl w:val="0"/>
          <w:numId w:val="1011"/>
        </w:numPr>
      </w:pPr>
      <w:r>
        <w:rPr>
          <w:b/>
          <w:bCs/>
        </w:rPr>
        <w:t xml:space="preserve">Address in the merger agreement</w:t>
      </w:r>
      <w:r>
        <w:t xml:space="preserve">: a</w:t>
      </w:r>
      <w:r>
        <w:t xml:space="preserve"> </w:t>
      </w:r>
      <w:r>
        <w:t xml:space="preserve">“</w:t>
      </w:r>
      <w:r>
        <w:t xml:space="preserve">no conflicting exclusivity</w:t>
      </w:r>
      <w:r>
        <w:t xml:space="preserve">”</w:t>
      </w:r>
      <w:r>
        <w:t xml:space="preserve"> </w:t>
      </w:r>
      <w:r>
        <w:t xml:space="preserve">Company representation and a closing condition that any SensorLink exclusivity has been terminated.</w:t>
      </w:r>
    </w:p>
    <w:p>
      <w:pPr>
        <w:pStyle w:val="Compact"/>
        <w:numPr>
          <w:ilvl w:val="0"/>
          <w:numId w:val="1011"/>
        </w:numPr>
      </w:pPr>
      <w:r>
        <w:rPr>
          <w:b/>
          <w:bCs/>
        </w:rPr>
        <w:t xml:space="preserve">Assess overlap with Hargrove exclusivity.</w:t>
      </w:r>
      <w:r>
        <w:t xml:space="preserve"> </w:t>
      </w:r>
      <w:r>
        <w:t xml:space="preserve">The Board authorized a 60-day Hargrove exclusivity on July 10, 2024 (through ~September 8, 2024); the September 25 minutes show Hargrove submitted a revised IOI after that period. Confirm whether any Hargrove exclusivity is in effect and whether overlapping SensorLink exclusivity has already caused a technical breach.</w:t>
      </w:r>
    </w:p>
    <w:p>
      <w:pPr>
        <w:pStyle w:val="FirstParagraph"/>
      </w:pPr>
      <w:r>
        <w:rPr>
          <w:b/>
          <w:bCs/>
        </w:rPr>
        <w:t xml:space="preserve">(d) Additional concern — Stonemill observer not present at the April 17, 2024 meeting (Moderate).</w:t>
      </w:r>
      <w:r>
        <w:t xml:space="preserve"> </w:t>
      </w:r>
      <w:r>
        <w:t xml:space="preserve">The Voting Agreement (§ 4.1) entitles Stonemill to have an observer at all Board meetings and to receive all Board materials. The April 17, 2024 minutes state that</w:t>
      </w:r>
      <w:r>
        <w:t xml:space="preserve"> </w:t>
      </w:r>
      <w:r>
        <w:t xml:space="preserve">“</w:t>
      </w:r>
      <w:r>
        <w:t xml:space="preserve">the Stonemill Capital Partners Fund VI, LP observer representative was not present at this meeting.</w:t>
      </w:r>
      <w:r>
        <w:t xml:space="preserve">”</w:t>
      </w:r>
      <w:r>
        <w:t xml:space="preserve"> </w:t>
      </w:r>
      <w:r>
        <w:t xml:space="preserve">It is unclear whether the observer was properly notified and provided materials. If the Company failed to give notice or materials, that is a technical breach of the VA that Stonemill can cite (alongside Trask’s absence and objection) to support its narrative of exclusion. We recommend confirming the observer-notice practices for that meeting.</w:t>
      </w:r>
    </w:p>
    <w:p>
      <w:pPr>
        <w:pStyle w:val="BodyText"/>
      </w:pPr>
      <w:r>
        <w:rPr>
          <w:b/>
          <w:bCs/>
        </w:rPr>
        <w:t xml:space="preserve">Other minutes observations.</w:t>
      </w:r>
      <w:r>
        <w:t xml:space="preserve"> </w:t>
      </w:r>
      <w:r>
        <w:t xml:space="preserve">The strategic-alternatives process was properly initiated (Meridian engagement, Jan. 18, 2023), a Special Committee was formed (Apr. 12, 2023), and the process had some breadth (three initial parties —</w:t>
      </w:r>
      <w:r>
        <w:t xml:space="preserve"> </w:t>
      </w:r>
      <w:r>
        <w:t xml:space="preserve">“</w:t>
      </w:r>
      <w:r>
        <w:t xml:space="preserve">Alpha,</w:t>
      </w:r>
      <w:r>
        <w:t xml:space="preserve">”</w:t>
      </w:r>
      <w:r>
        <w:t xml:space="preserve"> </w:t>
      </w:r>
      <w:r>
        <w:t xml:space="preserve">“</w:t>
      </w:r>
      <w:r>
        <w:t xml:space="preserve">Beta,</w:t>
      </w:r>
      <w:r>
        <w:t xml:space="preserve">”</w:t>
      </w:r>
      <w:r>
        <w:t xml:space="preserve"> </w:t>
      </w:r>
      <w:r>
        <w:t xml:space="preserve">“</w:t>
      </w:r>
      <w:r>
        <w:t xml:space="preserve">Gamma</w:t>
      </w:r>
      <w:r>
        <w:t xml:space="preserve">”</w:t>
      </w:r>
      <w:r>
        <w:t xml:space="preserve"> </w:t>
      </w:r>
      <w:r>
        <w:t xml:space="preserve">— plus the Hargrove inbound). The Board’s authorizations to engage Hargrove (Apr. 17, 2024), grant exclusivity (July 10, 2024), and negotiate definitive documentation (Sept. 25, 2024) were each supported by a quorum and appropriate votes, though Trask dissented at the July and September meetings and was absent (with the observer absent) in April. The engagement of Thornbury &amp; Associates as independent valuation advisor (July 10, 2024) is a positive process feature.</w:t>
      </w:r>
    </w:p>
    <w:p>
      <w:r>
        <w:pict>
          <v:rect style="width:0;height:1.5pt" o:hralign="center" o:hrstd="t" o:hr="t"/>
        </w:pict>
      </w:r>
    </w:p>
    <w:bookmarkEnd w:id="29"/>
    <w:bookmarkStart w:id="30" w:name="X7764df51dbdd29f9d5e6bdef974718db056a9e8"/>
    <w:p>
      <w:pPr>
        <w:pStyle w:val="Heading2"/>
      </w:pPr>
      <w:r>
        <w:t xml:space="preserve">XI. Area 9 — Fiduciary Duty / Sale Process Concerns</w:t>
      </w:r>
    </w:p>
    <w:p>
      <w:pPr>
        <w:pStyle w:val="FirstParagraph"/>
      </w:pPr>
      <w:r>
        <w:rPr>
          <w:b/>
          <w:bCs/>
        </w:rPr>
        <w:t xml:space="preserve">A. Special Committee composition — Sandra Okafor (Significant).</w:t>
      </w:r>
      <w:r>
        <w:t xml:space="preserve"> </w:t>
      </w:r>
      <w:r>
        <w:t xml:space="preserve">The Special Committee comprises Rebecca Lau (Chair), Thomas Garrett, and Sandra Okafor (Board Minutes, Apr. 12, 2023). Lau and Garrett are the</w:t>
      </w:r>
      <w:r>
        <w:t xml:space="preserve"> </w:t>
      </w:r>
      <w:r>
        <w:t xml:space="preserve">“</w:t>
      </w:r>
      <w:r>
        <w:t xml:space="preserve">Independent Directors</w:t>
      </w:r>
      <w:r>
        <w:t xml:space="preserve">”</w:t>
      </w:r>
      <w:r>
        <w:t xml:space="preserve"> </w:t>
      </w:r>
      <w:r>
        <w:t xml:space="preserve">under VA § 2.2(f) — they are not employees or affiliates of any Investor Stockholder and appear independent and disinterested.</w:t>
      </w:r>
      <w:r>
        <w:t xml:space="preserve"> </w:t>
      </w:r>
      <w:r>
        <w:rPr>
          <w:b/>
          <w:bCs/>
        </w:rPr>
        <w:t xml:space="preserve">Okafor, however, is not independent.</w:t>
      </w:r>
      <w:r>
        <w:t xml:space="preserve"> </w:t>
      </w:r>
      <w:r>
        <w:t xml:space="preserve">She is the Northbridge designee to the Board (VA § 2.2(b),</w:t>
      </w:r>
      <w:r>
        <w:t xml:space="preserve"> </w:t>
      </w:r>
      <w:r>
        <w:t xml:space="preserve">“</w:t>
      </w:r>
      <w:r>
        <w:t xml:space="preserve">initially Sandra Okafor</w:t>
      </w:r>
      <w:r>
        <w:t xml:space="preserve">”</w:t>
      </w:r>
      <w:r>
        <w:t xml:space="preserve">) and a Principal at Northbridge Growth Equity, which holds 5,200,000 shares of Series B Preferred with a $48.1 million liquidation preference. The April 12, 2023 minutes expressly note her designation status.</w:t>
      </w:r>
    </w:p>
    <w:p>
      <w:pPr>
        <w:pStyle w:val="BodyText"/>
      </w:pPr>
      <w:r>
        <w:t xml:space="preserve">Under Delaware law, a sale-of-control transaction triggers</w:t>
      </w:r>
      <w:r>
        <w:t xml:space="preserve"> </w:t>
      </w:r>
      <w:r>
        <w:rPr>
          <w:b/>
          <w:bCs/>
        </w:rPr>
        <w:t xml:space="preserve">Revlon</w:t>
      </w:r>
      <w:r>
        <w:t xml:space="preserve"> </w:t>
      </w:r>
      <w:r>
        <w:t xml:space="preserve">duties, requiring directors to seek the highest value reasonably attainable and to act with the care, independence, and disinterestedness appropriate to a sale process. While the Special Committee framework is not strictly required here (this is a third-party sale, not a controller squeeze-out, so the</w:t>
      </w:r>
      <w:r>
        <w:t xml:space="preserve"> </w:t>
      </w:r>
      <w:r>
        <w:rPr>
          <w:i/>
          <w:iCs/>
        </w:rPr>
        <w:t xml:space="preserve">MFW</w:t>
      </w:r>
      <w:r>
        <w:t xml:space="preserve"> </w:t>
      </w:r>
      <w:r>
        <w:t xml:space="preserve">dual-protection framework is not directly implicated), a Special Committee that includes an interested, non-independent director (Okafor) is a</w:t>
      </w:r>
      <w:r>
        <w:t xml:space="preserve"> </w:t>
      </w:r>
      <w:r>
        <w:rPr>
          <w:b/>
          <w:bCs/>
        </w:rPr>
        <w:t xml:space="preserve">sale-process vulnerability</w:t>
      </w:r>
      <w:r>
        <w:t xml:space="preserve">:</w:t>
      </w:r>
    </w:p>
    <w:p>
      <w:pPr>
        <w:pStyle w:val="Compact"/>
        <w:numPr>
          <w:ilvl w:val="0"/>
          <w:numId w:val="1012"/>
        </w:numPr>
      </w:pPr>
      <w:r>
        <w:t xml:space="preserve">A plaintiff or Stonemill could challenge the Committee’s disinterestedness and independence, undermining the procedural protection the Committee is meant to provide.</w:t>
      </w:r>
    </w:p>
    <w:p>
      <w:pPr>
        <w:pStyle w:val="Compact"/>
        <w:numPr>
          <w:ilvl w:val="0"/>
          <w:numId w:val="1012"/>
        </w:numPr>
      </w:pPr>
      <w:r>
        <w:t xml:space="preserve">Okafor participated in and voted on key Special Committee actions (e.g., she seconded the April 17, 2024 motion authorizing Hargrove engagement), creating a record of interested-director participation.</w:t>
      </w:r>
    </w:p>
    <w:p>
      <w:pPr>
        <w:pStyle w:val="Compact"/>
        <w:numPr>
          <w:ilvl w:val="0"/>
          <w:numId w:val="1012"/>
        </w:numPr>
      </w:pPr>
      <w:r>
        <w:t xml:space="preserve">Northbridge’s economic interest (Series B preference, and the as-converted economics) may not align with all stockholders, particularly if consideration allocation is contested.</w:t>
      </w:r>
    </w:p>
    <w:p>
      <w:pPr>
        <w:pStyle w:val="FirstParagraph"/>
      </w:pPr>
      <w:r>
        <w:rPr>
          <w:b/>
          <w:bCs/>
        </w:rPr>
        <w:t xml:space="preserve">Recommendation.</w:t>
      </w:r>
      <w:r>
        <w:t xml:space="preserve"> </w:t>
      </w:r>
      <w:r>
        <w:t xml:space="preserve">Consider reconstituting the Special Committee to exclude Okafor (and any other interested directors), leaving the two independent directors (Lau and Garrett), or at minimum documenting Okafor’s recusal from substantive sale-process decisions going forward. Any reconstitution should occur before further substantive sale-process actions and should be reflected in the record. Note that reconstitution now does not cure past participation, but it improves the record going forward and reduces the target area for challenge. This should be coordinated with Company counsel (through you).</w:t>
      </w:r>
    </w:p>
    <w:p>
      <w:pPr>
        <w:pStyle w:val="BodyText"/>
      </w:pPr>
      <w:r>
        <w:rPr>
          <w:b/>
          <w:bCs/>
        </w:rPr>
        <w:t xml:space="preserve">B. Trask’s absence and objection (Significant).</w:t>
      </w:r>
      <w:r>
        <w:t xml:space="preserve"> </w:t>
      </w:r>
      <w:r>
        <w:t xml:space="preserve">Julian Trask was absent from the April 17, 2024 meeting at which the Board authorized engagement with Hargrove (he notified the Chairman on April 15, 2024 of a scheduling conflict and provided no proxy or written consent); the Stonemill observer was also absent. On April 19, 2024, Trask emailed an objection, stating that the Board authorized engagement</w:t>
      </w:r>
      <w:r>
        <w:t xml:space="preserve"> </w:t>
      </w:r>
      <w:r>
        <w:t xml:space="preserve">“</w:t>
      </w:r>
      <w:r>
        <w:t xml:space="preserve">without the full Board’s consideration and without Stonemill’s input,</w:t>
      </w:r>
      <w:r>
        <w:t xml:space="preserve">”</w:t>
      </w:r>
      <w:r>
        <w:t xml:space="preserve"> </w:t>
      </w:r>
      <w:r>
        <w:t xml:space="preserve">that Stonemill (as 100% Series C holder) has</w:t>
      </w:r>
      <w:r>
        <w:t xml:space="preserve"> </w:t>
      </w:r>
      <w:r>
        <w:t xml:space="preserve">“</w:t>
      </w:r>
      <w:r>
        <w:t xml:space="preserve">significant economic and governance rights,</w:t>
      </w:r>
      <w:r>
        <w:t xml:space="preserve">”</w:t>
      </w:r>
      <w:r>
        <w:t xml:space="preserve"> </w:t>
      </w:r>
      <w:r>
        <w:t xml:space="preserve">and requesting that</w:t>
      </w:r>
      <w:r>
        <w:t xml:space="preserve"> </w:t>
      </w:r>
      <w:r>
        <w:t xml:space="preserve">“</w:t>
      </w:r>
      <w:r>
        <w:t xml:space="preserve">no further substantive steps be taken … without Stonemill’s participation</w:t>
      </w:r>
      <w:r>
        <w:t xml:space="preserve">”</w:t>
      </w:r>
      <w:r>
        <w:t xml:space="preserve"> </w:t>
      </w:r>
      <w:r>
        <w:t xml:space="preserve">(Board Minutes, Apr. 17, 2024, appended correspondence). Trask subsequently dissented at the July 10, 2024 and September 25, 2024 meetings (voting against exclusivity and the negotiation of definitive documentation) and abstained from approving the April and July minutes.</w:t>
      </w:r>
    </w:p>
    <w:p>
      <w:pPr>
        <w:pStyle w:val="BodyText"/>
      </w:pPr>
      <w:r>
        <w:rPr>
          <w:b/>
          <w:bCs/>
        </w:rPr>
        <w:t xml:space="preserve">Procedurally, the Board acted validly</w:t>
      </w:r>
      <w:r>
        <w:t xml:space="preserve"> </w:t>
      </w:r>
      <w:r>
        <w:t xml:space="preserve">— five of seven directors constituted a quorum (Bylaws § 3.7 requires four), and the actions were approved by the directors present.</w:t>
      </w:r>
      <w:r>
        <w:t xml:space="preserve"> </w:t>
      </w:r>
      <w:r>
        <w:rPr>
          <w:b/>
          <w:bCs/>
        </w:rPr>
        <w:t xml:space="preserve">But the optics support Stonemill’s narrative of exclusion</w:t>
      </w:r>
      <w:r>
        <w:t xml:space="preserve">, which Stonemill can deploy in any challenge to the process or the drag-along. The record shows Trask was given notice and chose not to attend (or to send a proxy), which somewhat undercuts an</w:t>
      </w:r>
      <w:r>
        <w:t xml:space="preserve"> </w:t>
      </w:r>
      <w:r>
        <w:t xml:space="preserve">“</w:t>
      </w:r>
      <w:r>
        <w:t xml:space="preserve">exclusion</w:t>
      </w:r>
      <w:r>
        <w:t xml:space="preserve">”</w:t>
      </w:r>
      <w:r>
        <w:t xml:space="preserve"> </w:t>
      </w:r>
      <w:r>
        <w:t xml:space="preserve">claim, but the combination of (i) Trask’s absence, (ii) the observer’s absence, (iii) Okafor’s participation, and (iv) the Clearfield-loan protective-provision issue creates a cluster of process vulnerabilities that Stonemill can aggregate.</w:t>
      </w:r>
    </w:p>
    <w:p>
      <w:pPr>
        <w:pStyle w:val="BodyText"/>
      </w:pPr>
      <w:r>
        <w:rPr>
          <w:b/>
          <w:bCs/>
        </w:rPr>
        <w:t xml:space="preserve">C. Overall sale-process assessment.</w:t>
      </w:r>
      <w:r>
        <w:t xml:space="preserve"> </w:t>
      </w:r>
      <w:r>
        <w:t xml:space="preserve">The process has genuine strengths: an early, Board-authorized strategic review; engagement of a financial advisor (Meridian) and an independent valuation advisor (Thornbury); outreach to multiple parties; and a credible inbound offer at market multiples. The principal weaknesses are the Special Committee’s composition, the Trask/observer exclusion optics, and the Clearfield-loan governance defect. None of these is likely fatal to a third-party deal reviewed under Revlon, but each is ammunition for a Stonemill challenge and should be mitigated to the extent possible before signing. We recommend a sale-process</w:t>
      </w:r>
      <w:r>
        <w:t xml:space="preserve"> </w:t>
      </w:r>
      <w:r>
        <w:t xml:space="preserve">“</w:t>
      </w:r>
      <w:r>
        <w:t xml:space="preserve">record check</w:t>
      </w:r>
      <w:r>
        <w:t xml:space="preserve">”</w:t>
      </w:r>
      <w:r>
        <w:t xml:space="preserve"> </w:t>
      </w:r>
      <w:r>
        <w:t xml:space="preserve">with Company counsel to ensure the minutes, Special Committee materials, and Meridian/Thornbury analyses support a robust Revlon defense.</w:t>
      </w:r>
    </w:p>
    <w:p>
      <w:r>
        <w:pict>
          <v:rect style="width:0;height:1.5pt" o:hralign="center" o:hrstd="t" o:hr="t"/>
        </w:pict>
      </w:r>
    </w:p>
    <w:bookmarkEnd w:id="30"/>
    <w:bookmarkStart w:id="31" w:name="X8f138a4c7ae3f68e3c028a5e375dfb290a0aff9"/>
    <w:p>
      <w:pPr>
        <w:pStyle w:val="Heading2"/>
      </w:pPr>
      <w:r>
        <w:t xml:space="preserve">XII. Area 10 — Registration Rights Post-Transaction</w:t>
      </w:r>
    </w:p>
    <w:p>
      <w:pPr>
        <w:pStyle w:val="FirstParagraph"/>
      </w:pPr>
      <w:r>
        <w:rPr>
          <w:b/>
          <w:bCs/>
        </w:rPr>
        <w:t xml:space="preserve">A. Termination provisions (RRA § 9).</w:t>
      </w:r>
      <w:r>
        <w:t xml:space="preserve"> </w:t>
      </w:r>
      <w:r>
        <w:t xml:space="preserve">Each Holder’s registration rights terminate upon the earliest of (i) the date the Holder can sell all its Registrable Securities under Rule 144 without restriction, (ii) the fifth anniversary of the IPO closing, or (iii)</w:t>
      </w:r>
      <w:r>
        <w:t xml:space="preserve"> </w:t>
      </w:r>
      <w:r>
        <w:rPr>
          <w:b/>
          <w:bCs/>
        </w:rPr>
        <w:t xml:space="preserve">“</w:t>
      </w:r>
      <w:r>
        <w:rPr>
          <w:b/>
          <w:bCs/>
        </w:rPr>
        <w:t xml:space="preserve">a Deemed Liquidation Event.</w:t>
      </w:r>
      <w:r>
        <w:rPr>
          <w:b/>
          <w:bCs/>
        </w:rPr>
        <w:t xml:space="preserve">”</w:t>
      </w:r>
      <w:r>
        <w:t xml:space="preserve"> </w:t>
      </w:r>
      <w:r>
        <w:t xml:space="preserve">The agreement terminates in its entirety when all Holders’ rights have so terminated, or upon written consent of the Company and Holders of a majority of the Registrable Securities. The indemnification provisions (§ 7) survive any termination (§ 9).</w:t>
      </w:r>
    </w:p>
    <w:p>
      <w:pPr>
        <w:pStyle w:val="BodyText"/>
      </w:pPr>
      <w:r>
        <w:rPr>
          <w:b/>
          <w:bCs/>
        </w:rPr>
        <w:t xml:space="preserve">B. Does the Transaction terminate registration rights?</w:t>
      </w:r>
      <w:r>
        <w:t xml:space="preserve"> </w:t>
      </w:r>
      <w:r>
        <w:t xml:space="preserve">As detailed in Section VIII (Area 6), the RRA’s termination hinges on</w:t>
      </w:r>
      <w:r>
        <w:t xml:space="preserve"> </w:t>
      </w:r>
      <w:r>
        <w:t xml:space="preserve">“</w:t>
      </w:r>
      <w:r>
        <w:t xml:space="preserve">Deemed Liquidation Event,</w:t>
      </w:r>
      <w:r>
        <w:t xml:space="preserve">”</w:t>
      </w:r>
      <w:r>
        <w:t xml:space="preserve"> </w:t>
      </w:r>
      <w:r>
        <w:t xml:space="preserve">which is</w:t>
      </w:r>
      <w:r>
        <w:t xml:space="preserve"> </w:t>
      </w:r>
      <w:r>
        <w:rPr>
          <w:b/>
          <w:bCs/>
        </w:rPr>
        <w:t xml:space="preserve">undefined</w:t>
      </w:r>
      <w:r>
        <w:t xml:space="preserve">. If</w:t>
      </w:r>
      <w:r>
        <w:t xml:space="preserve"> </w:t>
      </w:r>
      <w:r>
        <w:t xml:space="preserve">“</w:t>
      </w:r>
      <w:r>
        <w:t xml:space="preserve">Deemed Liquidation Event</w:t>
      </w:r>
      <w:r>
        <w:t xml:space="preserve">”</w:t>
      </w:r>
      <w:r>
        <w:t xml:space="preserve"> </w:t>
      </w:r>
      <w:r>
        <w:t xml:space="preserve">is construed to mean the charter’s</w:t>
      </w:r>
      <w:r>
        <w:t xml:space="preserve"> </w:t>
      </w:r>
      <w:r>
        <w:t xml:space="preserve">“</w:t>
      </w:r>
      <w:r>
        <w:t xml:space="preserve">Liquidation Event</w:t>
      </w:r>
      <w:r>
        <w:t xml:space="preserve">”</w:t>
      </w:r>
      <w:r>
        <w:t xml:space="preserve"> </w:t>
      </w:r>
      <w:r>
        <w:t xml:space="preserve">(or the SHA/VA’s</w:t>
      </w:r>
      <w:r>
        <w:t xml:space="preserve"> </w:t>
      </w:r>
      <w:r>
        <w:t xml:space="preserve">“</w:t>
      </w:r>
      <w:r>
        <w:t xml:space="preserve">Sale of the Company</w:t>
      </w:r>
      <w:r>
        <w:t xml:space="preserve">”</w:t>
      </w:r>
      <w:r>
        <w:t xml:space="preserve">), the merger terminates the RRA. But the undefined term creates a risk that a Holder argues the RRA does not terminate.</w:t>
      </w:r>
    </w:p>
    <w:p>
      <w:pPr>
        <w:pStyle w:val="BodyText"/>
      </w:pPr>
      <w:r>
        <w:rPr>
          <w:b/>
          <w:bCs/>
        </w:rPr>
        <w:t xml:space="preserve">C. Practical impact and recommendation.</w:t>
      </w:r>
      <w:r>
        <w:t xml:space="preserve"> </w:t>
      </w:r>
      <w:r>
        <w:t xml:space="preserve">The practical impact of survival is limited because the Registrable Securities (Common issuable upon conversion of the cancelled Preferred) are cancelled in the merger, leaving no Registrable Securities to register. However: (i) survival could matter for any rollover equity or registered-securities consideration; (ii) the RRA’s indemnification provisions survive regardless; and (iii) demand registration rights became available November 3, 2024, and Stonemill (47.3% of Registrable Securities) exceeds the 30% Initiating Holder threshold — a theoretical (if impractical, given the Company is private) leverage point during the pendency of the Transaction.</w:t>
      </w:r>
      <w:r>
        <w:t xml:space="preserve"> </w:t>
      </w:r>
      <w:r>
        <w:rPr>
          <w:b/>
          <w:bCs/>
        </w:rPr>
        <w:t xml:space="preserve">Recommendation:</w:t>
      </w:r>
      <w:r>
        <w:t xml:space="preserve"> </w:t>
      </w:r>
      <w:r>
        <w:t xml:space="preserve">The merger agreement should include an express termination and waiver of the RRA at closing, executed by the Company and the Holders (or by Hargrove as successor), with the § 7 indemnification survival expressly preserved. Do not rely on the undefined</w:t>
      </w:r>
      <w:r>
        <w:t xml:space="preserve"> </w:t>
      </w:r>
      <w:r>
        <w:t xml:space="preserve">“</w:t>
      </w:r>
      <w:r>
        <w:t xml:space="preserve">Deemed Liquidation Event.</w:t>
      </w:r>
      <w:r>
        <w:t xml:space="preserve">”</w:t>
      </w:r>
    </w:p>
    <w:p>
      <w:r>
        <w:pict>
          <v:rect style="width:0;height:1.5pt" o:hralign="center" o:hrstd="t" o:hr="t"/>
        </w:pict>
      </w:r>
    </w:p>
    <w:bookmarkEnd w:id="31"/>
    <w:bookmarkStart w:id="32" w:name="X5353f4e396e5a1ba072d17861c8b9041616a63b"/>
    <w:p>
      <w:pPr>
        <w:pStyle w:val="Heading2"/>
      </w:pPr>
      <w:r>
        <w:t xml:space="preserve">XIII. Stonemill Leverage — Consolidated Map</w:t>
      </w:r>
    </w:p>
    <w:p>
      <w:pPr>
        <w:pStyle w:val="FirstParagraph"/>
      </w:pPr>
      <w:r>
        <w:t xml:space="preserve">At your request, we consolidate here every leverage point Stonemill holds across the governance documents: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Leverage point</w:t>
            </w:r>
          </w:p>
        </w:tc>
        <w:tc>
          <w:tcPr/>
          <w:p>
            <w:pPr>
              <w:pStyle w:val="Compact"/>
              <w:jc w:val="left"/>
            </w:pPr>
            <w:r>
              <w:t xml:space="preserve">Source</w:t>
            </w:r>
          </w:p>
        </w:tc>
        <w:tc>
          <w:tcPr/>
          <w:p>
            <w:pPr>
              <w:pStyle w:val="Compact"/>
              <w:jc w:val="left"/>
            </w:pPr>
            <w:r>
              <w:t xml:space="preserve">Nature</w:t>
            </w:r>
          </w:p>
        </w:tc>
        <w:tc>
          <w:tcPr/>
          <w:p>
            <w:pPr>
              <w:pStyle w:val="Compact"/>
              <w:jc w:val="left"/>
            </w:pPr>
            <w:r>
              <w:t xml:space="preserve">Can it be overcome without Stonemill?</w:t>
            </w:r>
          </w:p>
        </w:tc>
      </w:tr>
      <w:tr>
        <w:tc>
          <w:tcPr/>
          <w:p>
            <w:pPr>
              <w:pStyle w:val="Compact"/>
              <w:jc w:val="left"/>
            </w:pPr>
            <w:r>
              <w:t xml:space="preserve">Series C separate-class consent (66⅔%) to effect a Liquidation Event</w:t>
            </w:r>
          </w:p>
        </w:tc>
        <w:tc>
          <w:tcPr/>
          <w:p>
            <w:pPr>
              <w:pStyle w:val="Compact"/>
              <w:jc w:val="left"/>
            </w:pPr>
            <w:r>
              <w:t xml:space="preserve">Restated Cert. § 4.3.6(b)(i)</w:t>
            </w:r>
          </w:p>
        </w:tc>
        <w:tc>
          <w:tcPr/>
          <w:p>
            <w:pPr>
              <w:pStyle w:val="Compact"/>
              <w:jc w:val="left"/>
            </w:pPr>
            <w:r>
              <w:rPr>
                <w:b/>
                <w:bCs/>
              </w:rPr>
              <w:t xml:space="preserve">Hard block</w:t>
            </w:r>
            <w:r>
              <w:t xml:space="preserve"> </w:t>
            </w:r>
            <w:r>
              <w:t xml:space="preserve">(Stonemill = 100% of Series C; threshold 5,200,000 of 7,800,000)</w:t>
            </w:r>
          </w:p>
        </w:tc>
        <w:tc>
          <w:tcPr/>
          <w:p>
            <w:pPr>
              <w:pStyle w:val="Compact"/>
              <w:jc w:val="left"/>
            </w:pPr>
            <w:r>
              <w:rPr>
                <w:b/>
                <w:bCs/>
              </w:rPr>
              <w:t xml:space="preserve">No</w:t>
            </w:r>
            <w:r>
              <w:t xml:space="preserve"> </w:t>
            </w:r>
            <w:r>
              <w:t xml:space="preserve">— unless the drag-along compels Stonemill’s consent (contested; Section IV)</w:t>
            </w:r>
          </w:p>
        </w:tc>
      </w:tr>
      <w:tr>
        <w:tc>
          <w:tcPr/>
          <w:p>
            <w:pPr>
              <w:pStyle w:val="Compact"/>
              <w:jc w:val="left"/>
            </w:pPr>
            <w:r>
              <w:t xml:space="preserve">All-Preferred consent (majority as-converted) to effect a Liquidation Event</w:t>
            </w:r>
          </w:p>
        </w:tc>
        <w:tc>
          <w:tcPr/>
          <w:p>
            <w:pPr>
              <w:pStyle w:val="Compact"/>
              <w:jc w:val="left"/>
            </w:pPr>
            <w:r>
              <w:t xml:space="preserve">Restated Cert. § 4.3.6(a)(vi)</w:t>
            </w:r>
          </w:p>
        </w:tc>
        <w:tc>
          <w:tcPr/>
          <w:p>
            <w:pPr>
              <w:pStyle w:val="Compact"/>
              <w:jc w:val="left"/>
            </w:pPr>
            <w:r>
              <w:t xml:space="preserve">Class vote (&gt;8,250,000 of 16,500,000)</w:t>
            </w:r>
          </w:p>
        </w:tc>
        <w:tc>
          <w:tcPr/>
          <w:p>
            <w:pPr>
              <w:pStyle w:val="Compact"/>
              <w:jc w:val="left"/>
            </w:pPr>
            <w:r>
              <w:rPr>
                <w:b/>
                <w:bCs/>
              </w:rPr>
              <w:t xml:space="preserve">Yes</w:t>
            </w:r>
            <w:r>
              <w:t xml:space="preserve"> </w:t>
            </w:r>
            <w:r>
              <w:t xml:space="preserve">— Ridgeline + Northbridge = 8,700,000 (tight)</w:t>
            </w:r>
          </w:p>
        </w:tc>
      </w:tr>
      <w:tr>
        <w:tc>
          <w:tcPr/>
          <w:p>
            <w:pPr>
              <w:pStyle w:val="Compact"/>
              <w:jc w:val="left"/>
            </w:pPr>
            <w:r>
              <w:t xml:space="preserve">Series C separate-class consent to charter amendments adversely/disproportionately affecting Series C</w:t>
            </w:r>
          </w:p>
        </w:tc>
        <w:tc>
          <w:tcPr/>
          <w:p>
            <w:pPr>
              <w:pStyle w:val="Compact"/>
              <w:jc w:val="left"/>
            </w:pPr>
            <w:r>
              <w:t xml:space="preserve">Restated Cert. § 4.3.6(b)(ii)</w:t>
            </w:r>
          </w:p>
        </w:tc>
        <w:tc>
          <w:tcPr/>
          <w:p>
            <w:pPr>
              <w:pStyle w:val="Compact"/>
              <w:jc w:val="left"/>
            </w:pPr>
            <w:r>
              <w:t xml:space="preserve">Class vote (66⅔% of Series C)</w:t>
            </w:r>
          </w:p>
        </w:tc>
        <w:tc>
          <w:tcPr/>
          <w:p>
            <w:pPr>
              <w:pStyle w:val="Compact"/>
              <w:jc w:val="left"/>
            </w:pPr>
            <w:r>
              <w:rPr>
                <w:b/>
                <w:bCs/>
              </w:rPr>
              <w:t xml:space="preserve">No</w:t>
            </w:r>
            <w:r>
              <w:t xml:space="preserve"> </w:t>
            </w:r>
            <w:r>
              <w:t xml:space="preserve">(if any such amendment is needed)</w:t>
            </w:r>
          </w:p>
        </w:tc>
      </w:tr>
      <w:tr>
        <w:tc>
          <w:tcPr/>
          <w:p>
            <w:pPr>
              <w:pStyle w:val="Compact"/>
              <w:jc w:val="left"/>
            </w:pPr>
            <w:r>
              <w:t xml:space="preserve">Board seat (Series C Director)</w:t>
            </w:r>
          </w:p>
        </w:tc>
        <w:tc>
          <w:tcPr/>
          <w:p>
            <w:pPr>
              <w:pStyle w:val="Compact"/>
              <w:jc w:val="left"/>
            </w:pPr>
            <w:r>
              <w:t xml:space="preserve">VA § 2.2(c)</w:t>
            </w:r>
          </w:p>
        </w:tc>
        <w:tc>
          <w:tcPr/>
          <w:p>
            <w:pPr>
              <w:pStyle w:val="Compact"/>
              <w:jc w:val="left"/>
            </w:pPr>
            <w:r>
              <w:t xml:space="preserve">Governance (Trask)</w:t>
            </w:r>
          </w:p>
        </w:tc>
        <w:tc>
          <w:tcPr/>
          <w:p>
            <w:pPr>
              <w:pStyle w:val="Compact"/>
              <w:jc w:val="left"/>
            </w:pPr>
            <w:r>
              <w:t xml:space="preserve">Terminates on closing (Section VII)</w:t>
            </w:r>
          </w:p>
        </w:tc>
      </w:tr>
      <w:tr>
        <w:tc>
          <w:tcPr/>
          <w:p>
            <w:pPr>
              <w:pStyle w:val="Compact"/>
              <w:jc w:val="left"/>
            </w:pPr>
            <w:r>
              <w:t xml:space="preserve">Board observer right</w:t>
            </w:r>
          </w:p>
        </w:tc>
        <w:tc>
          <w:tcPr/>
          <w:p>
            <w:pPr>
              <w:pStyle w:val="Compact"/>
              <w:jc w:val="left"/>
            </w:pPr>
            <w:r>
              <w:t xml:space="preserve">VA § 4.1</w:t>
            </w:r>
          </w:p>
        </w:tc>
        <w:tc>
          <w:tcPr/>
          <w:p>
            <w:pPr>
              <w:pStyle w:val="Compact"/>
              <w:jc w:val="left"/>
            </w:pPr>
            <w:r>
              <w:t xml:space="preserve">Information/governance</w:t>
            </w:r>
          </w:p>
        </w:tc>
        <w:tc>
          <w:tcPr/>
          <w:p>
            <w:pPr>
              <w:pStyle w:val="Compact"/>
              <w:jc w:val="left"/>
            </w:pPr>
            <w:r>
              <w:t xml:space="preserve">Terminates on closing (Section VII)</w:t>
            </w:r>
          </w:p>
        </w:tc>
      </w:tr>
      <w:tr>
        <w:tc>
          <w:tcPr/>
          <w:p>
            <w:pPr>
              <w:pStyle w:val="Compact"/>
              <w:jc w:val="left"/>
            </w:pPr>
            <w:r>
              <w:t xml:space="preserve">Drag-along consent (prong iii: 2 of 3 Investors)</w:t>
            </w:r>
          </w:p>
        </w:tc>
        <w:tc>
          <w:tcPr/>
          <w:p>
            <w:pPr>
              <w:pStyle w:val="Compact"/>
              <w:jc w:val="left"/>
            </w:pPr>
            <w:r>
              <w:t xml:space="preserve">SHA § 3.1(a)(iii)</w:t>
            </w:r>
          </w:p>
        </w:tc>
        <w:tc>
          <w:tcPr/>
          <w:p>
            <w:pPr>
              <w:pStyle w:val="Compact"/>
              <w:jc w:val="left"/>
            </w:pPr>
            <w:r>
              <w:t xml:space="preserve">Drag-along trigger</w:t>
            </w:r>
          </w:p>
        </w:tc>
        <w:tc>
          <w:tcPr/>
          <w:p>
            <w:pPr>
              <w:pStyle w:val="Compact"/>
              <w:jc w:val="left"/>
            </w:pPr>
            <w:r>
              <w:rPr>
                <w:b/>
                <w:bCs/>
              </w:rPr>
              <w:t xml:space="preserve">Yes</w:t>
            </w:r>
            <w:r>
              <w:t xml:space="preserve"> </w:t>
            </w:r>
            <w:r>
              <w:t xml:space="preserve">— Ridgeline + Northbridge = 2 of 3</w:t>
            </w:r>
          </w:p>
        </w:tc>
      </w:tr>
      <w:tr>
        <w:tc>
          <w:tcPr/>
          <w:p>
            <w:pPr>
              <w:pStyle w:val="Compact"/>
              <w:jc w:val="left"/>
            </w:pPr>
            <w:r>
              <w:t xml:space="preserve">ROFR / co-sale / tag-along</w:t>
            </w:r>
          </w:p>
        </w:tc>
        <w:tc>
          <w:tcPr/>
          <w:p>
            <w:pPr>
              <w:pStyle w:val="Compact"/>
              <w:jc w:val="left"/>
            </w:pPr>
            <w:r>
              <w:t xml:space="preserve">SHA §§ 2.2–2.4</w:t>
            </w:r>
          </w:p>
        </w:tc>
        <w:tc>
          <w:tcPr/>
          <w:p>
            <w:pPr>
              <w:pStyle w:val="Compact"/>
              <w:jc w:val="left"/>
            </w:pPr>
            <w:r>
              <w:t xml:space="preserve">Transfer rights</w:t>
            </w:r>
          </w:p>
        </w:tc>
        <w:tc>
          <w:tcPr/>
          <w:p>
            <w:pPr>
              <w:pStyle w:val="Compact"/>
              <w:jc w:val="left"/>
            </w:pPr>
            <w:r>
              <w:t xml:space="preserve">Not implicated by the merger (Sale-of-Company carve-out; Section VI)</w:t>
            </w:r>
          </w:p>
        </w:tc>
      </w:tr>
      <w:tr>
        <w:tc>
          <w:tcPr/>
          <w:p>
            <w:pPr>
              <w:pStyle w:val="Compact"/>
              <w:jc w:val="left"/>
            </w:pPr>
            <w:r>
              <w:t xml:space="preserve">Registration rights (demand/piggyback/S-3)</w:t>
            </w:r>
          </w:p>
        </w:tc>
        <w:tc>
          <w:tcPr/>
          <w:p>
            <w:pPr>
              <w:pStyle w:val="Compact"/>
              <w:jc w:val="left"/>
            </w:pPr>
            <w:r>
              <w:t xml:space="preserve">RRA §§ 2.1–2.3</w:t>
            </w:r>
          </w:p>
        </w:tc>
        <w:tc>
          <w:tcPr/>
          <w:p>
            <w:pPr>
              <w:pStyle w:val="Compact"/>
              <w:jc w:val="left"/>
            </w:pPr>
            <w:r>
              <w:t xml:space="preserve">Information/liquidity</w:t>
            </w:r>
          </w:p>
        </w:tc>
        <w:tc>
          <w:tcPr/>
          <w:p>
            <w:pPr>
              <w:pStyle w:val="Compact"/>
              <w:jc w:val="left"/>
            </w:pPr>
            <w:r>
              <w:t xml:space="preserve">Terminates on</w:t>
            </w:r>
            <w:r>
              <w:t xml:space="preserve"> </w:t>
            </w:r>
            <w:r>
              <w:t xml:space="preserve">“</w:t>
            </w:r>
            <w:r>
              <w:t xml:space="preserve">Deemed Liquidation Event</w:t>
            </w:r>
            <w:r>
              <w:t xml:space="preserve">”</w:t>
            </w:r>
            <w:r>
              <w:t xml:space="preserve"> </w:t>
            </w:r>
            <w:r>
              <w:t xml:space="preserve">(undefined) — close gap (Section XII)</w:t>
            </w:r>
          </w:p>
        </w:tc>
      </w:tr>
      <w:tr>
        <w:tc>
          <w:tcPr/>
          <w:p>
            <w:pPr>
              <w:pStyle w:val="Compact"/>
              <w:jc w:val="left"/>
            </w:pPr>
            <w:r>
              <w:t xml:space="preserve">Indebtedness protective provision (informational)</w:t>
            </w:r>
          </w:p>
        </w:tc>
        <w:tc>
          <w:tcPr/>
          <w:p>
            <w:pPr>
              <w:pStyle w:val="Compact"/>
              <w:jc w:val="left"/>
            </w:pPr>
            <w:r>
              <w:t xml:space="preserve">Restated Cert. § 4.3.6(a)(v)</w:t>
            </w:r>
          </w:p>
        </w:tc>
        <w:tc>
          <w:tcPr/>
          <w:p>
            <w:pPr>
              <w:pStyle w:val="Compact"/>
              <w:jc w:val="left"/>
            </w:pPr>
            <w:r>
              <w:t xml:space="preserve">Consent right (already potentially breached re Clearfield loan)</w:t>
            </w:r>
          </w:p>
        </w:tc>
        <w:tc>
          <w:tcPr/>
          <w:p>
            <w:pPr>
              <w:pStyle w:val="Compact"/>
              <w:jc w:val="left"/>
            </w:pPr>
            <w:r>
              <w:t xml:space="preserve">N/A — relevant to process narrative (Section X)</w:t>
            </w:r>
          </w:p>
        </w:tc>
      </w:tr>
      <w:tr>
        <w:tc>
          <w:tcPr/>
          <w:p>
            <w:pPr>
              <w:pStyle w:val="Compact"/>
              <w:jc w:val="left"/>
            </w:pPr>
            <w:r>
              <w:t xml:space="preserve">Information rights (Major Investor)</w:t>
            </w:r>
          </w:p>
        </w:tc>
        <w:tc>
          <w:tcPr/>
          <w:p>
            <w:pPr>
              <w:pStyle w:val="Compact"/>
              <w:jc w:val="left"/>
            </w:pPr>
            <w:r>
              <w:t xml:space="preserve">SHA § 4.1</w:t>
            </w:r>
          </w:p>
        </w:tc>
        <w:tc>
          <w:tcPr/>
          <w:p>
            <w:pPr>
              <w:pStyle w:val="Compact"/>
              <w:jc w:val="left"/>
            </w:pPr>
            <w:r>
              <w:t xml:space="preserve">Information</w:t>
            </w:r>
          </w:p>
        </w:tc>
        <w:tc>
          <w:tcPr/>
          <w:p>
            <w:pPr>
              <w:pStyle w:val="Compact"/>
              <w:jc w:val="left"/>
            </w:pPr>
            <w:r>
              <w:t xml:space="preserve">Terminates on Sale of the Company (§ 6.1(b))</w:t>
            </w:r>
          </w:p>
        </w:tc>
      </w:tr>
      <w:tr>
        <w:tc>
          <w:tcPr/>
          <w:p>
            <w:pPr>
              <w:pStyle w:val="Compact"/>
              <w:jc w:val="left"/>
            </w:pPr>
            <w:r>
              <w:t xml:space="preserve">Amendment/waiver of SHA drag-along</w:t>
            </w:r>
          </w:p>
        </w:tc>
        <w:tc>
          <w:tcPr/>
          <w:p>
            <w:pPr>
              <w:pStyle w:val="Compact"/>
              <w:jc w:val="left"/>
            </w:pPr>
            <w:r>
              <w:t xml:space="preserve">SHA § 7.4</w:t>
            </w:r>
          </w:p>
        </w:tc>
        <w:tc>
          <w:tcPr/>
          <w:p>
            <w:pPr>
              <w:pStyle w:val="Compact"/>
              <w:jc w:val="left"/>
            </w:pPr>
            <w:r>
              <w:t xml:space="preserve">Consent (drag-along amendments require each adversely affected Investor’s consent)</w:t>
            </w:r>
          </w:p>
        </w:tc>
        <w:tc>
          <w:tcPr/>
          <w:p>
            <w:pPr>
              <w:pStyle w:val="Compact"/>
              <w:jc w:val="left"/>
            </w:pPr>
            <w:r>
              <w:t xml:space="preserve">N/A</w:t>
            </w:r>
          </w:p>
        </w:tc>
      </w:tr>
    </w:tbl>
    <w:p>
      <w:pPr>
        <w:pStyle w:val="BodyText"/>
      </w:pPr>
      <w:r>
        <w:rPr>
          <w:b/>
          <w:bCs/>
        </w:rPr>
        <w:t xml:space="preserve">The decisive leverage point is the Series C separate-class consent (§ 4.3.6(b)(i)).</w:t>
      </w:r>
      <w:r>
        <w:t xml:space="preserve"> </w:t>
      </w:r>
      <w:r>
        <w:t xml:space="preserve">Every other Stonemill right either can be satisfied without Stonemill, terminates on closing, or is not implicated by the merger. The drag-along is the only instrument that purports to bridge the Series C class-vote gap, and its ability to do so is the central legal question in this deal (Section IV).</w:t>
      </w:r>
    </w:p>
    <w:p>
      <w:r>
        <w:pict>
          <v:rect style="width:0;height:1.5pt" o:hralign="center" o:hrstd="t" o:hr="t"/>
        </w:pict>
      </w:r>
    </w:p>
    <w:bookmarkEnd w:id="32"/>
    <w:bookmarkStart w:id="33" w:name="xiv.-severity-classification-summary"/>
    <w:p>
      <w:pPr>
        <w:pStyle w:val="Heading2"/>
      </w:pPr>
      <w:r>
        <w:t xml:space="preserve">XIV. Severity Classification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Section</w:t>
            </w:r>
          </w:p>
        </w:tc>
        <w:tc>
          <w:tcPr/>
          <w:p>
            <w:pPr>
              <w:pStyle w:val="Compact"/>
              <w:jc w:val="left"/>
            </w:pPr>
            <w:r>
              <w:t xml:space="preserve">Severity</w:t>
            </w:r>
          </w:p>
        </w:tc>
        <w:tc>
          <w:tcPr/>
          <w:p>
            <w:pPr>
              <w:pStyle w:val="Compact"/>
              <w:jc w:val="left"/>
            </w:pPr>
            <w:r>
              <w:t xml:space="preserve">Rationale</w:t>
            </w:r>
          </w:p>
        </w:tc>
      </w:tr>
      <w:tr>
        <w:tc>
          <w:tcPr/>
          <w:p>
            <w:pPr>
              <w:pStyle w:val="Compact"/>
              <w:jc w:val="left"/>
            </w:pPr>
            <w:r>
              <w:t xml:space="preserve">Series C separate-class blocking right (Stonemill = 100% of class)</w:t>
            </w:r>
          </w:p>
        </w:tc>
        <w:tc>
          <w:tcPr/>
          <w:p>
            <w:pPr>
              <w:pStyle w:val="Compact"/>
              <w:jc w:val="left"/>
            </w:pPr>
            <w:r>
              <w:t xml:space="preserve">III.D, IV, XIII</w:t>
            </w:r>
          </w:p>
        </w:tc>
        <w:tc>
          <w:tcPr/>
          <w:p>
            <w:pPr>
              <w:pStyle w:val="Compact"/>
              <w:jc w:val="left"/>
            </w:pPr>
            <w:r>
              <w:rPr>
                <w:b/>
                <w:bCs/>
              </w:rPr>
              <w:t xml:space="preserve">Critical</w:t>
            </w:r>
          </w:p>
        </w:tc>
        <w:tc>
          <w:tcPr/>
          <w:p>
            <w:pPr>
              <w:pStyle w:val="Compact"/>
              <w:jc w:val="left"/>
            </w:pPr>
            <w:r>
              <w:t xml:space="preserve">Hard charter block; cannot close without Stonemill absent drag-along override</w:t>
            </w:r>
          </w:p>
        </w:tc>
      </w:tr>
      <w:tr>
        <w:tc>
          <w:tcPr/>
          <w:p>
            <w:pPr>
              <w:pStyle w:val="Compact"/>
              <w:jc w:val="left"/>
            </w:pPr>
            <w:r>
              <w:t xml:space="preserve">SensorLink LOI auto-renewing exclusivity (possible live conflict)</w:t>
            </w:r>
          </w:p>
        </w:tc>
        <w:tc>
          <w:tcPr/>
          <w:p>
            <w:pPr>
              <w:pStyle w:val="Compact"/>
              <w:jc w:val="left"/>
            </w:pPr>
            <w:r>
              <w:t xml:space="preserve">X(c)</w:t>
            </w:r>
          </w:p>
        </w:tc>
        <w:tc>
          <w:tcPr/>
          <w:p>
            <w:pPr>
              <w:pStyle w:val="Compact"/>
              <w:jc w:val="left"/>
            </w:pPr>
            <w:r>
              <w:rPr>
                <w:b/>
                <w:bCs/>
              </w:rPr>
              <w:t xml:space="preserve">Critical / Time-Sensitive</w:t>
            </w:r>
          </w:p>
        </w:tc>
        <w:tc>
          <w:tcPr/>
          <w:p>
            <w:pPr>
              <w:pStyle w:val="Compact"/>
              <w:jc w:val="left"/>
            </w:pPr>
            <w:r>
              <w:t xml:space="preserve">Could impede signing; auto-renewal timing trap; resolve immediately</w:t>
            </w:r>
          </w:p>
        </w:tc>
      </w:tr>
      <w:tr>
        <w:tc>
          <w:tcPr/>
          <w:p>
            <w:pPr>
              <w:pStyle w:val="Compact"/>
              <w:jc w:val="left"/>
            </w:pPr>
            <w:r>
              <w:t xml:space="preserve">Drag-along override of charter protective provision</w:t>
            </w:r>
          </w:p>
        </w:tc>
        <w:tc>
          <w:tcPr/>
          <w:p>
            <w:pPr>
              <w:pStyle w:val="Compact"/>
              <w:jc w:val="left"/>
            </w:pPr>
            <w:r>
              <w:t xml:space="preserve">IV</w:t>
            </w:r>
          </w:p>
        </w:tc>
        <w:tc>
          <w:tcPr/>
          <w:p>
            <w:pPr>
              <w:pStyle w:val="Compact"/>
              <w:jc w:val="left"/>
            </w:pPr>
            <w:r>
              <w:rPr>
                <w:b/>
                <w:bCs/>
              </w:rPr>
              <w:t xml:space="preserve">Critical / Significant</w:t>
            </w:r>
          </w:p>
        </w:tc>
        <w:tc>
          <w:tcPr/>
          <w:p>
            <w:pPr>
              <w:pStyle w:val="Compact"/>
              <w:jc w:val="left"/>
            </w:pPr>
            <w:r>
              <w:t xml:space="preserve">Viable path to closing over objection, but contested and likely litigated</w:t>
            </w:r>
          </w:p>
        </w:tc>
      </w:tr>
      <w:tr>
        <w:tc>
          <w:tcPr/>
          <w:p>
            <w:pPr>
              <w:pStyle w:val="Compact"/>
              <w:jc w:val="left"/>
            </w:pPr>
            <w:r>
              <w:t xml:space="preserve">Clearfield $12M loan without apparent Preferred consent</w:t>
            </w:r>
          </w:p>
        </w:tc>
        <w:tc>
          <w:tcPr/>
          <w:p>
            <w:pPr>
              <w:pStyle w:val="Compact"/>
              <w:jc w:val="left"/>
            </w:pPr>
            <w:r>
              <w:t xml:space="preserve">X(b)</w:t>
            </w:r>
          </w:p>
        </w:tc>
        <w:tc>
          <w:tcPr/>
          <w:p>
            <w:pPr>
              <w:pStyle w:val="Compact"/>
              <w:jc w:val="left"/>
            </w:pPr>
            <w:r>
              <w:rPr>
                <w:b/>
                <w:bCs/>
              </w:rPr>
              <w:t xml:space="preserve">Significant</w:t>
            </w:r>
          </w:p>
        </w:tc>
        <w:tc>
          <w:tcPr/>
          <w:p>
            <w:pPr>
              <w:pStyle w:val="Compact"/>
              <w:jc w:val="left"/>
            </w:pPr>
            <w:r>
              <w:t xml:space="preserve">Charter protective-protection violation; process ammunition for Stonemill</w:t>
            </w:r>
          </w:p>
        </w:tc>
      </w:tr>
      <w:tr>
        <w:tc>
          <w:tcPr/>
          <w:p>
            <w:pPr>
              <w:pStyle w:val="Compact"/>
              <w:jc w:val="left"/>
            </w:pPr>
            <w:r>
              <w:t xml:space="preserve">Special Committee not fully independent (Okafor)</w:t>
            </w:r>
          </w:p>
        </w:tc>
        <w:tc>
          <w:tcPr/>
          <w:p>
            <w:pPr>
              <w:pStyle w:val="Compact"/>
              <w:jc w:val="left"/>
            </w:pPr>
            <w:r>
              <w:t xml:space="preserve">XI.A</w:t>
            </w:r>
          </w:p>
        </w:tc>
        <w:tc>
          <w:tcPr/>
          <w:p>
            <w:pPr>
              <w:pStyle w:val="Compact"/>
              <w:jc w:val="left"/>
            </w:pPr>
            <w:r>
              <w:rPr>
                <w:b/>
                <w:bCs/>
              </w:rPr>
              <w:t xml:space="preserve">Significant</w:t>
            </w:r>
          </w:p>
        </w:tc>
        <w:tc>
          <w:tcPr/>
          <w:p>
            <w:pPr>
              <w:pStyle w:val="Compact"/>
              <w:jc w:val="left"/>
            </w:pPr>
            <w:r>
              <w:t xml:space="preserve">Revlon sale-process vulnerability</w:t>
            </w:r>
          </w:p>
        </w:tc>
      </w:tr>
      <w:tr>
        <w:tc>
          <w:tcPr/>
          <w:p>
            <w:pPr>
              <w:pStyle w:val="Compact"/>
              <w:jc w:val="left"/>
            </w:pPr>
            <w:r>
              <w:t xml:space="preserve">RRA</w:t>
            </w:r>
            <w:r>
              <w:t xml:space="preserve"> </w:t>
            </w:r>
            <w:r>
              <w:t xml:space="preserve">“</w:t>
            </w:r>
            <w:r>
              <w:t xml:space="preserve">Deemed Liquidation Event</w:t>
            </w:r>
            <w:r>
              <w:t xml:space="preserve">”</w:t>
            </w:r>
            <w:r>
              <w:t xml:space="preserve"> </w:t>
            </w:r>
            <w:r>
              <w:t xml:space="preserve">undefined</w:t>
            </w:r>
          </w:p>
        </w:tc>
        <w:tc>
          <w:tcPr/>
          <w:p>
            <w:pPr>
              <w:pStyle w:val="Compact"/>
              <w:jc w:val="left"/>
            </w:pPr>
            <w:r>
              <w:t xml:space="preserve">VIII, XII</w:t>
            </w:r>
          </w:p>
        </w:tc>
        <w:tc>
          <w:tcPr/>
          <w:p>
            <w:pPr>
              <w:pStyle w:val="Compact"/>
              <w:jc w:val="left"/>
            </w:pPr>
            <w:r>
              <w:rPr>
                <w:b/>
                <w:bCs/>
              </w:rPr>
              <w:t xml:space="preserve">Significant</w:t>
            </w:r>
          </w:p>
        </w:tc>
        <w:tc>
          <w:tcPr/>
          <w:p>
            <w:pPr>
              <w:pStyle w:val="Compact"/>
              <w:jc w:val="left"/>
            </w:pPr>
            <w:r>
              <w:t xml:space="preserve">Registration rights may not terminate cleanly; post-closing liability risk</w:t>
            </w:r>
          </w:p>
        </w:tc>
      </w:tr>
      <w:tr>
        <w:tc>
          <w:tcPr/>
          <w:p>
            <w:pPr>
              <w:pStyle w:val="Compact"/>
              <w:jc w:val="left"/>
            </w:pPr>
            <w:r>
              <w:t xml:space="preserve">Equity Plan / award agreements not produced</w:t>
            </w:r>
          </w:p>
        </w:tc>
        <w:tc>
          <w:tcPr/>
          <w:p>
            <w:pPr>
              <w:pStyle w:val="Compact"/>
              <w:jc w:val="left"/>
            </w:pPr>
            <w:r>
              <w:t xml:space="preserve">IX</w:t>
            </w:r>
          </w:p>
        </w:tc>
        <w:tc>
          <w:tcPr/>
          <w:p>
            <w:pPr>
              <w:pStyle w:val="Compact"/>
              <w:jc w:val="left"/>
            </w:pPr>
            <w:r>
              <w:rPr>
                <w:b/>
                <w:bCs/>
              </w:rPr>
              <w:t xml:space="preserve">Significant</w:t>
            </w:r>
          </w:p>
        </w:tc>
        <w:tc>
          <w:tcPr/>
          <w:p>
            <w:pPr>
              <w:pStyle w:val="Compact"/>
              <w:jc w:val="left"/>
            </w:pPr>
            <w:r>
              <w:t xml:space="preserve">Cannot assess CoC acceleration or dollar impact</w:t>
            </w:r>
          </w:p>
        </w:tc>
      </w:tr>
      <w:tr>
        <w:tc>
          <w:tcPr/>
          <w:p>
            <w:pPr>
              <w:pStyle w:val="Compact"/>
              <w:jc w:val="left"/>
            </w:pPr>
            <w:r>
              <w:t xml:space="preserve">Trask absence/objection + observer absent (Apr 17, 2024)</w:t>
            </w:r>
          </w:p>
        </w:tc>
        <w:tc>
          <w:tcPr/>
          <w:p>
            <w:pPr>
              <w:pStyle w:val="Compact"/>
              <w:jc w:val="left"/>
            </w:pPr>
            <w:r>
              <w:t xml:space="preserve">X(d), XI.B</w:t>
            </w:r>
          </w:p>
        </w:tc>
        <w:tc>
          <w:tcPr/>
          <w:p>
            <w:pPr>
              <w:pStyle w:val="Compact"/>
              <w:jc w:val="left"/>
            </w:pPr>
            <w:r>
              <w:rPr>
                <w:b/>
                <w:bCs/>
              </w:rPr>
              <w:t xml:space="preserve">Significant</w:t>
            </w:r>
          </w:p>
        </w:tc>
        <w:tc>
          <w:tcPr/>
          <w:p>
            <w:pPr>
              <w:pStyle w:val="Compact"/>
              <w:jc w:val="left"/>
            </w:pPr>
            <w:r>
              <w:t xml:space="preserve">Process optics; supports Stonemill exclusion narrative</w:t>
            </w:r>
          </w:p>
        </w:tc>
      </w:tr>
      <w:tr>
        <w:tc>
          <w:tcPr/>
          <w:p>
            <w:pPr>
              <w:pStyle w:val="Compact"/>
              <w:jc w:val="left"/>
            </w:pPr>
            <w:r>
              <w:t xml:space="preserve">Sept 25 minutes waterfall characterization appears incorrect</w:t>
            </w:r>
          </w:p>
        </w:tc>
        <w:tc>
          <w:tcPr/>
          <w:p>
            <w:pPr>
              <w:pStyle w:val="Compact"/>
              <w:jc w:val="left"/>
            </w:pPr>
            <w:r>
              <w:t xml:space="preserve">II, IX.C</w:t>
            </w:r>
          </w:p>
        </w:tc>
        <w:tc>
          <w:tcPr/>
          <w:p>
            <w:pPr>
              <w:pStyle w:val="Compact"/>
              <w:jc w:val="left"/>
            </w:pPr>
            <w:r>
              <w:rPr>
                <w:b/>
                <w:bCs/>
              </w:rPr>
              <w:t xml:space="preserve">Significant</w:t>
            </w:r>
          </w:p>
        </w:tc>
        <w:tc>
          <w:tcPr/>
          <w:p>
            <w:pPr>
              <w:pStyle w:val="Compact"/>
              <w:jc w:val="left"/>
            </w:pPr>
            <w:r>
              <w:t xml:space="preserve">Series C preference &gt; as-converted value; affects fairness analysis</w:t>
            </w:r>
          </w:p>
        </w:tc>
      </w:tr>
      <w:tr>
        <w:tc>
          <w:tcPr/>
          <w:p>
            <w:pPr>
              <w:pStyle w:val="Compact"/>
              <w:jc w:val="left"/>
            </w:pPr>
            <w:r>
              <w:t xml:space="preserve">Drag-along prong (i) denominator ambiguity</w:t>
            </w:r>
          </w:p>
        </w:tc>
        <w:tc>
          <w:tcPr/>
          <w:p>
            <w:pPr>
              <w:pStyle w:val="Compact"/>
              <w:jc w:val="left"/>
            </w:pPr>
            <w:r>
              <w:t xml:space="preserve">IV.A</w:t>
            </w:r>
          </w:p>
        </w:tc>
        <w:tc>
          <w:tcPr/>
          <w:p>
            <w:pPr>
              <w:pStyle w:val="Compact"/>
              <w:jc w:val="left"/>
            </w:pPr>
            <w:r>
              <w:rPr>
                <w:b/>
                <w:bCs/>
              </w:rPr>
              <w:t xml:space="preserve">Moderate</w:t>
            </w:r>
          </w:p>
        </w:tc>
        <w:tc>
          <w:tcPr/>
          <w:p>
            <w:pPr>
              <w:pStyle w:val="Compact"/>
              <w:jc w:val="left"/>
            </w:pPr>
            <w:r>
              <w:t xml:space="preserve">Affects whether prong (i) is met without Stonemill under a fully-diluted reading</w:t>
            </w:r>
          </w:p>
        </w:tc>
      </w:tr>
      <w:tr>
        <w:tc>
          <w:tcPr/>
          <w:p>
            <w:pPr>
              <w:pStyle w:val="Compact"/>
              <w:jc w:val="left"/>
            </w:pPr>
            <w:r>
              <w:t xml:space="preserve">Equity plan reserve increase — stockholder approval unclear</w:t>
            </w:r>
          </w:p>
        </w:tc>
        <w:tc>
          <w:tcPr/>
          <w:p>
            <w:pPr>
              <w:pStyle w:val="Compact"/>
              <w:jc w:val="left"/>
            </w:pPr>
            <w:r>
              <w:t xml:space="preserve">IX.B</w:t>
            </w:r>
          </w:p>
        </w:tc>
        <w:tc>
          <w:tcPr/>
          <w:p>
            <w:pPr>
              <w:pStyle w:val="Compact"/>
              <w:jc w:val="left"/>
            </w:pPr>
            <w:r>
              <w:rPr>
                <w:b/>
                <w:bCs/>
              </w:rPr>
              <w:t xml:space="preserve">Moderate</w:t>
            </w:r>
          </w:p>
        </w:tc>
        <w:tc>
          <w:tcPr/>
          <w:p>
            <w:pPr>
              <w:pStyle w:val="Compact"/>
              <w:jc w:val="left"/>
            </w:pPr>
            <w:r>
              <w:t xml:space="preserve">Need Plan to confirm; grants under increased reserve potentially vulnerable</w:t>
            </w:r>
          </w:p>
        </w:tc>
      </w:tr>
      <w:tr>
        <w:tc>
          <w:tcPr/>
          <w:p>
            <w:pPr>
              <w:pStyle w:val="Compact"/>
              <w:jc w:val="left"/>
            </w:pPr>
            <w:r>
              <w:t xml:space="preserve">Clearfield loan change-of-control covenants unknown</w:t>
            </w:r>
          </w:p>
        </w:tc>
        <w:tc>
          <w:tcPr/>
          <w:p>
            <w:pPr>
              <w:pStyle w:val="Compact"/>
              <w:jc w:val="left"/>
            </w:pPr>
            <w:r>
              <w:t xml:space="preserve">V.B, X(b)</w:t>
            </w:r>
          </w:p>
        </w:tc>
        <w:tc>
          <w:tcPr/>
          <w:p>
            <w:pPr>
              <w:pStyle w:val="Compact"/>
              <w:jc w:val="left"/>
            </w:pPr>
            <w:r>
              <w:rPr>
                <w:b/>
                <w:bCs/>
              </w:rPr>
              <w:t xml:space="preserve">Moderate</w:t>
            </w:r>
          </w:p>
        </w:tc>
        <w:tc>
          <w:tcPr/>
          <w:p>
            <w:pPr>
              <w:pStyle w:val="Compact"/>
              <w:jc w:val="left"/>
            </w:pPr>
            <w:r>
              <w:t xml:space="preserve">Need loan agreement; may require lender consent/payoff at closing</w:t>
            </w:r>
          </w:p>
        </w:tc>
      </w:tr>
      <w:tr>
        <w:tc>
          <w:tcPr/>
          <w:p>
            <w:pPr>
              <w:pStyle w:val="Compact"/>
              <w:jc w:val="left"/>
            </w:pPr>
            <w:r>
              <w:t xml:space="preserve">Voting Agreement 5-year sunset (Nov 3, 2026) as backstop</w:t>
            </w:r>
          </w:p>
        </w:tc>
        <w:tc>
          <w:tcPr/>
          <w:p>
            <w:pPr>
              <w:pStyle w:val="Compact"/>
              <w:jc w:val="left"/>
            </w:pPr>
            <w:r>
              <w:t xml:space="preserve">VII.D</w:t>
            </w:r>
          </w:p>
        </w:tc>
        <w:tc>
          <w:tcPr/>
          <w:p>
            <w:pPr>
              <w:pStyle w:val="Compact"/>
              <w:jc w:val="left"/>
            </w:pPr>
            <w:r>
              <w:rPr>
                <w:b/>
                <w:bCs/>
              </w:rPr>
              <w:t xml:space="preserve">Moderate</w:t>
            </w:r>
          </w:p>
        </w:tc>
        <w:tc>
          <w:tcPr/>
          <w:p>
            <w:pPr>
              <w:pStyle w:val="Compact"/>
              <w:jc w:val="left"/>
            </w:pPr>
            <w:r>
              <w:t xml:space="preserve">Only matters if Sale-of-Company termination disputed; close by express termination</w:t>
            </w:r>
          </w:p>
        </w:tc>
      </w:tr>
      <w:tr>
        <w:tc>
          <w:tcPr/>
          <w:p>
            <w:pPr>
              <w:pStyle w:val="Compact"/>
              <w:jc w:val="left"/>
            </w:pPr>
            <w:r>
              <w:t xml:space="preserve">Stonemill observer notice/materials (Apr 17, 2024)</w:t>
            </w:r>
          </w:p>
        </w:tc>
        <w:tc>
          <w:tcPr/>
          <w:p>
            <w:pPr>
              <w:pStyle w:val="Compact"/>
              <w:jc w:val="left"/>
            </w:pPr>
            <w:r>
              <w:t xml:space="preserve">X(d)</w:t>
            </w:r>
          </w:p>
        </w:tc>
        <w:tc>
          <w:tcPr/>
          <w:p>
            <w:pPr>
              <w:pStyle w:val="Compact"/>
              <w:jc w:val="left"/>
            </w:pPr>
            <w:r>
              <w:rPr>
                <w:b/>
                <w:bCs/>
              </w:rPr>
              <w:t xml:space="preserve">Moderate</w:t>
            </w:r>
          </w:p>
        </w:tc>
        <w:tc>
          <w:tcPr/>
          <w:p>
            <w:pPr>
              <w:pStyle w:val="Compact"/>
              <w:jc w:val="left"/>
            </w:pPr>
            <w:r>
              <w:t xml:space="preserve">Potential VA breach; confirm observer-notice practices</w:t>
            </w:r>
          </w:p>
        </w:tc>
      </w:tr>
      <w:tr>
        <w:tc>
          <w:tcPr/>
          <w:p>
            <w:pPr>
              <w:pStyle w:val="Compact"/>
              <w:jc w:val="left"/>
            </w:pPr>
            <w:r>
              <w:t xml:space="preserve">Indemnification survival post-closing</w:t>
            </w:r>
          </w:p>
        </w:tc>
        <w:tc>
          <w:tcPr/>
          <w:p>
            <w:pPr>
              <w:pStyle w:val="Compact"/>
              <w:jc w:val="left"/>
            </w:pPr>
            <w:r>
              <w:t xml:space="preserve">V.B</w:t>
            </w:r>
          </w:p>
        </w:tc>
        <w:tc>
          <w:tcPr/>
          <w:p>
            <w:pPr>
              <w:pStyle w:val="Compact"/>
              <w:jc w:val="left"/>
            </w:pPr>
            <w:r>
              <w:rPr>
                <w:b/>
                <w:bCs/>
              </w:rPr>
              <w:t xml:space="preserve">Moderate</w:t>
            </w:r>
          </w:p>
        </w:tc>
        <w:tc>
          <w:tcPr/>
          <w:p>
            <w:pPr>
              <w:pStyle w:val="Compact"/>
              <w:jc w:val="left"/>
            </w:pPr>
            <w:r>
              <w:t xml:space="preserve">Charter/Bylaws/agreement indemnification survives; address in merger agreement</w:t>
            </w:r>
          </w:p>
        </w:tc>
      </w:tr>
    </w:tbl>
    <w:p>
      <w:r>
        <w:pict>
          <v:rect style="width:0;height:1.5pt" o:hralign="center" o:hrstd="t" o:hr="t"/>
        </w:pict>
      </w:r>
    </w:p>
    <w:bookmarkEnd w:id="33"/>
    <w:bookmarkStart w:id="34" w:name="xv.-consent-approval-matrix"/>
    <w:p>
      <w:pPr>
        <w:pStyle w:val="Heading2"/>
      </w:pPr>
      <w:r>
        <w:t xml:space="preserve">XV. Consent / Approval Matrix</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Approval / Consent</w:t>
            </w:r>
          </w:p>
        </w:tc>
        <w:tc>
          <w:tcPr/>
          <w:p>
            <w:pPr>
              <w:pStyle w:val="Compact"/>
              <w:jc w:val="left"/>
            </w:pPr>
            <w:r>
              <w:t xml:space="preserve">Source provision</w:t>
            </w:r>
          </w:p>
        </w:tc>
        <w:tc>
          <w:tcPr/>
          <w:p>
            <w:pPr>
              <w:pStyle w:val="Compact"/>
              <w:jc w:val="left"/>
            </w:pPr>
            <w:r>
              <w:t xml:space="preserve">Threshold</w:t>
            </w:r>
          </w:p>
        </w:tc>
        <w:tc>
          <w:tcPr/>
          <w:p>
            <w:pPr>
              <w:pStyle w:val="Compact"/>
              <w:jc w:val="left"/>
            </w:pPr>
            <w:r>
              <w:t xml:space="preserve">Parties whose consent is needed</w:t>
            </w:r>
          </w:p>
        </w:tc>
        <w:tc>
          <w:tcPr/>
          <w:p>
            <w:pPr>
              <w:pStyle w:val="Compact"/>
              <w:jc w:val="left"/>
            </w:pPr>
            <w:r>
              <w:t xml:space="preserve">Current status</w:t>
            </w:r>
          </w:p>
        </w:tc>
      </w:tr>
      <w:tr>
        <w:tc>
          <w:tcPr/>
          <w:p>
            <w:pPr>
              <w:pStyle w:val="Compact"/>
              <w:jc w:val="left"/>
            </w:pPr>
            <w:r>
              <w:t xml:space="preserve">1</w:t>
            </w:r>
          </w:p>
        </w:tc>
        <w:tc>
          <w:tcPr/>
          <w:p>
            <w:pPr>
              <w:pStyle w:val="Compact"/>
              <w:jc w:val="left"/>
            </w:pPr>
            <w:r>
              <w:t xml:space="preserve">Board approval of definitive merger agreement</w:t>
            </w:r>
          </w:p>
        </w:tc>
        <w:tc>
          <w:tcPr/>
          <w:p>
            <w:pPr>
              <w:pStyle w:val="Compact"/>
              <w:jc w:val="left"/>
            </w:pPr>
            <w:r>
              <w:t xml:space="preserve">DGCL § 251; Bylaws § 3.7; Restated Cert. Art. V</w:t>
            </w:r>
          </w:p>
        </w:tc>
        <w:tc>
          <w:tcPr/>
          <w:p>
            <w:pPr>
              <w:pStyle w:val="Compact"/>
              <w:jc w:val="left"/>
            </w:pPr>
            <w:r>
              <w:t xml:space="preserve">Majority of directors present at quorate meeting (4 of 7 quorum)</w:t>
            </w:r>
          </w:p>
        </w:tc>
        <w:tc>
          <w:tcPr/>
          <w:p>
            <w:pPr>
              <w:pStyle w:val="Compact"/>
              <w:jc w:val="left"/>
            </w:pPr>
            <w:r>
              <w:t xml:space="preserve">Terravox Board</w:t>
            </w:r>
          </w:p>
        </w:tc>
        <w:tc>
          <w:tcPr/>
          <w:p>
            <w:pPr>
              <w:pStyle w:val="Compact"/>
              <w:jc w:val="left"/>
            </w:pPr>
            <w:r>
              <w:rPr>
                <w:b/>
                <w:bCs/>
              </w:rPr>
              <w:t xml:space="preserve">Not yet obtained</w:t>
            </w:r>
            <w:r>
              <w:t xml:space="preserve"> </w:t>
            </w:r>
            <w:r>
              <w:t xml:space="preserve">(Sept. 25, 2024 authorized negotiation only)</w:t>
            </w:r>
          </w:p>
        </w:tc>
      </w:tr>
      <w:tr>
        <w:tc>
          <w:tcPr/>
          <w:p>
            <w:pPr>
              <w:pStyle w:val="Compact"/>
              <w:jc w:val="left"/>
            </w:pPr>
            <w:r>
              <w:t xml:space="preserve">2</w:t>
            </w:r>
          </w:p>
        </w:tc>
        <w:tc>
          <w:tcPr/>
          <w:p>
            <w:pPr>
              <w:pStyle w:val="Compact"/>
              <w:jc w:val="left"/>
            </w:pPr>
            <w:r>
              <w:t xml:space="preserve">Stockholder adoption of merger (DGCL § 251(d))</w:t>
            </w:r>
          </w:p>
        </w:tc>
        <w:tc>
          <w:tcPr/>
          <w:p>
            <w:pPr>
              <w:pStyle w:val="Compact"/>
              <w:jc w:val="left"/>
            </w:pPr>
            <w:r>
              <w:t xml:space="preserve">DGCL § 251(d); Restated Cert. § 4.2.1, § 6.2; Bylaws § 2.6</w:t>
            </w:r>
          </w:p>
        </w:tc>
        <w:tc>
          <w:tcPr/>
          <w:p>
            <w:pPr>
              <w:pStyle w:val="Compact"/>
              <w:jc w:val="left"/>
            </w:pPr>
            <w:r>
              <w:t xml:space="preserve">Majority of outstanding shares entitled to vote (single class, as-converted)</w:t>
            </w:r>
          </w:p>
        </w:tc>
        <w:tc>
          <w:tcPr/>
          <w:p>
            <w:pPr>
              <w:pStyle w:val="Compact"/>
              <w:jc w:val="left"/>
            </w:pPr>
            <w:r>
              <w:t xml:space="preserve">Common + Preferred (as-converted) holders</w:t>
            </w:r>
          </w:p>
        </w:tc>
        <w:tc>
          <w:tcPr/>
          <w:p>
            <w:pPr>
              <w:pStyle w:val="Compact"/>
              <w:jc w:val="left"/>
            </w:pPr>
            <w:r>
              <w:rPr>
                <w:b/>
                <w:bCs/>
              </w:rPr>
              <w:t xml:space="preserve">Not yet obtained</w:t>
            </w:r>
            <w:r>
              <w:t xml:space="preserve"> </w:t>
            </w:r>
            <w:r>
              <w:t xml:space="preserve">(satisfiable without Stonemill; by written consent available)</w:t>
            </w:r>
          </w:p>
        </w:tc>
      </w:tr>
      <w:tr>
        <w:tc>
          <w:tcPr/>
          <w:p>
            <w:pPr>
              <w:pStyle w:val="Compact"/>
              <w:jc w:val="left"/>
            </w:pPr>
            <w:r>
              <w:t xml:space="preserve">3</w:t>
            </w:r>
          </w:p>
        </w:tc>
        <w:tc>
          <w:tcPr/>
          <w:p>
            <w:pPr>
              <w:pStyle w:val="Compact"/>
              <w:jc w:val="left"/>
            </w:pPr>
            <w:r>
              <w:t xml:space="preserve">All-Preferred consent to effect Liquidation Event</w:t>
            </w:r>
          </w:p>
        </w:tc>
        <w:tc>
          <w:tcPr/>
          <w:p>
            <w:pPr>
              <w:pStyle w:val="Compact"/>
              <w:jc w:val="left"/>
            </w:pPr>
            <w:r>
              <w:t xml:space="preserve">Restated Cert. § 4.3.6(a)(vi)</w:t>
            </w:r>
          </w:p>
        </w:tc>
        <w:tc>
          <w:tcPr/>
          <w:p>
            <w:pPr>
              <w:pStyle w:val="Compact"/>
              <w:jc w:val="left"/>
            </w:pPr>
            <w:r>
              <w:t xml:space="preserve">&gt;50% of Preferred as-converted (&gt;8,250,000 of 16,500,000)</w:t>
            </w:r>
          </w:p>
        </w:tc>
        <w:tc>
          <w:tcPr/>
          <w:p>
            <w:pPr>
              <w:pStyle w:val="Compact"/>
              <w:jc w:val="left"/>
            </w:pPr>
            <w:r>
              <w:t xml:space="preserve">Preferred holders (as-converted, single class)</w:t>
            </w:r>
          </w:p>
        </w:tc>
        <w:tc>
          <w:tcPr/>
          <w:p>
            <w:pPr>
              <w:pStyle w:val="Compact"/>
              <w:jc w:val="left"/>
            </w:pPr>
            <w:r>
              <w:rPr>
                <w:b/>
                <w:bCs/>
              </w:rPr>
              <w:t xml:space="preserve">Not yet obtained</w:t>
            </w:r>
            <w:r>
              <w:t xml:space="preserve"> </w:t>
            </w:r>
            <w:r>
              <w:t xml:space="preserve">(satisfiable without Stonemill if Ridgeline + Northbridge both consent: 8,700,000)</w:t>
            </w:r>
          </w:p>
        </w:tc>
      </w:tr>
      <w:tr>
        <w:tc>
          <w:tcPr/>
          <w:p>
            <w:pPr>
              <w:pStyle w:val="Compact"/>
              <w:jc w:val="left"/>
            </w:pPr>
            <w:r>
              <w:t xml:space="preserve">4</w:t>
            </w:r>
          </w:p>
        </w:tc>
        <w:tc>
          <w:tcPr/>
          <w:p>
            <w:pPr>
              <w:pStyle w:val="Compact"/>
              <w:jc w:val="left"/>
            </w:pPr>
            <w:r>
              <w:t xml:space="preserve">Series C separate-class consent to effect Liquidation Event</w:t>
            </w:r>
          </w:p>
        </w:tc>
        <w:tc>
          <w:tcPr/>
          <w:p>
            <w:pPr>
              <w:pStyle w:val="Compact"/>
              <w:jc w:val="left"/>
            </w:pPr>
            <w:r>
              <w:t xml:space="preserve">Restated Cert. § 4.3.6(b)(i)</w:t>
            </w:r>
          </w:p>
        </w:tc>
        <w:tc>
          <w:tcPr/>
          <w:p>
            <w:pPr>
              <w:pStyle w:val="Compact"/>
              <w:jc w:val="left"/>
            </w:pPr>
            <w:r>
              <w:t xml:space="preserve">≥66⅔% of Series C (≥5,200,000 of 7,800,000)</w:t>
            </w:r>
          </w:p>
        </w:tc>
        <w:tc>
          <w:tcPr/>
          <w:p>
            <w:pPr>
              <w:pStyle w:val="Compact"/>
              <w:jc w:val="left"/>
            </w:pPr>
            <w:r>
              <w:t xml:space="preserve">Series C holders (separate class) — Stonemill holds 100%</w:t>
            </w:r>
          </w:p>
        </w:tc>
        <w:tc>
          <w:tcPr/>
          <w:p>
            <w:pPr>
              <w:pStyle w:val="Compact"/>
              <w:jc w:val="left"/>
            </w:pPr>
            <w:r>
              <w:rPr>
                <w:b/>
                <w:bCs/>
              </w:rPr>
              <w:t xml:space="preserve">Not yet obtained; CANNOT be obtained without Stonemill</w:t>
            </w:r>
            <w:r>
              <w:t xml:space="preserve"> </w:t>
            </w:r>
            <w:r>
              <w:t xml:space="preserve">absent drag-along override</w:t>
            </w:r>
          </w:p>
        </w:tc>
      </w:tr>
      <w:tr>
        <w:tc>
          <w:tcPr/>
          <w:p>
            <w:pPr>
              <w:pStyle w:val="Compact"/>
              <w:jc w:val="left"/>
            </w:pPr>
            <w:r>
              <w:t xml:space="preserve">5</w:t>
            </w:r>
          </w:p>
        </w:tc>
        <w:tc>
          <w:tcPr/>
          <w:p>
            <w:pPr>
              <w:pStyle w:val="Compact"/>
              <w:jc w:val="left"/>
            </w:pPr>
            <w:r>
              <w:t xml:space="preserve">Drag-Along Approval (to compel all parties)</w:t>
            </w:r>
          </w:p>
        </w:tc>
        <w:tc>
          <w:tcPr/>
          <w:p>
            <w:pPr>
              <w:pStyle w:val="Compact"/>
              <w:jc w:val="left"/>
            </w:pPr>
            <w:r>
              <w:t xml:space="preserve">SHA § 3.1(a)</w:t>
            </w:r>
          </w:p>
        </w:tc>
        <w:tc>
          <w:tcPr/>
          <w:p>
            <w:pPr>
              <w:pStyle w:val="Compact"/>
              <w:jc w:val="left"/>
            </w:pPr>
            <w:r>
              <w:t xml:space="preserve">All three prongs: (i) majority Common as-converted; (ii) majority Preferred as-converted; (iii) 2 of 3 Investors</w:t>
            </w:r>
          </w:p>
        </w:tc>
        <w:tc>
          <w:tcPr/>
          <w:p>
            <w:pPr>
              <w:pStyle w:val="Compact"/>
              <w:jc w:val="left"/>
            </w:pPr>
            <w:r>
              <w:t xml:space="preserve">Founders + Ridgeline + Northbridge (sufficient without Stonemill)</w:t>
            </w:r>
          </w:p>
        </w:tc>
        <w:tc>
          <w:tcPr/>
          <w:p>
            <w:pPr>
              <w:pStyle w:val="Compact"/>
              <w:jc w:val="left"/>
            </w:pPr>
            <w:r>
              <w:rPr>
                <w:b/>
                <w:bCs/>
              </w:rPr>
              <w:t xml:space="preserve">Not yet triggered</w:t>
            </w:r>
            <w:r>
              <w:t xml:space="preserve"> </w:t>
            </w:r>
            <w:r>
              <w:t xml:space="preserve">(satisfiable without Stonemill; then compels Stonemill — contested)</w:t>
            </w:r>
          </w:p>
        </w:tc>
      </w:tr>
      <w:tr>
        <w:tc>
          <w:tcPr/>
          <w:p>
            <w:pPr>
              <w:pStyle w:val="Compact"/>
              <w:jc w:val="left"/>
            </w:pPr>
            <w:r>
              <w:t xml:space="preserve">6</w:t>
            </w:r>
          </w:p>
        </w:tc>
        <w:tc>
          <w:tcPr/>
          <w:p>
            <w:pPr>
              <w:pStyle w:val="Compact"/>
              <w:jc w:val="left"/>
            </w:pPr>
            <w:r>
              <w:t xml:space="preserve">Charter amendment (if structurally required)</w:t>
            </w:r>
          </w:p>
        </w:tc>
        <w:tc>
          <w:tcPr/>
          <w:p>
            <w:pPr>
              <w:pStyle w:val="Compact"/>
              <w:jc w:val="left"/>
            </w:pPr>
            <w:r>
              <w:t xml:space="preserve">Restated Cert. § 8.1; § 4.3.6(a)(i), (b)(ii)</w:t>
            </w:r>
          </w:p>
        </w:tc>
        <w:tc>
          <w:tcPr/>
          <w:p>
            <w:pPr>
              <w:pStyle w:val="Compact"/>
              <w:jc w:val="left"/>
            </w:pPr>
            <w:r>
              <w:t xml:space="preserve">Board + majority outstanding stock + all-Preferred + (if adverse/disproportionate to Series C) 66⅔% Series C</w:t>
            </w:r>
          </w:p>
        </w:tc>
        <w:tc>
          <w:tcPr/>
          <w:p>
            <w:pPr>
              <w:pStyle w:val="Compact"/>
              <w:jc w:val="left"/>
            </w:pPr>
            <w:r>
              <w:t xml:space="preserve">Board + stockholders + Preferred + Series C</w:t>
            </w:r>
          </w:p>
        </w:tc>
        <w:tc>
          <w:tcPr/>
          <w:p>
            <w:pPr>
              <w:pStyle w:val="Compact"/>
              <w:jc w:val="left"/>
            </w:pPr>
            <w:r>
              <w:rPr>
                <w:b/>
                <w:bCs/>
              </w:rPr>
              <w:t xml:space="preserve">Not anticipated</w:t>
            </w:r>
            <w:r>
              <w:t xml:space="preserve">; confirm none required</w:t>
            </w:r>
          </w:p>
        </w:tc>
      </w:tr>
      <w:tr>
        <w:tc>
          <w:tcPr/>
          <w:p>
            <w:pPr>
              <w:pStyle w:val="Compact"/>
              <w:jc w:val="left"/>
            </w:pPr>
            <w:r>
              <w:t xml:space="preserve">7</w:t>
            </w:r>
          </w:p>
        </w:tc>
        <w:tc>
          <w:tcPr/>
          <w:p>
            <w:pPr>
              <w:pStyle w:val="Compact"/>
              <w:jc w:val="left"/>
            </w:pPr>
            <w:r>
              <w:t xml:space="preserve">Bylaws amendment (if required)</w:t>
            </w:r>
          </w:p>
        </w:tc>
        <w:tc>
          <w:tcPr/>
          <w:p>
            <w:pPr>
              <w:pStyle w:val="Compact"/>
              <w:jc w:val="left"/>
            </w:pPr>
            <w:r>
              <w:t xml:space="preserve">Bylaws § 9.2</w:t>
            </w:r>
          </w:p>
        </w:tc>
        <w:tc>
          <w:tcPr/>
          <w:p>
            <w:pPr>
              <w:pStyle w:val="Compact"/>
              <w:jc w:val="left"/>
            </w:pPr>
            <w:r>
              <w:t xml:space="preserve">66⅔% of voting power (stockholders); Board may amend by majority</w:t>
            </w:r>
          </w:p>
        </w:tc>
        <w:tc>
          <w:tcPr/>
          <w:p>
            <w:pPr>
              <w:pStyle w:val="Compact"/>
              <w:jc w:val="left"/>
            </w:pPr>
            <w:r>
              <w:t xml:space="preserve">Stockholders (66⅔%) or Board</w:t>
            </w:r>
          </w:p>
        </w:tc>
        <w:tc>
          <w:tcPr/>
          <w:p>
            <w:pPr>
              <w:pStyle w:val="Compact"/>
              <w:jc w:val="left"/>
            </w:pPr>
            <w:r>
              <w:rPr>
                <w:b/>
                <w:bCs/>
              </w:rPr>
              <w:t xml:space="preserve">Not anticipated</w:t>
            </w:r>
          </w:p>
        </w:tc>
      </w:tr>
      <w:tr>
        <w:tc>
          <w:tcPr/>
          <w:p>
            <w:pPr>
              <w:pStyle w:val="Compact"/>
              <w:jc w:val="left"/>
            </w:pPr>
            <w:r>
              <w:t xml:space="preserve">8</w:t>
            </w:r>
          </w:p>
        </w:tc>
        <w:tc>
          <w:tcPr/>
          <w:p>
            <w:pPr>
              <w:pStyle w:val="Compact"/>
              <w:jc w:val="left"/>
            </w:pPr>
            <w:r>
              <w:t xml:space="preserve">Clearfield lender consent / payoff</w:t>
            </w:r>
          </w:p>
        </w:tc>
        <w:tc>
          <w:tcPr/>
          <w:p>
            <w:pPr>
              <w:pStyle w:val="Compact"/>
              <w:jc w:val="left"/>
            </w:pPr>
            <w:r>
              <w:t xml:space="preserve">Clearfield loan agreement (not produced)</w:t>
            </w:r>
          </w:p>
        </w:tc>
        <w:tc>
          <w:tcPr/>
          <w:p>
            <w:pPr>
              <w:pStyle w:val="Compact"/>
              <w:jc w:val="left"/>
            </w:pPr>
            <w:r>
              <w:t xml:space="preserve">Per loan agreement (change-of-control covenant likely)</w:t>
            </w:r>
          </w:p>
        </w:tc>
        <w:tc>
          <w:tcPr/>
          <w:p>
            <w:pPr>
              <w:pStyle w:val="Compact"/>
              <w:jc w:val="left"/>
            </w:pPr>
            <w:r>
              <w:t xml:space="preserve">Clearfield National Bank</w:t>
            </w:r>
          </w:p>
        </w:tc>
        <w:tc>
          <w:tcPr/>
          <w:p>
            <w:pPr>
              <w:pStyle w:val="Compact"/>
              <w:jc w:val="left"/>
            </w:pPr>
            <w:r>
              <w:rPr>
                <w:b/>
                <w:bCs/>
              </w:rPr>
              <w:t xml:space="preserve">Unknown</w:t>
            </w:r>
            <w:r>
              <w:t xml:space="preserve"> </w:t>
            </w:r>
            <w:r>
              <w:t xml:space="preserve">— request loan agreement</w:t>
            </w:r>
          </w:p>
        </w:tc>
      </w:tr>
      <w:tr>
        <w:tc>
          <w:tcPr/>
          <w:p>
            <w:pPr>
              <w:pStyle w:val="Compact"/>
              <w:jc w:val="left"/>
            </w:pPr>
            <w:r>
              <w:t xml:space="preserve">9</w:t>
            </w:r>
          </w:p>
        </w:tc>
        <w:tc>
          <w:tcPr/>
          <w:p>
            <w:pPr>
              <w:pStyle w:val="Compact"/>
              <w:jc w:val="left"/>
            </w:pPr>
            <w:r>
              <w:t xml:space="preserve">SensorLink exclusivity termination</w:t>
            </w:r>
          </w:p>
        </w:tc>
        <w:tc>
          <w:tcPr/>
          <w:p>
            <w:pPr>
              <w:pStyle w:val="Compact"/>
              <w:jc w:val="left"/>
            </w:pPr>
            <w:r>
              <w:t xml:space="preserve">SensorLink LOI (not produced)</w:t>
            </w:r>
          </w:p>
        </w:tc>
        <w:tc>
          <w:tcPr/>
          <w:p>
            <w:pPr>
              <w:pStyle w:val="Compact"/>
              <w:jc w:val="left"/>
            </w:pPr>
            <w:r>
              <w:t xml:space="preserve">Written termination notice ≥15 days before period end</w:t>
            </w:r>
          </w:p>
        </w:tc>
        <w:tc>
          <w:tcPr/>
          <w:p>
            <w:pPr>
              <w:pStyle w:val="Compact"/>
              <w:jc w:val="left"/>
            </w:pPr>
            <w:r>
              <w:t xml:space="preserve">Terravox → SensorLink</w:t>
            </w:r>
          </w:p>
        </w:tc>
        <w:tc>
          <w:tcPr/>
          <w:p>
            <w:pPr>
              <w:pStyle w:val="Compact"/>
              <w:jc w:val="left"/>
            </w:pPr>
            <w:r>
              <w:rPr>
                <w:b/>
                <w:bCs/>
              </w:rPr>
              <w:t xml:space="preserve">Unknown / time-sensitive</w:t>
            </w:r>
            <w:r>
              <w:t xml:space="preserve"> </w:t>
            </w:r>
            <w:r>
              <w:t xml:space="preserve">— confirm and terminate immediately</w:t>
            </w:r>
          </w:p>
        </w:tc>
      </w:tr>
      <w:tr>
        <w:tc>
          <w:tcPr/>
          <w:p>
            <w:pPr>
              <w:pStyle w:val="Compact"/>
              <w:jc w:val="left"/>
            </w:pPr>
            <w:r>
              <w:t xml:space="preserve">10</w:t>
            </w:r>
          </w:p>
        </w:tc>
        <w:tc>
          <w:tcPr/>
          <w:p>
            <w:pPr>
              <w:pStyle w:val="Compact"/>
              <w:jc w:val="left"/>
            </w:pPr>
            <w:r>
              <w:t xml:space="preserve">Equity award change-of-control treatment</w:t>
            </w:r>
          </w:p>
        </w:tc>
        <w:tc>
          <w:tcPr/>
          <w:p>
            <w:pPr>
              <w:pStyle w:val="Compact"/>
              <w:jc w:val="left"/>
            </w:pPr>
            <w:r>
              <w:t xml:space="preserve">2021 Plan + award agreements (not produced)</w:t>
            </w:r>
          </w:p>
        </w:tc>
        <w:tc>
          <w:tcPr/>
          <w:p>
            <w:pPr>
              <w:pStyle w:val="Compact"/>
              <w:jc w:val="left"/>
            </w:pPr>
            <w:r>
              <w:t xml:space="preserve">Per Plan (administrator/Board approval likely)</w:t>
            </w:r>
          </w:p>
        </w:tc>
        <w:tc>
          <w:tcPr/>
          <w:p>
            <w:pPr>
              <w:pStyle w:val="Compact"/>
              <w:jc w:val="left"/>
            </w:pPr>
            <w:r>
              <w:t xml:space="preserve">Plan administrator / Board</w:t>
            </w:r>
          </w:p>
        </w:tc>
        <w:tc>
          <w:tcPr/>
          <w:p>
            <w:pPr>
              <w:pStyle w:val="Compact"/>
              <w:jc w:val="left"/>
            </w:pPr>
            <w:r>
              <w:rPr>
                <w:b/>
                <w:bCs/>
              </w:rPr>
              <w:t xml:space="preserve">Unknown</w:t>
            </w:r>
            <w:r>
              <w:t xml:space="preserve"> </w:t>
            </w:r>
            <w:r>
              <w:t xml:space="preserve">— request Plan and award agreements</w:t>
            </w:r>
          </w:p>
        </w:tc>
      </w:tr>
      <w:tr>
        <w:tc>
          <w:tcPr/>
          <w:p>
            <w:pPr>
              <w:pStyle w:val="Compact"/>
              <w:jc w:val="left"/>
            </w:pPr>
            <w:r>
              <w:t xml:space="preserve">11</w:t>
            </w:r>
          </w:p>
        </w:tc>
        <w:tc>
          <w:tcPr/>
          <w:p>
            <w:pPr>
              <w:pStyle w:val="Compact"/>
              <w:jc w:val="left"/>
            </w:pPr>
            <w:r>
              <w:t xml:space="preserve">HSR antitrust clearance</w:t>
            </w:r>
          </w:p>
        </w:tc>
        <w:tc>
          <w:tcPr/>
          <w:p>
            <w:pPr>
              <w:pStyle w:val="Compact"/>
              <w:jc w:val="left"/>
            </w:pPr>
            <w:r>
              <w:t xml:space="preserve">HSR Act</w:t>
            </w:r>
          </w:p>
        </w:tc>
        <w:tc>
          <w:tcPr/>
          <w:p>
            <w:pPr>
              <w:pStyle w:val="Compact"/>
              <w:jc w:val="left"/>
            </w:pPr>
            <w:r>
              <w:t xml:space="preserve">Notification + waiting period (likely required at $485M)</w:t>
            </w:r>
          </w:p>
        </w:tc>
        <w:tc>
          <w:tcPr/>
          <w:p>
            <w:pPr>
              <w:pStyle w:val="Compact"/>
              <w:jc w:val="left"/>
            </w:pPr>
            <w:r>
              <w:t xml:space="preserve">FTC/DOJ</w:t>
            </w:r>
          </w:p>
        </w:tc>
        <w:tc>
          <w:tcPr/>
          <w:p>
            <w:pPr>
              <w:pStyle w:val="Compact"/>
              <w:jc w:val="left"/>
            </w:pPr>
            <w:r>
              <w:rPr>
                <w:b/>
                <w:bCs/>
              </w:rPr>
              <w:t xml:space="preserve">Not yet filed</w:t>
            </w:r>
            <w:r>
              <w:t xml:space="preserve"> </w:t>
            </w:r>
            <w:r>
              <w:t xml:space="preserve">— add to critical path</w:t>
            </w:r>
          </w:p>
        </w:tc>
      </w:tr>
      <w:tr>
        <w:tc>
          <w:tcPr/>
          <w:p>
            <w:pPr>
              <w:pStyle w:val="Compact"/>
              <w:jc w:val="left"/>
            </w:pPr>
            <w:r>
              <w:t xml:space="preserve">12</w:t>
            </w:r>
          </w:p>
        </w:tc>
        <w:tc>
          <w:tcPr/>
          <w:p>
            <w:pPr>
              <w:pStyle w:val="Compact"/>
              <w:jc w:val="left"/>
            </w:pPr>
            <w:r>
              <w:t xml:space="preserve">RRA termination / waiver</w:t>
            </w:r>
          </w:p>
        </w:tc>
        <w:tc>
          <w:tcPr/>
          <w:p>
            <w:pPr>
              <w:pStyle w:val="Compact"/>
              <w:jc w:val="left"/>
            </w:pPr>
            <w:r>
              <w:t xml:space="preserve">RRA § 9 (and merger agreement)</w:t>
            </w:r>
          </w:p>
        </w:tc>
        <w:tc>
          <w:tcPr/>
          <w:p>
            <w:pPr>
              <w:pStyle w:val="Compact"/>
              <w:jc w:val="left"/>
            </w:pPr>
            <w:r>
              <w:t xml:space="preserve">Written consent of Company + Holders of majority of Registrable Securities (or express termination in merger agreement)</w:t>
            </w:r>
          </w:p>
        </w:tc>
        <w:tc>
          <w:tcPr/>
          <w:p>
            <w:pPr>
              <w:pStyle w:val="Compact"/>
              <w:jc w:val="left"/>
            </w:pPr>
            <w:r>
              <w:t xml:space="preserve">Company + Holders (or Hargrove as successor)</w:t>
            </w:r>
          </w:p>
        </w:tc>
        <w:tc>
          <w:tcPr/>
          <w:p>
            <w:pPr>
              <w:pStyle w:val="Compact"/>
              <w:jc w:val="left"/>
            </w:pPr>
            <w:r>
              <w:rPr>
                <w:b/>
                <w:bCs/>
              </w:rPr>
              <w:t xml:space="preserve">Recommended</w:t>
            </w:r>
            <w:r>
              <w:t xml:space="preserve"> </w:t>
            </w:r>
            <w:r>
              <w:t xml:space="preserve">— close</w:t>
            </w:r>
            <w:r>
              <w:t xml:space="preserve"> </w:t>
            </w:r>
            <w:r>
              <w:t xml:space="preserve">“</w:t>
            </w:r>
            <w:r>
              <w:t xml:space="preserve">Deemed Liquidation Event</w:t>
            </w:r>
            <w:r>
              <w:t xml:space="preserve">”</w:t>
            </w:r>
            <w:r>
              <w:t xml:space="preserve"> </w:t>
            </w:r>
            <w:r>
              <w:t xml:space="preserve">gap by express termination</w:t>
            </w:r>
          </w:p>
        </w:tc>
      </w:tr>
      <w:tr>
        <w:tc>
          <w:tcPr/>
          <w:p>
            <w:pPr>
              <w:pStyle w:val="Compact"/>
              <w:jc w:val="left"/>
            </w:pPr>
            <w:r>
              <w:t xml:space="preserve">13</w:t>
            </w:r>
          </w:p>
        </w:tc>
        <w:tc>
          <w:tcPr/>
          <w:p>
            <w:pPr>
              <w:pStyle w:val="Compact"/>
              <w:jc w:val="left"/>
            </w:pPr>
            <w:r>
              <w:t xml:space="preserve">Voting Agreement termination (confirm)</w:t>
            </w:r>
          </w:p>
        </w:tc>
        <w:tc>
          <w:tcPr/>
          <w:p>
            <w:pPr>
              <w:pStyle w:val="Compact"/>
              <w:jc w:val="left"/>
            </w:pPr>
            <w:r>
              <w:t xml:space="preserve">VA § 7.1(b)</w:t>
            </w:r>
          </w:p>
        </w:tc>
        <w:tc>
          <w:tcPr/>
          <w:p>
            <w:pPr>
              <w:pStyle w:val="Compact"/>
              <w:jc w:val="left"/>
            </w:pPr>
            <w:r>
              <w:t xml:space="preserve">Automatic on Sale of the Company</w:t>
            </w:r>
          </w:p>
        </w:tc>
        <w:tc>
          <w:tcPr/>
          <w:p>
            <w:pPr>
              <w:pStyle w:val="Compact"/>
              <w:jc w:val="left"/>
            </w:pPr>
            <w:r>
              <w:t xml:space="preserve">N/A (automatic)</w:t>
            </w:r>
          </w:p>
        </w:tc>
        <w:tc>
          <w:tcPr/>
          <w:p>
            <w:pPr>
              <w:pStyle w:val="Compact"/>
              <w:jc w:val="left"/>
            </w:pPr>
            <w:r>
              <w:rPr>
                <w:b/>
                <w:bCs/>
              </w:rPr>
              <w:t xml:space="preserve">Confirms at closing</w:t>
            </w:r>
            <w:r>
              <w:t xml:space="preserve">; recommend express termination/waiver in merger agreement</w:t>
            </w:r>
          </w:p>
        </w:tc>
      </w:tr>
      <w:tr>
        <w:tc>
          <w:tcPr/>
          <w:p>
            <w:pPr>
              <w:pStyle w:val="Compact"/>
              <w:jc w:val="left"/>
            </w:pPr>
            <w:r>
              <w:t xml:space="preserve">14</w:t>
            </w:r>
          </w:p>
        </w:tc>
        <w:tc>
          <w:tcPr/>
          <w:p>
            <w:pPr>
              <w:pStyle w:val="Compact"/>
              <w:jc w:val="left"/>
            </w:pPr>
            <w:r>
              <w:t xml:space="preserve">Stockholders’ Agreement termination (confirm)</w:t>
            </w:r>
          </w:p>
        </w:tc>
        <w:tc>
          <w:tcPr/>
          <w:p>
            <w:pPr>
              <w:pStyle w:val="Compact"/>
              <w:jc w:val="left"/>
            </w:pPr>
            <w:r>
              <w:t xml:space="preserve">SHA § 6.1(b)</w:t>
            </w:r>
          </w:p>
        </w:tc>
        <w:tc>
          <w:tcPr/>
          <w:p>
            <w:pPr>
              <w:pStyle w:val="Compact"/>
              <w:jc w:val="left"/>
            </w:pPr>
            <w:r>
              <w:t xml:space="preserve">Automatic on Sale of the Company</w:t>
            </w:r>
          </w:p>
        </w:tc>
        <w:tc>
          <w:tcPr/>
          <w:p>
            <w:pPr>
              <w:pStyle w:val="Compact"/>
              <w:jc w:val="left"/>
            </w:pPr>
            <w:r>
              <w:t xml:space="preserve">N/A (automatic)</w:t>
            </w:r>
          </w:p>
        </w:tc>
        <w:tc>
          <w:tcPr/>
          <w:p>
            <w:pPr>
              <w:pStyle w:val="Compact"/>
              <w:jc w:val="left"/>
            </w:pPr>
            <w:r>
              <w:rPr>
                <w:b/>
                <w:bCs/>
              </w:rPr>
              <w:t xml:space="preserve">Confirms at closing</w:t>
            </w:r>
            <w:r>
              <w:t xml:space="preserve">; recommend express confirmation in merger agreement</w:t>
            </w:r>
          </w:p>
        </w:tc>
      </w:tr>
    </w:tbl>
    <w:p>
      <w:r>
        <w:pict>
          <v:rect style="width:0;height:1.5pt" o:hralign="center" o:hrstd="t" o:hr="t"/>
        </w:pict>
      </w:r>
    </w:p>
    <w:bookmarkEnd w:id="34"/>
    <w:bookmarkStart w:id="35" w:name="xvi.-recommended-next-steps-action-items"/>
    <w:p>
      <w:pPr>
        <w:pStyle w:val="Heading2"/>
      </w:pPr>
      <w:r>
        <w:t xml:space="preserve">XVI. Recommended Next Steps / Action Items</w:t>
      </w:r>
    </w:p>
    <w:p>
      <w:pPr>
        <w:pStyle w:val="FirstParagraph"/>
      </w:pPr>
      <w:r>
        <w:rPr>
          <w:b/>
          <w:bCs/>
        </w:rPr>
        <w:t xml:space="preserve">A. Time-sensitive / deal-critical (act now).</w:t>
      </w:r>
    </w:p>
    <w:p>
      <w:pPr>
        <w:pStyle w:val="Compact"/>
        <w:numPr>
          <w:ilvl w:val="0"/>
          <w:numId w:val="1013"/>
        </w:numPr>
      </w:pPr>
      <w:r>
        <w:rPr>
          <w:b/>
          <w:bCs/>
        </w:rPr>
        <w:t xml:space="preserve">SensorLink exclusivity (Critical/Time-Sensitive).</w:t>
      </w:r>
      <w:r>
        <w:t xml:space="preserve"> </w:t>
      </w:r>
      <w:r>
        <w:t xml:space="preserve">Through you, request that Company counsel (i) confirm whether a written termination notice was sent to SensorLink before September 8, 2024, (ii) if not, send one immediately, and (iii) produce the SensorLink LOI and all related correspondence. Calendar the 15-day notice deadline to prevent further auto-renewal. Address a</w:t>
      </w:r>
      <w:r>
        <w:t xml:space="preserve"> </w:t>
      </w:r>
      <w:r>
        <w:t xml:space="preserve">“</w:t>
      </w:r>
      <w:r>
        <w:t xml:space="preserve">no conflicting exclusivity</w:t>
      </w:r>
      <w:r>
        <w:t xml:space="preserve">”</w:t>
      </w:r>
      <w:r>
        <w:t xml:space="preserve"> </w:t>
      </w:r>
      <w:r>
        <w:t xml:space="preserve">rep and closing condition in the merger agreement.</w:t>
      </w:r>
    </w:p>
    <w:p>
      <w:pPr>
        <w:pStyle w:val="Compact"/>
        <w:numPr>
          <w:ilvl w:val="0"/>
          <w:numId w:val="1013"/>
        </w:numPr>
      </w:pPr>
      <w:r>
        <w:rPr>
          <w:b/>
          <w:bCs/>
        </w:rPr>
        <w:t xml:space="preserve">Stonemill blocking right / drag-along strategy (Critical).</w:t>
      </w:r>
      <w:r>
        <w:t xml:space="preserve"> </w:t>
      </w:r>
      <w:r>
        <w:t xml:space="preserve">Brief the client (Katrina Voss) on the Series C hard block and the drag-along path, including the litigation risk. Decide whether to (a) negotiate Stonemill’s consent first (preferred, if achievable on acceptable terms), or (b) prepare to trigger the drag-along and enforce it in the Court of Chancery. Begin securing written consents from the Founders, Ridgeline, and Northbridge (the drag-along coalition) — but do not finalize the trigger strategy without client input on litigation tolerance.</w:t>
      </w:r>
    </w:p>
    <w:p>
      <w:pPr>
        <w:pStyle w:val="FirstParagraph"/>
      </w:pPr>
      <w:r>
        <w:rPr>
          <w:b/>
          <w:bCs/>
        </w:rPr>
        <w:t xml:space="preserve">B. Document requests (route through Jonathan Hsieh to Nathaniel Rourke at Avery, Pollard &amp; Glenn).</w:t>
      </w:r>
    </w:p>
    <w:p>
      <w:pPr>
        <w:pStyle w:val="Compact"/>
        <w:numPr>
          <w:ilvl w:val="0"/>
          <w:numId w:val="1014"/>
        </w:numPr>
      </w:pPr>
      <w:r>
        <w:t xml:space="preserve">The 2021 Equity Incentive Plan and all amendments (including the July 2023 share-reserve increase).</w:t>
      </w:r>
    </w:p>
    <w:p>
      <w:pPr>
        <w:pStyle w:val="Compact"/>
        <w:numPr>
          <w:ilvl w:val="0"/>
          <w:numId w:val="1014"/>
        </w:numPr>
      </w:pPr>
      <w:r>
        <w:t xml:space="preserve">All individual award agreements (options, RSUs) and a complete outstanding-award schedule (grantee, grant date, shares, exercise price, vesting schedule, vested/unvested status).</w:t>
      </w:r>
    </w:p>
    <w:p>
      <w:pPr>
        <w:pStyle w:val="Compact"/>
        <w:numPr>
          <w:ilvl w:val="0"/>
          <w:numId w:val="1014"/>
        </w:numPr>
      </w:pPr>
      <w:r>
        <w:t xml:space="preserve">The Clearfield National Bank term loan agreement and all ancillary documents (security agreement, IP security agreement, promissory note); confirmation of any change-of-control covenants.</w:t>
      </w:r>
    </w:p>
    <w:p>
      <w:pPr>
        <w:pStyle w:val="Compact"/>
        <w:numPr>
          <w:ilvl w:val="0"/>
          <w:numId w:val="1014"/>
        </w:numPr>
      </w:pPr>
      <w:r>
        <w:t xml:space="preserve">The SensorLink Technologies LOI and all related correspondence (including any termination notices).</w:t>
      </w:r>
    </w:p>
    <w:p>
      <w:pPr>
        <w:pStyle w:val="Compact"/>
        <w:numPr>
          <w:ilvl w:val="0"/>
          <w:numId w:val="1014"/>
        </w:numPr>
      </w:pPr>
      <w:r>
        <w:t xml:space="preserve">Stockholder consent records for (i) the Clearfield $12 million term loan (to confirm whether the § 4.3.6(a)(v) Preferred consent was obtained) and (ii) the July 2023 equity plan share-reserve increase (to confirm whether stockholder approval was obtained, if required).</w:t>
      </w:r>
    </w:p>
    <w:p>
      <w:pPr>
        <w:pStyle w:val="Compact"/>
        <w:numPr>
          <w:ilvl w:val="0"/>
          <w:numId w:val="1014"/>
        </w:numPr>
      </w:pPr>
      <w:r>
        <w:t xml:space="preserve">The complete, current capitalization table (outstanding shares by class, issued vs. unexercised options/RSUs, treasury shares) to resolve the drag-along prong (i) denominator ambiguity.</w:t>
      </w:r>
    </w:p>
    <w:p>
      <w:pPr>
        <w:pStyle w:val="Compact"/>
        <w:numPr>
          <w:ilvl w:val="0"/>
          <w:numId w:val="1014"/>
        </w:numPr>
      </w:pPr>
      <w:r>
        <w:t xml:space="preserve">The Special Committee charter and all Special Committee minutes/materials; the Meridian Partners and Thornbury &amp; Associates analyses (for the sale-process/fairness record).</w:t>
      </w:r>
    </w:p>
    <w:p>
      <w:pPr>
        <w:pStyle w:val="Compact"/>
        <w:numPr>
          <w:ilvl w:val="0"/>
          <w:numId w:val="1014"/>
        </w:numPr>
      </w:pPr>
      <w:r>
        <w:t xml:space="preserve">Any individual indemnification agreements with directors and officers (Bylaws § 6.4) and current D&amp;O insurance policies.</w:t>
      </w:r>
    </w:p>
    <w:p>
      <w:pPr>
        <w:pStyle w:val="Compact"/>
        <w:numPr>
          <w:ilvl w:val="0"/>
          <w:numId w:val="1014"/>
        </w:numPr>
      </w:pPr>
      <w:r>
        <w:t xml:space="preserve">Confirmation of the Company’s observer-notice practices for the April 17, 2024 Board meeting (whether the Stonemill observer was notified and provided materials).</w:t>
      </w:r>
    </w:p>
    <w:p>
      <w:pPr>
        <w:pStyle w:val="FirstParagraph"/>
      </w:pPr>
      <w:r>
        <w:rPr>
          <w:b/>
          <w:bCs/>
        </w:rPr>
        <w:t xml:space="preserve">C. Open legal questions for the team.</w:t>
      </w:r>
    </w:p>
    <w:p>
      <w:pPr>
        <w:pStyle w:val="Compact"/>
        <w:numPr>
          <w:ilvl w:val="0"/>
          <w:numId w:val="1015"/>
        </w:numPr>
      </w:pPr>
      <w:r>
        <w:rPr>
          <w:b/>
          <w:bCs/>
        </w:rPr>
        <w:t xml:space="preserve">Drag-along vs. protective provision.</w:t>
      </w:r>
      <w:r>
        <w:t xml:space="preserve"> </w:t>
      </w:r>
      <w:r>
        <w:t xml:space="preserve">Complete the legal analysis (and consider an opinion or a litigation strategy memo) on whether the SHA drag-along can compel Stonemill’s Series C separate-class consent under § 4.3.6(b)(i), including the § 218(c) enforceability argument, the irrevocable-proxy enforcement mechanism, and the charter-paramountcy counter-arguments. Assess likelihood of success on an expedited TRO/preliminary injunction in the Court of Chancery.</w:t>
      </w:r>
    </w:p>
    <w:p>
      <w:pPr>
        <w:pStyle w:val="Compact"/>
        <w:numPr>
          <w:ilvl w:val="0"/>
          <w:numId w:val="1015"/>
        </w:numPr>
      </w:pPr>
      <w:r>
        <w:rPr>
          <w:b/>
          <w:bCs/>
        </w:rPr>
        <w:t xml:space="preserve">Clearfield loan protective-provision compliance.</w:t>
      </w:r>
      <w:r>
        <w:t xml:space="preserve"> </w:t>
      </w:r>
      <w:r>
        <w:t xml:space="preserve">Determine whether the § 4.3.6(a)(v) Preferred consent was obtained for the $12 million loan; if not, assess ratification/confirmation options and the implications for the sale-process record and the merger agreement reps.</w:t>
      </w:r>
    </w:p>
    <w:p>
      <w:pPr>
        <w:pStyle w:val="Compact"/>
        <w:numPr>
          <w:ilvl w:val="0"/>
          <w:numId w:val="1015"/>
        </w:numPr>
      </w:pPr>
      <w:r>
        <w:rPr>
          <w:b/>
          <w:bCs/>
        </w:rPr>
        <w:t xml:space="preserve">Waterfall reconciliation.</w:t>
      </w:r>
      <w:r>
        <w:t xml:space="preserve"> </w:t>
      </w:r>
      <w:r>
        <w:t xml:space="preserve">Reconcile the September 25, 2024 minutes’ waterfall characterization with the charter’s non-participating preferred mechanics (Series C elects its $18.50 preference; Common/ Series A/ Series B receive ~$12.59/share). Confirm the actual per-class merger consideration and reflect it in the merger agreement’s consideration-allocation provisions and in Thornbury’s fairness analysis.</w:t>
      </w:r>
    </w:p>
    <w:p>
      <w:pPr>
        <w:pStyle w:val="Compact"/>
        <w:numPr>
          <w:ilvl w:val="0"/>
          <w:numId w:val="1015"/>
        </w:numPr>
      </w:pPr>
      <w:r>
        <w:rPr>
          <w:b/>
          <w:bCs/>
        </w:rPr>
        <w:t xml:space="preserve">Special Committee reconstitution.</w:t>
      </w:r>
      <w:r>
        <w:t xml:space="preserve"> </w:t>
      </w:r>
      <w:r>
        <w:t xml:space="preserve">Advise the client on whether to recommend reconstituting the Special Committee to exclude Okafor (or documenting her recusal), and on the sale-process record needed for a robust Revlon defense.</w:t>
      </w:r>
    </w:p>
    <w:p>
      <w:pPr>
        <w:pStyle w:val="Compact"/>
        <w:numPr>
          <w:ilvl w:val="0"/>
          <w:numId w:val="1015"/>
        </w:numPr>
      </w:pPr>
      <w:r>
        <w:rPr>
          <w:b/>
          <w:bCs/>
        </w:rPr>
        <w:t xml:space="preserve">Equity award treatment.</w:t>
      </w:r>
      <w:r>
        <w:t xml:space="preserve"> </w:t>
      </w:r>
      <w:r>
        <w:t xml:space="preserve">Once the Plan and award agreements are produced, determine change-of-control triggers, acceleration (single- vs. double-trigger), treatment of underwater options, and aggregate acceleration cost; reflect in deal economics and the merger agreement.</w:t>
      </w:r>
    </w:p>
    <w:p>
      <w:pPr>
        <w:pStyle w:val="FirstParagraph"/>
      </w:pPr>
      <w:r>
        <w:rPr>
          <w:b/>
          <w:bCs/>
        </w:rPr>
        <w:t xml:space="preserve">D. Merger agreement drafting items.</w:t>
      </w:r>
    </w:p>
    <w:p>
      <w:pPr>
        <w:pStyle w:val="Compact"/>
        <w:numPr>
          <w:ilvl w:val="0"/>
          <w:numId w:val="1016"/>
        </w:numPr>
      </w:pPr>
      <w:r>
        <w:t xml:space="preserve">Closing conditions for all required consents (DGCL § 251, all-Preferred, Series C), with a</w:t>
      </w:r>
      <w:r>
        <w:t xml:space="preserve"> </w:t>
      </w:r>
      <w:r>
        <w:t xml:space="preserve">“</w:t>
      </w:r>
      <w:r>
        <w:t xml:space="preserve">Stonemill consent</w:t>
      </w:r>
      <w:r>
        <w:t xml:space="preserve">”</w:t>
      </w:r>
      <w:r>
        <w:t xml:space="preserve"> </w:t>
      </w:r>
      <w:r>
        <w:t xml:space="preserve">condition or alternative if the drag-along is the intended path.</w:t>
      </w:r>
    </w:p>
    <w:p>
      <w:pPr>
        <w:pStyle w:val="Compact"/>
        <w:numPr>
          <w:ilvl w:val="0"/>
          <w:numId w:val="1016"/>
        </w:numPr>
      </w:pPr>
      <w:r>
        <w:t xml:space="preserve">A litigation covenant requiring the Company to enforce the drag-along and cooperate with Buyer in any Stonemill challenge.</w:t>
      </w:r>
    </w:p>
    <w:p>
      <w:pPr>
        <w:pStyle w:val="Compact"/>
        <w:numPr>
          <w:ilvl w:val="0"/>
          <w:numId w:val="1016"/>
        </w:numPr>
      </w:pPr>
      <w:r>
        <w:t xml:space="preserve">Express termination/waiver of the RRA, the Voting Agreement, and the Stockholders’ Agreement at closing (closing the</w:t>
      </w:r>
      <w:r>
        <w:t xml:space="preserve"> </w:t>
      </w:r>
      <w:r>
        <w:t xml:space="preserve">“</w:t>
      </w:r>
      <w:r>
        <w:t xml:space="preserve">Deemed Liquidation Event</w:t>
      </w:r>
      <w:r>
        <w:t xml:space="preserve">”</w:t>
      </w:r>
      <w:r>
        <w:t xml:space="preserve"> </w:t>
      </w:r>
      <w:r>
        <w:t xml:space="preserve">gap and foreclosing the 2026 sunset backstop), with indemnification survival preserved.</w:t>
      </w:r>
    </w:p>
    <w:p>
      <w:pPr>
        <w:pStyle w:val="Compact"/>
        <w:numPr>
          <w:ilvl w:val="0"/>
          <w:numId w:val="1016"/>
        </w:numPr>
      </w:pPr>
      <w:r>
        <w:t xml:space="preserve">A</w:t>
      </w:r>
      <w:r>
        <w:t xml:space="preserve"> </w:t>
      </w:r>
      <w:r>
        <w:t xml:space="preserve">“</w:t>
      </w:r>
      <w:r>
        <w:t xml:space="preserve">no conflicting exclusivity / no conflicting agreement</w:t>
      </w:r>
      <w:r>
        <w:t xml:space="preserve">”</w:t>
      </w:r>
      <w:r>
        <w:t xml:space="preserve"> </w:t>
      </w:r>
      <w:r>
        <w:t xml:space="preserve">Company representation (covering SensorLink and any other exclusivity).</w:t>
      </w:r>
    </w:p>
    <w:p>
      <w:pPr>
        <w:pStyle w:val="Compact"/>
        <w:numPr>
          <w:ilvl w:val="0"/>
          <w:numId w:val="1016"/>
        </w:numPr>
      </w:pPr>
      <w:r>
        <w:t xml:space="preserve">Treatment of the Clearfield loan (payoff/refinance/assumption with lender consent) as a closing matter.</w:t>
      </w:r>
    </w:p>
    <w:p>
      <w:pPr>
        <w:pStyle w:val="Compact"/>
        <w:numPr>
          <w:ilvl w:val="0"/>
          <w:numId w:val="1016"/>
        </w:numPr>
      </w:pPr>
      <w:r>
        <w:t xml:space="preserve">Treatment of Company equity awards per the Plan (assumption/cash-out/cancellation) and the acceleration cost.</w:t>
      </w:r>
    </w:p>
    <w:p>
      <w:pPr>
        <w:pStyle w:val="Compact"/>
        <w:numPr>
          <w:ilvl w:val="0"/>
          <w:numId w:val="1016"/>
        </w:numPr>
      </w:pPr>
      <w:r>
        <w:t xml:space="preserve">Successor indemnification and D&amp;O tail insurance arrangements.</w:t>
      </w:r>
    </w:p>
    <w:p>
      <w:pPr>
        <w:pStyle w:val="Compact"/>
        <w:numPr>
          <w:ilvl w:val="0"/>
          <w:numId w:val="1016"/>
        </w:numPr>
      </w:pPr>
      <w:r>
        <w:t xml:space="preserve">Acknowledgment that the Transaction constitutes a</w:t>
      </w:r>
      <w:r>
        <w:t xml:space="preserve"> </w:t>
      </w:r>
      <w:r>
        <w:t xml:space="preserve">“</w:t>
      </w:r>
      <w:r>
        <w:t xml:space="preserve">Liquidation Event</w:t>
      </w:r>
      <w:r>
        <w:t xml:space="preserve">”</w:t>
      </w:r>
      <w:r>
        <w:t xml:space="preserve"> </w:t>
      </w:r>
      <w:r>
        <w:t xml:space="preserve">and</w:t>
      </w:r>
      <w:r>
        <w:t xml:space="preserve"> </w:t>
      </w:r>
      <w:r>
        <w:t xml:space="preserve">“</w:t>
      </w:r>
      <w:r>
        <w:t xml:space="preserve">Sale of the Company,</w:t>
      </w:r>
      <w:r>
        <w:t xml:space="preserve">”</w:t>
      </w:r>
      <w:r>
        <w:t xml:space="preserve"> </w:t>
      </w:r>
      <w:r>
        <w:t xml:space="preserve">and provision for the 20-day Liquidation Event notice.</w:t>
      </w:r>
    </w:p>
    <w:p>
      <w:pPr>
        <w:pStyle w:val="FirstParagraph"/>
      </w:pPr>
      <w:r>
        <w:rPr>
          <w:b/>
          <w:bCs/>
        </w:rPr>
        <w:t xml:space="preserve">E. Items requiring client input.</w:t>
      </w:r>
    </w:p>
    <w:p>
      <w:pPr>
        <w:pStyle w:val="Compact"/>
        <w:numPr>
          <w:ilvl w:val="0"/>
          <w:numId w:val="1017"/>
        </w:numPr>
      </w:pPr>
      <w:r>
        <w:t xml:space="preserve">Litigation tolerance: is Hargrove willing to close (or sign) on a drag-along path that may require expedited Delaware litigation against Stonemill?</w:t>
      </w:r>
    </w:p>
    <w:p>
      <w:pPr>
        <w:pStyle w:val="Compact"/>
        <w:numPr>
          <w:ilvl w:val="0"/>
          <w:numId w:val="1017"/>
        </w:numPr>
      </w:pPr>
      <w:r>
        <w:t xml:space="preserve">Negotiation strategy with Stonemill: attempt to buy consent (and on what terms — e.g., consideration allocation, side arrangements, post-closing management rights) versus pursue the drag-along.</w:t>
      </w:r>
    </w:p>
    <w:p>
      <w:pPr>
        <w:pStyle w:val="Compact"/>
        <w:numPr>
          <w:ilvl w:val="0"/>
          <w:numId w:val="1017"/>
        </w:numPr>
      </w:pPr>
      <w:r>
        <w:t xml:space="preserve">Negotiation strategy with Ridgeline and Northbridge: securing their support is necessary for both the all-Preferred vote and the drag-along; what inducements, if any, are appropriate?</w:t>
      </w:r>
    </w:p>
    <w:p>
      <w:pPr>
        <w:pStyle w:val="Compact"/>
        <w:numPr>
          <w:ilvl w:val="0"/>
          <w:numId w:val="1017"/>
        </w:numPr>
      </w:pPr>
      <w:r>
        <w:t xml:space="preserve">Acceptability of the Special Committee composition and whether to request reconstitution as a condition to signing.</w:t>
      </w:r>
    </w:p>
    <w:p>
      <w:r>
        <w:pict>
          <v:rect style="width:0;height:1.5pt" o:hralign="center" o:hrstd="t" o:hr="t"/>
        </w:pict>
      </w:r>
    </w:p>
    <w:bookmarkEnd w:id="35"/>
    <w:bookmarkStart w:id="36" w:name="xvii.-closing-note"/>
    <w:p>
      <w:pPr>
        <w:pStyle w:val="Heading2"/>
      </w:pPr>
      <w:r>
        <w:t xml:space="preserve">XVII. Closing Note</w:t>
      </w:r>
    </w:p>
    <w:p>
      <w:pPr>
        <w:pStyle w:val="FirstParagraph"/>
      </w:pPr>
      <w:r>
        <w:t xml:space="preserve">The critical variable is Stonemill. The governance documents give Stonemill a</w:t>
      </w:r>
      <w:r>
        <w:t xml:space="preserve"> </w:t>
      </w:r>
      <w:r>
        <w:rPr>
          <w:b/>
          <w:bCs/>
        </w:rPr>
        <w:t xml:space="preserve">hard, charter-level blocking right</w:t>
      </w:r>
      <w:r>
        <w:t xml:space="preserve"> </w:t>
      </w:r>
      <w:r>
        <w:t xml:space="preserve">through the Series C separate-class protective provision (§ 4.3.6(b)(i)) — unsatisfiable without Stonemill’s consent because it holds 100% of the Series C. The</w:t>
      </w:r>
      <w:r>
        <w:t xml:space="preserve"> </w:t>
      </w:r>
      <w:r>
        <w:rPr>
          <w:b/>
          <w:bCs/>
        </w:rPr>
        <w:t xml:space="preserve">drag-along provides a viable but contested path</w:t>
      </w:r>
      <w:r>
        <w:t xml:space="preserve"> </w:t>
      </w:r>
      <w:r>
        <w:t xml:space="preserve">to compel that consent, supportable on the text and DGCL § 218(c) but likely to be challenged in expedited Court of Chancery proceedings; it improves Hargrove’s negotiating posture but is not a guarantee. Two items warrant immediate attention outside the normal timeline: (1) the</w:t>
      </w:r>
      <w:r>
        <w:t xml:space="preserve"> </w:t>
      </w:r>
      <w:r>
        <w:rPr>
          <w:b/>
          <w:bCs/>
        </w:rPr>
        <w:t xml:space="preserve">SensorLink exclusivity</w:t>
      </w:r>
      <w:r>
        <w:t xml:space="preserve"> </w:t>
      </w:r>
      <w:r>
        <w:t xml:space="preserve">auto-renewal (a possible live conflict with a timing trap that worsens with delay), and (2) a</w:t>
      </w:r>
      <w:r>
        <w:t xml:space="preserve"> </w:t>
      </w:r>
      <w:r>
        <w:rPr>
          <w:b/>
          <w:bCs/>
        </w:rPr>
        <w:t xml:space="preserve">client-level decision</w:t>
      </w:r>
      <w:r>
        <w:t xml:space="preserve"> </w:t>
      </w:r>
      <w:r>
        <w:t xml:space="preserve">on whether to negotiate Stonemill’s consent or prepare to enforce the drag-along. We will supplement this memo as the requested documents are produced and as the drag-along/protective-provision analysis is finalized.</w:t>
      </w:r>
    </w:p>
    <w:p>
      <w:r>
        <w:pict>
          <v:rect style="width:0;height:1.5pt" o:hralign="center" o:hrstd="t" o:hr="t"/>
        </w:pict>
      </w:r>
    </w:p>
    <w:p>
      <w:pPr>
        <w:pStyle w:val="FirstParagraph"/>
      </w:pPr>
      <w:r>
        <w:rPr>
          <w:i/>
          <w:iCs/>
        </w:rPr>
        <w:t xml:space="preserve">This memorandum is attorney work product and is privileged and confidential. It was prepared by Whitfield &amp; Crane LLP in anticipation of the Transaction and for the purpose of providing legal advice to Hargrove Capital Partners III, LP. It should not be disclosed to any person outside the engagement team without the prior consent of the authors. Communications with Avery, Pollard &amp; Glenn LLP or any Company representative should be routed through Jonathan Hsieh or Elena Marchetti.</w:t>
      </w:r>
    </w:p>
    <w:bookmarkEnd w:id="36"/>
    <w:bookmarkEnd w:id="37"/>
    <w:sectPr w:rsidR="00FC693F" w:rsidRPr="0006063C" w:rsidSect="00034616">
      <w:pgSz w:h="15840" w:w="12240"/>
      <w:pgMar w:bottom="1008" w:footer="720" w:gutter="0" w:header="720" w:left="1224" w:right="1224" w:top="1008"/>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80" w:before="0" w:line="240" w:lineRule="auto"/>
    </w:pPr>
    <w:rPr>
      <w:rFonts w:ascii="Calibri" w:hAnsi="Calibri"/>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00" w:before="160"/>
      <w:outlineLvl w:val="0"/>
    </w:pPr>
    <w:rPr>
      <w:rFonts w:ascii="Calibri" w:asciiTheme="majorHAnsi" w:cstheme="majorBidi" w:eastAsiaTheme="majorEastAsia" w:hAnsi="Calibri" w:hAnsiTheme="majorHAnsi"/>
      <w:b/>
      <w:bCs/>
      <w:color w:val="1F3864"/>
      <w:sz w:val="30"/>
      <w:szCs w:val="28"/>
    </w:rPr>
  </w:style>
  <w:style w:styleId="Heading2" w:type="paragraph">
    <w:name w:val="heading 2"/>
    <w:basedOn w:val="Normal"/>
    <w:next w:val="Normal"/>
    <w:link w:val="Heading2Char"/>
    <w:uiPriority w:val="9"/>
    <w:unhideWhenUsed/>
    <w:qFormat/>
    <w:rsid w:val="00FC693F"/>
    <w:pPr>
      <w:keepNext/>
      <w:keepLines/>
      <w:spacing w:after="40" w:before="160"/>
      <w:outlineLvl w:val="1"/>
    </w:pPr>
    <w:rPr>
      <w:rFonts w:ascii="Calibri" w:asciiTheme="majorHAnsi" w:cstheme="majorBidi" w:eastAsiaTheme="majorEastAsia" w:hAnsi="Calibri" w:hAnsiTheme="majorHAnsi"/>
      <w:b/>
      <w:bCs/>
      <w:color w:val="1F3864"/>
      <w:sz w:val="24"/>
      <w:szCs w:val="26"/>
    </w:rPr>
  </w:style>
  <w:style w:styleId="Heading3" w:type="paragraph">
    <w:name w:val="heading 3"/>
    <w:basedOn w:val="Normal"/>
    <w:next w:val="Normal"/>
    <w:link w:val="Heading3Char"/>
    <w:uiPriority w:val="9"/>
    <w:unhideWhenUsed/>
    <w:qFormat/>
    <w:rsid w:val="00FC693F"/>
    <w:pPr>
      <w:keepNext/>
      <w:keepLines/>
      <w:spacing w:after="20" w:before="100"/>
      <w:outlineLvl w:val="2"/>
    </w:pPr>
    <w:rPr>
      <w:rFonts w:ascii="Calibri" w:asciiTheme="majorHAnsi" w:cstheme="majorBidi" w:eastAsiaTheme="majorEastAsia" w:hAnsi="Calibri" w:hAnsiTheme="majorHAnsi"/>
      <w:b/>
      <w:bCs/>
      <w:color w:val="2E4B7A"/>
      <w:sz w:val="21"/>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Calibri" w:asciiTheme="majorHAnsi" w:cstheme="majorBidi" w:eastAsiaTheme="majorEastAsia" w:hAnsi="Calibri" w:hAnsiTheme="majorHAnsi"/>
      <w:b/>
      <w:color w:val="1F3864"/>
      <w:spacing w:val="5"/>
      <w:kern w:val="28"/>
      <w:sz w:val="3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spacing w:after="40" w:line="240" w:lineRule="auto"/>
      <w:ind w:left="720"/>
      <w:contextualSpacing/>
    </w:pPr>
    <w:rPr>
      <w:rFonts w:ascii="Calibri" w:hAnsi="Calibri"/>
      <w:sz w:val="20"/>
    </w:r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40" w:line="240" w:lineRule="auto"/>
      <w:contextualSpacing/>
    </w:pPr>
    <w:rPr>
      <w:rFonts w:ascii="Calibri" w:hAnsi="Calibri"/>
      <w:sz w:val="20"/>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40" w:line="240" w:lineRule="auto"/>
      <w:contextualSpacing/>
    </w:pPr>
    <w:rPr>
      <w:rFonts w:ascii="Calibri" w:hAnsi="Calibri"/>
      <w:sz w:val="20"/>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rPr>
      <w:sz w:val="18"/>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2026-06-28T21:53:18Z</dcterms:created>
  <dcterms:modified xsi:type="dcterms:W3CDTF">2026-06-28T21:53:18Z</dcterms:modified>
</cp:coreProperties>
</file>

<file path=docProps/custom.xml><?xml version="1.0" encoding="utf-8"?>
<Properties xmlns="http://schemas.openxmlformats.org/officeDocument/2006/custom-properties" xmlns:vt="http://schemas.openxmlformats.org/officeDocument/2006/docPropsVTypes"/>
</file>