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Governance</w:t>
      </w:r>
      <w:r>
        <w:t xml:space="preserve"> </w:t>
      </w:r>
      <w:r>
        <w:t xml:space="preserve">Diligence</w:t>
      </w:r>
      <w:r>
        <w:t xml:space="preserve"> </w:t>
      </w:r>
      <w:r>
        <w:t xml:space="preserve">Memorandum</w:t>
      </w:r>
    </w:p>
    <w:p>
      <w:pPr>
        <w:pStyle w:val="Subtitle"/>
      </w:pPr>
      <w:r>
        <w:t xml:space="preserve">Proposed</w:t>
      </w:r>
      <w:r>
        <w:t xml:space="preserve"> </w:t>
      </w:r>
      <w:r>
        <w:t xml:space="preserve">Acquisition</w:t>
      </w:r>
      <w:r>
        <w:t xml:space="preserve"> </w:t>
      </w:r>
      <w:r>
        <w:t xml:space="preserve">of</w:t>
      </w:r>
      <w:r>
        <w:t xml:space="preserve"> </w:t>
      </w:r>
      <w:r>
        <w:t xml:space="preserve">Terravox</w:t>
      </w:r>
      <w:r>
        <w:t xml:space="preserve"> </w:t>
      </w:r>
      <w:r>
        <w:t xml:space="preserve">Systems,</w:t>
      </w:r>
      <w:r>
        <w:t xml:space="preserve"> </w:t>
      </w:r>
      <w:r>
        <w:t xml:space="preserve">Inc. by</w:t>
      </w:r>
      <w:r>
        <w:t xml:space="preserve"> </w:t>
      </w:r>
      <w:r>
        <w:t xml:space="preserve">Hargrove</w:t>
      </w:r>
      <w:r>
        <w:t xml:space="preserve"> </w:t>
      </w:r>
      <w:r>
        <w:t xml:space="preserve">Capital</w:t>
      </w:r>
      <w:r>
        <w:t xml:space="preserve"> </w:t>
      </w:r>
      <w:r>
        <w:t xml:space="preserve">Partners</w:t>
      </w:r>
      <w:r>
        <w:t xml:space="preserve"> </w:t>
      </w:r>
      <w:r>
        <w:t xml:space="preserve">III,</w:t>
      </w:r>
      <w:r>
        <w:t xml:space="preserve"> </w:t>
      </w:r>
      <w:r>
        <w:t xml:space="preserve">LP</w:t>
      </w:r>
    </w:p>
    <w:bookmarkStart w:id="20" w:name="X9092779eae0ca57705dede95c2ab5939f8b8355"/>
    <w:p>
      <w:pPr>
        <w:pStyle w:val="Heading1"/>
      </w:pPr>
      <w:r>
        <w:t xml:space="preserve">PRIVILEGED &amp; CONFIDENTIAL — ATTORNEY WORK PRODUCT</w:t>
      </w:r>
    </w:p>
    <w:bookmarkEnd w:id="20"/>
    <w:bookmarkStart w:id="36" w:name="memorandum"/>
    <w:p>
      <w:pPr>
        <w:pStyle w:val="Heading1"/>
      </w:pPr>
      <w:r>
        <w:t xml:space="preserve">MEMORANDUM</w:t>
      </w:r>
    </w:p>
    <w:p>
      <w:pPr>
        <w:pStyle w:val="FirstParagraph"/>
      </w:pPr>
      <w:r>
        <w:rPr>
          <w:b/>
          <w:bCs/>
        </w:rPr>
        <w:t xml:space="preserve">TO:</w:t>
      </w:r>
      <w:r>
        <w:t xml:space="preserve"> </w:t>
      </w:r>
      <w:r>
        <w:t xml:space="preserve">Elena Marchetti; Jonathan Hsieh, Whitfield &amp; Crane LLP</w:t>
      </w:r>
    </w:p>
    <w:p>
      <w:pPr>
        <w:pStyle w:val="BodyText"/>
      </w:pPr>
      <w:r>
        <w:rPr>
          <w:b/>
          <w:bCs/>
        </w:rPr>
        <w:t xml:space="preserve">FROM:</w:t>
      </w:r>
      <w:r>
        <w:t xml:space="preserve"> </w:t>
      </w:r>
      <w:r>
        <w:t xml:space="preserve">[Associate], 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 Proposed Acquisition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w:t>
      </w:r>
    </w:p>
    <w:p>
      <w:r>
        <w:pict>
          <v:rect style="width:0;height:1.5pt" o:hralign="center" o:hrstd="t" o:hr="t"/>
        </w:pict>
      </w:r>
    </w:p>
    <w:p>
      <w:pPr>
        <w:pStyle w:val="FirstParagraph"/>
      </w:pPr>
      <w:r>
        <w:rPr>
          <w:b/>
          <w:bCs/>
        </w:rPr>
        <w:t xml:space="preserve">Privilege and Distribution Notice.</w:t>
      </w:r>
      <w:r>
        <w:t xml:space="preserve"> </w:t>
      </w:r>
      <w:r>
        <w:t xml:space="preserve">This memorandum constitutes attorney work product prepared in anticipation of litigation and reflects the confidential, privileged legal analysis of Whitfield &amp; Crane LLP (</w:t>
      </w:r>
      <w:r>
        <w:t xml:space="preserve">“</w:t>
      </w:r>
      <w:r>
        <w:t xml:space="preserve">W&amp;C</w:t>
      </w:r>
      <w:r>
        <w:t xml:space="preserve">”</w:t>
      </w:r>
      <w:r>
        <w:t xml:space="preserve">) in connection with the proposed acquisition of Terravox by Hargrove. It is prepared for the internal use of W&amp;C and its client, Hargrove Capital Management, LLC, and is intended to inform deal structuring and merger-agreement negotiation. This memorandum is privileged and confidential and should not be disclosed to any third party—including the Company, its counsel (Avery, Pollard &amp; Glenn LLP), its stockholders, or its advisors—without the prior written consent of the authors. Pursuant to the engagement protocol, all requests for additional documents or clarifications from the Company must be routed through Jonathan Hsieh, who will coordinate with Elena Marchetti.</w:t>
      </w:r>
    </w:p>
    <w:p>
      <w:pPr>
        <w:pStyle w:val="BodyText"/>
      </w:pPr>
      <w:r>
        <w:rPr>
          <w:b/>
          <w:bCs/>
        </w:rPr>
        <w:t xml:space="preserve">Documents Reviewed.</w:t>
      </w:r>
      <w:r>
        <w:t xml:space="preserve"> </w:t>
      </w:r>
      <w:r>
        <w:t xml:space="preserve">Third Amended and Restated Certificate of Incorporation, dated November 3, 2021 (the</w:t>
      </w:r>
      <w:r>
        <w:t xml:space="preserve"> </w:t>
      </w:r>
      <w:r>
        <w:t xml:space="preserve">“</w:t>
      </w:r>
      <w:r>
        <w:t xml:space="preserve">Restated Certificate</w:t>
      </w:r>
      <w:r>
        <w:t xml:space="preserve">”</w:t>
      </w:r>
      <w:r>
        <w:t xml:space="preserve"> </w:t>
      </w:r>
      <w:r>
        <w:t xml:space="preserve">or</w:t>
      </w:r>
      <w:r>
        <w:t xml:space="preserve"> </w:t>
      </w:r>
      <w:r>
        <w:t xml:space="preserve">“</w:t>
      </w:r>
      <w:r>
        <w:t xml:space="preserve">Charter</w:t>
      </w:r>
      <w:r>
        <w:t xml:space="preserve">”</w:t>
      </w:r>
      <w:r>
        <w:t xml:space="preserve">); Amended and Restated Bylaws, effective November 3, 2021 (the</w:t>
      </w:r>
      <w:r>
        <w:t xml:space="preserve"> </w:t>
      </w:r>
      <w:r>
        <w:t xml:space="preserve">“</w:t>
      </w:r>
      <w:r>
        <w:t xml:space="preserve">Bylaws</w:t>
      </w:r>
      <w:r>
        <w:t xml:space="preserve">”</w:t>
      </w:r>
      <w:r>
        <w:t xml:space="preserve">); Stockholders’ Agreement, dated November 3, 2021 (the</w:t>
      </w:r>
      <w:r>
        <w:t xml:space="preserve"> </w:t>
      </w:r>
      <w:r>
        <w:t xml:space="preserve">“</w:t>
      </w:r>
      <w:r>
        <w:t xml:space="preserve">SHA</w:t>
      </w:r>
      <w:r>
        <w:t xml:space="preserve">”</w:t>
      </w:r>
      <w:r>
        <w:t xml:space="preserve">); Voting Agreement, dated November 3, 2021 (the</w:t>
      </w:r>
      <w:r>
        <w:t xml:space="preserve"> </w:t>
      </w:r>
      <w:r>
        <w:t xml:space="preserve">“</w:t>
      </w:r>
      <w:r>
        <w:t xml:space="preserve">Voting Agreement</w:t>
      </w:r>
      <w:r>
        <w:t xml:space="preserve">”</w:t>
      </w:r>
      <w:r>
        <w:t xml:space="preserve"> </w:t>
      </w:r>
      <w:r>
        <w:t xml:space="preserve">or</w:t>
      </w:r>
      <w:r>
        <w:t xml:space="preserve"> </w:t>
      </w:r>
      <w:r>
        <w:t xml:space="preserve">“</w:t>
      </w:r>
      <w:r>
        <w:t xml:space="preserve">VA</w:t>
      </w:r>
      <w:r>
        <w:t xml:space="preserve">”</w:t>
      </w:r>
      <w:r>
        <w:t xml:space="preserve">); Registration Rights Agreement, dated November 3, 2021 (the</w:t>
      </w:r>
      <w:r>
        <w:t xml:space="preserve"> </w:t>
      </w:r>
      <w:r>
        <w:t xml:space="preserve">“</w:t>
      </w:r>
      <w:r>
        <w:t xml:space="preserve">RRA</w:t>
      </w:r>
      <w:r>
        <w:t xml:space="preserve">”</w:t>
      </w:r>
      <w:r>
        <w:t xml:space="preserve">); and compiled Board minutes for eight (8) meetings spanning January 18, 2023 through September 25, 2024 (the</w:t>
      </w:r>
      <w:r>
        <w:t xml:space="preserve"> </w:t>
      </w:r>
      <w:r>
        <w:t xml:space="preserve">“</w:t>
      </w:r>
      <w:r>
        <w:t xml:space="preserve">Board Minutes</w:t>
      </w:r>
      <w:r>
        <w:t xml:space="preserve">”</w:t>
      </w:r>
      <w:r>
        <w:t xml:space="preserve">). The 2021 Equity Incentive Plan (the</w:t>
      </w:r>
      <w:r>
        <w:t xml:space="preserve"> </w:t>
      </w:r>
      <w:r>
        <w:t xml:space="preserve">“</w:t>
      </w:r>
      <w:r>
        <w:t xml:space="preserve">Plan</w:t>
      </w:r>
      <w:r>
        <w:t xml:space="preserve">”</w:t>
      </w:r>
      <w:r>
        <w:t xml:space="preserve">) and individual award agreements have</w:t>
      </w:r>
      <w:r>
        <w:t xml:space="preserve"> </w:t>
      </w:r>
      <w:r>
        <w:rPr>
          <w:b/>
          <w:bCs/>
        </w:rPr>
        <w:t xml:space="preserve">not</w:t>
      </w:r>
      <w:r>
        <w:t xml:space="preserve"> </w:t>
      </w:r>
      <w:r>
        <w:t xml:space="preserve">been received; see Section VII and the Action Items.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Hargrove proposes to acquire 100% of the outstanding equity of Terravox through a reverse triangular merger at an enterprise value of $485 million (equity value approximately $473 million, net of approximately $12 million of outstanding indebtedness). This memorandum maps the governance consent architecture, analyzes the available paths to closing, and identifies the principal risks to consummation.</w:t>
      </w:r>
    </w:p>
    <w:p>
      <w:pPr>
        <w:pStyle w:val="BodyText"/>
      </w:pPr>
      <w:r>
        <w:rPr>
          <w:b/>
          <w:bCs/>
        </w:rPr>
        <w:t xml:space="preserve">The central finding is that Stonemill Capital Partners Fund VI, LP (</w:t>
      </w:r>
      <w:r>
        <w:rPr>
          <w:b/>
          <w:bCs/>
        </w:rPr>
        <w:t xml:space="preserve">“</w:t>
      </w:r>
      <w:r>
        <w:rPr>
          <w:b/>
          <w:bCs/>
        </w:rPr>
        <w:t xml:space="preserve">Stonemill</w:t>
      </w:r>
      <w:r>
        <w:rPr>
          <w:b/>
          <w:bCs/>
        </w:rPr>
        <w:t xml:space="preserve">”</w:t>
      </w:r>
      <w:r>
        <w:rPr>
          <w:b/>
          <w:bCs/>
        </w:rPr>
        <w:t xml:space="preserve">) holds a hard, non-circumventable blocking right over the transaction.</w:t>
      </w:r>
      <w:r>
        <w:t xml:space="preserve"> </w:t>
      </w:r>
      <w:r>
        <w:t xml:space="preserve">Stonemill holds 7,800,000 shares of Series C Preferred Stock—</w:t>
      </w:r>
      <w:r>
        <w:rPr>
          <w:b/>
          <w:bCs/>
        </w:rPr>
        <w:t xml:space="preserve">100% of the outstanding Series C</w:t>
      </w:r>
      <w:r>
        <w:t xml:space="preserve">. The Charter’s Series C separate-class protective provision (Section 4.3.6(b)(i)) requires the affirmative consent of holders of at least 66⅔% of the Series C, voting as a separate class, to</w:t>
      </w:r>
      <w:r>
        <w:t xml:space="preserve"> </w:t>
      </w:r>
      <w:r>
        <w:t xml:space="preserve">“</w:t>
      </w:r>
      <w:r>
        <w:t xml:space="preserve">effect any Liquidation Event.</w:t>
      </w:r>
      <w:r>
        <w:t xml:space="preserve">”</w:t>
      </w:r>
      <w:r>
        <w:t xml:space="preserve"> </w:t>
      </w:r>
      <w:r>
        <w:t xml:space="preserve">The reverse triangular merger is unambiguously a</w:t>
      </w:r>
      <w:r>
        <w:t xml:space="preserve"> </w:t>
      </w:r>
      <w:r>
        <w:t xml:space="preserve">“</w:t>
      </w:r>
      <w:r>
        <w:t xml:space="preserve">Liquidation Event</w:t>
      </w:r>
      <w:r>
        <w:t xml:space="preserve">”</w:t>
      </w:r>
      <w:r>
        <w:t xml:space="preserve"> </w:t>
      </w:r>
      <w:r>
        <w:t xml:space="preserve">(Charter §4.3.2(d)(i)), because Terravox’s pre-merger stockholders will retain 0% of the voting power of the surviving entity. Because Stonemill holds 100% of the Series C, the 66⅔% separate-class threshold cannot be satisfied without Stonemill’s affirmative consent. This was confirmed on the record by Julian Trask (Stonemill’s board designee) at the September 25, 2024 Board meeting and by the Company’s own outside counsel.</w:t>
      </w:r>
    </w:p>
    <w:p>
      <w:pPr>
        <w:pStyle w:val="BodyText"/>
      </w:pPr>
      <w:r>
        <w:rPr>
          <w:b/>
          <w:bCs/>
        </w:rPr>
        <w:t xml:space="preserve">The drag-along right in the SHA does not provide a path around this block.</w:t>
      </w:r>
      <w:r>
        <w:t xml:space="preserve"> </w:t>
      </w:r>
      <w:r>
        <w:t xml:space="preserve">The drag-along trigger can, in principle, be satisfied without Stonemill (the</w:t>
      </w:r>
      <w:r>
        <w:t xml:space="preserve"> </w:t>
      </w:r>
      <w:r>
        <w:t xml:space="preserve">“</w:t>
      </w:r>
      <w:r>
        <w:t xml:space="preserve">majority of Preferred</w:t>
      </w:r>
      <w:r>
        <w:t xml:space="preserve">”</w:t>
      </w:r>
      <w:r>
        <w:t xml:space="preserve"> </w:t>
      </w:r>
      <w:r>
        <w:t xml:space="preserve">and</w:t>
      </w:r>
      <w:r>
        <w:t xml:space="preserve"> </w:t>
      </w:r>
      <w:r>
        <w:t xml:space="preserve">“</w:t>
      </w:r>
      <w:r>
        <w:t xml:space="preserve">2 of 3 Investor Stockholders</w:t>
      </w:r>
      <w:r>
        <w:t xml:space="preserve">”</w:t>
      </w:r>
      <w:r>
        <w:t xml:space="preserve"> </w:t>
      </w:r>
      <w:r>
        <w:t xml:space="preserve">conditions are met by Ridgeline Ventures Fund II, LP (</w:t>
      </w:r>
      <w:r>
        <w:t xml:space="preserve">“</w:t>
      </w:r>
      <w:r>
        <w:t xml:space="preserve">Ridgeline</w:t>
      </w:r>
      <w:r>
        <w:t xml:space="preserve">”</w:t>
      </w:r>
      <w:r>
        <w:t xml:space="preserve">) and Northbridge Growth Equity Fund IV, LP (</w:t>
      </w:r>
      <w:r>
        <w:t xml:space="preserve">“</w:t>
      </w:r>
      <w:r>
        <w:t xml:space="preserve">Northbridge</w:t>
      </w:r>
      <w:r>
        <w:t xml:space="preserve">”</w:t>
      </w:r>
      <w:r>
        <w:t xml:space="preserve">) alone; the</w:t>
      </w:r>
      <w:r>
        <w:t xml:space="preserve"> </w:t>
      </w:r>
      <w:r>
        <w:t xml:space="preserve">“</w:t>
      </w:r>
      <w:r>
        <w:t xml:space="preserve">majority of Common</w:t>
      </w:r>
      <w:r>
        <w:t xml:space="preserve">”</w:t>
      </w:r>
      <w:r>
        <w:t xml:space="preserve"> </w:t>
      </w:r>
      <w:r>
        <w:t xml:space="preserve">condition is achievable with modest additional support from the broader common/option-holder base). However, under Delaware law, a contractual drag-along right among stockholders cannot reliably override an express protective provision embedded in the certificate of incorporation that requires a separate-class vote. The Charter cannot be amended to remove the Series C veto without Stonemill’s own consent (Charter §§4.3.6(a)(i), 4.3.6(b)(ii)), creating an irreducible catch-22.</w:t>
      </w:r>
      <w:r>
        <w:t xml:space="preserve"> </w:t>
      </w:r>
      <w:r>
        <w:rPr>
          <w:b/>
          <w:bCs/>
        </w:rPr>
        <w:t xml:space="preserve">Accordingly, there is no viable path to closing over Stonemill’s objection. The transaction requires Stonemill’s affirmative consent, and the negotiation strategy must be built around securing it.</w:t>
      </w:r>
    </w:p>
    <w:p>
      <w:pPr>
        <w:pStyle w:val="BodyText"/>
      </w:pPr>
      <w:r>
        <w:t xml:space="preserve">Stonemill’s economic leverage is meaningful. Under the Charter’s non-participating liquidation waterfall, Stonemill will elect to take its liquidation preference of $18.50 per share (approximately</w:t>
      </w:r>
      <w:r>
        <w:t xml:space="preserve"> </w:t>
      </w:r>
      <w:r>
        <w:rPr>
          <w:b/>
          <w:bCs/>
        </w:rPr>
        <w:t xml:space="preserve">$144.3 million in aggregate</w:t>
      </w:r>
      <w:r>
        <w:t xml:space="preserve">) rather than convert, because the as-converted value (approximately $12.59 per share after the preference is paid) is below the preference. This represents an approximately</w:t>
      </w:r>
      <w:r>
        <w:t xml:space="preserve"> </w:t>
      </w:r>
      <w:r>
        <w:rPr>
          <w:b/>
          <w:bCs/>
        </w:rPr>
        <w:t xml:space="preserve">$35.5 million uplift</w:t>
      </w:r>
      <w:r>
        <w:t xml:space="preserve"> </w:t>
      </w:r>
      <w:r>
        <w:t xml:space="preserve">over Stonemill’s pro-rata share of equity value (23% × $473 million ≈ $108.8 million). Stonemill may seek to extract additional value on top of this preference—consistent with the intelligence that it may demand a higher consideration allocation, a side arrangement, or post-closing management rights.</w:t>
      </w:r>
    </w:p>
    <w:p>
      <w:pPr>
        <w:pStyle w:val="BodyText"/>
      </w:pPr>
      <w:r>
        <w:rPr>
          <w:b/>
          <w:bCs/>
        </w:rPr>
        <w:t xml:space="preserve">Other material findings:</w:t>
      </w:r>
    </w:p>
    <w:p>
      <w:pPr>
        <w:numPr>
          <w:ilvl w:val="0"/>
          <w:numId w:val="1001"/>
        </w:numPr>
      </w:pPr>
      <w:r>
        <w:rPr>
          <w:b/>
          <w:bCs/>
        </w:rPr>
        <w:t xml:space="preserve">SensorLink LOI exclusivity (CRITICAL, time-sensitive).</w:t>
      </w:r>
      <w:r>
        <w:t xml:space="preserve"> </w:t>
      </w:r>
      <w:r>
        <w:t xml:space="preserve">The SensorLink letter of intent contains an automatic-renewal provision that extended the mutual exclusivity period in successive 90-day increments unless either party delivered written termination notice at least 15 days before expiration. The CEO was unable to confirm at the September 25, 2024 Board meeting whether a formal termination notice was sent before the September 8, 2024 expiration. If no notice was sent, a live exclusivity obligation in favor of SensorLink may be running and could conflict with Terravox’s ability to sign a definitive agreement with Hargrove. This requires immediate investigation and remediation.</w:t>
      </w:r>
    </w:p>
    <w:p>
      <w:pPr>
        <w:numPr>
          <w:ilvl w:val="0"/>
          <w:numId w:val="1001"/>
        </w:numPr>
      </w:pPr>
      <w:r>
        <w:rPr>
          <w:b/>
          <w:bCs/>
        </w:rPr>
        <w:t xml:space="preserve">Clearfield term loan (SIGNIFICANT).</w:t>
      </w:r>
      <w:r>
        <w:t xml:space="preserve"> </w:t>
      </w:r>
      <w:r>
        <w:t xml:space="preserve">The $12 million Clearfield National Bank term loan (authorized October 11, 2023) exceeds the $5 million indebtedness threshold in Charter §4.3.6(a)(v), which required the prior consent of a majority of the Preferred Stock. The Board Minutes reflect only Board approval and do not reflect any Preferred Stockholder written consent. If the consent was not obtained, the loan may have been incurred in violation of the Charter’s protective provisions—a point Stonemill could exploit.</w:t>
      </w:r>
    </w:p>
    <w:p>
      <w:pPr>
        <w:numPr>
          <w:ilvl w:val="0"/>
          <w:numId w:val="1001"/>
        </w:numPr>
      </w:pPr>
      <w:r>
        <w:rPr>
          <w:b/>
          <w:bCs/>
        </w:rPr>
        <w:t xml:space="preserve">Special Committee composition (SIGNIFICANT).</w:t>
      </w:r>
      <w:r>
        <w:t xml:space="preserve"> </w:t>
      </w:r>
      <w:r>
        <w:t xml:space="preserve">The Special Committee overseeing the sale process includes Sandra Okafor, who is Northbridge’s board designee and a Principal at Northbridge Growth Equity. She is not disinterested. Her service on a committee evaluating a change-of-control transaction creates a Revlon/sale-process vulnerability that Stonemill could use as leverage.</w:t>
      </w:r>
    </w:p>
    <w:p>
      <w:pPr>
        <w:numPr>
          <w:ilvl w:val="0"/>
          <w:numId w:val="1001"/>
        </w:numPr>
      </w:pPr>
      <w:r>
        <w:rPr>
          <w:b/>
          <w:bCs/>
        </w:rPr>
        <w:t xml:space="preserve">Registration rights survival (SIGNIFICANT).</w:t>
      </w:r>
      <w:r>
        <w:t xml:space="preserve"> </w:t>
      </w:r>
      <w:r>
        <w:t xml:space="preserve">The RRA terminates upon a</w:t>
      </w:r>
      <w:r>
        <w:t xml:space="preserve"> </w:t>
      </w:r>
      <w:r>
        <w:t xml:space="preserve">“</w:t>
      </w:r>
      <w:r>
        <w:t xml:space="preserve">Deemed Liquidation Event,</w:t>
      </w:r>
      <w:r>
        <w:t xml:space="preserve">”</w:t>
      </w:r>
      <w:r>
        <w:t xml:space="preserve"> </w:t>
      </w:r>
      <w:r>
        <w:t xml:space="preserve">but that term is</w:t>
      </w:r>
      <w:r>
        <w:t xml:space="preserve"> </w:t>
      </w:r>
      <w:r>
        <w:rPr>
          <w:b/>
          <w:bCs/>
        </w:rPr>
        <w:t xml:space="preserve">not defined</w:t>
      </w:r>
      <w:r>
        <w:t xml:space="preserve"> </w:t>
      </w:r>
      <w:r>
        <w:t xml:space="preserve">in the RRA and is not cross-referenced to the Charter’s</w:t>
      </w:r>
      <w:r>
        <w:t xml:space="preserve"> </w:t>
      </w:r>
      <w:r>
        <w:t xml:space="preserve">“</w:t>
      </w:r>
      <w:r>
        <w:t xml:space="preserve">Liquidation Event.</w:t>
      </w:r>
      <w:r>
        <w:t xml:space="preserve">”</w:t>
      </w:r>
      <w:r>
        <w:t xml:space="preserve"> </w:t>
      </w:r>
      <w:r>
        <w:t xml:space="preserve">This definitional gap creates a risk that registration rights survive the merger unintentionally and must be addressed with an express termination/waiver in the merger agreement.</w:t>
      </w:r>
    </w:p>
    <w:p>
      <w:pPr>
        <w:numPr>
          <w:ilvl w:val="0"/>
          <w:numId w:val="1001"/>
        </w:numPr>
      </w:pPr>
      <w:r>
        <w:rPr>
          <w:b/>
          <w:bCs/>
        </w:rPr>
        <w:t xml:space="preserve">Waterfall analysis in the Board record (SIGNIFICANT).</w:t>
      </w:r>
      <w:r>
        <w:t xml:space="preserve"> </w:t>
      </w:r>
      <w:r>
        <w:t xml:space="preserve">The September 25, 2024 minutes state that</w:t>
      </w:r>
      <w:r>
        <w:t xml:space="preserve"> </w:t>
      </w:r>
      <w:r>
        <w:t xml:space="preserve">“</w:t>
      </w:r>
      <w:r>
        <w:t xml:space="preserve">all holders of Preferred Stock would receive amounts in excess of their respective liquidation preferences on an as-converted basis.</w:t>
      </w:r>
      <w:r>
        <w:t xml:space="preserve">”</w:t>
      </w:r>
      <w:r>
        <w:t xml:space="preserve"> </w:t>
      </w:r>
      <w:r>
        <w:t xml:space="preserve">This is incorrect as to Series C: the as-converted value (~$12.59–$13.95 per share) is below the Series C preference ($18.50). Series C will take its preference. This bears on the fairness analysis and on Stonemill’s economic expectations.</w:t>
      </w:r>
    </w:p>
    <w:p>
      <w:pPr>
        <w:numPr>
          <w:ilvl w:val="0"/>
          <w:numId w:val="1001"/>
        </w:numPr>
      </w:pPr>
      <w:r>
        <w:rPr>
          <w:b/>
          <w:bCs/>
        </w:rPr>
        <w:t xml:space="preserve">Document gaps (SIGNIFICANT).</w:t>
      </w:r>
      <w:r>
        <w:t xml:space="preserve"> </w:t>
      </w:r>
      <w:r>
        <w:t xml:space="preserve">The 2021 Equity Incentive Plan, individual award agreements, and stockholder written-consent records have not been produced. These are necessary to assess change-of-control acceleration, the aggregate dollar impact on deal economics, and whether the Charter protective provisions were satisfied for the term loan and the Plan share-reserve increase.</w:t>
      </w:r>
    </w:p>
    <w:p>
      <w:pPr>
        <w:pStyle w:val="FirstParagraph"/>
      </w:pPr>
      <w:r>
        <w:t xml:space="preserve">A consolidated consent/approval matrix appears at Appendix A. A severity classification of all identified issues appears at Appendix B.</w:t>
      </w:r>
    </w:p>
    <w:p>
      <w:r>
        <w:pict>
          <v:rect style="width:0;height:1.5pt" o:hralign="center" o:hrstd="t" o:hr="t"/>
        </w:pict>
      </w:r>
    </w:p>
    <w:bookmarkEnd w:id="21"/>
    <w:bookmarkStart w:id="22" w:name="Xfba34206948c25d7c2bd1dbcc2f5f8956bf681e"/>
    <w:p>
      <w:pPr>
        <w:pStyle w:val="Heading2"/>
      </w:pPr>
      <w:r>
        <w:t xml:space="preserve">II. Change-of-Control Consent Requirements (Diligence Area 1)</w:t>
      </w:r>
    </w:p>
    <w:p>
      <w:pPr>
        <w:pStyle w:val="FirstParagraph"/>
      </w:pPr>
      <w:r>
        <w:t xml:space="preserve">To consummate the reverse triangular merger, the following consents and approvals must be obtained. Each is cross-referenced to its source provision.</w:t>
      </w:r>
    </w:p>
    <w:p>
      <w:pPr>
        <w:pStyle w:val="BodyText"/>
      </w:pPr>
      <w:r>
        <w:rPr>
          <w:b/>
          <w:bCs/>
        </w:rPr>
        <w:t xml:space="preserve">A. Statutory approvals (DGCL).</w:t>
      </w:r>
    </w:p>
    <w:p>
      <w:pPr>
        <w:numPr>
          <w:ilvl w:val="0"/>
          <w:numId w:val="1002"/>
        </w:numPr>
      </w:pPr>
      <w:r>
        <w:rPr>
          <w:b/>
          <w:bCs/>
        </w:rPr>
        <w:t xml:space="preserve">Board approval (DGCL §251(c)).</w:t>
      </w:r>
      <w:r>
        <w:t xml:space="preserve"> </w:t>
      </w:r>
      <w:r>
        <w:t xml:space="preserve">The Terravox Board must adopt a resolution approving the merger agreement and the merger. The Board authorized management to</w:t>
      </w:r>
      <w:r>
        <w:t xml:space="preserve"> </w:t>
      </w:r>
      <w:r>
        <w:rPr>
          <w:i/>
          <w:iCs/>
        </w:rPr>
        <w:t xml:space="preserve">negotiate</w:t>
      </w:r>
      <w:r>
        <w:t xml:space="preserve"> </w:t>
      </w:r>
      <w:r>
        <w:t xml:space="preserve">definitive documentation on September 25, 2024 (6-1, Trask dissenting), but has not yet approved a definitive agreement.</w:t>
      </w:r>
      <w:r>
        <w:t xml:space="preserve"> </w:t>
      </w:r>
      <w:r>
        <w:rPr>
          <w:b/>
          <w:bCs/>
        </w:rPr>
        <w:t xml:space="preserve">Status: Not yet obtained.</w:t>
      </w:r>
      <w:r>
        <w:t xml:space="preserve"> </w:t>
      </w:r>
      <w:r>
        <w:t xml:space="preserve">A formal Board approval of the signed merger agreement will be required.</w:t>
      </w:r>
    </w:p>
    <w:p>
      <w:pPr>
        <w:numPr>
          <w:ilvl w:val="0"/>
          <w:numId w:val="1002"/>
        </w:numPr>
      </w:pPr>
      <w:r>
        <w:rPr>
          <w:b/>
          <w:bCs/>
        </w:rPr>
        <w:t xml:space="preserve">Stockholder approval (DGCL §251(c)).</w:t>
      </w:r>
      <w:r>
        <w:t xml:space="preserve"> </w:t>
      </w:r>
      <w:r>
        <w:t xml:space="preserve">The merger must be approved by the affirmative vote of a majority of the outstanding shares of Terravox stock entitled to vote (the Common and the Preferred voting together on an as-converted basis). On a fully diluted basis of approximately 33,900,000 shares, a majority requires more than 16,950,000 shares. The Founders (7,300,000), Ridgeline (3,500,000 as-converted), and Northbridge (5,200,000 as-converted) together hold 16,000,000 shares—just short of the threshold—so additional support from the broader common/option-holder base (approximately 950,000+ shares) is needed.</w:t>
      </w:r>
      <w:r>
        <w:t xml:space="preserve"> </w:t>
      </w:r>
      <w:r>
        <w:rPr>
          <w:b/>
          <w:bCs/>
        </w:rPr>
        <w:t xml:space="preserve">Status: Not yet obtained; achievable.</w:t>
      </w:r>
      <w:r>
        <w:t xml:space="preserve"> </w:t>
      </w:r>
      <w:r>
        <w:t xml:space="preserve">The Bylaws (§2.6) and Charter (Art. VI, §6.2) permit stockholder action by written consent in lieu of a meeting, which the Company’s counsel has indicated will be used.</w:t>
      </w:r>
    </w:p>
    <w:p>
      <w:pPr>
        <w:pStyle w:val="FirstParagraph"/>
      </w:pPr>
      <w:r>
        <w:rPr>
          <w:b/>
          <w:bCs/>
        </w:rPr>
        <w:t xml:space="preserve">B. Charter protective provisions.</w:t>
      </w:r>
    </w:p>
    <w:p>
      <w:pPr>
        <w:numPr>
          <w:ilvl w:val="0"/>
          <w:numId w:val="1003"/>
        </w:numPr>
      </w:pPr>
      <w:r>
        <w:rPr>
          <w:b/>
          <w:bCs/>
        </w:rPr>
        <w:t xml:space="preserve">All-Preferred consent — Liquidation Event (Charter §4.3.6(a)(vi)).</w:t>
      </w:r>
      <w:r>
        <w:t xml:space="preserve"> </w:t>
      </w:r>
      <w:r>
        <w:t xml:space="preserve">So long as any Preferred Stock is outstanding, the Company may not</w:t>
      </w:r>
      <w:r>
        <w:t xml:space="preserve"> </w:t>
      </w:r>
      <w:r>
        <w:t xml:space="preserve">“</w:t>
      </w:r>
      <w:r>
        <w:t xml:space="preserve">effect any Liquidation Event</w:t>
      </w:r>
      <w:r>
        <w:t xml:space="preserve">”</w:t>
      </w:r>
      <w:r>
        <w:t xml:space="preserve"> </w:t>
      </w:r>
      <w:r>
        <w:t xml:space="preserve">without the affirmative vote or written consent of holders of a majority (greater than 50%) of the then-outstanding Preferred Stock, voting together as a single class on an as-converted basis. Based on 16,500,000 shares of Preferred outstanding, this requires the affirmative vote of holders of</w:t>
      </w:r>
      <w:r>
        <w:t xml:space="preserve"> </w:t>
      </w:r>
      <w:r>
        <w:rPr>
          <w:b/>
          <w:bCs/>
        </w:rPr>
        <w:t xml:space="preserve">more than 8,250,000 shares</w:t>
      </w:r>
      <w:r>
        <w:t xml:space="preserve"> </w:t>
      </w:r>
      <w:r>
        <w:t xml:space="preserve">of Preferred. Ridgeline (3,500,000) and Northbridge (5,200,000) together hold 8,700,000 shares—</w:t>
      </w:r>
      <w:r>
        <w:rPr>
          <w:b/>
          <w:bCs/>
        </w:rPr>
        <w:t xml:space="preserve">sufficient to satisfy this threshold without Stonemill</w:t>
      </w:r>
      <w:r>
        <w:t xml:space="preserve">.</w:t>
      </w:r>
      <w:r>
        <w:t xml:space="preserve"> </w:t>
      </w:r>
      <w:r>
        <w:rPr>
          <w:b/>
          <w:bCs/>
        </w:rPr>
        <w:t xml:space="preserve">Status: Not yet obtained; achievable without Stonemill.</w:t>
      </w:r>
    </w:p>
    <w:p>
      <w:pPr>
        <w:numPr>
          <w:ilvl w:val="0"/>
          <w:numId w:val="1003"/>
        </w:numPr>
      </w:pPr>
      <w:r>
        <w:rPr>
          <w:b/>
          <w:bCs/>
        </w:rPr>
        <w:t xml:space="preserve">Series C separate-class consent — Liquidation Event (Charter §4.3.6(b)(i)).</w:t>
      </w:r>
      <w:r>
        <w:t xml:space="preserve"> </w:t>
      </w:r>
      <w:r>
        <w:t xml:space="preserve">So long as any Series C is outstanding, the Company may not</w:t>
      </w:r>
      <w:r>
        <w:t xml:space="preserve"> </w:t>
      </w:r>
      <w:r>
        <w:t xml:space="preserve">“</w:t>
      </w:r>
      <w:r>
        <w:t xml:space="preserve">effect any Liquidation Event</w:t>
      </w:r>
      <w:r>
        <w:t xml:space="preserve">”</w:t>
      </w:r>
      <w:r>
        <w:t xml:space="preserve"> </w:t>
      </w:r>
      <w:r>
        <w:t xml:space="preserve">without the affirmative vote or written consent of holders of at least</w:t>
      </w:r>
      <w:r>
        <w:t xml:space="preserve"> </w:t>
      </w:r>
      <w:r>
        <w:rPr>
          <w:b/>
          <w:bCs/>
        </w:rPr>
        <w:t xml:space="preserve">66⅔% of the then-outstanding Series C, voting as a separate class</w:t>
      </w:r>
      <w:r>
        <w:t xml:space="preserve">. Based on 7,800,000 shares of Series C outstanding, this requires the affirmative vote of holders of at least</w:t>
      </w:r>
      <w:r>
        <w:t xml:space="preserve"> </w:t>
      </w:r>
      <w:r>
        <w:rPr>
          <w:b/>
          <w:bCs/>
        </w:rPr>
        <w:t xml:space="preserve">5,200,000 shares</w:t>
      </w:r>
      <w:r>
        <w:t xml:space="preserve"> </w:t>
      </w:r>
      <w:r>
        <w:t xml:space="preserve">of Series C.</w:t>
      </w:r>
      <w:r>
        <w:t xml:space="preserve"> </w:t>
      </w:r>
      <w:r>
        <w:rPr>
          <w:b/>
          <w:bCs/>
        </w:rPr>
        <w:t xml:space="preserve">Stonemill holds 7,800,000 shares—100% of the outstanding Series C.</w:t>
      </w:r>
      <w:r>
        <w:t xml:space="preserve"> </w:t>
      </w:r>
      <w:r>
        <w:t xml:space="preserve">Therefore, the 66⅔% threshold</w:t>
      </w:r>
      <w:r>
        <w:t xml:space="preserve"> </w:t>
      </w:r>
      <w:r>
        <w:rPr>
          <w:b/>
          <w:bCs/>
        </w:rPr>
        <w:t xml:space="preserve">cannot be satisfied without Stonemill’s affirmative consent.</w:t>
      </w:r>
      <w:r>
        <w:t xml:space="preserve"> </w:t>
      </w:r>
      <w:r>
        <w:t xml:space="preserve">This consent is</w:t>
      </w:r>
      <w:r>
        <w:t xml:space="preserve"> </w:t>
      </w:r>
      <w:r>
        <w:t xml:space="preserve">“</w:t>
      </w:r>
      <w:r>
        <w:t xml:space="preserve">separate from and in addition to</w:t>
      </w:r>
      <w:r>
        <w:t xml:space="preserve">”</w:t>
      </w:r>
      <w:r>
        <w:t xml:space="preserve"> </w:t>
      </w:r>
      <w:r>
        <w:t xml:space="preserve">the all-Preferred consent (Charter §4.3.6(b), penultimate paragraph).</w:t>
      </w:r>
      <w:r>
        <w:t xml:space="preserve"> </w:t>
      </w:r>
      <w:r>
        <w:rPr>
          <w:b/>
          <w:bCs/>
        </w:rPr>
        <w:t xml:space="preserve">Status: Not yet obtained; NOT achievable without Stonemill — HARD BLOCK.</w:t>
      </w:r>
    </w:p>
    <w:p>
      <w:pPr>
        <w:numPr>
          <w:ilvl w:val="0"/>
          <w:numId w:val="1003"/>
        </w:numPr>
      </w:pPr>
      <w:r>
        <w:rPr>
          <w:b/>
          <w:bCs/>
        </w:rPr>
        <w:t xml:space="preserve">Charter amendment consents (Charter §§4.3.6(a)(i), 4.3.6(b)(ii)) — likely not triggered.</w:t>
      </w:r>
      <w:r>
        <w:t xml:space="preserve"> </w:t>
      </w:r>
      <w:r>
        <w:t xml:space="preserve">A reverse triangular merger in which Terravox survives as a subsidiary does not, by itself, amend the Charter. If the merger agreement does not require a Charter amendment, these provisions are not triggered. However, if any Charter amendment is required in connection with the transaction (e.g., to facilitate the consideration waterfall or to effectuate the cancellation of shares), then (i) the all-Preferred consent under §4.3.6(a)(i) (for amendments adversely affecting the Preferred) and (ii) the Series C separate-class consent under §4.3.6(b)(ii) (for amendments adversely and disproportionately affecting Series C) would each apply—again giving Stonemill a separate veto.</w:t>
      </w:r>
      <w:r>
        <w:t xml:space="preserve"> </w:t>
      </w:r>
      <w:r>
        <w:rPr>
          <w:b/>
          <w:bCs/>
        </w:rPr>
        <w:t xml:space="preserve">Status: Likely not triggered; confirm no Charter amendment is required.</w:t>
      </w:r>
    </w:p>
    <w:p>
      <w:pPr>
        <w:pStyle w:val="FirstParagraph"/>
      </w:pPr>
      <w:r>
        <w:rPr>
          <w:b/>
          <w:bCs/>
        </w:rPr>
        <w:t xml:space="preserve">C. Stockholders’ Agreement — drag-along (SHA Art. 3).</w:t>
      </w:r>
      <w:r>
        <w:t xml:space="preserve"> </w:t>
      </w:r>
      <w:r>
        <w:t xml:space="preserve">The drag-along is a mechanism to compel stockholder parties to vote in favor of a Sale of the Company, not a freestanding consent. It is analyzed in detail in Section III. It does not eliminate the need for the Charter consents above.</w:t>
      </w:r>
    </w:p>
    <w:p>
      <w:pPr>
        <w:pStyle w:val="BodyText"/>
      </w:pPr>
      <w:r>
        <w:rPr>
          <w:b/>
          <w:bCs/>
        </w:rPr>
        <w:t xml:space="preserve">D. Voting Agreement / SHA / RRA termination.</w:t>
      </w:r>
      <w:r>
        <w:t xml:space="preserve"> </w:t>
      </w:r>
      <w:r>
        <w:t xml:space="preserve">These agreements terminate upon a</w:t>
      </w:r>
      <w:r>
        <w:t xml:space="preserve"> </w:t>
      </w:r>
      <w:r>
        <w:t xml:space="preserve">“</w:t>
      </w:r>
      <w:r>
        <w:t xml:space="preserve">Sale of the Company</w:t>
      </w:r>
      <w:r>
        <w:t xml:space="preserve">”</w:t>
      </w:r>
      <w:r>
        <w:t xml:space="preserve"> </w:t>
      </w:r>
      <w:r>
        <w:t xml:space="preserve">(SHA §6.1(b); VA §7.1(b)) or, in the RRA’s case, a</w:t>
      </w:r>
      <w:r>
        <w:t xml:space="preserve"> </w:t>
      </w:r>
      <w:r>
        <w:t xml:space="preserve">“</w:t>
      </w:r>
      <w:r>
        <w:t xml:space="preserve">Deemed Liquidation Event</w:t>
      </w:r>
      <w:r>
        <w:t xml:space="preserve">”</w:t>
      </w:r>
      <w:r>
        <w:t xml:space="preserve"> </w:t>
      </w:r>
      <w:r>
        <w:t xml:space="preserve">(RRA §9(c)). No consent is required to terminate them; termination is automatic upon consummation of the qualifying transaction. The definitional questions are addressed in Sections IV and VI.</w:t>
      </w:r>
    </w:p>
    <w:p>
      <w:pPr>
        <w:pStyle w:val="BodyText"/>
      </w:pPr>
      <w:r>
        <w:rPr>
          <w:b/>
          <w:bCs/>
        </w:rPr>
        <w:t xml:space="preserve">E. Merger-sub and parent approvals.</w:t>
      </w:r>
      <w:r>
        <w:t xml:space="preserve"> </w:t>
      </w:r>
      <w:r>
        <w:t xml:space="preserve">Hargrove (as parent) and its wholly-owned merger sub will provide their respective approvals. The merger sub, having a single director, will act by written consent. These are Buyer-side mechanics outside the scope of this diligence but should be confirmed in the merger agreement.</w:t>
      </w:r>
    </w:p>
    <w:p>
      <w:pPr>
        <w:pStyle w:val="BodyText"/>
      </w:pPr>
      <w:r>
        <w:rPr>
          <w:b/>
          <w:bCs/>
        </w:rPr>
        <w:t xml:space="preserve">Bottom line on consents.</w:t>
      </w:r>
      <w:r>
        <w:t xml:space="preserve"> </w:t>
      </w:r>
      <w:r>
        <w:t xml:space="preserve">The transaction can be approved by the requisite statutory stockholder vote and the all-Preferred Charter consent without Stonemill.</w:t>
      </w:r>
      <w:r>
        <w:t xml:space="preserve"> </w:t>
      </w:r>
      <w:r>
        <w:rPr>
          <w:b/>
          <w:bCs/>
        </w:rPr>
        <w:t xml:space="preserve">It cannot be approved without Stonemill’s Series C separate-class consent.</w:t>
      </w:r>
      <w:r>
        <w:t xml:space="preserve"> </w:t>
      </w:r>
      <w:r>
        <w:t xml:space="preserve">That consent is the single gating item for the transaction.</w:t>
      </w:r>
    </w:p>
    <w:p>
      <w:r>
        <w:pict>
          <v:rect style="width:0;height:1.5pt" o:hralign="center" o:hrstd="t" o:hr="t"/>
        </w:pict>
      </w:r>
    </w:p>
    <w:bookmarkEnd w:id="22"/>
    <w:bookmarkStart w:id="23" w:name="X0b11ddbe189ad8df7a8820ededa4b2751a379f1"/>
    <w:p>
      <w:pPr>
        <w:pStyle w:val="Heading2"/>
      </w:pPr>
      <w:r>
        <w:t xml:space="preserve">III. Drag-Along Analysis (Diligence Area 2)</w:t>
      </w:r>
    </w:p>
    <w:p>
      <w:pPr>
        <w:pStyle w:val="FirstParagraph"/>
      </w:pPr>
      <w:r>
        <w:rPr>
          <w:b/>
          <w:bCs/>
        </w:rPr>
        <w:t xml:space="preserve">A. The three-pronged trigger (SHA §3.1(a)).</w:t>
      </w:r>
      <w:r>
        <w:t xml:space="preserve"> </w:t>
      </w:r>
      <w:r>
        <w:t xml:space="preserve">A</w:t>
      </w:r>
      <w:r>
        <w:t xml:space="preserve"> </w:t>
      </w:r>
      <w:r>
        <w:t xml:space="preserve">“</w:t>
      </w:r>
      <w:r>
        <w:t xml:space="preserve">Drag-Along Approval</w:t>
      </w:r>
      <w:r>
        <w:t xml:space="preserve">”</w:t>
      </w:r>
      <w:r>
        <w:t xml:space="preserve"> </w:t>
      </w:r>
      <w:r>
        <w:t xml:space="preserve">requires the satisfaction of</w:t>
      </w:r>
      <w:r>
        <w:t xml:space="preserve"> </w:t>
      </w:r>
      <w:r>
        <w:rPr>
          <w:b/>
          <w:bCs/>
        </w:rPr>
        <w:t xml:space="preserve">all three</w:t>
      </w:r>
      <w:r>
        <w:t xml:space="preserve"> </w:t>
      </w:r>
      <w:r>
        <w:t xml:space="preserve">of the following conditions:</w:t>
      </w:r>
    </w:p>
    <w:p>
      <w:pPr>
        <w:pStyle w:val="Compact"/>
        <w:numPr>
          <w:ilvl w:val="0"/>
          <w:numId w:val="1004"/>
        </w:numPr>
      </w:pPr>
      <w:r>
        <w:rPr>
          <w:b/>
          <w:bCs/>
        </w:rPr>
        <w:t xml:space="preserve">Majority of Common (as-converted)</w:t>
      </w:r>
      <w:r>
        <w:t xml:space="preserve"> </w:t>
      </w:r>
      <w:r>
        <w:t xml:space="preserve">— holders of at least a majority of the outstanding shares of Common Stock, calculated on an as-converted basis (treating each share of Preferred as converted);</w:t>
      </w:r>
    </w:p>
    <w:p>
      <w:pPr>
        <w:pStyle w:val="Compact"/>
        <w:numPr>
          <w:ilvl w:val="0"/>
          <w:numId w:val="1004"/>
        </w:numPr>
      </w:pPr>
      <w:r>
        <w:rPr>
          <w:b/>
          <w:bCs/>
        </w:rPr>
        <w:t xml:space="preserve">Majority of Preferred (as-converted, single class)</w:t>
      </w:r>
      <w:r>
        <w:t xml:space="preserve"> </w:t>
      </w:r>
      <w:r>
        <w:t xml:space="preserve">— holders of at least a majority of the outstanding Preferred Stock, calculated on an as-converted basis, voting together as a single class; and</w:t>
      </w:r>
    </w:p>
    <w:p>
      <w:pPr>
        <w:pStyle w:val="Compact"/>
        <w:numPr>
          <w:ilvl w:val="0"/>
          <w:numId w:val="1004"/>
        </w:numPr>
      </w:pPr>
      <w:r>
        <w:rPr>
          <w:b/>
          <w:bCs/>
        </w:rPr>
        <w:t xml:space="preserve">2 of 3 Investor Stockholders</w:t>
      </w:r>
      <w:r>
        <w:t xml:space="preserve"> </w:t>
      </w:r>
      <w:r>
        <w:t xml:space="preserve">— at least two (2) of the three (3) Investor Stockholders (Ridgeline, Northbridge, Stonemill).</w:t>
      </w:r>
    </w:p>
    <w:p>
      <w:pPr>
        <w:pStyle w:val="FirstParagraph"/>
      </w:pPr>
      <w:r>
        <w:t xml:space="preserve">Once a Drag-Along Approval is obtained, every</w:t>
      </w:r>
      <w:r>
        <w:t xml:space="preserve"> </w:t>
      </w:r>
      <w:r>
        <w:t xml:space="preserve">“</w:t>
      </w:r>
      <w:r>
        <w:t xml:space="preserve">Restricted Stockholder</w:t>
      </w:r>
      <w:r>
        <w:t xml:space="preserve">”</w:t>
      </w:r>
      <w:r>
        <w:t xml:space="preserve"> </w:t>
      </w:r>
      <w:r>
        <w:t xml:space="preserve">(including any that voted against) must (A) vote all of its Shares in favor of the Sale of the Company, (B) refrain from exercising dissenters’/appraisal rights, (C) take all reasonably necessary actions to consummate the sale, and (D) not impede the transaction (SHA §3.1(a)). Each Restricted Stockholder also grants an irrevocable proxy to the holders constituting the Drag-Along Approval (SHA §3.3).</w:t>
      </w:r>
    </w:p>
    <w:p>
      <w:pPr>
        <w:pStyle w:val="BodyText"/>
      </w:pPr>
      <w:r>
        <w:rPr>
          <w:b/>
          <w:bCs/>
        </w:rPr>
        <w:t xml:space="preserve">B. Can the drag-along be triggered WITHOUT Stonemill?</w:t>
      </w:r>
    </w:p>
    <w:p>
      <w:pPr>
        <w:numPr>
          <w:ilvl w:val="0"/>
          <w:numId w:val="1005"/>
        </w:numPr>
      </w:pPr>
      <w:r>
        <w:rPr>
          <w:b/>
          <w:bCs/>
        </w:rPr>
        <w:t xml:space="preserve">Prong 3 (2 of 3 Investor Stockholders): YES.</w:t>
      </w:r>
      <w:r>
        <w:t xml:space="preserve"> </w:t>
      </w:r>
      <w:r>
        <w:t xml:space="preserve">Ridgeline and Northbridge together constitute two of the three Investor Stockholders. This prong is satisfied without Stonemill.</w:t>
      </w:r>
    </w:p>
    <w:p>
      <w:pPr>
        <w:numPr>
          <w:ilvl w:val="0"/>
          <w:numId w:val="1005"/>
        </w:numPr>
      </w:pPr>
      <w:r>
        <w:rPr>
          <w:b/>
          <w:bCs/>
        </w:rPr>
        <w:t xml:space="preserve">Prong 2 (majority of Preferred, as-converted, single class): YES.</w:t>
      </w:r>
      <w:r>
        <w:t xml:space="preserve"> </w:t>
      </w:r>
      <w:r>
        <w:t xml:space="preserve">Total Preferred is 16,500,000 shares; a majority requires more than 8,250,000. Ridgeline (3,500,000) and Northbridge (5,200,000) together hold 8,700,000 shares—exceeding the threshold by 450,000 shares. This prong is satisfied without Stonemill, though only narrowly.</w:t>
      </w:r>
    </w:p>
    <w:p>
      <w:pPr>
        <w:numPr>
          <w:ilvl w:val="0"/>
          <w:numId w:val="1005"/>
        </w:numPr>
      </w:pPr>
      <w:r>
        <w:rPr>
          <w:b/>
          <w:bCs/>
        </w:rPr>
        <w:t xml:space="preserve">Prong 1 (majority of Common, as-converted): ACHIEVABLE, but not automatic.</w:t>
      </w:r>
      <w:r>
        <w:t xml:space="preserve"> </w:t>
      </w:r>
      <w:r>
        <w:t xml:space="preserve">On a fully diluted basis of 33,900,000 shares, a majority requires more than 16,950,000. The Founders (7,300,000), Ridgeline (3,500,000), and Northbridge (5,200,000) together hold 16,000,000 shares—approximately 950,000 shares short of the threshold. The remaining approximately 10,100,000 shares (the</w:t>
      </w:r>
      <w:r>
        <w:t xml:space="preserve"> </w:t>
      </w:r>
      <w:r>
        <w:t xml:space="preserve">“</w:t>
      </w:r>
      <w:r>
        <w:t xml:space="preserve">various common holders / option pool</w:t>
      </w:r>
      <w:r>
        <w:t xml:space="preserve">”</w:t>
      </w:r>
      <w:r>
        <w:t xml:space="preserve">) are not all parties to the SHA and therefore cannot all be</w:t>
      </w:r>
      <w:r>
        <w:t xml:space="preserve"> </w:t>
      </w:r>
      <w:r>
        <w:t xml:space="preserve">“</w:t>
      </w:r>
      <w:r>
        <w:t xml:space="preserve">dragged,</w:t>
      </w:r>
      <w:r>
        <w:t xml:space="preserve">”</w:t>
      </w:r>
      <w:r>
        <w:t xml:space="preserve"> </w:t>
      </w:r>
      <w:r>
        <w:t xml:space="preserve">but their voluntary votes count toward the threshold. Accordingly, prong 1 can be satisfied without Stonemill</w:t>
      </w:r>
      <w:r>
        <w:t xml:space="preserve"> </w:t>
      </w:r>
      <w:r>
        <w:rPr>
          <w:b/>
          <w:bCs/>
        </w:rPr>
        <w:t xml:space="preserve">if approximately 950,000+ additional shares from the broader common/option-holder base support the transaction</w:t>
      </w:r>
      <w:r>
        <w:t xml:space="preserve"> </w:t>
      </w:r>
      <w:r>
        <w:t xml:space="preserve">(roughly 9.4% of that pool). This is plausible—particularly for employees whose awards may accelerate or be cashed out—but it is not guaranteed and will require affirmative solicitation.</w:t>
      </w:r>
    </w:p>
    <w:p>
      <w:pPr>
        <w:pStyle w:val="FirstParagraph"/>
      </w:pPr>
      <w:r>
        <w:rPr>
          <w:b/>
          <w:bCs/>
        </w:rPr>
        <w:t xml:space="preserve">Conclusion on trigger:</w:t>
      </w:r>
      <w:r>
        <w:t xml:space="preserve"> </w:t>
      </w:r>
      <w:r>
        <w:t xml:space="preserve">The drag-along can be triggered without Stonemill, provided the deal team secures modest additional support from the common/option-holder base to clear prong 1.</w:t>
      </w:r>
    </w:p>
    <w:p>
      <w:pPr>
        <w:pStyle w:val="BodyText"/>
      </w:pPr>
      <w:r>
        <w:rPr>
          <w:b/>
          <w:bCs/>
        </w:rPr>
        <w:t xml:space="preserve">C. The critical legal question: can the drag-along override the Charter’s Series C separate-class protective provision?</w:t>
      </w:r>
    </w:p>
    <w:p>
      <w:pPr>
        <w:pStyle w:val="BodyText"/>
      </w:pPr>
      <w:r>
        <w:t xml:space="preserve">This is the decisive issue. Even if the drag-along is triggered, the question is whether it can compel Stonemill (a party to the SHA and therefore a</w:t>
      </w:r>
      <w:r>
        <w:t xml:space="preserve"> </w:t>
      </w:r>
      <w:r>
        <w:t xml:space="preserve">“</w:t>
      </w:r>
      <w:r>
        <w:t xml:space="preserve">Restricted Stockholder</w:t>
      </w:r>
      <w:r>
        <w:t xml:space="preserve">”</w:t>
      </w:r>
      <w:r>
        <w:t xml:space="preserve">) to provide the Series C separate-class consent that Charter §4.3.6(b)(i) requires, or otherwise be used to close over Stonemill’s objection.</w:t>
      </w:r>
    </w:p>
    <w:p>
      <w:pPr>
        <w:pStyle w:val="BodyText"/>
      </w:pPr>
      <w:r>
        <w:rPr>
          <w:b/>
          <w:bCs/>
        </w:rPr>
        <w:t xml:space="preserve">Our analysis is that the drag-along cannot reliably override the Charter protective provision.</w:t>
      </w:r>
      <w:r>
        <w:t xml:space="preserve"> </w:t>
      </w:r>
      <w:r>
        <w:t xml:space="preserve">The reasons are as follows:</w:t>
      </w:r>
    </w:p>
    <w:p>
      <w:pPr>
        <w:numPr>
          <w:ilvl w:val="0"/>
          <w:numId w:val="1006"/>
        </w:numPr>
      </w:pPr>
      <w:r>
        <w:rPr>
          <w:b/>
          <w:bCs/>
        </w:rPr>
        <w:t xml:space="preserve">Charter primacy.</w:t>
      </w:r>
      <w:r>
        <w:t xml:space="preserve"> </w:t>
      </w:r>
      <w:r>
        <w:t xml:space="preserve">The protective provisions are part of the certificate of incorporation—the supreme corporate instrument and the contract among the corporation and</w:t>
      </w:r>
      <w:r>
        <w:t xml:space="preserve"> </w:t>
      </w:r>
      <w:r>
        <w:rPr>
          <w:i/>
          <w:iCs/>
        </w:rPr>
        <w:t xml:space="preserve">all</w:t>
      </w:r>
      <w:r>
        <w:t xml:space="preserve"> </w:t>
      </w:r>
      <w:r>
        <w:t xml:space="preserve">of its stockholders (present and future). A private stockholders’ agreement among</w:t>
      </w:r>
      <w:r>
        <w:t xml:space="preserve"> </w:t>
      </w:r>
      <w:r>
        <w:rPr>
          <w:i/>
          <w:iCs/>
        </w:rPr>
        <w:t xml:space="preserve">some</w:t>
      </w:r>
      <w:r>
        <w:t xml:space="preserve"> </w:t>
      </w:r>
      <w:r>
        <w:t xml:space="preserve">stockholders cannot abrogate class-level voting rights established in the Charter. Delaware law treats Charter provisions as having primacy over stockholder agreements for matters of corporate structure and voting.</w:t>
      </w:r>
    </w:p>
    <w:p>
      <w:pPr>
        <w:numPr>
          <w:ilvl w:val="0"/>
          <w:numId w:val="1006"/>
        </w:numPr>
      </w:pPr>
      <w:r>
        <w:rPr>
          <w:b/>
          <w:bCs/>
        </w:rPr>
        <w:t xml:space="preserve">The separate-class consent is a distinct, non-waivable-by-majority requirement.</w:t>
      </w:r>
      <w:r>
        <w:t xml:space="preserve"> </w:t>
      </w:r>
      <w:r>
        <w:t xml:space="preserve">Section 4.3.6(b)(i) conditions the Company’s</w:t>
      </w:r>
      <w:r>
        <w:t xml:space="preserve"> </w:t>
      </w:r>
      <w:r>
        <w:rPr>
          <w:i/>
          <w:iCs/>
        </w:rPr>
        <w:t xml:space="preserve">ability to act</w:t>
      </w:r>
      <w:r>
        <w:t xml:space="preserve"> </w:t>
      </w:r>
      <w:r>
        <w:t xml:space="preserve">(to</w:t>
      </w:r>
      <w:r>
        <w:t xml:space="preserve"> </w:t>
      </w:r>
      <w:r>
        <w:t xml:space="preserve">“</w:t>
      </w:r>
      <w:r>
        <w:t xml:space="preserve">effect any Liquidation Event</w:t>
      </w:r>
      <w:r>
        <w:t xml:space="preserve">”</w:t>
      </w:r>
      <w:r>
        <w:t xml:space="preserve">) on the separate-class consent. It is not merely a voting instruction; it is a substantive limitation on corporate action. The Company is prohibited by its own Charter from effecting the merger without the Series C separate-class consent, regardless of how individual Series C holders vote their shares on the merger itself.</w:t>
      </w:r>
    </w:p>
    <w:p>
      <w:pPr>
        <w:numPr>
          <w:ilvl w:val="0"/>
          <w:numId w:val="1006"/>
        </w:numPr>
      </w:pPr>
      <w:r>
        <w:rPr>
          <w:b/>
          <w:bCs/>
        </w:rPr>
        <w:t xml:space="preserve">The drag-along language is not sufficient to waive the protective provision.</w:t>
      </w:r>
      <w:r>
        <w:t xml:space="preserve"> </w:t>
      </w:r>
      <w:r>
        <w:t xml:space="preserve">The drag-along obligates stockholders to</w:t>
      </w:r>
      <w:r>
        <w:t xml:space="preserve"> </w:t>
      </w:r>
      <w:r>
        <w:t xml:space="preserve">“</w:t>
      </w:r>
      <w:r>
        <w:t xml:space="preserve">vote … in favor</w:t>
      </w:r>
      <w:r>
        <w:t xml:space="preserve">”</w:t>
      </w:r>
      <w:r>
        <w:t xml:space="preserve"> </w:t>
      </w:r>
      <w:r>
        <w:t xml:space="preserve">and to</w:t>
      </w:r>
      <w:r>
        <w:t xml:space="preserve"> </w:t>
      </w:r>
      <w:r>
        <w:t xml:space="preserve">“</w:t>
      </w:r>
      <w:r>
        <w:t xml:space="preserve">take all reasonably necessary actions to consummate.</w:t>
      </w:r>
      <w:r>
        <w:t xml:space="preserve">”</w:t>
      </w:r>
      <w:r>
        <w:t xml:space="preserve"> </w:t>
      </w:r>
      <w:r>
        <w:t xml:space="preserve">While the latter phrase is broad, Delaware courts are reluctant to construe a drag-along as overriding an express Charter protective provision absent explicit language requiring the dragged stockholder to</w:t>
      </w:r>
      <w:r>
        <w:t xml:space="preserve"> </w:t>
      </w:r>
      <w:r>
        <w:rPr>
          <w:i/>
          <w:iCs/>
        </w:rPr>
        <w:t xml:space="preserve">consent to Charter amendments</w:t>
      </w:r>
      <w:r>
        <w:t xml:space="preserve"> </w:t>
      </w:r>
      <w:r>
        <w:t xml:space="preserve">or</w:t>
      </w:r>
      <w:r>
        <w:t xml:space="preserve"> </w:t>
      </w:r>
      <w:r>
        <w:rPr>
          <w:i/>
          <w:iCs/>
        </w:rPr>
        <w:t xml:space="preserve">waive protective provisions</w:t>
      </w:r>
      <w:r>
        <w:t xml:space="preserve">. The Terravox drag-along contains no such express waiver language. The irrevocable proxy (§3.3) operates on the voting of shares, not on the furnishing of a separate-class consent.</w:t>
      </w:r>
    </w:p>
    <w:p>
      <w:pPr>
        <w:numPr>
          <w:ilvl w:val="0"/>
          <w:numId w:val="1006"/>
        </w:numPr>
      </w:pPr>
      <w:r>
        <w:rPr>
          <w:b/>
          <w:bCs/>
        </w:rPr>
        <w:t xml:space="preserve">Anti-abrogation / no-surplusage principle.</w:t>
      </w:r>
      <w:r>
        <w:t xml:space="preserve"> </w:t>
      </w:r>
      <w:r>
        <w:t xml:space="preserve">If the drag-along (triggerable by only 2 of 3 Investor Stockholders) could override the Series C separate-class veto, the Series C protective provision would be rendered largely meaningless—a result courts disfavor. The Series C protective provision was plainly intended to give the Series C holders (here, Stonemill) a veto over precisely this kind of change-of-control transaction.</w:t>
      </w:r>
    </w:p>
    <w:p>
      <w:pPr>
        <w:numPr>
          <w:ilvl w:val="0"/>
          <w:numId w:val="1006"/>
        </w:numPr>
      </w:pPr>
      <w:r>
        <w:rPr>
          <w:b/>
          <w:bCs/>
        </w:rPr>
        <w:t xml:space="preserve">The Charter cannot be amended around the veto.</w:t>
      </w:r>
      <w:r>
        <w:t xml:space="preserve"> </w:t>
      </w:r>
      <w:r>
        <w:t xml:space="preserve">Removing the Series C protective provision by Charter amendment would itself require Series C separate-class consent under §4.3.6(b)(ii) (amendments adversely and disproportionately affecting Series C), plus all-Preferred consent under §4.3.6(a)(i). Stonemill can block the amendment too. This is an irreducible catch-22.</w:t>
      </w:r>
    </w:p>
    <w:p>
      <w:pPr>
        <w:pStyle w:val="FirstParagraph"/>
      </w:pPr>
      <w:r>
        <w:rPr>
          <w:b/>
          <w:bCs/>
        </w:rPr>
        <w:t xml:space="preserve">A counterargument exists but should not be relied upon.</w:t>
      </w:r>
      <w:r>
        <w:t xml:space="preserve"> </w:t>
      </w:r>
      <w:r>
        <w:t xml:space="preserve">One could argue that</w:t>
      </w:r>
      <w:r>
        <w:t xml:space="preserve"> </w:t>
      </w:r>
      <w:r>
        <w:t xml:space="preserve">“</w:t>
      </w:r>
      <w:r>
        <w:t xml:space="preserve">take all reasonably necessary actions to consummate</w:t>
      </w:r>
      <w:r>
        <w:t xml:space="preserve">”</w:t>
      </w:r>
      <w:r>
        <w:t xml:space="preserve"> </w:t>
      </w:r>
      <w:r>
        <w:t xml:space="preserve">sweeps in the furnishing of the separate-class consent, because that consent is a necessary action to close. We do not recommend relying on this argument. It is contested, it is inconsistent with the Charter-primacy principles above, and litigating it would consume the deal timeline and create closing risk. The prudent assumption—confirmed by the Company’s own counsel’s identification of the Series C separate-class vote as a required approval at the September 25, 2024 meeting—is that</w:t>
      </w:r>
      <w:r>
        <w:t xml:space="preserve"> </w:t>
      </w:r>
      <w:r>
        <w:rPr>
          <w:b/>
          <w:bCs/>
        </w:rPr>
        <w:t xml:space="preserve">Stonemill’s affirmative Series C separate-class consent is required to close.</w:t>
      </w:r>
    </w:p>
    <w:p>
      <w:pPr>
        <w:pStyle w:val="BodyText"/>
      </w:pPr>
      <w:r>
        <w:rPr>
          <w:b/>
          <w:bCs/>
        </w:rPr>
        <w:t xml:space="preserve">D. Practical effect of the drag-along.</w:t>
      </w:r>
      <w:r>
        <w:t xml:space="preserve"> </w:t>
      </w:r>
      <w:r>
        <w:t xml:space="preserve">Even though it cannot override the Series C veto, the drag-along remains valuable: once triggered, it can compel the</w:t>
      </w:r>
      <w:r>
        <w:t xml:space="preserve"> </w:t>
      </w:r>
      <w:r>
        <w:rPr>
          <w:i/>
          <w:iCs/>
        </w:rPr>
        <w:t xml:space="preserve">other</w:t>
      </w:r>
      <w:r>
        <w:t xml:space="preserve"> </w:t>
      </w:r>
      <w:r>
        <w:t xml:space="preserve">stockholder parties (e.g., minority common holders, option holders who have joined the SHA, and any recalcitrant Founders) to vote in favor and to refrain from exercising appraisal rights, thereby clearing the DGCL §251 stockholder vote and the all-Preferred consent cleanly. It is a tool for assembling the non-Stonemill consents, not a tool for overriding Stonemill.</w:t>
      </w:r>
    </w:p>
    <w:p>
      <w:pPr>
        <w:pStyle w:val="BodyText"/>
      </w:pPr>
      <w:r>
        <w:rPr>
          <w:b/>
          <w:bCs/>
        </w:rPr>
        <w:t xml:space="preserve">E. Drag-along terms affecting deal economics (SHA §3.2).</w:t>
      </w:r>
      <w:r>
        <w:t xml:space="preserve"> </w:t>
      </w:r>
      <w:r>
        <w:t xml:space="preserve">Two points merit attention in the merger agreement:</w:t>
      </w:r>
    </w:p>
    <w:p>
      <w:pPr>
        <w:numPr>
          <w:ilvl w:val="0"/>
          <w:numId w:val="1007"/>
        </w:numPr>
      </w:pPr>
      <w:r>
        <w:rPr>
          <w:b/>
          <w:bCs/>
        </w:rPr>
        <w:t xml:space="preserve">Consideration parity (§3.2(a)).</w:t>
      </w:r>
      <w:r>
        <w:t xml:space="preserve"> </w:t>
      </w:r>
      <w:r>
        <w:t xml:space="preserve">Each dragged stockholder must receive the same form and amount of consideration per share (as-converted) as every other,</w:t>
      </w:r>
      <w:r>
        <w:t xml:space="preserve"> </w:t>
      </w:r>
      <w:r>
        <w:rPr>
          <w:i/>
          <w:iCs/>
        </w:rPr>
        <w:t xml:space="preserve">except</w:t>
      </w:r>
      <w:r>
        <w:t xml:space="preserve"> </w:t>
      </w:r>
      <w:r>
        <w:t xml:space="preserve">that liquidation preferences apply per the Charter waterfall. This is consistent with the Charter’s non-participating waterfall and confirms that Stonemill’s preference will be honored.</w:t>
      </w:r>
    </w:p>
    <w:p>
      <w:pPr>
        <w:numPr>
          <w:ilvl w:val="0"/>
          <w:numId w:val="1007"/>
        </w:numPr>
      </w:pPr>
      <w:r>
        <w:rPr>
          <w:b/>
          <w:bCs/>
        </w:rPr>
        <w:t xml:space="preserve">Indemnification cap (§3.2(c), (d)).</w:t>
      </w:r>
      <w:r>
        <w:t xml:space="preserve"> </w:t>
      </w:r>
      <w:r>
        <w:t xml:space="preserve">Dragged stockholders provide several (not joint) indemnification capped at their consideration received, and cannot be required to enter non-competes/non-solicits or to indemnify in excess of their proceeds. The merger agreement’s stockholder representative and indemnity provisions must be drafted to respect these limits; otherwise the drag-along’s conditions to obligation may not be satisfied.</w:t>
      </w:r>
    </w:p>
    <w:p>
      <w:r>
        <w:pict>
          <v:rect style="width:0;height:1.5pt" o:hralign="center" o:hrstd="t" o:hr="t"/>
        </w:pict>
      </w:r>
    </w:p>
    <w:bookmarkEnd w:id="23"/>
    <w:bookmarkStart w:id="24" w:name="Xbed8ec1550c3b78fe0e8196fb3423c6915742d5"/>
    <w:p>
      <w:pPr>
        <w:pStyle w:val="Heading2"/>
      </w:pPr>
      <w:r>
        <w:t xml:space="preserve">IV. Impediments to Closing a Reverse Triangular Merger (Diligence Area 3)</w:t>
      </w:r>
    </w:p>
    <w:p>
      <w:pPr>
        <w:pStyle w:val="FirstParagraph"/>
      </w:pPr>
      <w:r>
        <w:rPr>
          <w:b/>
          <w:bCs/>
        </w:rPr>
        <w:t xml:space="preserve">A. Structure.</w:t>
      </w:r>
      <w:r>
        <w:t xml:space="preserve"> </w:t>
      </w:r>
      <w:r>
        <w:t xml:space="preserve">In the proposed reverse triangular merger, Hargrove forms a wholly-owned merger subsidiary (</w:t>
      </w:r>
      <w:r>
        <w:t xml:space="preserve">“</w:t>
      </w:r>
      <w:r>
        <w:t xml:space="preserve">Merger Sub</w:t>
      </w:r>
      <w:r>
        <w:t xml:space="preserve">”</w:t>
      </w:r>
      <w:r>
        <w:t xml:space="preserve">); Merger Sub merges with and into Terravox; Terravox survives as a wholly-owned subsidiary of Hargrove; and all outstanding Terravox equity is cancelled in exchange for the merger consideration (cash). Hargrove and Merger Sub approvals are Buyer-side; Terravox is the entity whose stockholders must approve.</w:t>
      </w:r>
    </w:p>
    <w:p>
      <w:pPr>
        <w:pStyle w:val="BodyText"/>
      </w:pPr>
      <w:r>
        <w:rPr>
          <w:b/>
          <w:bCs/>
        </w:rPr>
        <w:t xml:space="preserve">B. Do the defined terms clearly capture the reverse triangular merger?</w:t>
      </w:r>
      <w:r>
        <w:t xml:space="preserve"> </w:t>
      </w:r>
      <w:r>
        <w:t xml:space="preserve">Yes. Each of the operative definitions turns on whether Terravox’s pre-transaction stockholders retain a majority (or at least 50%) of the voting power of the surviving/resulting entity. In this transaction, Terravox’s pre-merger stockholders will retain</w:t>
      </w:r>
      <w:r>
        <w:t xml:space="preserve"> </w:t>
      </w:r>
      <w:r>
        <w:rPr>
          <w:b/>
          <w:bCs/>
        </w:rPr>
        <w:t xml:space="preserve">0%</w:t>
      </w:r>
      <w:r>
        <w:t xml:space="preserve"> </w:t>
      </w:r>
      <w:r>
        <w:t xml:space="preserve">of the voting power of the surviving entity (Terravox, now wholly owned by Hargrove). Accordingly:</w:t>
      </w:r>
    </w:p>
    <w:p>
      <w:pPr>
        <w:numPr>
          <w:ilvl w:val="0"/>
          <w:numId w:val="1008"/>
        </w:numPr>
      </w:pPr>
      <w:r>
        <w:rPr>
          <w:b/>
          <w:bCs/>
        </w:rPr>
        <w:t xml:space="preserve">“</w:t>
      </w:r>
      <w:r>
        <w:rPr>
          <w:b/>
          <w:bCs/>
        </w:rPr>
        <w:t xml:space="preserve">Liquidation Event</w:t>
      </w:r>
      <w:r>
        <w:rPr>
          <w:b/>
          <w:bCs/>
        </w:rPr>
        <w:t xml:space="preserve">”</w:t>
      </w:r>
      <w:r>
        <w:rPr>
          <w:b/>
          <w:bCs/>
        </w:rPr>
        <w:t xml:space="preserve"> </w:t>
      </w:r>
      <w:r>
        <w:rPr>
          <w:b/>
          <w:bCs/>
        </w:rPr>
        <w:t xml:space="preserve">(Charter §4.3.2(d)(i))</w:t>
      </w:r>
      <w:r>
        <w:t xml:space="preserve"> </w:t>
      </w:r>
      <w:r>
        <w:t xml:space="preserve">— captured. The merger is a</w:t>
      </w:r>
      <w:r>
        <w:t xml:space="preserve"> </w:t>
      </w:r>
      <w:r>
        <w:t xml:space="preserve">“</w:t>
      </w:r>
      <w:r>
        <w:t xml:space="preserve">merger, consolidation, or other business combination … in which the stockholders of the Corporation immediately prior to such transaction continue to hold at least fifty percent (50%) of the voting power of the surviving or resulting entity</w:t>
      </w:r>
      <w:r>
        <w:t xml:space="preserve">”</w:t>
      </w:r>
      <w:r>
        <w:t xml:space="preserve">—they do not (0% &lt; 50%). Also captured by §4.3.2(d)(iii) (transfer of &gt;50% of voting power). The 20-day pre-closing notice obligation in §4.3.2(d) (last paragraph) must be observed.</w:t>
      </w:r>
    </w:p>
    <w:p>
      <w:pPr>
        <w:numPr>
          <w:ilvl w:val="0"/>
          <w:numId w:val="1008"/>
        </w:numPr>
      </w:pPr>
      <w:r>
        <w:rPr>
          <w:b/>
          <w:bCs/>
        </w:rPr>
        <w:t xml:space="preserve">“</w:t>
      </w:r>
      <w:r>
        <w:rPr>
          <w:b/>
          <w:bCs/>
        </w:rPr>
        <w:t xml:space="preserve">Sale of the Company</w:t>
      </w:r>
      <w:r>
        <w:rPr>
          <w:b/>
          <w:bCs/>
        </w:rPr>
        <w:t xml:space="preserve">”</w:t>
      </w:r>
      <w:r>
        <w:rPr>
          <w:b/>
          <w:bCs/>
        </w:rPr>
        <w:t xml:space="preserve"> </w:t>
      </w:r>
      <w:r>
        <w:rPr>
          <w:b/>
          <w:bCs/>
        </w:rPr>
        <w:t xml:space="preserve">(SHA §1.1; VA §1)</w:t>
      </w:r>
      <w:r>
        <w:t xml:space="preserve"> </w:t>
      </w:r>
      <w:r>
        <w:t xml:space="preserve">— captured. Both definitions include a merger in which the Company’s pre-transaction stockholders</w:t>
      </w:r>
      <w:r>
        <w:t xml:space="preserve"> </w:t>
      </w:r>
      <w:r>
        <w:t xml:space="preserve">“</w:t>
      </w:r>
      <w:r>
        <w:t xml:space="preserve">do not retain a majority of the voting power of the surviving or resulting entity.</w:t>
      </w:r>
      <w:r>
        <w:t xml:space="preserve">”</w:t>
      </w:r>
    </w:p>
    <w:p>
      <w:pPr>
        <w:numPr>
          <w:ilvl w:val="0"/>
          <w:numId w:val="1008"/>
        </w:numPr>
      </w:pPr>
      <w:r>
        <w:rPr>
          <w:b/>
          <w:bCs/>
        </w:rPr>
        <w:t xml:space="preserve">“</w:t>
      </w:r>
      <w:r>
        <w:rPr>
          <w:b/>
          <w:bCs/>
        </w:rPr>
        <w:t xml:space="preserve">Deemed Liquidation Event</w:t>
      </w:r>
      <w:r>
        <w:rPr>
          <w:b/>
          <w:bCs/>
        </w:rPr>
        <w:t xml:space="preserve">”</w:t>
      </w:r>
      <w:r>
        <w:rPr>
          <w:b/>
          <w:bCs/>
        </w:rPr>
        <w:t xml:space="preserve"> </w:t>
      </w:r>
      <w:r>
        <w:rPr>
          <w:b/>
          <w:bCs/>
        </w:rPr>
        <w:t xml:space="preserve">(RRA §9(c))</w:t>
      </w:r>
      <w:r>
        <w:t xml:space="preserve"> </w:t>
      </w:r>
      <w:r>
        <w:t xml:space="preserve">—</w:t>
      </w:r>
      <w:r>
        <w:t xml:space="preserve"> </w:t>
      </w:r>
      <w:r>
        <w:rPr>
          <w:i/>
          <w:iCs/>
        </w:rPr>
        <w:t xml:space="preserve">see Section X</w:t>
      </w:r>
      <w:r>
        <w:t xml:space="preserve">. The term is used but not defined in the RRA, creating ambiguity.</w:t>
      </w:r>
    </w:p>
    <w:p>
      <w:pPr>
        <w:pStyle w:val="FirstParagraph"/>
      </w:pPr>
      <w:r>
        <w:rPr>
          <w:b/>
          <w:bCs/>
        </w:rPr>
        <w:t xml:space="preserve">C. Structural considerations specific to the reverse triangular form.</w:t>
      </w:r>
    </w:p>
    <w:p>
      <w:pPr>
        <w:numPr>
          <w:ilvl w:val="0"/>
          <w:numId w:val="1009"/>
        </w:numPr>
      </w:pPr>
      <w:r>
        <w:rPr>
          <w:b/>
          <w:bCs/>
        </w:rPr>
        <w:t xml:space="preserve">No Charter amendment required.</w:t>
      </w:r>
      <w:r>
        <w:t xml:space="preserve"> </w:t>
      </w:r>
      <w:r>
        <w:t xml:space="preserve">Because Terravox survives, its Charter remains in effect; no amendment is needed to effect the merger. This means the Charter-amendment protective provisions (§§4.3.6(a)(i), 4.3.6(b)(ii)) are likely</w:t>
      </w:r>
      <w:r>
        <w:t xml:space="preserve"> </w:t>
      </w:r>
      <w:r>
        <w:rPr>
          <w:i/>
          <w:iCs/>
        </w:rPr>
        <w:t xml:space="preserve">not</w:t>
      </w:r>
      <w:r>
        <w:t xml:space="preserve"> </w:t>
      </w:r>
      <w:r>
        <w:t xml:space="preserve">triggered, narrowing the consent set to the Liquidation Event consents (§§4.3.6(a)(vi), 4.3.6(b)(i)). Confirm in the merger agreement that no Charter amendment is contemplated.</w:t>
      </w:r>
    </w:p>
    <w:p>
      <w:pPr>
        <w:numPr>
          <w:ilvl w:val="0"/>
          <w:numId w:val="1009"/>
        </w:numPr>
      </w:pPr>
      <w:r>
        <w:rPr>
          <w:b/>
          <w:bCs/>
        </w:rPr>
        <w:t xml:space="preserve">Contract continuity.</w:t>
      </w:r>
      <w:r>
        <w:t xml:space="preserve"> </w:t>
      </w:r>
      <w:r>
        <w:t xml:space="preserve">The reverse triangular form preserves Terravox’s contracts, licenses, and IP without requiring consents-to-assignment (Terravox survives as the same entity). This is favorable, but</w:t>
      </w:r>
      <w:r>
        <w:t xml:space="preserve"> </w:t>
      </w:r>
      <w:r>
        <w:rPr>
          <w:b/>
          <w:bCs/>
        </w:rPr>
        <w:t xml:space="preserve">change-of-control covenants</w:t>
      </w:r>
      <w:r>
        <w:t xml:space="preserve"> </w:t>
      </w:r>
      <w:r>
        <w:t xml:space="preserve">in material contracts—including the Clearfield term loan—may still be triggered. The Clearfield loan agreement has not been produced; its change-of-control and prepayment provisions must be reviewed. The $12 million of debt is expected to be repaid at closing from merger consideration.</w:t>
      </w:r>
    </w:p>
    <w:p>
      <w:pPr>
        <w:numPr>
          <w:ilvl w:val="0"/>
          <w:numId w:val="1009"/>
        </w:numPr>
      </w:pPr>
      <w:r>
        <w:rPr>
          <w:b/>
          <w:bCs/>
        </w:rPr>
        <w:t xml:space="preserve">20-day Liquidation Event notice.</w:t>
      </w:r>
      <w:r>
        <w:t xml:space="preserve"> </w:t>
      </w:r>
      <w:r>
        <w:t xml:space="preserve">Charter §4.3.2(d) requires the Company to give each Preferred holder written notice of any proposed Liquidation Event not less than 20 days prior to the anticipated closing date, with material terms and a good-faith estimate of per-share distributions. This is a closing-condition item to calendar.</w:t>
      </w:r>
    </w:p>
    <w:p>
      <w:pPr>
        <w:numPr>
          <w:ilvl w:val="0"/>
          <w:numId w:val="1009"/>
        </w:numPr>
      </w:pPr>
      <w:r>
        <w:rPr>
          <w:b/>
          <w:bCs/>
        </w:rPr>
        <w:t xml:space="preserve">No structural ambiguity on the core trigger.</w:t>
      </w:r>
      <w:r>
        <w:t xml:space="preserve"> </w:t>
      </w:r>
      <w:r>
        <w:t xml:space="preserve">Unlike a transaction in which stockholders receive parent stock (raising the question of whether the</w:t>
      </w:r>
      <w:r>
        <w:t xml:space="preserve"> </w:t>
      </w:r>
      <w:r>
        <w:t xml:space="preserve">“</w:t>
      </w:r>
      <w:r>
        <w:t xml:space="preserve">surviving or resulting entity</w:t>
      </w:r>
      <w:r>
        <w:t xml:space="preserve">”</w:t>
      </w:r>
      <w:r>
        <w:t xml:space="preserve"> </w:t>
      </w:r>
      <w:r>
        <w:t xml:space="preserve">means the target or the parent), here the consideration is all-cash and Terravox stockholders retain no voting power in any entity. The definitions are satisfied without interpretive difficulty.</w:t>
      </w:r>
    </w:p>
    <w:p>
      <w:r>
        <w:pict>
          <v:rect style="width:0;height:1.5pt" o:hralign="center" o:hrstd="t" o:hr="t"/>
        </w:pict>
      </w:r>
    </w:p>
    <w:bookmarkEnd w:id="24"/>
    <w:bookmarkStart w:id="25" w:name="X5109908dce7605672ad21890173213adecb4f58"/>
    <w:p>
      <w:pPr>
        <w:pStyle w:val="Heading2"/>
      </w:pPr>
      <w:r>
        <w:t xml:space="preserve">V. Transfer Restrictions (Diligence Area 4)</w:t>
      </w:r>
    </w:p>
    <w:p>
      <w:pPr>
        <w:pStyle w:val="FirstParagraph"/>
      </w:pPr>
      <w:r>
        <w:rPr>
          <w:b/>
          <w:bCs/>
        </w:rPr>
        <w:t xml:space="preserve">A. ROFR and co-sale (SHA §§2.2–2.3).</w:t>
      </w:r>
      <w:r>
        <w:t xml:space="preserve"> </w:t>
      </w:r>
      <w:r>
        <w:t xml:space="preserve">The right of first refusal and co-sale rights are triggered when a</w:t>
      </w:r>
      <w:r>
        <w:t xml:space="preserve"> </w:t>
      </w:r>
      <w:r>
        <w:t xml:space="preserve">“</w:t>
      </w:r>
      <w:r>
        <w:t xml:space="preserve">Selling Stockholder</w:t>
      </w:r>
      <w:r>
        <w:t xml:space="preserve">”</w:t>
      </w:r>
      <w:r>
        <w:t xml:space="preserve"> </w:t>
      </w:r>
      <w:r>
        <w:t xml:space="preserve">receives a bona fide written offer from a third party to</w:t>
      </w:r>
      <w:r>
        <w:t xml:space="preserve"> </w:t>
      </w:r>
      <w:r>
        <w:rPr>
          <w:i/>
          <w:iCs/>
        </w:rPr>
        <w:t xml:space="preserve">purchase</w:t>
      </w:r>
      <w:r>
        <w:t xml:space="preserve"> </w:t>
      </w:r>
      <w:r>
        <w:t xml:space="preserve">its Shares and desires to accept it. The reverse triangular merger is a corporate transaction effected under DGCL §251, not a voluntary sale of Shares by a stockholder to a third-party purchaser. It is not a</w:t>
      </w:r>
      <w:r>
        <w:t xml:space="preserve"> </w:t>
      </w:r>
      <w:r>
        <w:t xml:space="preserve">“</w:t>
      </w:r>
      <w:r>
        <w:t xml:space="preserve">Transfer</w:t>
      </w:r>
      <w:r>
        <w:t xml:space="preserve">”</w:t>
      </w:r>
      <w:r>
        <w:t xml:space="preserve"> </w:t>
      </w:r>
      <w:r>
        <w:t xml:space="preserve">of Shares by a stockholder within the meaning of the ROFR/co-sale mechanics. Moreover, the SHA’s transfer restrictions expressly do not apply to a</w:t>
      </w:r>
      <w:r>
        <w:t xml:space="preserve"> </w:t>
      </w:r>
      <w:r>
        <w:t xml:space="preserve">“</w:t>
      </w:r>
      <w:r>
        <w:t xml:space="preserve">Sale of the Company consummated in accordance with Article 3</w:t>
      </w:r>
      <w:r>
        <w:t xml:space="preserve">”</w:t>
      </w:r>
      <w:r>
        <w:t xml:space="preserve"> </w:t>
      </w:r>
      <w:r>
        <w:t xml:space="preserve">(SHA §2.1(c); §2.7(e)), and the SHA terminates upon a Sale of the Company (§6.1(b)).</w:t>
      </w:r>
      <w:r>
        <w:t xml:space="preserve"> </w:t>
      </w:r>
      <w:r>
        <w:rPr>
          <w:b/>
          <w:bCs/>
        </w:rPr>
        <w:t xml:space="preserve">Accordingly, the merger does not trigger the ROFR or co-sale rights.</w:t>
      </w:r>
      <w:r>
        <w:t xml:space="preserve"> </w:t>
      </w:r>
      <w:r>
        <w:t xml:space="preserve">This should be confirmed, but no carve-out issue is present.</w:t>
      </w:r>
    </w:p>
    <w:p>
      <w:pPr>
        <w:pStyle w:val="BodyText"/>
      </w:pPr>
      <w:r>
        <w:rPr>
          <w:b/>
          <w:bCs/>
        </w:rPr>
        <w:t xml:space="preserve">B. Tag-along (SHA §2.4).</w:t>
      </w:r>
      <w:r>
        <w:t xml:space="preserve"> </w:t>
      </w:r>
      <w:r>
        <w:t xml:space="preserve">Tag-along rights apply to a</w:t>
      </w:r>
      <w:r>
        <w:t xml:space="preserve"> </w:t>
      </w:r>
      <w:r>
        <w:t xml:space="preserve">“</w:t>
      </w:r>
      <w:r>
        <w:t xml:space="preserve">Founder Transfer</w:t>
      </w:r>
      <w:r>
        <w:t xml:space="preserve">”</w:t>
      </w:r>
      <w:r>
        <w:t xml:space="preserve"> </w:t>
      </w:r>
      <w:r>
        <w:t xml:space="preserve">(a Founder’s transfer of &gt;5% of outstanding Shares to a non-affiliate third party). The merger is not a Founder Transfer; it is a Sale of the Company. Tag-along does not apply, and the SHA terminates on the Sale of the Company in any event.</w:t>
      </w:r>
    </w:p>
    <w:p>
      <w:pPr>
        <w:pStyle w:val="BodyText"/>
      </w:pPr>
      <w:r>
        <w:rPr>
          <w:b/>
          <w:bCs/>
        </w:rPr>
        <w:t xml:space="preserve">C. Founder lock-up (SHA §2.5).</w:t>
      </w:r>
      <w:r>
        <w:t xml:space="preserve"> </w:t>
      </w:r>
      <w:r>
        <w:t xml:space="preserve">The 12-month lock-up expired on November 3, 2022. Not implicated.</w:t>
      </w:r>
    </w:p>
    <w:p>
      <w:pPr>
        <w:pStyle w:val="BodyText"/>
      </w:pPr>
      <w:r>
        <w:rPr>
          <w:b/>
          <w:bCs/>
        </w:rPr>
        <w:t xml:space="preserve">D. Termination of transfer restrictions on closing.</w:t>
      </w:r>
      <w:r>
        <w:t xml:space="preserve"> </w:t>
      </w:r>
      <w:r>
        <w:t xml:space="preserve">Upon termination of the SHA pursuant to a Sale of the Company (§6.1(b)), all transfer restrictions, ROFR, co-sale, tag-along, and drag-along rights</w:t>
      </w:r>
      <w:r>
        <w:t xml:space="preserve"> </w:t>
      </w:r>
      <w:r>
        <w:t xml:space="preserve">“</w:t>
      </w:r>
      <w:r>
        <w:t xml:space="preserve">cease to be of any further force and effect,</w:t>
      </w:r>
      <w:r>
        <w:t xml:space="preserve">”</w:t>
      </w:r>
      <w:r>
        <w:t xml:space="preserve"> </w:t>
      </w:r>
      <w:r>
        <w:t xml:space="preserve">and the Company must remove the related legends (§6.3). The drag-along obligations, however, must be performed</w:t>
      </w:r>
      <w:r>
        <w:t xml:space="preserve"> </w:t>
      </w:r>
      <w:r>
        <w:rPr>
          <w:i/>
          <w:iCs/>
        </w:rPr>
        <w:t xml:space="preserve">before</w:t>
      </w:r>
      <w:r>
        <w:t xml:space="preserve"> </w:t>
      </w:r>
      <w:r>
        <w:t xml:space="preserve">termination (i.e., stockholders must vote in favor and participate in the sale); termination is effective upon consummation.</w:t>
      </w:r>
    </w:p>
    <w:p>
      <w:pPr>
        <w:pStyle w:val="BodyText"/>
      </w:pPr>
      <w:r>
        <w:rPr>
          <w:b/>
          <w:bCs/>
        </w:rPr>
        <w:t xml:space="preserve">E. Voting Agreement transfer restriction (VA §6.2).</w:t>
      </w:r>
      <w:r>
        <w:t xml:space="preserve"> </w:t>
      </w:r>
      <w:r>
        <w:t xml:space="preserve">The VA requires any transferee of Shares to join the VA. This is moot at closing because all Shares are cancelled. No issue.</w:t>
      </w:r>
    </w:p>
    <w:p>
      <w:pPr>
        <w:pStyle w:val="BodyText"/>
      </w:pPr>
      <w:r>
        <w:rPr>
          <w:b/>
          <w:bCs/>
        </w:rPr>
        <w:t xml:space="preserve">Bottom line:</w:t>
      </w:r>
      <w:r>
        <w:t xml:space="preserve"> </w:t>
      </w:r>
      <w:r>
        <w:t xml:space="preserve">The merger does not trigger ROFR, co-sale, or tag-along. The SHA and its transfer restrictions terminate upon the Sale of the Company. No impediment from transfer restrictions.</w:t>
      </w:r>
    </w:p>
    <w:p>
      <w:r>
        <w:pict>
          <v:rect style="width:0;height:1.5pt" o:hralign="center" o:hrstd="t" o:hr="t"/>
        </w:pict>
      </w:r>
    </w:p>
    <w:bookmarkEnd w:id="25"/>
    <w:bookmarkStart w:id="26" w:name="Xd34206ef06a80524333f5244161c0dadbd03ab5"/>
    <w:p>
      <w:pPr>
        <w:pStyle w:val="Heading2"/>
      </w:pPr>
      <w:r>
        <w:t xml:space="preserve">VI. Cross-Document Definitional Inconsistencies (Diligence Area 5)</w:t>
      </w:r>
    </w:p>
    <w:p>
      <w:pPr>
        <w:pStyle w:val="FirstParagraph"/>
      </w:pPr>
      <w:r>
        <w:t xml:space="preserve">The operative change-of-control terms are defined in three places and are</w:t>
      </w:r>
      <w:r>
        <w:t xml:space="preserve"> </w:t>
      </w:r>
      <w:r>
        <w:rPr>
          <w:i/>
          <w:iCs/>
        </w:rPr>
        <w:t xml:space="preserve">not</w:t>
      </w:r>
      <w:r>
        <w:t xml:space="preserve"> </w:t>
      </w:r>
      <w:r>
        <w:t xml:space="preserve">fully consistent. The inconsistencies are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Source</w:t>
            </w:r>
          </w:p>
        </w:tc>
        <w:tc>
          <w:tcPr/>
          <w:p>
            <w:pPr>
              <w:pStyle w:val="Compact"/>
              <w:jc w:val="left"/>
            </w:pPr>
            <w:r>
              <w:t xml:space="preserve">Retention test (stockholders keep voting power)</w:t>
            </w:r>
          </w:p>
        </w:tc>
        <w:tc>
          <w:tcPr/>
          <w:p>
            <w:pPr>
              <w:pStyle w:val="Compact"/>
              <w:jc w:val="left"/>
            </w:pPr>
            <w:r>
              <w:t xml:space="preserve">Transfer test</w:t>
            </w:r>
          </w:p>
        </w:tc>
        <w:tc>
          <w:tcPr/>
          <w:p>
            <w:pPr>
              <w:pStyle w:val="Compact"/>
              <w:jc w:val="left"/>
            </w:pPr>
            <w:r>
              <w:t xml:space="preserve">Equity-financing carve-out?</w:t>
            </w:r>
          </w:p>
        </w:tc>
      </w:tr>
      <w:tr>
        <w:tc>
          <w:tcPr/>
          <w:p>
            <w:pPr>
              <w:pStyle w:val="Compact"/>
              <w:jc w:val="left"/>
            </w:pPr>
            <w:r>
              <w:t xml:space="preserve">“</w:t>
            </w:r>
            <w:r>
              <w:t xml:space="preserve">Liquidation Event</w:t>
            </w:r>
            <w:r>
              <w:t xml:space="preserve">”</w:t>
            </w:r>
          </w:p>
        </w:tc>
        <w:tc>
          <w:tcPr/>
          <w:p>
            <w:pPr>
              <w:pStyle w:val="Compact"/>
              <w:jc w:val="left"/>
            </w:pPr>
            <w:r>
              <w:t xml:space="preserve">Charter §4.3.2(d)(i),(iii)</w:t>
            </w:r>
          </w:p>
        </w:tc>
        <w:tc>
          <w:tcPr/>
          <w:p>
            <w:pPr>
              <w:pStyle w:val="Compact"/>
              <w:jc w:val="left"/>
            </w:pPr>
            <w:r>
              <w:t xml:space="preserve">“</w:t>
            </w:r>
            <w:r>
              <w:t xml:space="preserve">at least fifty percent (50%)</w:t>
            </w:r>
            <w:r>
              <w:t xml:space="preserve">”</w:t>
            </w:r>
          </w:p>
        </w:tc>
        <w:tc>
          <w:tcPr/>
          <w:p>
            <w:pPr>
              <w:pStyle w:val="Compact"/>
              <w:jc w:val="left"/>
            </w:pPr>
            <w:r>
              <w:t xml:space="preserve">“</w:t>
            </w:r>
            <w:r>
              <w:t xml:space="preserve">more than fifty percent (50%)</w:t>
            </w:r>
            <w:r>
              <w:t xml:space="preserve">”</w:t>
            </w:r>
          </w:p>
        </w:tc>
        <w:tc>
          <w:tcPr/>
          <w:p>
            <w:pPr>
              <w:pStyle w:val="Compact"/>
              <w:jc w:val="left"/>
            </w:pPr>
            <w:r>
              <w:t xml:space="preserve">Yes (§4.3.2(d)(iii) excludes</w:t>
            </w:r>
            <w:r>
              <w:t xml:space="preserve"> </w:t>
            </w:r>
            <w:r>
              <w:t xml:space="preserve">“</w:t>
            </w:r>
            <w:r>
              <w:t xml:space="preserve">an equity financing transaction primarily for capital-raising purposes</w:t>
            </w:r>
            <w:r>
              <w:t xml:space="preserve">”</w:t>
            </w:r>
            <w:r>
              <w:t xml:space="preserve">)</w:t>
            </w:r>
          </w:p>
        </w:tc>
      </w:tr>
      <w:tr>
        <w:tc>
          <w:tcPr/>
          <w:p>
            <w:pPr>
              <w:pStyle w:val="Compact"/>
              <w:jc w:val="left"/>
            </w:pPr>
            <w:r>
              <w:t xml:space="preserve">“</w:t>
            </w:r>
            <w:r>
              <w:t xml:space="preserve">Sale of the Company</w:t>
            </w:r>
            <w:r>
              <w:t xml:space="preserve">”</w:t>
            </w:r>
          </w:p>
        </w:tc>
        <w:tc>
          <w:tcPr/>
          <w:p>
            <w:pPr>
              <w:pStyle w:val="Compact"/>
              <w:jc w:val="left"/>
            </w:pPr>
            <w:r>
              <w:t xml:space="preserve">SHA §1.1(i),(iii)</w:t>
            </w:r>
          </w:p>
        </w:tc>
        <w:tc>
          <w:tcPr/>
          <w:p>
            <w:pPr>
              <w:pStyle w:val="Compact"/>
              <w:jc w:val="left"/>
            </w:pPr>
            <w:r>
              <w:t xml:space="preserve">“</w:t>
            </w:r>
            <w:r>
              <w:t xml:space="preserve">a majority</w:t>
            </w:r>
            <w:r>
              <w:t xml:space="preserve">”</w:t>
            </w:r>
            <w:r>
              <w:t xml:space="preserve"> </w:t>
            </w:r>
            <w:r>
              <w:t xml:space="preserve">(i.e., &gt;50%)</w:t>
            </w:r>
          </w:p>
        </w:tc>
        <w:tc>
          <w:tcPr/>
          <w:p>
            <w:pPr>
              <w:pStyle w:val="Compact"/>
              <w:jc w:val="left"/>
            </w:pPr>
            <w:r>
              <w:t xml:space="preserve">“</w:t>
            </w:r>
            <w:r>
              <w:t xml:space="preserve">more than fifty percent (50%)</w:t>
            </w:r>
            <w:r>
              <w:t xml:space="preserve">”</w:t>
            </w:r>
          </w:p>
        </w:tc>
        <w:tc>
          <w:tcPr/>
          <w:p>
            <w:pPr>
              <w:pStyle w:val="Compact"/>
              <w:jc w:val="left"/>
            </w:pPr>
            <w:r>
              <w:rPr>
                <w:b/>
                <w:bCs/>
              </w:rPr>
              <w:t xml:space="preserve">No</w:t>
            </w:r>
          </w:p>
        </w:tc>
      </w:tr>
      <w:tr>
        <w:tc>
          <w:tcPr/>
          <w:p>
            <w:pPr>
              <w:pStyle w:val="Compact"/>
              <w:jc w:val="left"/>
            </w:pPr>
            <w:r>
              <w:t xml:space="preserve">“</w:t>
            </w:r>
            <w:r>
              <w:t xml:space="preserve">Sale of the Company</w:t>
            </w:r>
            <w:r>
              <w:t xml:space="preserve">”</w:t>
            </w:r>
          </w:p>
        </w:tc>
        <w:tc>
          <w:tcPr/>
          <w:p>
            <w:pPr>
              <w:pStyle w:val="Compact"/>
              <w:jc w:val="left"/>
            </w:pPr>
            <w:r>
              <w:t xml:space="preserve">VA §1(a),(c)</w:t>
            </w:r>
          </w:p>
        </w:tc>
        <w:tc>
          <w:tcPr/>
          <w:p>
            <w:pPr>
              <w:pStyle w:val="Compact"/>
              <w:jc w:val="left"/>
            </w:pPr>
            <w:r>
              <w:t xml:space="preserve">“</w:t>
            </w:r>
            <w:r>
              <w:t xml:space="preserve">a majority</w:t>
            </w:r>
            <w:r>
              <w:t xml:space="preserve">”</w:t>
            </w:r>
            <w:r>
              <w:t xml:space="preserve"> </w:t>
            </w:r>
            <w:r>
              <w:t xml:space="preserve">(i.e., &gt;50%)</w:t>
            </w:r>
          </w:p>
        </w:tc>
        <w:tc>
          <w:tcPr/>
          <w:p>
            <w:pPr>
              <w:pStyle w:val="Compact"/>
              <w:jc w:val="left"/>
            </w:pPr>
            <w:r>
              <w:t xml:space="preserve">“</w:t>
            </w:r>
            <w:r>
              <w:t xml:space="preserve">more than fifty percent (50%)</w:t>
            </w:r>
            <w:r>
              <w:t xml:space="preserve">”</w:t>
            </w:r>
          </w:p>
        </w:tc>
        <w:tc>
          <w:tcPr/>
          <w:p>
            <w:pPr>
              <w:pStyle w:val="Compact"/>
              <w:jc w:val="left"/>
            </w:pPr>
            <w:r>
              <w:rPr>
                <w:b/>
                <w:bCs/>
              </w:rPr>
              <w:t xml:space="preserve">No</w:t>
            </w:r>
          </w:p>
        </w:tc>
      </w:tr>
      <w:tr>
        <w:tc>
          <w:tcPr/>
          <w:p>
            <w:pPr>
              <w:pStyle w:val="Compact"/>
              <w:jc w:val="left"/>
            </w:pPr>
            <w:r>
              <w:t xml:space="preserve">“</w:t>
            </w:r>
            <w:r>
              <w:t xml:space="preserve">Deemed Liquidation Event</w:t>
            </w:r>
            <w:r>
              <w:t xml:space="preserve">”</w:t>
            </w:r>
          </w:p>
        </w:tc>
        <w:tc>
          <w:tcPr/>
          <w:p>
            <w:pPr>
              <w:pStyle w:val="Compact"/>
              <w:jc w:val="left"/>
            </w:pPr>
            <w:r>
              <w:t xml:space="preserve">RRA §9(c)</w:t>
            </w:r>
          </w:p>
        </w:tc>
        <w:tc>
          <w:tcPr/>
          <w:p>
            <w:pPr>
              <w:pStyle w:val="Compact"/>
              <w:jc w:val="left"/>
            </w:pPr>
            <w:r>
              <w:rPr>
                <w:b/>
                <w:bCs/>
              </w:rPr>
              <w:t xml:space="preserve">Undefined</w:t>
            </w:r>
          </w:p>
        </w:tc>
        <w:tc>
          <w:tcPr/>
          <w:p>
            <w:pPr>
              <w:pStyle w:val="Compact"/>
              <w:jc w:val="left"/>
            </w:pPr>
            <w:r>
              <w:rPr>
                <w:b/>
                <w:bCs/>
              </w:rPr>
              <w:t xml:space="preserve">Undefined</w:t>
            </w:r>
          </w:p>
        </w:tc>
        <w:tc>
          <w:tcPr/>
          <w:p>
            <w:pPr>
              <w:pStyle w:val="Compact"/>
              <w:jc w:val="left"/>
            </w:pPr>
            <w:r>
              <w:t xml:space="preserve">N/A</w:t>
            </w:r>
          </w:p>
        </w:tc>
      </w:tr>
    </w:tbl>
    <w:p>
      <w:pPr>
        <w:pStyle w:val="BodyText"/>
      </w:pPr>
      <w:r>
        <w:rPr>
          <w:b/>
          <w:bCs/>
        </w:rPr>
        <w:t xml:space="preserve">Inconsistencies and their significance:</w:t>
      </w:r>
    </w:p>
    <w:p>
      <w:pPr>
        <w:numPr>
          <w:ilvl w:val="0"/>
          <w:numId w:val="1010"/>
        </w:numPr>
      </w:pPr>
      <w:r>
        <w:rPr>
          <w:b/>
          <w:bCs/>
        </w:rPr>
        <w:t xml:space="preserve">“</w:t>
      </w:r>
      <w:r>
        <w:rPr>
          <w:b/>
          <w:bCs/>
        </w:rPr>
        <w:t xml:space="preserve">Deemed Liquidation Event</w:t>
      </w:r>
      <w:r>
        <w:rPr>
          <w:b/>
          <w:bCs/>
        </w:rPr>
        <w:t xml:space="preserve">”</w:t>
      </w:r>
      <w:r>
        <w:rPr>
          <w:b/>
          <w:bCs/>
        </w:rPr>
        <w:t xml:space="preserve"> </w:t>
      </w:r>
      <w:r>
        <w:rPr>
          <w:b/>
          <w:bCs/>
        </w:rPr>
        <w:t xml:space="preserve">is undefined in the RRA (SIGNIFICANT).</w:t>
      </w:r>
      <w:r>
        <w:t xml:space="preserve"> </w:t>
      </w:r>
      <w:r>
        <w:t xml:space="preserve">The RRA terminates registration rights upon</w:t>
      </w:r>
      <w:r>
        <w:t xml:space="preserve"> </w:t>
      </w:r>
      <w:r>
        <w:t xml:space="preserve">“</w:t>
      </w:r>
      <w:r>
        <w:t xml:space="preserve">a Deemed Liquidation Event</w:t>
      </w:r>
      <w:r>
        <w:t xml:space="preserve">”</w:t>
      </w:r>
      <w:r>
        <w:t xml:space="preserve"> </w:t>
      </w:r>
      <w:r>
        <w:t xml:space="preserve">(§9(c)) but neither defines that term nor cross-references the Charter’s</w:t>
      </w:r>
      <w:r>
        <w:t xml:space="preserve"> </w:t>
      </w:r>
      <w:r>
        <w:t xml:space="preserve">“</w:t>
      </w:r>
      <w:r>
        <w:t xml:space="preserve">Liquidation Event.</w:t>
      </w:r>
      <w:r>
        <w:t xml:space="preserve">”</w:t>
      </w:r>
      <w:r>
        <w:t xml:space="preserve"> </w:t>
      </w:r>
      <w:r>
        <w:t xml:space="preserve">“</w:t>
      </w:r>
      <w:r>
        <w:t xml:space="preserve">Deemed Liquidation Event</w:t>
      </w:r>
      <w:r>
        <w:t xml:space="preserve">”</w:t>
      </w:r>
      <w:r>
        <w:t xml:space="preserve"> </w:t>
      </w:r>
      <w:r>
        <w:t xml:space="preserve">is the term conventionally used in NVCA-style documents to refer to the Charter’s deemed-liquidation/waterfall provision, but the RRA’s failure to define or incorporate it creates ambiguity about whether the merger terminates registration rights. This is addressed in Section X.</w:t>
      </w:r>
      <w:r>
        <w:t xml:space="preserve"> </w:t>
      </w:r>
      <w:r>
        <w:rPr>
          <w:b/>
          <w:bCs/>
        </w:rPr>
        <w:t xml:space="preserve">Recommendation:</w:t>
      </w:r>
      <w:r>
        <w:t xml:space="preserve"> </w:t>
      </w:r>
      <w:r>
        <w:t xml:space="preserve">include an express termination/waiver of the RRA in the merger agreement, do not rely on the undefined term.</w:t>
      </w:r>
    </w:p>
    <w:p>
      <w:pPr>
        <w:numPr>
          <w:ilvl w:val="0"/>
          <w:numId w:val="1010"/>
        </w:numPr>
      </w:pPr>
      <w:r>
        <w:rPr>
          <w:b/>
          <w:bCs/>
        </w:rPr>
        <w:t xml:space="preserve">“</w:t>
      </w:r>
      <w:r>
        <w:rPr>
          <w:b/>
          <w:bCs/>
        </w:rPr>
        <w:t xml:space="preserve">At least 50%</w:t>
      </w:r>
      <w:r>
        <w:rPr>
          <w:b/>
          <w:bCs/>
        </w:rPr>
        <w:t xml:space="preserve">”</w:t>
      </w:r>
      <w:r>
        <w:rPr>
          <w:b/>
          <w:bCs/>
        </w:rPr>
        <w:t xml:space="preserve"> </w:t>
      </w:r>
      <w:r>
        <w:rPr>
          <w:b/>
          <w:bCs/>
        </w:rPr>
        <w:t xml:space="preserve">(Charter) vs. </w:t>
      </w:r>
      <w:r>
        <w:rPr>
          <w:b/>
          <w:bCs/>
        </w:rPr>
        <w:t xml:space="preserve">“</w:t>
      </w:r>
      <w:r>
        <w:rPr>
          <w:b/>
          <w:bCs/>
        </w:rPr>
        <w:t xml:space="preserve">a majority</w:t>
      </w:r>
      <w:r>
        <w:rPr>
          <w:b/>
          <w:bCs/>
        </w:rPr>
        <w:t xml:space="preserve">”</w:t>
      </w:r>
      <w:r>
        <w:rPr>
          <w:b/>
          <w:bCs/>
        </w:rPr>
        <w:t xml:space="preserve"> </w:t>
      </w:r>
      <w:r>
        <w:rPr>
          <w:b/>
          <w:bCs/>
        </w:rPr>
        <w:t xml:space="preserve">(SHA/VA) (MODERATE).</w:t>
      </w:r>
      <w:r>
        <w:t xml:space="preserve"> </w:t>
      </w:r>
      <w:r>
        <w:t xml:space="preserve">The Charter’s Liquidation Event is</w:t>
      </w:r>
      <w:r>
        <w:t xml:space="preserve"> </w:t>
      </w:r>
      <w:r>
        <w:rPr>
          <w:i/>
          <w:iCs/>
        </w:rPr>
        <w:t xml:space="preserve">not</w:t>
      </w:r>
      <w:r>
        <w:t xml:space="preserve"> </w:t>
      </w:r>
      <w:r>
        <w:t xml:space="preserve">triggered if stockholders retain</w:t>
      </w:r>
      <w:r>
        <w:t xml:space="preserve"> </w:t>
      </w:r>
      <w:r>
        <w:t xml:space="preserve">“</w:t>
      </w:r>
      <w:r>
        <w:t xml:space="preserve">at least 50%</w:t>
      </w:r>
      <w:r>
        <w:t xml:space="preserve">”</w:t>
      </w:r>
      <w:r>
        <w:t xml:space="preserve"> </w:t>
      </w:r>
      <w:r>
        <w:t xml:space="preserve">(i.e., 50% or more); the SHA/VA Sale of the Company is</w:t>
      </w:r>
      <w:r>
        <w:t xml:space="preserve"> </w:t>
      </w:r>
      <w:r>
        <w:rPr>
          <w:i/>
          <w:iCs/>
        </w:rPr>
        <w:t xml:space="preserve">not</w:t>
      </w:r>
      <w:r>
        <w:t xml:space="preserve"> </w:t>
      </w:r>
      <w:r>
        <w:t xml:space="preserve">triggered if stockholders retain</w:t>
      </w:r>
      <w:r>
        <w:t xml:space="preserve"> </w:t>
      </w:r>
      <w:r>
        <w:t xml:space="preserve">“</w:t>
      </w:r>
      <w:r>
        <w:t xml:space="preserve">a majority</w:t>
      </w:r>
      <w:r>
        <w:t xml:space="preserve">”</w:t>
      </w:r>
      <w:r>
        <w:t xml:space="preserve"> </w:t>
      </w:r>
      <w:r>
        <w:t xml:space="preserve">(i.e., more than 50%). The difference matters only in the narrow case where stockholders retain</w:t>
      </w:r>
      <w:r>
        <w:t xml:space="preserve"> </w:t>
      </w:r>
      <w:r>
        <w:rPr>
          <w:i/>
          <w:iCs/>
        </w:rPr>
        <w:t xml:space="preserve">exactly</w:t>
      </w:r>
      <w:r>
        <w:t xml:space="preserve"> </w:t>
      </w:r>
      <w:r>
        <w:t xml:space="preserve">50%—a scenario not present here (stockholders retain 0%). No practical impact on this transaction, but the inconsistency should be noted for completeness and could matter in a future partial transaction or roll-over structure.</w:t>
      </w:r>
    </w:p>
    <w:p>
      <w:pPr>
        <w:numPr>
          <w:ilvl w:val="0"/>
          <w:numId w:val="1010"/>
        </w:numPr>
      </w:pPr>
      <w:r>
        <w:rPr>
          <w:b/>
          <w:bCs/>
        </w:rPr>
        <w:t xml:space="preserve">Equity-financing carve-out mismatch (MODERATE).</w:t>
      </w:r>
      <w:r>
        <w:t xml:space="preserve"> </w:t>
      </w:r>
      <w:r>
        <w:t xml:space="preserve">The Charter’s Liquidation Event (§4.3.2(d)(iii)) excludes</w:t>
      </w:r>
      <w:r>
        <w:t xml:space="preserve"> </w:t>
      </w:r>
      <w:r>
        <w:t xml:space="preserve">“</w:t>
      </w:r>
      <w:r>
        <w:t xml:space="preserve">an equity financing transaction primarily for capital-raising purposes</w:t>
      </w:r>
      <w:r>
        <w:t xml:space="preserve">”</w:t>
      </w:r>
      <w:r>
        <w:t xml:space="preserve"> </w:t>
      </w:r>
      <w:r>
        <w:t xml:space="preserve">from the &gt;50%-voting-power-transfer prong. The SHA and VA</w:t>
      </w:r>
      <w:r>
        <w:t xml:space="preserve"> </w:t>
      </w:r>
      <w:r>
        <w:t xml:space="preserve">“</w:t>
      </w:r>
      <w:r>
        <w:t xml:space="preserve">Sale of the Company</w:t>
      </w:r>
      <w:r>
        <w:t xml:space="preserve">”</w:t>
      </w:r>
      <w:r>
        <w:t xml:space="preserve"> </w:t>
      </w:r>
      <w:r>
        <w:t xml:space="preserve">definitions contain</w:t>
      </w:r>
      <w:r>
        <w:t xml:space="preserve"> </w:t>
      </w:r>
      <w:r>
        <w:rPr>
          <w:b/>
          <w:bCs/>
        </w:rPr>
        <w:t xml:space="preserve">no such carve-out</w:t>
      </w:r>
      <w:r>
        <w:t xml:space="preserve">. This means a large equity financing could theoretically constitute a</w:t>
      </w:r>
      <w:r>
        <w:t xml:space="preserve"> </w:t>
      </w:r>
      <w:r>
        <w:t xml:space="preserve">“</w:t>
      </w:r>
      <w:r>
        <w:t xml:space="preserve">Sale of the Company</w:t>
      </w:r>
      <w:r>
        <w:t xml:space="preserve">”</w:t>
      </w:r>
      <w:r>
        <w:t xml:space="preserve"> </w:t>
      </w:r>
      <w:r>
        <w:t xml:space="preserve">under the SHA/VA (triggering drag-along and termination) while not being a</w:t>
      </w:r>
      <w:r>
        <w:t xml:space="preserve"> </w:t>
      </w:r>
      <w:r>
        <w:t xml:space="preserve">“</w:t>
      </w:r>
      <w:r>
        <w:t xml:space="preserve">Liquidation Event</w:t>
      </w:r>
      <w:r>
        <w:t xml:space="preserve">”</w:t>
      </w:r>
      <w:r>
        <w:t xml:space="preserve"> </w:t>
      </w:r>
      <w:r>
        <w:t xml:space="preserve">under the Charter. Not directly relevant to the Hargrove merger, but it is a latent inconsistency that could produce surprising results and should be flagged.</w:t>
      </w:r>
    </w:p>
    <w:p>
      <w:pPr>
        <w:numPr>
          <w:ilvl w:val="0"/>
          <w:numId w:val="1010"/>
        </w:numPr>
      </w:pPr>
      <w:r>
        <w:rPr>
          <w:b/>
          <w:bCs/>
        </w:rPr>
        <w:t xml:space="preserve">“</w:t>
      </w:r>
      <w:r>
        <w:rPr>
          <w:b/>
          <w:bCs/>
        </w:rPr>
        <w:t xml:space="preserve">Exclusive license</w:t>
      </w:r>
      <w:r>
        <w:rPr>
          <w:b/>
          <w:bCs/>
        </w:rPr>
        <w:t xml:space="preserve">”</w:t>
      </w:r>
      <w:r>
        <w:rPr>
          <w:b/>
          <w:bCs/>
        </w:rPr>
        <w:t xml:space="preserve"> </w:t>
      </w:r>
      <w:r>
        <w:rPr>
          <w:b/>
          <w:bCs/>
        </w:rPr>
        <w:t xml:space="preserve">inclusion — consistent.</w:t>
      </w:r>
      <w:r>
        <w:t xml:space="preserve"> </w:t>
      </w:r>
      <w:r>
        <w:t xml:space="preserve">All three definitions include an</w:t>
      </w:r>
      <w:r>
        <w:t xml:space="preserve"> </w:t>
      </w:r>
      <w:r>
        <w:t xml:space="preserve">“</w:t>
      </w:r>
      <w:r>
        <w:t xml:space="preserve">exclusive license</w:t>
      </w:r>
      <w:r>
        <w:t xml:space="preserve">”</w:t>
      </w:r>
      <w:r>
        <w:t xml:space="preserve"> </w:t>
      </w:r>
      <w:r>
        <w:t xml:space="preserve">within the asset-disposition prong. Consistent; no issue.</w:t>
      </w:r>
    </w:p>
    <w:p>
      <w:pPr>
        <w:numPr>
          <w:ilvl w:val="0"/>
          <w:numId w:val="1010"/>
        </w:numPr>
      </w:pPr>
      <w:r>
        <w:rPr>
          <w:b/>
          <w:bCs/>
        </w:rPr>
        <w:t xml:space="preserve">“</w:t>
      </w:r>
      <w:r>
        <w:rPr>
          <w:b/>
          <w:bCs/>
        </w:rPr>
        <w:t xml:space="preserve">Sale of the Company</w:t>
      </w:r>
      <w:r>
        <w:rPr>
          <w:b/>
          <w:bCs/>
        </w:rPr>
        <w:t xml:space="preserve">”</w:t>
      </w:r>
      <w:r>
        <w:rPr>
          <w:b/>
          <w:bCs/>
        </w:rPr>
        <w:t xml:space="preserve"> </w:t>
      </w:r>
      <w:r>
        <w:rPr>
          <w:b/>
          <w:bCs/>
        </w:rPr>
        <w:t xml:space="preserve">in SHA vs. VA — consistent.</w:t>
      </w:r>
      <w:r>
        <w:t xml:space="preserve"> </w:t>
      </w:r>
      <w:r>
        <w:t xml:space="preserve">The SHA and VA definitions are substantively identical. No issue between them.</w:t>
      </w:r>
    </w:p>
    <w:p>
      <w:pPr>
        <w:pStyle w:val="FirstParagraph"/>
      </w:pPr>
      <w:r>
        <w:rPr>
          <w:b/>
          <w:bCs/>
        </w:rPr>
        <w:t xml:space="preserve">Practical impact on the merger.</w:t>
      </w:r>
      <w:r>
        <w:t xml:space="preserve"> </w:t>
      </w:r>
      <w:r>
        <w:t xml:space="preserve">The merger triggers all three defined terms (Liquidation Event; Sale of the Company in both the SHA and VA) because Terravox stockholders retain 0% voting power. The only ambiguity is the RRA’s undefined</w:t>
      </w:r>
      <w:r>
        <w:t xml:space="preserve"> </w:t>
      </w:r>
      <w:r>
        <w:t xml:space="preserve">“</w:t>
      </w:r>
      <w:r>
        <w:t xml:space="preserve">Deemed Liquidation Event,</w:t>
      </w:r>
      <w:r>
        <w:t xml:space="preserve">”</w:t>
      </w:r>
      <w:r>
        <w:t xml:space="preserve"> </w:t>
      </w:r>
      <w:r>
        <w:t xml:space="preserve">which should be resolved by express contractual termination rather than by reliance on the undefined term.</w:t>
      </w:r>
    </w:p>
    <w:p>
      <w:r>
        <w:pict>
          <v:rect style="width:0;height:1.5pt" o:hralign="center" o:hrstd="t" o:hr="t"/>
        </w:pict>
      </w:r>
    </w:p>
    <w:bookmarkEnd w:id="26"/>
    <w:bookmarkStart w:id="27" w:name="X80e6d94f7e5a47d155a970bad44af9d770d37d4"/>
    <w:p>
      <w:pPr>
        <w:pStyle w:val="Heading2"/>
      </w:pPr>
      <w:r>
        <w:t xml:space="preserve">VII. Outstanding Equity Awards and Change-of-Control Acceleration (Diligence Area 6)</w:t>
      </w:r>
    </w:p>
    <w:p>
      <w:pPr>
        <w:pStyle w:val="FirstParagraph"/>
      </w:pPr>
      <w:r>
        <w:rPr>
          <w:b/>
          <w:bCs/>
        </w:rPr>
        <w:t xml:space="preserve">A. Document gap.</w:t>
      </w:r>
      <w:r>
        <w:t xml:space="preserve"> </w:t>
      </w:r>
      <w:r>
        <w:t xml:space="preserve">The 2021 Equity Incentive Plan (adopted November 3, 2021) and the individual award agreements have</w:t>
      </w:r>
      <w:r>
        <w:t xml:space="preserve"> </w:t>
      </w:r>
      <w:r>
        <w:rPr>
          <w:b/>
          <w:bCs/>
        </w:rPr>
        <w:t xml:space="preserve">not</w:t>
      </w:r>
      <w:r>
        <w:t xml:space="preserve"> </w:t>
      </w:r>
      <w:r>
        <w:t xml:space="preserve">been produced. This is a material gap. The following cannot be determined without these documents:</w:t>
      </w:r>
    </w:p>
    <w:p>
      <w:pPr>
        <w:pStyle w:val="Compact"/>
        <w:numPr>
          <w:ilvl w:val="0"/>
          <w:numId w:val="1011"/>
        </w:numPr>
      </w:pPr>
      <w:r>
        <w:t xml:space="preserve">Whether the merger constitutes a</w:t>
      </w:r>
      <w:r>
        <w:t xml:space="preserve"> </w:t>
      </w:r>
      <w:r>
        <w:t xml:space="preserve">“</w:t>
      </w:r>
      <w:r>
        <w:t xml:space="preserve">change of control</w:t>
      </w:r>
      <w:r>
        <w:t xml:space="preserve">”</w:t>
      </w:r>
      <w:r>
        <w:t xml:space="preserve"> </w:t>
      </w:r>
      <w:r>
        <w:t xml:space="preserve">(or equivalent defined term) under the Plan;</w:t>
      </w:r>
    </w:p>
    <w:p>
      <w:pPr>
        <w:pStyle w:val="Compact"/>
        <w:numPr>
          <w:ilvl w:val="0"/>
          <w:numId w:val="1011"/>
        </w:numPr>
      </w:pPr>
      <w:r>
        <w:t xml:space="preserve">Whether unvested awards accelerate on a</w:t>
      </w:r>
      <w:r>
        <w:t xml:space="preserve"> </w:t>
      </w:r>
      <w:r>
        <w:rPr>
          <w:b/>
          <w:bCs/>
        </w:rPr>
        <w:t xml:space="preserve">single-trigger</w:t>
      </w:r>
      <w:r>
        <w:t xml:space="preserve"> </w:t>
      </w:r>
      <w:r>
        <w:t xml:space="preserve">or</w:t>
      </w:r>
      <w:r>
        <w:t xml:space="preserve"> </w:t>
      </w:r>
      <w:r>
        <w:rPr>
          <w:b/>
          <w:bCs/>
        </w:rPr>
        <w:t xml:space="preserve">double-trigger</w:t>
      </w:r>
      <w:r>
        <w:t xml:space="preserve"> </w:t>
      </w:r>
      <w:r>
        <w:t xml:space="preserve">basis (or not at all);</w:t>
      </w:r>
    </w:p>
    <w:p>
      <w:pPr>
        <w:pStyle w:val="Compact"/>
        <w:numPr>
          <w:ilvl w:val="0"/>
          <w:numId w:val="1011"/>
        </w:numPr>
      </w:pPr>
      <w:r>
        <w:t xml:space="preserve">The treatment of outstanding options upon a cash-out merger (cancellation for the spread, cash-out, or rollover);</w:t>
      </w:r>
    </w:p>
    <w:p>
      <w:pPr>
        <w:pStyle w:val="Compact"/>
        <w:numPr>
          <w:ilvl w:val="0"/>
          <w:numId w:val="1011"/>
        </w:numPr>
      </w:pPr>
      <w:r>
        <w:t xml:space="preserve">The aggregate dollar impact of any acceleration on deal economics; and</w:t>
      </w:r>
    </w:p>
    <w:p>
      <w:pPr>
        <w:pStyle w:val="Compact"/>
        <w:numPr>
          <w:ilvl w:val="0"/>
          <w:numId w:val="1011"/>
        </w:numPr>
      </w:pPr>
      <w:r>
        <w:t xml:space="preserve">Whether the Plan grants the Board/Compensation Committee discretion to accelerate, cancel, or cash out awards.</w:t>
      </w:r>
    </w:p>
    <w:p>
      <w:pPr>
        <w:pStyle w:val="FirstParagraph"/>
      </w:pPr>
      <w:r>
        <w:rPr>
          <w:b/>
          <w:bCs/>
        </w:rPr>
        <w:t xml:space="preserve">B. What the Board Minutes reveal.</w:t>
      </w:r>
    </w:p>
    <w:p>
      <w:pPr>
        <w:numPr>
          <w:ilvl w:val="0"/>
          <w:numId w:val="1012"/>
        </w:numPr>
      </w:pPr>
      <w:r>
        <w:rPr>
          <w:b/>
          <w:bCs/>
        </w:rPr>
        <w:t xml:space="preserve">Raj Malhotra (VP of Engineering):</w:t>
      </w:r>
      <w:r>
        <w:t xml:space="preserve"> </w:t>
      </w:r>
      <w:r>
        <w:t xml:space="preserve">350,000 stock options granted April 12, 2023, exercise price</w:t>
      </w:r>
      <w:r>
        <w:t xml:space="preserve"> </w:t>
      </w:r>
      <w:r>
        <w:rPr>
          <w:b/>
          <w:bCs/>
        </w:rPr>
        <w:t xml:space="preserve">$14.30</w:t>
      </w:r>
      <w:r>
        <w:t xml:space="preserve"> </w:t>
      </w:r>
      <w:r>
        <w:t xml:space="preserve">per share, four-year vesting with one-year cliff. The exercise price ($14.30)</w:t>
      </w:r>
      <w:r>
        <w:t xml:space="preserve"> </w:t>
      </w:r>
      <w:r>
        <w:rPr>
          <w:b/>
          <w:bCs/>
        </w:rPr>
        <w:t xml:space="preserve">exceeds</w:t>
      </w:r>
      <w:r>
        <w:t xml:space="preserve"> </w:t>
      </w:r>
      <w:r>
        <w:t xml:space="preserve">the implied per-share merger consideration (approximately $12.59 per share on a post-waterfall basis, or $13.95 on a naive fully-diluted basis). These options are therefore</w:t>
      </w:r>
      <w:r>
        <w:t xml:space="preserve"> </w:t>
      </w:r>
      <w:r>
        <w:rPr>
          <w:b/>
          <w:bCs/>
        </w:rPr>
        <w:t xml:space="preserve">underwater</w:t>
      </w:r>
      <w:r>
        <w:t xml:space="preserve"> </w:t>
      </w:r>
      <w:r>
        <w:t xml:space="preserve">and, absent a special provision in the Plan/award agreement, would likely be cancelled for no consideration. The acceleration question is largely moot for these options (no intrinsic value to accelerate), but the treatment must be confirmed.</w:t>
      </w:r>
    </w:p>
    <w:p>
      <w:pPr>
        <w:numPr>
          <w:ilvl w:val="0"/>
          <w:numId w:val="1012"/>
        </w:numPr>
      </w:pPr>
      <w:r>
        <w:rPr>
          <w:b/>
          <w:bCs/>
        </w:rPr>
        <w:t xml:space="preserve">Linda Yeung (CFO):</w:t>
      </w:r>
      <w:r>
        <w:t xml:space="preserve"> </w:t>
      </w:r>
      <w:r>
        <w:t xml:space="preserve">200,000 RSUs granted April 17, 2024, three-year vesting (one-third per year), no exercise price. At an implied ~$12.59 per share, the</w:t>
      </w:r>
      <w:r>
        <w:t xml:space="preserve"> </w:t>
      </w:r>
      <w:r>
        <w:rPr>
          <w:i/>
          <w:iCs/>
        </w:rPr>
        <w:t xml:space="preserve">fully vested</w:t>
      </w:r>
      <w:r>
        <w:t xml:space="preserve"> </w:t>
      </w:r>
      <w:r>
        <w:t xml:space="preserve">value would be approximately $2.5 million; the</w:t>
      </w:r>
      <w:r>
        <w:t xml:space="preserve"> </w:t>
      </w:r>
      <w:r>
        <w:rPr>
          <w:i/>
          <w:iCs/>
        </w:rPr>
        <w:t xml:space="preserve">currently vested</w:t>
      </w:r>
      <w:r>
        <w:t xml:space="preserve"> </w:t>
      </w:r>
      <w:r>
        <w:t xml:space="preserve">portion (none, given the one-year cliff has not elapsed as of the grant/likely closing) is less. Acceleration treatment is determinative of the value realized.</w:t>
      </w:r>
    </w:p>
    <w:p>
      <w:pPr>
        <w:numPr>
          <w:ilvl w:val="0"/>
          <w:numId w:val="1012"/>
        </w:numPr>
      </w:pPr>
      <w:r>
        <w:rPr>
          <w:b/>
          <w:bCs/>
        </w:rPr>
        <w:t xml:space="preserve">Option pool.</w:t>
      </w:r>
      <w:r>
        <w:t xml:space="preserve"> </w:t>
      </w:r>
      <w:r>
        <w:t xml:space="preserve">The cap table (SHA Ex. B) reflects approximately 10,100,000 shares in the</w:t>
      </w:r>
      <w:r>
        <w:t xml:space="preserve"> </w:t>
      </w:r>
      <w:r>
        <w:t xml:space="preserve">“</w:t>
      </w:r>
      <w:r>
        <w:t xml:space="preserve">various common holders / option pool</w:t>
      </w:r>
      <w:r>
        <w:t xml:space="preserve">”</w:t>
      </w:r>
      <w:r>
        <w:t xml:space="preserve"> </w:t>
      </w:r>
      <w:r>
        <w:t xml:space="preserve">category (~29.8% fully diluted). The Plan share reserve was</w:t>
      </w:r>
      <w:r>
        <w:t xml:space="preserve"> </w:t>
      </w:r>
      <w:r>
        <w:rPr>
          <w:b/>
          <w:bCs/>
        </w:rPr>
        <w:t xml:space="preserve">8,000,000</w:t>
      </w:r>
      <w:r>
        <w:t xml:space="preserve"> </w:t>
      </w:r>
      <w:r>
        <w:t xml:space="preserve">and was increased to</w:t>
      </w:r>
      <w:r>
        <w:t xml:space="preserve"> </w:t>
      </w:r>
      <w:r>
        <w:rPr>
          <w:b/>
          <w:bCs/>
        </w:rPr>
        <w:t xml:space="preserve">9,500,000</w:t>
      </w:r>
      <w:r>
        <w:t xml:space="preserve"> </w:t>
      </w:r>
      <w:r>
        <w:t xml:space="preserve">on July 19, 2023 (see Section VIII). The composition of the 10,100,000 (issued common vs. outstanding options vs. RSUs vs. unallocated reserve) cannot be reconciled without the cap table detail and full award schedule.</w:t>
      </w:r>
    </w:p>
    <w:p>
      <w:pPr>
        <w:pStyle w:val="FirstParagraph"/>
      </w:pPr>
      <w:r>
        <w:rPr>
          <w:b/>
          <w:bCs/>
        </w:rPr>
        <w:t xml:space="preserve">C. Share-reserve increase — stockholder approval (cross-reference Section VIII).</w:t>
      </w:r>
      <w:r>
        <w:t xml:space="preserve"> </w:t>
      </w:r>
      <w:r>
        <w:t xml:space="preserve">The July 19, 2023 increase of the Plan share reserve from 8,000,000 to 9,500,000 shares was approved by the Board (7-0). Outside counsel stated only that</w:t>
      </w:r>
      <w:r>
        <w:t xml:space="preserve"> </w:t>
      </w:r>
      <w:r>
        <w:t xml:space="preserve">“</w:t>
      </w:r>
      <w:r>
        <w:t xml:space="preserve">the amendment required Board approval</w:t>
      </w:r>
      <w:r>
        <w:t xml:space="preserve">”</w:t>
      </w:r>
      <w:r>
        <w:t xml:space="preserve"> </w:t>
      </w:r>
      <w:r>
        <w:t xml:space="preserve">and did not address stockholder approval. Share-reserve increases under equity incentive plans typically require stockholder approval under the Plan itself and may be required for Rule 701 / Section 422 / 409A compliance and under the listing rules of any exchange (not applicable here, as Terravox is private). The Board Minutes do not reflect any stockholder consent.</w:t>
      </w:r>
      <w:r>
        <w:t xml:space="preserve"> </w:t>
      </w:r>
      <w:r>
        <w:rPr>
          <w:b/>
          <w:bCs/>
        </w:rPr>
        <w:t xml:space="preserve">This must be confirmed.</w:t>
      </w:r>
      <w:r>
        <w:t xml:space="preserve"> </w:t>
      </w:r>
      <w:r>
        <w:t xml:space="preserve">If stockholder approval was required and not obtained, the validity of awards granted from the additional 1,500,000-share reserve could be challenged.</w:t>
      </w:r>
    </w:p>
    <w:p>
      <w:pPr>
        <w:pStyle w:val="BodyText"/>
      </w:pPr>
      <w:r>
        <w:rPr>
          <w:b/>
          <w:bCs/>
        </w:rPr>
        <w:t xml:space="preserve">D. Anti-dilution — not implicated.</w:t>
      </w:r>
      <w:r>
        <w:t xml:space="preserve"> </w:t>
      </w:r>
      <w:r>
        <w:t xml:space="preserve">Charter §4.3.4(b)(i) exempts from anti-dilution adjustment shares (and options/warrants) issued to employees, officers, directors, consultants, or service providers pursuant to equity incentive plans</w:t>
      </w:r>
      <w:r>
        <w:t xml:space="preserve"> </w:t>
      </w:r>
      <w:r>
        <w:t xml:space="preserve">“</w:t>
      </w:r>
      <w:r>
        <w:t xml:space="preserve">approved by the Board of Directors, including at least one director elected by the holders of Preferred Stock.</w:t>
      </w:r>
      <w:r>
        <w:t xml:space="preserve">”</w:t>
      </w:r>
      <w:r>
        <w:t xml:space="preserve"> </w:t>
      </w:r>
      <w:r>
        <w:t xml:space="preserve">The Board includes Preferred designees (Kleinhans, Okafor, Trask), and the Plan grants were Board-approved. Accordingly, the option and RSU grants do not trigger broad-based weighted-average anti-dilution adjustments to the Preferred conversion price. No issue, provided the Plan was Board-approved with a Preferred director participating (which it was).</w:t>
      </w:r>
    </w:p>
    <w:p>
      <w:pPr>
        <w:pStyle w:val="BodyText"/>
      </w:pPr>
      <w:r>
        <w:rPr>
          <w:b/>
          <w:bCs/>
        </w:rPr>
        <w:t xml:space="preserve">E. Recommended action.</w:t>
      </w:r>
      <w:r>
        <w:t xml:space="preserve"> </w:t>
      </w:r>
      <w:r>
        <w:t xml:space="preserve">Request the 2021 Equity Incentive Plan (as amended), all individual award agreements, the complete cap table with award-level detail, and any stockholder consent approving the share-reserve increase. Model the acceleration scenarios (single-trigger, double-trigger, no-acceleration) and quantify the aggregate dollar impact on the $473 million equity value.</w:t>
      </w:r>
    </w:p>
    <w:p>
      <w:r>
        <w:pict>
          <v:rect style="width:0;height:1.5pt" o:hralign="center" o:hrstd="t" o:hr="t"/>
        </w:pict>
      </w:r>
    </w:p>
    <w:bookmarkEnd w:id="27"/>
    <w:bookmarkStart w:id="28" w:name="Xf858b42341fd84b726443978ed99856f4cc080b"/>
    <w:p>
      <w:pPr>
        <w:pStyle w:val="Heading2"/>
      </w:pPr>
      <w:r>
        <w:t xml:space="preserve">VIII. Authorization of Corporate Actions — Board Minutes Review (Diligence Area 7)</w:t>
      </w:r>
    </w:p>
    <w:p>
      <w:pPr>
        <w:pStyle w:val="FirstParagraph"/>
      </w:pPr>
      <w:r>
        <w:t xml:space="preserve">The eight sets of Board Minutes (January 18, 2023 – September 25, 2024) were reviewed. Three items require particular attention.</w:t>
      </w:r>
    </w:p>
    <w:p>
      <w:pPr>
        <w:pStyle w:val="BodyText"/>
      </w:pPr>
      <w:r>
        <w:rPr>
          <w:b/>
          <w:bCs/>
        </w:rPr>
        <w:t xml:space="preserve">A. Equity Plan share-reserve increase (July 19, 2023).</w:t>
      </w:r>
    </w:p>
    <w:p>
      <w:pPr>
        <w:pStyle w:val="Compact"/>
        <w:numPr>
          <w:ilvl w:val="0"/>
          <w:numId w:val="1013"/>
        </w:numPr>
      </w:pPr>
      <w:r>
        <w:rPr>
          <w:b/>
          <w:bCs/>
        </w:rPr>
        <w:t xml:space="preserve">Action:</w:t>
      </w:r>
      <w:r>
        <w:t xml:space="preserve"> </w:t>
      </w:r>
      <w:r>
        <w:t xml:space="preserve">Board approved increasing the Plan share reserve from 8,000,000 to 9,500,000 shares (7-0).</w:t>
      </w:r>
    </w:p>
    <w:p>
      <w:pPr>
        <w:pStyle w:val="Compact"/>
        <w:numPr>
          <w:ilvl w:val="0"/>
          <w:numId w:val="1013"/>
        </w:numPr>
      </w:pPr>
      <w:r>
        <w:rPr>
          <w:b/>
          <w:bCs/>
        </w:rPr>
        <w:t xml:space="preserve">Concern:</w:t>
      </w:r>
      <w:r>
        <w:t xml:space="preserve"> </w:t>
      </w:r>
      <w:r>
        <w:t xml:space="preserve">Outside counsel (Rourke) advised only that</w:t>
      </w:r>
      <w:r>
        <w:t xml:space="preserve"> </w:t>
      </w:r>
      <w:r>
        <w:t xml:space="preserve">“</w:t>
      </w:r>
      <w:r>
        <w:t xml:space="preserve">the amendment required Board approval.</w:t>
      </w:r>
      <w:r>
        <w:t xml:space="preserve">”</w:t>
      </w:r>
      <w:r>
        <w:t xml:space="preserve"> </w:t>
      </w:r>
      <w:r>
        <w:t xml:space="preserve">The Minutes do not reflect any stockholder approval. Share-reserve increases typically require stockholder approval under the Plan and for tax/securities-law compliance.</w:t>
      </w:r>
    </w:p>
    <w:p>
      <w:pPr>
        <w:pStyle w:val="Compact"/>
        <w:numPr>
          <w:ilvl w:val="0"/>
          <w:numId w:val="1013"/>
        </w:numPr>
      </w:pPr>
      <w:r>
        <w:rPr>
          <w:b/>
          <w:bCs/>
        </w:rPr>
        <w:t xml:space="preserve">Additional concern:</w:t>
      </w:r>
      <w:r>
        <w:t xml:space="preserve"> </w:t>
      </w:r>
      <w:r>
        <w:t xml:space="preserve">The increase raised the fully diluted option pool from ~16.7% to ~20.1%. While the anti-dilution exemption (Charter §4.3.4(b)(i)) covers plan issuances, the</w:t>
      </w:r>
      <w:r>
        <w:t xml:space="preserve"> </w:t>
      </w:r>
      <w:r>
        <w:rPr>
          <w:i/>
          <w:iCs/>
        </w:rPr>
        <w:t xml:space="preserve">amendment</w:t>
      </w:r>
      <w:r>
        <w:t xml:space="preserve"> </w:t>
      </w:r>
      <w:r>
        <w:t xml:space="preserve">to increase the reserve is a separate corporate action whose authorization should be verified.</w:t>
      </w:r>
    </w:p>
    <w:p>
      <w:pPr>
        <w:pStyle w:val="Compact"/>
        <w:numPr>
          <w:ilvl w:val="0"/>
          <w:numId w:val="1013"/>
        </w:numPr>
      </w:pPr>
      <w:r>
        <w:rPr>
          <w:b/>
          <w:bCs/>
        </w:rPr>
        <w:t xml:space="preserve">Status:</w:t>
      </w:r>
      <w:r>
        <w:t xml:space="preserve"> </w:t>
      </w:r>
      <w:r>
        <w:rPr>
          <w:b/>
          <w:bCs/>
        </w:rPr>
        <w:t xml:space="preserve">Unknown — stockholder consent not reflected in the Minutes.</w:t>
      </w:r>
      <w:r>
        <w:t xml:space="preserve"> </w:t>
      </w:r>
      <w:r>
        <w:t xml:space="preserve">Request the stockholder consent (if any) and the amended Plan.</w:t>
      </w:r>
      <w:r>
        <w:t xml:space="preserve"> </w:t>
      </w:r>
      <w:r>
        <w:rPr>
          <w:b/>
          <w:bCs/>
        </w:rPr>
        <w:t xml:space="preserve">Severity: Significant.</w:t>
      </w:r>
    </w:p>
    <w:p>
      <w:pPr>
        <w:pStyle w:val="FirstParagraph"/>
      </w:pPr>
      <w:r>
        <w:rPr>
          <w:b/>
          <w:bCs/>
        </w:rPr>
        <w:t xml:space="preserve">B. Clearfield National Bank term loan (October 11, 2023).</w:t>
      </w:r>
    </w:p>
    <w:p>
      <w:pPr>
        <w:pStyle w:val="Compact"/>
        <w:numPr>
          <w:ilvl w:val="0"/>
          <w:numId w:val="1014"/>
        </w:numPr>
      </w:pPr>
      <w:r>
        <w:rPr>
          <w:b/>
          <w:bCs/>
        </w:rPr>
        <w:t xml:space="preserve">Action:</w:t>
      </w:r>
      <w:r>
        <w:t xml:space="preserve"> </w:t>
      </w:r>
      <w:r>
        <w:t xml:space="preserve">Board approved a $12,000,000 secured term loan with Clearfield National Bank, N.A., five-year term, SOFR + 3.50%, secured by substantially all assets (including accounts receivable, inventory, equipment, and intellectual property) (7-0).</w:t>
      </w:r>
    </w:p>
    <w:p>
      <w:pPr>
        <w:pStyle w:val="Compact"/>
        <w:numPr>
          <w:ilvl w:val="0"/>
          <w:numId w:val="1014"/>
        </w:numPr>
      </w:pPr>
      <w:r>
        <w:rPr>
          <w:b/>
          <w:bCs/>
        </w:rPr>
        <w:t xml:space="preserve">Charter protective provision:</w:t>
      </w:r>
      <w:r>
        <w:t xml:space="preserve"> </w:t>
      </w:r>
      <w:r>
        <w:t xml:space="preserve">Section 4.3.6(a)(v) prohibits the Company from incurring indebtedness for borrowed money in excess of</w:t>
      </w:r>
      <w:r>
        <w:t xml:space="preserve"> </w:t>
      </w:r>
      <w:r>
        <w:rPr>
          <w:b/>
          <w:bCs/>
        </w:rPr>
        <w:t xml:space="preserve">$5,000,000</w:t>
      </w:r>
      <w:r>
        <w:t xml:space="preserve"> </w:t>
      </w:r>
      <w:r>
        <w:t xml:space="preserve">in the aggregate outstanding at any time, without the prior consent of a majority of the Preferred Stock (voting as a single class on an as-converted basis). The exceptions—equipment financing/capital leases ≤ $2,000,000 in the ordinary course, and trade payables in the ordinary course—</w:t>
      </w:r>
      <w:r>
        <w:rPr>
          <w:b/>
          <w:bCs/>
        </w:rPr>
        <w:t xml:space="preserve">do not apply</w:t>
      </w:r>
      <w:r>
        <w:t xml:space="preserve"> </w:t>
      </w:r>
      <w:r>
        <w:t xml:space="preserve">to a general-purpose $12 million secured term loan.</w:t>
      </w:r>
    </w:p>
    <w:p>
      <w:pPr>
        <w:pStyle w:val="Compact"/>
        <w:numPr>
          <w:ilvl w:val="0"/>
          <w:numId w:val="1014"/>
        </w:numPr>
      </w:pPr>
      <w:r>
        <w:rPr>
          <w:b/>
          <w:bCs/>
        </w:rPr>
        <w:t xml:space="preserve">Concern:</w:t>
      </w:r>
      <w:r>
        <w:t xml:space="preserve"> </w:t>
      </w:r>
      <w:r>
        <w:t xml:space="preserve">The $12 million loan exceeds the $5 million threshold by $7 million. The Board Minutes reflect</w:t>
      </w:r>
      <w:r>
        <w:t xml:space="preserve"> </w:t>
      </w:r>
      <w:r>
        <w:rPr>
          <w:b/>
          <w:bCs/>
        </w:rPr>
        <w:t xml:space="preserve">only Board approval</w:t>
      </w:r>
      <w:r>
        <w:t xml:space="preserve"> </w:t>
      </w:r>
      <w:r>
        <w:t xml:space="preserve">and do</w:t>
      </w:r>
      <w:r>
        <w:t xml:space="preserve"> </w:t>
      </w:r>
      <w:r>
        <w:rPr>
          <w:b/>
          <w:bCs/>
        </w:rPr>
        <w:t xml:space="preserve">not</w:t>
      </w:r>
      <w:r>
        <w:t xml:space="preserve"> </w:t>
      </w:r>
      <w:r>
        <w:t xml:space="preserve">reflect any Preferred Stockholder written consent. If the requisite Preferred consent was not obtained, the loan was incurred in violation of the Charter’s protective provisions.</w:t>
      </w:r>
    </w:p>
    <w:p>
      <w:pPr>
        <w:pStyle w:val="Compact"/>
        <w:numPr>
          <w:ilvl w:val="0"/>
          <w:numId w:val="1014"/>
        </w:numPr>
      </w:pPr>
      <w:r>
        <w:rPr>
          <w:b/>
          <w:bCs/>
        </w:rPr>
        <w:t xml:space="preserve">Potential consequences:</w:t>
      </w:r>
      <w:r>
        <w:t xml:space="preserve"> </w:t>
      </w:r>
      <w:r>
        <w:t xml:space="preserve">(i) Preferred holders (including Stonemill) may assert that the loan was unauthorized and seek remedies; (ii) because the Charter is a public instrument filed with the Delaware Secretary of State, the lender (Clearfield) is charged with constructive notice of the protective provision, which may affect enforceability of the security interests; (iii) the loan is secured by substantially all assets, and any challenge to the loan could complicate the repayment/exit mechanics at closing; and (iv) Stonemill could use the alleged violation as leverage (e.g., conditioning its Series C consent on a waiver or release of claims regarding the loan).</w:t>
      </w:r>
    </w:p>
    <w:p>
      <w:pPr>
        <w:pStyle w:val="Compact"/>
        <w:numPr>
          <w:ilvl w:val="0"/>
          <w:numId w:val="1014"/>
        </w:numPr>
      </w:pPr>
      <w:r>
        <w:rPr>
          <w:b/>
          <w:bCs/>
        </w:rPr>
        <w:t xml:space="preserve">Status:</w:t>
      </w:r>
      <w:r>
        <w:t xml:space="preserve"> </w:t>
      </w:r>
      <w:r>
        <w:rPr>
          <w:b/>
          <w:bCs/>
        </w:rPr>
        <w:t xml:space="preserve">Unknown — Preferred consent not reflected in the Minutes.</w:t>
      </w:r>
      <w:r>
        <w:t xml:space="preserve"> </w:t>
      </w:r>
      <w:r>
        <w:t xml:space="preserve">Request the Preferred Stockholder written consent (if any) for the term loan, and the loan agreement (to review change-of-control and prepayment provisions).</w:t>
      </w:r>
      <w:r>
        <w:t xml:space="preserve"> </w:t>
      </w:r>
      <w:r>
        <w:rPr>
          <w:b/>
          <w:bCs/>
        </w:rPr>
        <w:t xml:space="preserve">Severity: Significant.</w:t>
      </w:r>
    </w:p>
    <w:p>
      <w:pPr>
        <w:pStyle w:val="FirstParagraph"/>
      </w:pPr>
      <w:r>
        <w:rPr>
          <w:b/>
          <w:bCs/>
        </w:rPr>
        <w:t xml:space="preserve">C. SensorLink Technologies LOI — exclusivity status (January 24, 2024 / September 25, 2024).</w:t>
      </w:r>
    </w:p>
    <w:p>
      <w:pPr>
        <w:pStyle w:val="Compact"/>
        <w:numPr>
          <w:ilvl w:val="0"/>
          <w:numId w:val="1015"/>
        </w:numPr>
      </w:pPr>
      <w:r>
        <w:rPr>
          <w:b/>
          <w:bCs/>
        </w:rPr>
        <w:t xml:space="preserve">Action (January 24, 2024):</w:t>
      </w:r>
      <w:r>
        <w:t xml:space="preserve"> </w:t>
      </w:r>
      <w:r>
        <w:t xml:space="preserve">Board authorized the CEO to negotiate and execute a non-binding LOI for a potential acquisition of SensorLink Technologies, Inc. for up to $22,000,000 (7-0).</w:t>
      </w:r>
    </w:p>
    <w:p>
      <w:pPr>
        <w:pStyle w:val="Compact"/>
        <w:numPr>
          <w:ilvl w:val="0"/>
          <w:numId w:val="1015"/>
        </w:numPr>
      </w:pPr>
      <w:r>
        <w:rPr>
          <w:b/>
          <w:bCs/>
        </w:rPr>
        <w:t xml:space="preserve">LOI executed March 8, 2024.</w:t>
      </w:r>
      <w:r>
        <w:t xml:space="preserve"> </w:t>
      </w:r>
      <w:r>
        <w:t xml:space="preserve">The LOI contained a</w:t>
      </w:r>
      <w:r>
        <w:t xml:space="preserve"> </w:t>
      </w:r>
      <w:r>
        <w:rPr>
          <w:b/>
          <w:bCs/>
        </w:rPr>
        <w:t xml:space="preserve">mutual exclusivity provision</w:t>
      </w:r>
      <w:r>
        <w:t xml:space="preserve"> </w:t>
      </w:r>
      <w:r>
        <w:t xml:space="preserve">with an initial six-month term expiring</w:t>
      </w:r>
      <w:r>
        <w:t xml:space="preserve"> </w:t>
      </w:r>
      <w:r>
        <w:rPr>
          <w:b/>
          <w:bCs/>
        </w:rPr>
        <w:t xml:space="preserve">September 8, 2024</w:t>
      </w:r>
      <w:r>
        <w:t xml:space="preserve">, and an</w:t>
      </w:r>
      <w:r>
        <w:t xml:space="preserve"> </w:t>
      </w:r>
      <w:r>
        <w:rPr>
          <w:b/>
          <w:bCs/>
        </w:rPr>
        <w:t xml:space="preserve">automatic-renewal provision</w:t>
      </w:r>
      <w:r>
        <w:t xml:space="preserve">: the exclusivity period</w:t>
      </w:r>
      <w:r>
        <w:t xml:space="preserve"> </w:t>
      </w:r>
      <w:r>
        <w:t xml:space="preserve">“</w:t>
      </w:r>
      <w:r>
        <w:t xml:space="preserve">would be automatically extended for successive ninety (90)-day periods unless either party provided written notice of termination to the other party at least fifteen (15) days prior to the expiration of the then-current exclusivity period.</w:t>
      </w:r>
      <w:r>
        <w:t xml:space="preserve">”</w:t>
      </w:r>
    </w:p>
    <w:p>
      <w:pPr>
        <w:pStyle w:val="Compact"/>
        <w:numPr>
          <w:ilvl w:val="0"/>
          <w:numId w:val="1015"/>
        </w:numPr>
      </w:pPr>
      <w:r>
        <w:rPr>
          <w:b/>
          <w:bCs/>
        </w:rPr>
        <w:t xml:space="preserve">September 25, 2024 Board discussion:</w:t>
      </w:r>
      <w:r>
        <w:t xml:space="preserve"> </w:t>
      </w:r>
      <w:r>
        <w:t xml:space="preserve">The CEO reported that the Company was no longer pursuing SensorLink and stated that the exclusivity period</w:t>
      </w:r>
      <w:r>
        <w:t xml:space="preserve"> </w:t>
      </w:r>
      <w:r>
        <w:t xml:space="preserve">“</w:t>
      </w:r>
      <w:r>
        <w:t xml:space="preserve">had expired by its own terms on September 8, 2024.</w:t>
      </w:r>
      <w:r>
        <w:t xml:space="preserve">”</w:t>
      </w:r>
      <w:r>
        <w:t xml:space="preserve"> </w:t>
      </w:r>
      <w:r>
        <w:t xml:space="preserve">Outside counsel (Rourke) flagged the auto-renewal provision and asked whether a formal written termination notice had been sent before September 8, 2024.</w:t>
      </w:r>
      <w:r>
        <w:t xml:space="preserve"> </w:t>
      </w:r>
      <w:r>
        <w:rPr>
          <w:b/>
          <w:bCs/>
        </w:rPr>
        <w:t xml:space="preserve">The CEO acknowledged he was</w:t>
      </w:r>
      <w:r>
        <w:rPr>
          <w:b/>
          <w:bCs/>
        </w:rPr>
        <w:t xml:space="preserve"> </w:t>
      </w:r>
      <w:r>
        <w:rPr>
          <w:b/>
          <w:bCs/>
        </w:rPr>
        <w:t xml:space="preserve">“</w:t>
      </w:r>
      <w:r>
        <w:rPr>
          <w:b/>
          <w:bCs/>
        </w:rPr>
        <w:t xml:space="preserve">not certain</w:t>
      </w:r>
      <w:r>
        <w:rPr>
          <w:b/>
          <w:bCs/>
        </w:rPr>
        <w:t xml:space="preserve">”</w:t>
      </w:r>
      <w:r>
        <w:rPr>
          <w:b/>
          <w:bCs/>
        </w:rPr>
        <w:t xml:space="preserve"> </w:t>
      </w:r>
      <w:r>
        <w:rPr>
          <w:b/>
          <w:bCs/>
        </w:rPr>
        <w:t xml:space="preserve">whether a formal written termination notice had been delivered.</w:t>
      </w:r>
      <w:r>
        <w:t xml:space="preserve"> </w:t>
      </w:r>
      <w:r>
        <w:t xml:space="preserve">The Chairman directed the CFO and outside counsel to investigate and</w:t>
      </w:r>
      <w:r>
        <w:t xml:space="preserve"> </w:t>
      </w:r>
      <w:r>
        <w:t xml:space="preserve">“</w:t>
      </w:r>
      <w:r>
        <w:t xml:space="preserve">take any necessary steps to terminate the exclusivity obligation.</w:t>
      </w:r>
      <w:r>
        <w:t xml:space="preserve">”</w:t>
      </w:r>
    </w:p>
    <w:p>
      <w:pPr>
        <w:pStyle w:val="Compact"/>
        <w:numPr>
          <w:ilvl w:val="0"/>
          <w:numId w:val="1015"/>
        </w:numPr>
      </w:pPr>
      <w:r>
        <w:rPr>
          <w:b/>
          <w:bCs/>
        </w:rPr>
        <w:t xml:space="preserve">Analysis:</w:t>
      </w:r>
      <w:r>
        <w:t xml:space="preserve"> </w:t>
      </w:r>
      <w:r>
        <w:t xml:space="preserve">If no written termination notice was delivered at least 15 days before September 8, 2024, the exclusivity period</w:t>
      </w:r>
      <w:r>
        <w:t xml:space="preserve"> </w:t>
      </w:r>
      <w:r>
        <w:rPr>
          <w:b/>
          <w:bCs/>
        </w:rPr>
        <w:t xml:space="preserve">automatically renewed</w:t>
      </w:r>
      <w:r>
        <w:t xml:space="preserve"> </w:t>
      </w:r>
      <w:r>
        <w:t xml:space="preserve">on September 8, 2024 for a successive 90-day period (through approximately December 7, 2024), and will continue to auto-renew in 90-day increments until properly terminated. Although the LOI is described as</w:t>
      </w:r>
      <w:r>
        <w:t xml:space="preserve"> </w:t>
      </w:r>
      <w:r>
        <w:t xml:space="preserve">“</w:t>
      </w:r>
      <w:r>
        <w:t xml:space="preserve">non-binding,</w:t>
      </w:r>
      <w:r>
        <w:t xml:space="preserve">”</w:t>
      </w:r>
      <w:r>
        <w:t xml:space="preserve"> </w:t>
      </w:r>
      <w:r>
        <w:t xml:space="preserve">exclusivity provisions in LOIs are typically</w:t>
      </w:r>
      <w:r>
        <w:t xml:space="preserve"> </w:t>
      </w:r>
      <w:r>
        <w:rPr>
          <w:b/>
          <w:bCs/>
        </w:rPr>
        <w:t xml:space="preserve">binding</w:t>
      </w:r>
      <w:r>
        <w:t xml:space="preserve"> </w:t>
      </w:r>
      <w:r>
        <w:t xml:space="preserve">even when the rest of the LOI is non-binding. A live exclusivity obligation in favor of SensorLink could</w:t>
      </w:r>
      <w:r>
        <w:t xml:space="preserve"> </w:t>
      </w:r>
      <w:r>
        <w:rPr>
          <w:b/>
          <w:bCs/>
        </w:rPr>
        <w:t xml:space="preserve">directly conflict with Terravox’s ability to sign a definitive merger agreement with Hargrove</w:t>
      </w:r>
      <w:r>
        <w:t xml:space="preserve"> </w:t>
      </w:r>
      <w:r>
        <w:t xml:space="preserve">and could expose Terravox to breach claims.</w:t>
      </w:r>
    </w:p>
    <w:p>
      <w:pPr>
        <w:pStyle w:val="Compact"/>
        <w:numPr>
          <w:ilvl w:val="0"/>
          <w:numId w:val="1015"/>
        </w:numPr>
      </w:pPr>
      <w:r>
        <w:rPr>
          <w:b/>
          <w:bCs/>
        </w:rPr>
        <w:t xml:space="preserve">Remediation:</w:t>
      </w:r>
      <w:r>
        <w:t xml:space="preserve"> </w:t>
      </w:r>
      <w:r>
        <w:t xml:space="preserve">Terravox must (i) immediately confirm whether a termination notice was sent; (ii) if not, send a written termination notice now (which would take effect at the next 90-day expiration, approximately December 7, 2024, since the 15-day pre-expiration notice requirement is satisfied for that date); and (iii) obtain a confirmatory termination/waiver from SensorLink if possible. The merger agreement should include a representation that no exclusivity obligation to SensorLink is in effect, and the signing/closing timeline should account for the termination notice period.</w:t>
      </w:r>
    </w:p>
    <w:p>
      <w:pPr>
        <w:pStyle w:val="Compact"/>
        <w:numPr>
          <w:ilvl w:val="0"/>
          <w:numId w:val="1015"/>
        </w:numPr>
      </w:pPr>
      <w:r>
        <w:rPr>
          <w:b/>
          <w:bCs/>
        </w:rPr>
        <w:t xml:space="preserve">Status:</w:t>
      </w:r>
      <w:r>
        <w:t xml:space="preserve"> </w:t>
      </w:r>
      <w:r>
        <w:rPr>
          <w:b/>
          <w:bCs/>
        </w:rPr>
        <w:t xml:space="preserve">Unconfirmed — potential live exclusivity.</w:t>
      </w:r>
      <w:r>
        <w:t xml:space="preserve"> </w:t>
      </w:r>
      <w:r>
        <w:rPr>
          <w:b/>
          <w:bCs/>
        </w:rPr>
        <w:t xml:space="preserve">Severity: Critical (time-sensitive).</w:t>
      </w:r>
      <w:r>
        <w:t xml:space="preserve"> </w:t>
      </w:r>
      <w:r>
        <w:t xml:space="preserve">This should be flagged to Jonathan Hsieh immediately and confirmed before signing.</w:t>
      </w:r>
    </w:p>
    <w:p>
      <w:pPr>
        <w:pStyle w:val="FirstParagraph"/>
      </w:pPr>
      <w:r>
        <w:rPr>
          <w:b/>
          <w:bCs/>
        </w:rPr>
        <w:t xml:space="preserve">D. Other Board actions — summary verification.</w:t>
      </w:r>
      <w:r>
        <w:t xml:space="preserve"> </w:t>
      </w:r>
      <w:r>
        <w:t xml:space="preserve">The remaining Board actions (FY2023/FY2024 budgets, Permian Basin MSA, Meridian engagement, Special Committee formation, option/RSU grants, Thornbury engagement, Hargrove engagement authorizations) appear to have been duly authorized by the Board with proper quorum and voting. The April 17, 2024 meeting had 5 of 7 directors present (quorum = 4), and the Hargrove-engagement resolution passed 5-0 with Trask and Garrett absent. The procedural regularity of that meeting is addressed in Section IX.</w:t>
      </w:r>
    </w:p>
    <w:p>
      <w:r>
        <w:pict>
          <v:rect style="width:0;height:1.5pt" o:hralign="center" o:hrstd="t" o:hr="t"/>
        </w:pict>
      </w:r>
    </w:p>
    <w:bookmarkEnd w:id="28"/>
    <w:bookmarkStart w:id="29" w:name="Xb37d35f7e8b1cb1071b8f786cd1386883c3b938"/>
    <w:p>
      <w:pPr>
        <w:pStyle w:val="Heading2"/>
      </w:pPr>
      <w:r>
        <w:t xml:space="preserve">IX. Fiduciary Duty and Sale-Process Concerns (Diligence Area 8)</w:t>
      </w:r>
    </w:p>
    <w:p>
      <w:pPr>
        <w:pStyle w:val="FirstParagraph"/>
      </w:pPr>
      <w:r>
        <w:rPr>
          <w:b/>
          <w:bCs/>
        </w:rPr>
        <w:t xml:space="preserve">A. Special Committee composition.</w:t>
      </w:r>
      <w:r>
        <w:t xml:space="preserve"> </w:t>
      </w:r>
      <w:r>
        <w:t xml:space="preserve">The Special Committee, formed April 12, 2023, consists of Rebecca Lau (Chair), Thomas Garrett, and Sandra Okafor. Its mandate is to evaluate strategic alternatives, engage advisors, and make recommendations to the full Board.</w:t>
      </w:r>
    </w:p>
    <w:p>
      <w:pPr>
        <w:pStyle w:val="BodyText"/>
      </w:pPr>
      <w:r>
        <w:rPr>
          <w:b/>
          <w:bCs/>
        </w:rPr>
        <w:t xml:space="preserve">B. Sandra Okafor’s dual role — disinterestedness concern (SIGNIFICANT).</w:t>
      </w:r>
      <w:r>
        <w:t xml:space="preserve"> </w:t>
      </w:r>
      <w:r>
        <w:t xml:space="preserve">Sandra Okafor is (i) the board designee of Northbridge Growth Equity Fund IV, LP pursuant to the Voting Agreement (VA §2.2(b)), and (ii) a Principal at Northbridge Growth Advisors, LLC. Northbridge holds 5,200,000 shares of Series B Preferred Stock with a liquidation preference of $48.1 million and, in this transaction, will convert and receive approximately $65.5 million. Okafor is therefore</w:t>
      </w:r>
      <w:r>
        <w:t xml:space="preserve"> </w:t>
      </w:r>
      <w:r>
        <w:rPr>
          <w:b/>
          <w:bCs/>
        </w:rPr>
        <w:t xml:space="preserve">not disinterested</w:t>
      </w:r>
      <w:r>
        <w:t xml:space="preserve">—she is affiliated with a stockholder that has a direct and substantial economic interest in the transaction’s terms and outcome.</w:t>
      </w:r>
    </w:p>
    <w:p>
      <w:pPr>
        <w:pStyle w:val="BodyText"/>
      </w:pPr>
      <w:r>
        <w:t xml:space="preserve">Under Delaware law, a special committee formed to oversee a sale-of-control transaction should be composed of</w:t>
      </w:r>
      <w:r>
        <w:t xml:space="preserve"> </w:t>
      </w:r>
      <w:r>
        <w:rPr>
          <w:b/>
          <w:bCs/>
        </w:rPr>
        <w:t xml:space="preserve">disinterested and independent</w:t>
      </w:r>
      <w:r>
        <w:t xml:space="preserve"> </w:t>
      </w:r>
      <w:r>
        <w:t xml:space="preserve">directors in order to (i) satisfy the board’s Revlon duties to obtain the best reasonably available price, and (ii) provide a cleansing mechanism that supports the fairness of the process. Okafor’s presence undermines the committee’s disinterestedness. While the transaction is a third-party sale (not a controller squeeze-out, so the</w:t>
      </w:r>
      <w:r>
        <w:t xml:space="preserve"> </w:t>
      </w:r>
      <w:r>
        <w:rPr>
          <w:i/>
          <w:iCs/>
        </w:rPr>
        <w:t xml:space="preserve">MFW</w:t>
      </w:r>
      <w:r>
        <w:t xml:space="preserve"> </w:t>
      </w:r>
      <w:r>
        <w:t xml:space="preserve">dual-protection framework does not directly apply), the</w:t>
      </w:r>
      <w:r>
        <w:t xml:space="preserve"> </w:t>
      </w:r>
      <w:r>
        <w:rPr>
          <w:b/>
          <w:bCs/>
        </w:rPr>
        <w:t xml:space="preserve">Revlon</w:t>
      </w:r>
      <w:r>
        <w:t xml:space="preserve"> </w:t>
      </w:r>
      <w:r>
        <w:t xml:space="preserve">standard governs, and a flawed committee composition is a vulnerability.</w:t>
      </w:r>
    </w:p>
    <w:p>
      <w:pPr>
        <w:pStyle w:val="BodyText"/>
      </w:pPr>
      <w:r>
        <w:rPr>
          <w:b/>
          <w:bCs/>
        </w:rPr>
        <w:t xml:space="preserve">C. Sale-process vulnerabilities Stonemill could exploit.</w:t>
      </w:r>
    </w:p>
    <w:p>
      <w:pPr>
        <w:numPr>
          <w:ilvl w:val="0"/>
          <w:numId w:val="1016"/>
        </w:numPr>
      </w:pPr>
      <w:r>
        <w:rPr>
          <w:b/>
          <w:bCs/>
        </w:rPr>
        <w:t xml:space="preserve">Narrow auction.</w:t>
      </w:r>
      <w:r>
        <w:t xml:space="preserve"> </w:t>
      </w:r>
      <w:r>
        <w:t xml:space="preserve">Meridian contacted only three potential acquirers (code names</w:t>
      </w:r>
      <w:r>
        <w:t xml:space="preserve"> </w:t>
      </w:r>
      <w:r>
        <w:t xml:space="preserve">“</w:t>
      </w:r>
      <w:r>
        <w:t xml:space="preserve">Alpha,</w:t>
      </w:r>
      <w:r>
        <w:t xml:space="preserve">”</w:t>
      </w:r>
      <w:r>
        <w:t xml:space="preserve"> </w:t>
      </w:r>
      <w:r>
        <w:t xml:space="preserve">“</w:t>
      </w:r>
      <w:r>
        <w:t xml:space="preserve">Beta,</w:t>
      </w:r>
      <w:r>
        <w:t xml:space="preserve">”</w:t>
      </w:r>
      <w:r>
        <w:t xml:space="preserve"> </w:t>
      </w:r>
      <w:r>
        <w:t xml:space="preserve">“</w:t>
      </w:r>
      <w:r>
        <w:t xml:space="preserve">Gamma</w:t>
      </w:r>
      <w:r>
        <w:t xml:space="preserve">”</w:t>
      </w:r>
      <w:r>
        <w:t xml:space="preserve">).</w:t>
      </w:r>
      <w:r>
        <w:t xml:space="preserve"> </w:t>
      </w:r>
      <w:r>
        <w:t xml:space="preserve">“</w:t>
      </w:r>
      <w:r>
        <w:t xml:space="preserve">Alpha</w:t>
      </w:r>
      <w:r>
        <w:t xml:space="preserve">”</w:t>
      </w:r>
      <w:r>
        <w:t xml:space="preserve"> </w:t>
      </w:r>
      <w:r>
        <w:t xml:space="preserve">and</w:t>
      </w:r>
      <w:r>
        <w:t xml:space="preserve"> </w:t>
      </w:r>
      <w:r>
        <w:t xml:space="preserve">“</w:t>
      </w:r>
      <w:r>
        <w:t xml:space="preserve">Gamma</w:t>
      </w:r>
      <w:r>
        <w:t xml:space="preserve">”</w:t>
      </w:r>
      <w:r>
        <w:t xml:space="preserve"> </w:t>
      </w:r>
      <w:r>
        <w:t xml:space="preserve">withdrew or reduced their offers;</w:t>
      </w:r>
      <w:r>
        <w:t xml:space="preserve"> </w:t>
      </w:r>
      <w:r>
        <w:t xml:space="preserve">“</w:t>
      </w:r>
      <w:r>
        <w:t xml:space="preserve">Beta</w:t>
      </w:r>
      <w:r>
        <w:t xml:space="preserve">”</w:t>
      </w:r>
      <w:r>
        <w:t xml:space="preserve"> </w:t>
      </w:r>
      <w:r>
        <w:t xml:space="preserve">entered a 45-day exclusivity that ultimately failed on financing. The process then paused until Hargrove’s inbound interest. Trask objected to the narrow process as early as July 19, 2023 (voting against the Beta exclusivity, advocating a</w:t>
      </w:r>
      <w:r>
        <w:t xml:space="preserve"> </w:t>
      </w:r>
      <w:r>
        <w:t xml:space="preserve">“</w:t>
      </w:r>
      <w:r>
        <w:t xml:space="preserve">wider auction</w:t>
      </w:r>
      <w:r>
        <w:t xml:space="preserve">”</w:t>
      </w:r>
      <w:r>
        <w:t xml:space="preserve">). A plaintiff or dissenting stockholder could argue the market check was insufficiently robust under Revlon.</w:t>
      </w:r>
    </w:p>
    <w:p>
      <w:pPr>
        <w:numPr>
          <w:ilvl w:val="0"/>
          <w:numId w:val="1016"/>
        </w:numPr>
      </w:pPr>
      <w:r>
        <w:rPr>
          <w:b/>
          <w:bCs/>
        </w:rPr>
        <w:t xml:space="preserve">Trask’s absence and objection (April 17, 2024).</w:t>
      </w:r>
      <w:r>
        <w:t xml:space="preserve"> </w:t>
      </w:r>
      <w:r>
        <w:t xml:space="preserve">Trask was absent from the April 17, 2024 meeting at which the Board authorized engagement with Hargrove. He did not provide a proxy or written direction. The Stonemill board observer was also absent. Trask objected by email on April 19, 2024, stating that Stonemill’s</w:t>
      </w:r>
      <w:r>
        <w:t xml:space="preserve"> </w:t>
      </w:r>
      <w:r>
        <w:t xml:space="preserve">“</w:t>
      </w:r>
      <w:r>
        <w:t xml:space="preserve">perspectives should have been sought before authorizing engagement with a potential acquirer</w:t>
      </w:r>
      <w:r>
        <w:t xml:space="preserve">”</w:t>
      </w:r>
      <w:r>
        <w:t xml:space="preserve"> </w:t>
      </w:r>
      <w:r>
        <w:t xml:space="preserve">and requesting that</w:t>
      </w:r>
      <w:r>
        <w:t xml:space="preserve"> </w:t>
      </w:r>
      <w:r>
        <w:t xml:space="preserve">“</w:t>
      </w:r>
      <w:r>
        <w:t xml:space="preserve">no further substantive steps be taken … without Stonemill’s participation.</w:t>
      </w:r>
      <w:r>
        <w:t xml:space="preserve">”</w:t>
      </w:r>
      <w:r>
        <w:t xml:space="preserve"> </w:t>
      </w:r>
      <w:r>
        <w:t xml:space="preserve">While the Board had a quorum (5 of 7) and could lawfully act, the decision to authorize engagement with a specific buyer without the Series C director—and over his subsequent objection—creates a record that Stonemill was excluded from a key process decision. This is ammunition for a process challenge.</w:t>
      </w:r>
    </w:p>
    <w:p>
      <w:pPr>
        <w:numPr>
          <w:ilvl w:val="0"/>
          <w:numId w:val="1016"/>
        </w:numPr>
      </w:pPr>
      <w:r>
        <w:rPr>
          <w:b/>
          <w:bCs/>
        </w:rPr>
        <w:t xml:space="preserve">Recommending (not decision-making) committee.</w:t>
      </w:r>
      <w:r>
        <w:t xml:space="preserve"> </w:t>
      </w:r>
      <w:r>
        <w:t xml:space="preserve">The Special Committee’s mandate is to</w:t>
      </w:r>
      <w:r>
        <w:t xml:space="preserve"> </w:t>
      </w:r>
      <w:r>
        <w:rPr>
          <w:i/>
          <w:iCs/>
        </w:rPr>
        <w:t xml:space="preserve">recommend</w:t>
      </w:r>
      <w:r>
        <w:t xml:space="preserve"> </w:t>
      </w:r>
      <w:r>
        <w:t xml:space="preserve">to the full Board, not to make final decisions or negotiate binding terms. A recommending committee provides less cleansing value than a committee with full authority to negotiate and approve. The deal team should consider whether the process would benefit from a fully empowered, disinterested committee (excluding Okafor) for the final negotiation and approval stage.</w:t>
      </w:r>
    </w:p>
    <w:p>
      <w:pPr>
        <w:numPr>
          <w:ilvl w:val="0"/>
          <w:numId w:val="1016"/>
        </w:numPr>
      </w:pPr>
      <w:r>
        <w:rPr>
          <w:b/>
          <w:bCs/>
        </w:rPr>
        <w:t xml:space="preserve">Waterfall misstatement in the record (cross-reference Section II/Executive Summary).</w:t>
      </w:r>
      <w:r>
        <w:t xml:space="preserve"> </w:t>
      </w:r>
      <w:r>
        <w:t xml:space="preserve">The September 25, 2024 minutes record the Special Committee Chair stating that</w:t>
      </w:r>
      <w:r>
        <w:t xml:space="preserve"> </w:t>
      </w:r>
      <w:r>
        <w:t xml:space="preserve">“</w:t>
      </w:r>
      <w:r>
        <w:t xml:space="preserve">all holders of Preferred Stock would receive amounts in excess of their respective liquidation preferences on an as-converted basis.</w:t>
      </w:r>
      <w:r>
        <w:t xml:space="preserve">”</w:t>
      </w:r>
      <w:r>
        <w:t xml:space="preserve"> </w:t>
      </w:r>
      <w:r>
        <w:t xml:space="preserve">This is incorrect as to Series C (as-converted value ~$12.59–$13.95 &lt; $18.50 preference). If relied upon by the Board in approving the process, it suggests the financial analysis presented was flawed or misrecorded—relevant to the fairness analysis and to Thornbury &amp; Associates’ valuation work.</w:t>
      </w:r>
    </w:p>
    <w:p>
      <w:pPr>
        <w:pStyle w:val="FirstParagraph"/>
      </w:pPr>
      <w:r>
        <w:rPr>
          <w:b/>
          <w:bCs/>
        </w:rPr>
        <w:t xml:space="preserve">D. Mitigants.</w:t>
      </w:r>
      <w:r>
        <w:t xml:space="preserve"> </w:t>
      </w:r>
      <w:r>
        <w:t xml:space="preserve">The Company did engage a financial advisor (Meridian Partners), form a special committee, engage an independent valuation advisor (Thornbury &amp; Associates), and the implied valuation ($485 million EV; ~3.81x revenue; ~15.25x EBITDA) falls within the range of the earlier indications of interest ($350–525 million EV). These are favorable facts. However, the committee-composition and process-breadth weaknesses remain.</w:t>
      </w:r>
    </w:p>
    <w:p>
      <w:pPr>
        <w:pStyle w:val="BodyText"/>
      </w:pPr>
      <w:r>
        <w:rPr>
          <w:b/>
          <w:bCs/>
        </w:rPr>
        <w:t xml:space="preserve">E. Recommendation.</w:t>
      </w:r>
      <w:r>
        <w:t xml:space="preserve"> </w:t>
      </w:r>
      <w:r>
        <w:t xml:space="preserve">(i) Obtain and review Thornbury &amp; Associates’ fairness analysis; (ii) consider reconstituting the Special Committee to exclude Okafor (or adding a new independent director) for the final negotiation/approval stage; (iii) document a robust market-check record; and (iv) anticipate that Stonemill may raise process challenges and prepare the factual record to defend the process. Note that Thornbury &amp; Associates’ work product is separate from this governance diligence but is directly relevant to fairness considerations.</w:t>
      </w:r>
    </w:p>
    <w:p>
      <w:r>
        <w:pict>
          <v:rect style="width:0;height:1.5pt" o:hralign="center" o:hrstd="t" o:hr="t"/>
        </w:pict>
      </w:r>
    </w:p>
    <w:bookmarkEnd w:id="29"/>
    <w:bookmarkStart w:id="30" w:name="Xa9ce0eb104c5e0814db2e5e1889eb9c1d38cdd5"/>
    <w:p>
      <w:pPr>
        <w:pStyle w:val="Heading2"/>
      </w:pPr>
      <w:r>
        <w:t xml:space="preserve">X. Registration Rights Post-Transaction (Diligence Area 9)</w:t>
      </w:r>
    </w:p>
    <w:p>
      <w:pPr>
        <w:pStyle w:val="FirstParagraph"/>
      </w:pPr>
      <w:r>
        <w:rPr>
          <w:b/>
          <w:bCs/>
        </w:rPr>
        <w:t xml:space="preserve">A. Termination provision.</w:t>
      </w:r>
      <w:r>
        <w:t xml:space="preserve"> </w:t>
      </w:r>
      <w:r>
        <w:t xml:space="preserve">The RRA terminates registration rights as to any particular Holder upon the earliest of: (a) the Holder’s ability to sell all Registrable Securities under Rule 144 without restriction; (b) the fifth anniversary of the Company’s IPO; or (c)</w:t>
      </w:r>
      <w:r>
        <w:t xml:space="preserve"> </w:t>
      </w:r>
      <w:r>
        <w:rPr>
          <w:b/>
          <w:bCs/>
        </w:rPr>
        <w:t xml:space="preserve">“</w:t>
      </w:r>
      <w:r>
        <w:rPr>
          <w:b/>
          <w:bCs/>
        </w:rPr>
        <w:t xml:space="preserve">a Deemed Liquidation Event</w:t>
      </w:r>
      <w:r>
        <w:rPr>
          <w:b/>
          <w:bCs/>
        </w:rPr>
        <w:t xml:space="preserve">”</w:t>
      </w:r>
      <w:r>
        <w:t xml:space="preserve"> </w:t>
      </w:r>
      <w:r>
        <w:t xml:space="preserve">(RRA §9(c)). The RRA terminates in its entirety upon the earliest of (i) termination as to all Holders, or (ii) the written consent of the Company and Holders of a majority of the Registrable Securities (§9, final paragraph).</w:t>
      </w:r>
    </w:p>
    <w:p>
      <w:pPr>
        <w:pStyle w:val="BodyText"/>
      </w:pPr>
      <w:r>
        <w:rPr>
          <w:b/>
          <w:bCs/>
        </w:rPr>
        <w:t xml:space="preserve">B. The</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problem (SIGNIFICANT).</w:t>
      </w:r>
      <w:r>
        <w:t xml:space="preserve"> </w:t>
      </w:r>
      <w:r>
        <w:t xml:space="preserve">As detailed in Section VI, the RRA uses the term</w:t>
      </w:r>
      <w:r>
        <w:t xml:space="preserve"> </w:t>
      </w:r>
      <w:r>
        <w:t xml:space="preserve">“</w:t>
      </w:r>
      <w:r>
        <w:t xml:space="preserve">Deemed Liquidation Event</w:t>
      </w:r>
      <w:r>
        <w:t xml:space="preserve">”</w:t>
      </w:r>
      <w:r>
        <w:t xml:space="preserve"> </w:t>
      </w:r>
      <w:r>
        <w:t xml:space="preserve">but</w:t>
      </w:r>
      <w:r>
        <w:t xml:space="preserve"> </w:t>
      </w:r>
      <w:r>
        <w:rPr>
          <w:b/>
          <w:bCs/>
        </w:rPr>
        <w:t xml:space="preserve">does not define it</w:t>
      </w:r>
      <w:r>
        <w:t xml:space="preserve"> </w:t>
      </w:r>
      <w:r>
        <w:t xml:space="preserve">and does not cross-reference the Charter’s</w:t>
      </w:r>
      <w:r>
        <w:t xml:space="preserve"> </w:t>
      </w:r>
      <w:r>
        <w:t xml:space="preserve">“</w:t>
      </w:r>
      <w:r>
        <w:t xml:space="preserve">Liquidation Event.</w:t>
      </w:r>
      <w:r>
        <w:t xml:space="preserve">”</w:t>
      </w:r>
      <w:r>
        <w:t xml:space="preserve"> </w:t>
      </w:r>
      <w:r>
        <w:t xml:space="preserve">The Charter defines</w:t>
      </w:r>
      <w:r>
        <w:t xml:space="preserve"> </w:t>
      </w:r>
      <w:r>
        <w:t xml:space="preserve">“</w:t>
      </w:r>
      <w:r>
        <w:t xml:space="preserve">Liquidation Event</w:t>
      </w:r>
      <w:r>
        <w:t xml:space="preserve">”</w:t>
      </w:r>
      <w:r>
        <w:t xml:space="preserve"> </w:t>
      </w:r>
      <w:r>
        <w:t xml:space="preserve">(§4.3.2(d)); it does not use the phrase</w:t>
      </w:r>
      <w:r>
        <w:t xml:space="preserve"> </w:t>
      </w:r>
      <w:r>
        <w:t xml:space="preserve">“</w:t>
      </w:r>
      <w:r>
        <w:t xml:space="preserve">Deemed Liquidation Event.</w:t>
      </w:r>
      <w:r>
        <w:t xml:space="preserve">”</w:t>
      </w:r>
      <w:r>
        <w:t xml:space="preserve"> </w:t>
      </w:r>
      <w:r>
        <w:t xml:space="preserve">The mismatch creates ambiguity:</w:t>
      </w:r>
    </w:p>
    <w:p>
      <w:pPr>
        <w:pStyle w:val="Compact"/>
        <w:numPr>
          <w:ilvl w:val="0"/>
          <w:numId w:val="1017"/>
        </w:numPr>
      </w:pPr>
      <w:r>
        <w:t xml:space="preserve">If</w:t>
      </w:r>
      <w:r>
        <w:t xml:space="preserve"> </w:t>
      </w:r>
      <w:r>
        <w:t xml:space="preserve">“</w:t>
      </w:r>
      <w:r>
        <w:t xml:space="preserve">Deemed Liquidation Event</w:t>
      </w:r>
      <w:r>
        <w:t xml:space="preserve">”</w:t>
      </w:r>
      <w:r>
        <w:t xml:space="preserve"> </w:t>
      </w:r>
      <w:r>
        <w:t xml:space="preserve">is construed to incorporate the Charter’s</w:t>
      </w:r>
      <w:r>
        <w:t xml:space="preserve"> </w:t>
      </w:r>
      <w:r>
        <w:t xml:space="preserve">“</w:t>
      </w:r>
      <w:r>
        <w:t xml:space="preserve">Liquidation Event</w:t>
      </w:r>
      <w:r>
        <w:t xml:space="preserve">”</w:t>
      </w:r>
      <w:r>
        <w:t xml:space="preserve"> </w:t>
      </w:r>
      <w:r>
        <w:t xml:space="preserve">definition (the conventional NVCA intent), the merger terminates registration rights.</w:t>
      </w:r>
    </w:p>
    <w:p>
      <w:pPr>
        <w:pStyle w:val="Compact"/>
        <w:numPr>
          <w:ilvl w:val="0"/>
          <w:numId w:val="1017"/>
        </w:numPr>
      </w:pPr>
      <w:r>
        <w:t xml:space="preserve">If the term is deemed undefined/ambiguous, a court could find that the RRA’s termination trigger is not clearly satisfied, leaving registration rights technically in effect post-closing.</w:t>
      </w:r>
    </w:p>
    <w:p>
      <w:pPr>
        <w:pStyle w:val="FirstParagraph"/>
      </w:pPr>
      <w:r>
        <w:rPr>
          <w:b/>
          <w:bCs/>
        </w:rPr>
        <w:t xml:space="preserve">C. Post-closing exposure.</w:t>
      </w:r>
      <w:r>
        <w:t xml:space="preserve"> </w:t>
      </w:r>
      <w:r>
        <w:t xml:space="preserve">After the merger, Terravox is a wholly-owned subsidiary of Hargrove; all Preferred (and the Registrable Securities issuable upon its conversion) are cancelled. As a practical matter, there may be no Registrable Securities left to register. However, if the RRA is deemed to survive, the former Terravox stockholders could assert continuing registration-rights obligations against Terravox (or seek to attribute them to Hargrove), creating a post-closing liability and potential dispute. The survival of indemnification obligations under §7 (which expressly survive termination) further counsels for a clean, express termination.</w:t>
      </w:r>
    </w:p>
    <w:p>
      <w:pPr>
        <w:pStyle w:val="BodyText"/>
      </w:pPr>
      <w:r>
        <w:rPr>
          <w:b/>
          <w:bCs/>
        </w:rPr>
        <w:t xml:space="preserve">D. Recommendation.</w:t>
      </w:r>
      <w:r>
        <w:t xml:space="preserve"> </w:t>
      </w:r>
      <w:r>
        <w:t xml:space="preserve">Do not rely on the undefined</w:t>
      </w:r>
      <w:r>
        <w:t xml:space="preserve"> </w:t>
      </w:r>
      <w:r>
        <w:t xml:space="preserve">“</w:t>
      </w:r>
      <w:r>
        <w:t xml:space="preserve">Deemed Liquidation Event.</w:t>
      </w:r>
      <w:r>
        <w:t xml:space="preserve">”</w:t>
      </w:r>
      <w:r>
        <w:t xml:space="preserve"> </w:t>
      </w:r>
      <w:r>
        <w:t xml:space="preserve">The merger agreement should include an</w:t>
      </w:r>
      <w:r>
        <w:t xml:space="preserve"> </w:t>
      </w:r>
      <w:r>
        <w:rPr>
          <w:b/>
          <w:bCs/>
        </w:rPr>
        <w:t xml:space="preserve">express termination and release of the RRA</w:t>
      </w:r>
      <w:r>
        <w:t xml:space="preserve"> </w:t>
      </w:r>
      <w:r>
        <w:t xml:space="preserve">at closing, executed by the Company and the requisite Holders (Holders of a majority of the Registrable Securities, or all Holders as a condition to closing). Obtain written confirmatory terminations/waivers from Ridgeline, Northbridge, and Stonemill. This eliminates the definitional ambiguity and any post-closing registration-rights liability.</w:t>
      </w:r>
    </w:p>
    <w:p>
      <w:r>
        <w:pict>
          <v:rect style="width:0;height:1.5pt" o:hralign="center" o:hrstd="t" o:hr="t"/>
        </w:pict>
      </w:r>
    </w:p>
    <w:bookmarkEnd w:id="30"/>
    <w:bookmarkStart w:id="31" w:name="X04d2e85a33ccaadfe2b87546042b749335b364c"/>
    <w:p>
      <w:pPr>
        <w:pStyle w:val="Heading2"/>
      </w:pPr>
      <w:r>
        <w:t xml:space="preserve">XI. Board Composition — Post-Closing Implications (Diligence Area 10)</w:t>
      </w:r>
    </w:p>
    <w:p>
      <w:pPr>
        <w:pStyle w:val="FirstParagraph"/>
      </w:pPr>
      <w:r>
        <w:rPr>
          <w:b/>
          <w:bCs/>
        </w:rPr>
        <w:t xml:space="preserve">A. Voting Agreement board-designation rights.</w:t>
      </w:r>
      <w:r>
        <w:t xml:space="preserve"> </w:t>
      </w:r>
      <w:r>
        <w:t xml:space="preserve">The Voting Agreement (§2.2) fixes the Board at seven members and allocates designation rights: Ridgeline (Series A Director, Kleinhans), Northbridge (Series B Director, Okafor), Stonemill (Series C Director, Trask), the CEO (Ellery), a Founder Director (Chandrasekaran), and two Independent Directors (Lau, Garrett). The parties agree to vote to maintain this composition (§3.1).</w:t>
      </w:r>
    </w:p>
    <w:p>
      <w:pPr>
        <w:pStyle w:val="BodyText"/>
      </w:pPr>
      <w:r>
        <w:rPr>
          <w:b/>
          <w:bCs/>
        </w:rPr>
        <w:t xml:space="preserve">B. Termination upon Sale of the Company.</w:t>
      </w:r>
      <w:r>
        <w:t xml:space="preserve"> </w:t>
      </w:r>
      <w:r>
        <w:t xml:space="preserve">The Voting Agreement terminates upon the earliest of: (a) an IPO (≥$75 million proceeds); (b)</w:t>
      </w:r>
      <w:r>
        <w:t xml:space="preserve"> </w:t>
      </w:r>
      <w:r>
        <w:rPr>
          <w:b/>
          <w:bCs/>
        </w:rPr>
        <w:t xml:space="preserve">a Sale of the Company</w:t>
      </w:r>
      <w:r>
        <w:t xml:space="preserve"> </w:t>
      </w:r>
      <w:r>
        <w:t xml:space="preserve">(VA §7.1(b)); (c) written consent of the Company, a majority of the Founders’ Common, and a majority of each series of Preferred held by parties (voting as separate classes); or (d)</w:t>
      </w:r>
      <w:r>
        <w:t xml:space="preserve"> </w:t>
      </w:r>
      <w:r>
        <w:rPr>
          <w:b/>
          <w:bCs/>
        </w:rPr>
        <w:t xml:space="preserve">November 3, 2026</w:t>
      </w:r>
      <w:r>
        <w:t xml:space="preserve"> </w:t>
      </w:r>
      <w:r>
        <w:t xml:space="preserve">(the fifth anniversary). The merger is a Sale of the Company (Terravox stockholders retain 0% voting power), so the Voting Agreement</w:t>
      </w:r>
      <w:r>
        <w:t xml:space="preserve"> </w:t>
      </w:r>
      <w:r>
        <w:rPr>
          <w:b/>
          <w:bCs/>
        </w:rPr>
        <w:t xml:space="preserve">terminates at closing</w:t>
      </w:r>
      <w:r>
        <w:t xml:space="preserve">, and all designation rights and voting obligations cease.</w:t>
      </w:r>
    </w:p>
    <w:p>
      <w:pPr>
        <w:pStyle w:val="BodyText"/>
      </w:pPr>
      <w:r>
        <w:rPr>
          <w:b/>
          <w:bCs/>
        </w:rPr>
        <w:t xml:space="preserve">C. Stonemill’s board observer right — does it survive?</w:t>
      </w:r>
      <w:r>
        <w:t xml:space="preserve"> </w:t>
      </w:r>
      <w:r>
        <w:t xml:space="preserve">No. The observer right (VA §4) is granted</w:t>
      </w:r>
      <w:r>
        <w:t xml:space="preserve"> </w:t>
      </w:r>
      <w:r>
        <w:t xml:space="preserve">“</w:t>
      </w:r>
      <w:r>
        <w:t xml:space="preserve">for so long as Stonemill … holds at least 1,000,000 shares of Series C Preferred Stock.</w:t>
      </w:r>
      <w:r>
        <w:t xml:space="preserve">”</w:t>
      </w:r>
      <w:r>
        <w:t xml:space="preserve"> </w:t>
      </w:r>
      <w:r>
        <w:t xml:space="preserve">At closing, all Series C is cancelled, so Stonemill ceases to hold the requisite shares, and the observer right terminates (VA §7.3). Independently, the entire Voting Agreement terminates upon the Sale of the Company (§7.1(b)), which also extinguishes the observer right. The observer right</w:t>
      </w:r>
      <w:r>
        <w:t xml:space="preserve"> </w:t>
      </w:r>
      <w:r>
        <w:rPr>
          <w:b/>
          <w:bCs/>
        </w:rPr>
        <w:t xml:space="preserve">does not survive closing.</w:t>
      </w:r>
    </w:p>
    <w:p>
      <w:pPr>
        <w:pStyle w:val="BodyText"/>
      </w:pPr>
      <w:r>
        <w:rPr>
          <w:b/>
          <w:bCs/>
        </w:rPr>
        <w:t xml:space="preserve">D. The November 3, 2026 sunset as a backstop (MODERATE).</w:t>
      </w:r>
      <w:r>
        <w:t xml:space="preserve"> </w:t>
      </w:r>
      <w:r>
        <w:t xml:space="preserve">If, contrary to expectation, the merger were held</w:t>
      </w:r>
      <w:r>
        <w:t xml:space="preserve"> </w:t>
      </w:r>
      <w:r>
        <w:rPr>
          <w:i/>
          <w:iCs/>
        </w:rPr>
        <w:t xml:space="preserve">not</w:t>
      </w:r>
      <w:r>
        <w:t xml:space="preserve"> </w:t>
      </w:r>
      <w:r>
        <w:t xml:space="preserve">to constitute a</w:t>
      </w:r>
      <w:r>
        <w:t xml:space="preserve"> </w:t>
      </w:r>
      <w:r>
        <w:t xml:space="preserve">“</w:t>
      </w:r>
      <w:r>
        <w:t xml:space="preserve">Sale of the Company</w:t>
      </w:r>
      <w:r>
        <w:t xml:space="preserve">”</w:t>
      </w:r>
      <w:r>
        <w:t xml:space="preserve"> </w:t>
      </w:r>
      <w:r>
        <w:t xml:space="preserve">under the Voting Agreement (e.g., due to a successful challenge to the definition’s application), the Voting Agreement would remain in effect until November 3, 2026, and the designation rights and observer right would linger. This is a low-probability scenario—the merger clearly satisfies the definition—but it underscores the importance of confirming the definitional capture (Section VI) and, if desired, obtaining a confirmatory written termination of the Voting Agreement at closing.</w:t>
      </w:r>
    </w:p>
    <w:p>
      <w:pPr>
        <w:pStyle w:val="BodyText"/>
      </w:pPr>
      <w:r>
        <w:rPr>
          <w:b/>
          <w:bCs/>
        </w:rPr>
        <w:t xml:space="preserve">E. Post-closing governance.</w:t>
      </w:r>
      <w:r>
        <w:t xml:space="preserve"> </w:t>
      </w:r>
      <w:r>
        <w:t xml:space="preserve">Upon closing, Terravox is a wholly-owned subsidiary of Hargrove. Hargrove, as sole stockholder, will elect the Terravox board and control its governance. The pre-closing designation rights are moot. The merger agreement should provide for the resignation of the existing Terravox directors and officers (subject to indemnification survival—see below) and the appointment of Hargrove-designated successors effective at closing.</w:t>
      </w:r>
    </w:p>
    <w:p>
      <w:pPr>
        <w:pStyle w:val="BodyText"/>
      </w:pPr>
      <w:r>
        <w:rPr>
          <w:b/>
          <w:bCs/>
        </w:rPr>
        <w:t xml:space="preserve">F. Indemnification survival (MODERATE).</w:t>
      </w:r>
      <w:r>
        <w:t xml:space="preserve"> </w:t>
      </w:r>
      <w:r>
        <w:t xml:space="preserve">The Charter (Art. VII) and Bylaws (Art. VI) provide broad indemnification and advancement rights to directors and officers, and the Bylaws (§6.4) note that the Company has entered into individual indemnification agreements with each director. These obligations</w:t>
      </w:r>
      <w:r>
        <w:t xml:space="preserve"> </w:t>
      </w:r>
      <w:r>
        <w:rPr>
          <w:b/>
          <w:bCs/>
        </w:rPr>
        <w:t xml:space="preserve">survive</w:t>
      </w:r>
      <w:r>
        <w:t xml:space="preserve"> </w:t>
      </w:r>
      <w:r>
        <w:t xml:space="preserve">the merger as to acts occurring prior to closing (Charter §7.2, final sentence; Bylaws §6.7). The merger agreement should address D&amp;O indemnification and advancement for pre-closing acts, including a tail period (typically six years) and the maintenance of D&amp;O insurance (the SHA §5.3 requires ≥$5 million D&amp;O coverage). Confirm the existence and terms of the individual indemnification agreements, which should be honored or assumed.</w:t>
      </w:r>
    </w:p>
    <w:p>
      <w:r>
        <w:pict>
          <v:rect style="width:0;height:1.5pt" o:hralign="center" o:hrstd="t" o:hr="t"/>
        </w:pict>
      </w:r>
    </w:p>
    <w:bookmarkEnd w:id="31"/>
    <w:bookmarkStart w:id="32" w:name="X9938f9aad1ea9a1c689bd77dd1c16a0035e756d"/>
    <w:p>
      <w:pPr>
        <w:pStyle w:val="Heading2"/>
      </w:pPr>
      <w:r>
        <w:t xml:space="preserve">XII. Recommended Next Steps and Action Items</w:t>
      </w:r>
    </w:p>
    <w:p>
      <w:pPr>
        <w:pStyle w:val="FirstParagraph"/>
      </w:pPr>
      <w:r>
        <w:rPr>
          <w:b/>
          <w:bCs/>
        </w:rPr>
        <w:t xml:space="preserve">A. Immediate / time-sensitive.</w:t>
      </w:r>
    </w:p>
    <w:p>
      <w:pPr>
        <w:numPr>
          <w:ilvl w:val="0"/>
          <w:numId w:val="1018"/>
        </w:numPr>
      </w:pPr>
      <w:r>
        <w:rPr>
          <w:b/>
          <w:bCs/>
        </w:rPr>
        <w:t xml:space="preserve">SensorLink LOI exclusivity (CRITICAL).</w:t>
      </w:r>
      <w:r>
        <w:t xml:space="preserve"> </w:t>
      </w:r>
      <w:r>
        <w:t xml:space="preserve">Confirm whether a written termination notice was sent before September 8, 2024. If not, direct the Company (through Jonathan Hsieh → Nathaniel Rourke) to send a termination notice immediately and to seek a confirmatory termination/waiver from SensorLink. Do not sign the definitive merger agreement until the exclusivity status is resolved.</w:t>
      </w:r>
      <w:r>
        <w:t xml:space="preserve"> </w:t>
      </w:r>
      <w:r>
        <w:rPr>
          <w:i/>
          <w:iCs/>
        </w:rPr>
        <w:t xml:space="preserve">Flag to JH immediately.</w:t>
      </w:r>
    </w:p>
    <w:p>
      <w:pPr>
        <w:numPr>
          <w:ilvl w:val="0"/>
          <w:numId w:val="1018"/>
        </w:numPr>
      </w:pPr>
      <w:r>
        <w:rPr>
          <w:b/>
          <w:bCs/>
        </w:rPr>
        <w:t xml:space="preserve">Stonemill engagement strategy (CRITICAL).</w:t>
      </w:r>
      <w:r>
        <w:t xml:space="preserve"> </w:t>
      </w:r>
      <w:r>
        <w:t xml:space="preserve">Confirm the legal conclusion that Stonemill’s Series C separate-class consent is required and non-circumventable. Develop a negotiation plan for securing Stonemill’s consent, including: (i) the baseline economics (Stonemill receives ~$144.3 million via its preference); (ii) anticipated demands (higher consideration allocation, side payment, post-closing management/observer rights); and (iii) fallback positions. Coordinate with Katrina Voss on the negotiation posture.</w:t>
      </w:r>
    </w:p>
    <w:p>
      <w:pPr>
        <w:pStyle w:val="FirstParagraph"/>
      </w:pPr>
      <w:r>
        <w:rPr>
          <w:b/>
          <w:bCs/>
        </w:rPr>
        <w:t xml:space="preserve">B. Document requests (to be routed through Jonathan Hsieh to Nathaniel Rourke at Avery, Pollard &amp; Glenn).</w:t>
      </w:r>
    </w:p>
    <w:p>
      <w:pPr>
        <w:numPr>
          <w:ilvl w:val="0"/>
          <w:numId w:val="1019"/>
        </w:numPr>
      </w:pPr>
      <w:r>
        <w:rPr>
          <w:b/>
          <w:bCs/>
        </w:rPr>
        <w:t xml:space="preserve">2021 Equity Incentive Plan</w:t>
      </w:r>
      <w:r>
        <w:t xml:space="preserve"> </w:t>
      </w:r>
      <w:r>
        <w:t xml:space="preserve">(as amended, including the July 2023 amendment) and</w:t>
      </w:r>
      <w:r>
        <w:t xml:space="preserve"> </w:t>
      </w:r>
      <w:r>
        <w:rPr>
          <w:b/>
          <w:bCs/>
        </w:rPr>
        <w:t xml:space="preserve">all individual award agreements</w:t>
      </w:r>
      <w:r>
        <w:t xml:space="preserve"> </w:t>
      </w:r>
      <w:r>
        <w:t xml:space="preserve">(option agreements, RSU agreements) — to assess change-of-control definitions, single/double-trigger acceleration, and aggregate dollar impact.</w:t>
      </w:r>
    </w:p>
    <w:p>
      <w:pPr>
        <w:numPr>
          <w:ilvl w:val="0"/>
          <w:numId w:val="1019"/>
        </w:numPr>
      </w:pPr>
      <w:r>
        <w:rPr>
          <w:b/>
          <w:bCs/>
        </w:rPr>
        <w:t xml:space="preserve">Complete cap table</w:t>
      </w:r>
      <w:r>
        <w:t xml:space="preserve"> </w:t>
      </w:r>
      <w:r>
        <w:t xml:space="preserve">with award-level detail (grantee, award type, shares, exercise price, vesting schedule, vested/unvested status) — to reconcile the 10,100,000-share option/common pool and model acceleration.</w:t>
      </w:r>
    </w:p>
    <w:p>
      <w:pPr>
        <w:numPr>
          <w:ilvl w:val="0"/>
          <w:numId w:val="1019"/>
        </w:numPr>
      </w:pPr>
      <w:r>
        <w:rPr>
          <w:b/>
          <w:bCs/>
        </w:rPr>
        <w:t xml:space="preserve">Stockholder written-consent records</w:t>
      </w:r>
      <w:r>
        <w:t xml:space="preserve"> </w:t>
      </w:r>
      <w:r>
        <w:t xml:space="preserve">— specifically: (i) any Preferred Stockholder written consent authorizing the $12 million Clearfield term loan (Charter §4.3.6(a)(v)); and (ii) any stockholder consent approving the July 2023 Plan share-reserve increase.</w:t>
      </w:r>
    </w:p>
    <w:p>
      <w:pPr>
        <w:numPr>
          <w:ilvl w:val="0"/>
          <w:numId w:val="1019"/>
        </w:numPr>
      </w:pPr>
      <w:r>
        <w:rPr>
          <w:b/>
          <w:bCs/>
        </w:rPr>
        <w:t xml:space="preserve">Clearfield National Bank loan agreement</w:t>
      </w:r>
      <w:r>
        <w:t xml:space="preserve"> </w:t>
      </w:r>
      <w:r>
        <w:t xml:space="preserve">and all ancillary documents (security agreement, IP security agreement, promissory note) — to review change-of-control covenants, prepayment/exit mechanics, and the security interest scope.</w:t>
      </w:r>
    </w:p>
    <w:p>
      <w:pPr>
        <w:numPr>
          <w:ilvl w:val="0"/>
          <w:numId w:val="1019"/>
        </w:numPr>
      </w:pPr>
      <w:r>
        <w:rPr>
          <w:b/>
          <w:bCs/>
        </w:rPr>
        <w:t xml:space="preserve">SensorLink LOI</w:t>
      </w:r>
      <w:r>
        <w:t xml:space="preserve"> </w:t>
      </w:r>
      <w:r>
        <w:t xml:space="preserve">(executed March 8, 2024) and any related correspondence — to confirm the exclusivity auto-renewal mechanics and termination status.</w:t>
      </w:r>
    </w:p>
    <w:p>
      <w:pPr>
        <w:numPr>
          <w:ilvl w:val="0"/>
          <w:numId w:val="1019"/>
        </w:numPr>
      </w:pPr>
      <w:r>
        <w:rPr>
          <w:b/>
          <w:bCs/>
        </w:rPr>
        <w:t xml:space="preserve">Individual indemnification agreements</w:t>
      </w:r>
      <w:r>
        <w:t xml:space="preserve"> </w:t>
      </w:r>
      <w:r>
        <w:t xml:space="preserve">with each director and officer — to assess post-closing indemnification obligations.</w:t>
      </w:r>
    </w:p>
    <w:p>
      <w:pPr>
        <w:numPr>
          <w:ilvl w:val="0"/>
          <w:numId w:val="1019"/>
        </w:numPr>
      </w:pPr>
      <w:r>
        <w:rPr>
          <w:b/>
          <w:bCs/>
        </w:rPr>
        <w:t xml:space="preserve">Thornbury &amp; Associates fairness/valuation analysis</w:t>
      </w:r>
      <w:r>
        <w:t xml:space="preserve"> </w:t>
      </w:r>
      <w:r>
        <w:t xml:space="preserve">— to assess the fairness opinion and the waterfall analysis (and reconcile the apparent misstatement in the September 25 minutes).</w:t>
      </w:r>
    </w:p>
    <w:p>
      <w:pPr>
        <w:numPr>
          <w:ilvl w:val="0"/>
          <w:numId w:val="1019"/>
        </w:numPr>
      </w:pPr>
      <w:r>
        <w:rPr>
          <w:b/>
          <w:bCs/>
        </w:rPr>
        <w:t xml:space="preserve">Meridian Partners process materials</w:t>
      </w:r>
      <w:r>
        <w:t xml:space="preserve"> </w:t>
      </w:r>
      <w:r>
        <w:t xml:space="preserve">— indications of interest, process correspondence, and the final waterfall analysis — to assess the robustness of the market check.</w:t>
      </w:r>
    </w:p>
    <w:p>
      <w:pPr>
        <w:pStyle w:val="FirstParagraph"/>
      </w:pPr>
      <w:r>
        <w:rPr>
          <w:b/>
          <w:bCs/>
        </w:rPr>
        <w:t xml:space="preserve">C. Merger-agreement drafting items.</w:t>
      </w:r>
    </w:p>
    <w:p>
      <w:pPr>
        <w:numPr>
          <w:ilvl w:val="0"/>
          <w:numId w:val="1020"/>
        </w:numPr>
      </w:pPr>
      <w:r>
        <w:rPr>
          <w:b/>
          <w:bCs/>
        </w:rPr>
        <w:t xml:space="preserve">Consent conditions.</w:t>
      </w:r>
      <w:r>
        <w:t xml:space="preserve"> </w:t>
      </w:r>
      <w:r>
        <w:t xml:space="preserve">Condition closing on (i) the DGCL §251 stockholder approval, (ii) the all-Preferred consent (Charter §4.3.6(a)(vi)), and (iii) the Series C separate-class consent (Charter §4.3.6(b)(i)). Do not rely on the drag-along to satisfy the Series C consent.</w:t>
      </w:r>
    </w:p>
    <w:p>
      <w:pPr>
        <w:numPr>
          <w:ilvl w:val="0"/>
          <w:numId w:val="1020"/>
        </w:numPr>
      </w:pPr>
      <w:r>
        <w:rPr>
          <w:b/>
          <w:bCs/>
        </w:rPr>
        <w:t xml:space="preserve">RRA express termination.</w:t>
      </w:r>
      <w:r>
        <w:t xml:space="preserve"> </w:t>
      </w:r>
      <w:r>
        <w:t xml:space="preserve">Include an express termination and release of the RRA at closing, with confirmatory written terminations from Ridgeline, Northbridge, and Stonemill.</w:t>
      </w:r>
    </w:p>
    <w:p>
      <w:pPr>
        <w:numPr>
          <w:ilvl w:val="0"/>
          <w:numId w:val="1020"/>
        </w:numPr>
      </w:pPr>
      <w:r>
        <w:rPr>
          <w:b/>
          <w:bCs/>
        </w:rPr>
        <w:t xml:space="preserve">Voting Agreement / SHA confirmatory termination.</w:t>
      </w:r>
      <w:r>
        <w:t xml:space="preserve"> </w:t>
      </w:r>
      <w:r>
        <w:t xml:space="preserve">Obtain confirmatory written terminations of the SHA and Voting Agreement at closing (in addition to their automatic termination on the Sale of the Company).</w:t>
      </w:r>
    </w:p>
    <w:p>
      <w:pPr>
        <w:numPr>
          <w:ilvl w:val="0"/>
          <w:numId w:val="1020"/>
        </w:numPr>
      </w:pPr>
      <w:r>
        <w:rPr>
          <w:b/>
          <w:bCs/>
        </w:rPr>
        <w:t xml:space="preserve">20-day Liquidation Event notice.</w:t>
      </w:r>
      <w:r>
        <w:t xml:space="preserve"> </w:t>
      </w:r>
      <w:r>
        <w:t xml:space="preserve">Calendar the Charter §4.3.2(d) 20-day pre-closing notice to Preferred holders, with the required per-share distribution estimates.</w:t>
      </w:r>
    </w:p>
    <w:p>
      <w:pPr>
        <w:numPr>
          <w:ilvl w:val="0"/>
          <w:numId w:val="1020"/>
        </w:numPr>
      </w:pPr>
      <w:r>
        <w:rPr>
          <w:b/>
          <w:bCs/>
        </w:rPr>
        <w:t xml:space="preserve">Drag-along compliance.</w:t>
      </w:r>
      <w:r>
        <w:t xml:space="preserve"> </w:t>
      </w:r>
      <w:r>
        <w:t xml:space="preserve">Structure the stockholder representative and indemnity provisions to respect the SHA §3.2 limits (several liability, consideration cap, no non-competes/non-solicits for dragged stockholders).</w:t>
      </w:r>
    </w:p>
    <w:p>
      <w:pPr>
        <w:numPr>
          <w:ilvl w:val="0"/>
          <w:numId w:val="1020"/>
        </w:numPr>
      </w:pPr>
      <w:r>
        <w:rPr>
          <w:b/>
          <w:bCs/>
        </w:rPr>
        <w:t xml:space="preserve">D&amp;O indemnification tail.</w:t>
      </w:r>
      <w:r>
        <w:t xml:space="preserve"> </w:t>
      </w:r>
      <w:r>
        <w:t xml:space="preserve">Provide for a six-year (or longer) indemnification tail and run-off D&amp;O insurance for pre-closing acts; honor or assume the individual indemnification agreements.</w:t>
      </w:r>
    </w:p>
    <w:p>
      <w:pPr>
        <w:numPr>
          <w:ilvl w:val="0"/>
          <w:numId w:val="1020"/>
        </w:numPr>
      </w:pPr>
      <w:r>
        <w:rPr>
          <w:b/>
          <w:bCs/>
        </w:rPr>
        <w:t xml:space="preserve">No-exclusivity representation.</w:t>
      </w:r>
      <w:r>
        <w:t xml:space="preserve"> </w:t>
      </w:r>
      <w:r>
        <w:t xml:space="preserve">Include a representation that no exclusivity or similar restriction (including the SensorLink LOI) is in effect that would restrict Terravox’s ability to enter into or consummate the merger.</w:t>
      </w:r>
    </w:p>
    <w:p>
      <w:pPr>
        <w:pStyle w:val="FirstParagraph"/>
      </w:pPr>
      <w:r>
        <w:rPr>
          <w:b/>
          <w:bCs/>
        </w:rPr>
        <w:t xml:space="preserve">D. Process / fiduciary-duty items.</w:t>
      </w:r>
    </w:p>
    <w:p>
      <w:pPr>
        <w:numPr>
          <w:ilvl w:val="0"/>
          <w:numId w:val="1021"/>
        </w:numPr>
      </w:pPr>
      <w:r>
        <w:rPr>
          <w:b/>
          <w:bCs/>
        </w:rPr>
        <w:t xml:space="preserve">Special Committee reconstitution.</w:t>
      </w:r>
      <w:r>
        <w:t xml:space="preserve"> </w:t>
      </w:r>
      <w:r>
        <w:t xml:space="preserve">Consider reconstituting the Special Committee to exclude Sandra Okafor (or adding a new independent director) for the final negotiation and approval stage, to cure the disinterestedness concern.</w:t>
      </w:r>
    </w:p>
    <w:p>
      <w:pPr>
        <w:numPr>
          <w:ilvl w:val="0"/>
          <w:numId w:val="1021"/>
        </w:numPr>
      </w:pPr>
      <w:r>
        <w:rPr>
          <w:b/>
          <w:bCs/>
        </w:rPr>
        <w:t xml:space="preserve">Market-check record.</w:t>
      </w:r>
      <w:r>
        <w:t xml:space="preserve"> </w:t>
      </w:r>
      <w:r>
        <w:t xml:space="preserve">Document the robustness of the sale process to defend against Revlon challenges, anticipating that Stonemill may raise process objections.</w:t>
      </w:r>
    </w:p>
    <w:p>
      <w:pPr>
        <w:pStyle w:val="FirstParagraph"/>
      </w:pPr>
      <w:r>
        <w:rPr>
          <w:b/>
          <w:bCs/>
        </w:rPr>
        <w:t xml:space="preserve">E. Open questions for client input.</w:t>
      </w:r>
    </w:p>
    <w:p>
      <w:pPr>
        <w:numPr>
          <w:ilvl w:val="0"/>
          <w:numId w:val="1022"/>
        </w:numPr>
      </w:pPr>
      <w:r>
        <w:rPr>
          <w:b/>
          <w:bCs/>
        </w:rPr>
        <w:t xml:space="preserve">Stonemill negotiation parameters.</w:t>
      </w:r>
      <w:r>
        <w:t xml:space="preserve"> </w:t>
      </w:r>
      <w:r>
        <w:t xml:space="preserve">What concessions is Hargrove willing to consider to secure Stonemill’s consent (e.g., a top-up payment, a post-closing advisory/observer role, a modified consideration allocation)? What is the walk-away point?</w:t>
      </w:r>
    </w:p>
    <w:p>
      <w:pPr>
        <w:numPr>
          <w:ilvl w:val="0"/>
          <w:numId w:val="1022"/>
        </w:numPr>
      </w:pPr>
      <w:r>
        <w:rPr>
          <w:b/>
          <w:bCs/>
        </w:rPr>
        <w:t xml:space="preserve">Acceleration policy.</w:t>
      </w:r>
      <w:r>
        <w:t xml:space="preserve"> </w:t>
      </w:r>
      <w:r>
        <w:t xml:space="preserve">What treatment of equity awards (single-trigger acceleration, double-trigger, or cash-out at target) is Hargrove willing to accept, and how does it affect the $473 million equity value?</w:t>
      </w:r>
    </w:p>
    <w:p>
      <w:pPr>
        <w:numPr>
          <w:ilvl w:val="0"/>
          <w:numId w:val="1022"/>
        </w:numPr>
      </w:pPr>
      <w:r>
        <w:rPr>
          <w:b/>
          <w:bCs/>
        </w:rPr>
        <w:t xml:space="preserve">Clearfield loan resolution.</w:t>
      </w:r>
      <w:r>
        <w:t xml:space="preserve"> </w:t>
      </w:r>
      <w:r>
        <w:t xml:space="preserve">If the Preferred consent for the Clearfield loan was not obtained, how should the alleged Charter violation be addressed (waiver, ratification, indemnity) in the merger agreement?</w:t>
      </w:r>
    </w:p>
    <w:p>
      <w:r>
        <w:pict>
          <v:rect style="width:0;height:1.5pt" o:hralign="center" o:hrstd="t" o:hr="t"/>
        </w:pict>
      </w:r>
    </w:p>
    <w:bookmarkEnd w:id="32"/>
    <w:bookmarkStart w:id="33" w:name="xiii.-conclusion"/>
    <w:p>
      <w:pPr>
        <w:pStyle w:val="Heading2"/>
      </w:pPr>
      <w:r>
        <w:t xml:space="preserve">XIII. Conclusion</w:t>
      </w:r>
    </w:p>
    <w:p>
      <w:pPr>
        <w:pStyle w:val="FirstParagraph"/>
      </w:pPr>
      <w:r>
        <w:t xml:space="preserve">The governance architecture of Terravox gives Stonemill a hard, non-circumventable blocking right over the proposed acquisition through the Series C separate-class protective provision in Charter §4.3.6(b)(i). The drag-along right in the SHA, while triggerable without Stonemill, cannot reliably override this Charter-level veto, and the Charter cannot be amended to remove the veto without Stonemill’s own consent.</w:t>
      </w:r>
      <w:r>
        <w:t xml:space="preserve"> </w:t>
      </w:r>
      <w:r>
        <w:rPr>
          <w:b/>
          <w:bCs/>
        </w:rPr>
        <w:t xml:space="preserve">There is no viable path to closing without Stonemill’s affirmative consent.</w:t>
      </w:r>
      <w:r>
        <w:t xml:space="preserve"> </w:t>
      </w:r>
      <w:r>
        <w:t xml:space="preserve">The deal must be negotiated to a consensual resolution with Stonemill.</w:t>
      </w:r>
    </w:p>
    <w:p>
      <w:pPr>
        <w:pStyle w:val="BodyText"/>
      </w:pPr>
      <w:r>
        <w:t xml:space="preserve">The most immediate operational risk is the potential live exclusivity obligation under the SensorLink LOI, which must be investigated and remediated before signing. The Clearfield term loan’s apparent lack of Preferred consent, the Special Committee’s composition, the RRA’s undefined termination trigger, and the outstanding equity-award documents are additional items requiring prompt attention. The consent/approval matrix (Appendix A) and severity classification (Appendix B) summarize the full diligence picture.</w:t>
      </w:r>
    </w:p>
    <w:p>
      <w:pPr>
        <w:pStyle w:val="BodyText"/>
      </w:pPr>
      <w:r>
        <w:t xml:space="preserve">We are available to discuss any of the foregoing, and to walk through the Stonemill leverage analysis and the SensorLink exclusivity question, at your convenience.</w:t>
      </w:r>
    </w:p>
    <w:p>
      <w:r>
        <w:pict>
          <v:rect style="width:0;height:1.5pt" o:hralign="center" o:hrstd="t" o:hr="t"/>
        </w:pict>
      </w:r>
    </w:p>
    <w:bookmarkEnd w:id="33"/>
    <w:bookmarkStart w:id="34"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Approval / Consent</w:t>
            </w:r>
          </w:p>
        </w:tc>
        <w:tc>
          <w:tcPr/>
          <w:p>
            <w:pPr>
              <w:pStyle w:val="Compact"/>
              <w:jc w:val="left"/>
            </w:pPr>
            <w:r>
              <w:t xml:space="preserve">Source Provision</w:t>
            </w:r>
          </w:p>
        </w:tc>
        <w:tc>
          <w:tcPr/>
          <w:p>
            <w:pPr>
              <w:pStyle w:val="Compact"/>
              <w:jc w:val="left"/>
            </w:pPr>
            <w:r>
              <w:t xml:space="preserve">Threshold</w:t>
            </w:r>
          </w:p>
        </w:tc>
        <w:tc>
          <w:tcPr/>
          <w:p>
            <w:pPr>
              <w:pStyle w:val="Compact"/>
              <w:jc w:val="left"/>
            </w:pPr>
            <w:r>
              <w:t xml:space="preserve">Parties Whose Consent Is Needed</w:t>
            </w:r>
          </w:p>
        </w:tc>
        <w:tc>
          <w:tcPr/>
          <w:p>
            <w:pPr>
              <w:pStyle w:val="Compact"/>
              <w:jc w:val="left"/>
            </w:pPr>
            <w:r>
              <w:t xml:space="preserve">Achievable Without Stonemill?</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Board approval of merger agreement</w:t>
            </w:r>
          </w:p>
        </w:tc>
        <w:tc>
          <w:tcPr/>
          <w:p>
            <w:pPr>
              <w:pStyle w:val="Compact"/>
              <w:jc w:val="left"/>
            </w:pPr>
            <w:r>
              <w:t xml:space="preserve">DGCL §251(c); Bylaws §3.7</w:t>
            </w:r>
          </w:p>
        </w:tc>
        <w:tc>
          <w:tcPr/>
          <w:p>
            <w:pPr>
              <w:pStyle w:val="Compact"/>
              <w:jc w:val="left"/>
            </w:pPr>
            <w:r>
              <w:t xml:space="preserve">Majority of directors then in office (4 of 7)</w:t>
            </w:r>
          </w:p>
        </w:tc>
        <w:tc>
          <w:tcPr/>
          <w:p>
            <w:pPr>
              <w:pStyle w:val="Compact"/>
              <w:jc w:val="left"/>
            </w:pPr>
            <w:r>
              <w:t xml:space="preserve">Terravox Board</w:t>
            </w:r>
          </w:p>
        </w:tc>
        <w:tc>
          <w:tcPr/>
          <w:p>
            <w:pPr>
              <w:pStyle w:val="Compact"/>
              <w:jc w:val="left"/>
            </w:pPr>
            <w:r>
              <w:t xml:space="preserve">Yes</w:t>
            </w:r>
          </w:p>
        </w:tc>
        <w:tc>
          <w:tcPr/>
          <w:p>
            <w:pPr>
              <w:pStyle w:val="Compact"/>
              <w:jc w:val="left"/>
            </w:pPr>
            <w:r>
              <w:t xml:space="preserve">Not yet obtained (Board authorized negotiation 9/25/24; definitive approval pending)</w:t>
            </w:r>
          </w:p>
        </w:tc>
      </w:tr>
      <w:tr>
        <w:tc>
          <w:tcPr/>
          <w:p>
            <w:pPr>
              <w:pStyle w:val="Compact"/>
              <w:jc w:val="left"/>
            </w:pPr>
            <w:r>
              <w:t xml:space="preserve">2</w:t>
            </w:r>
          </w:p>
        </w:tc>
        <w:tc>
          <w:tcPr/>
          <w:p>
            <w:pPr>
              <w:pStyle w:val="Compact"/>
              <w:jc w:val="left"/>
            </w:pPr>
            <w:r>
              <w:t xml:space="preserve">Stockholder approval (merger)</w:t>
            </w:r>
          </w:p>
        </w:tc>
        <w:tc>
          <w:tcPr/>
          <w:p>
            <w:pPr>
              <w:pStyle w:val="Compact"/>
              <w:jc w:val="left"/>
            </w:pPr>
            <w:r>
              <w:t xml:space="preserve">DGCL §251(c); Charter Art. VI</w:t>
            </w:r>
          </w:p>
        </w:tc>
        <w:tc>
          <w:tcPr/>
          <w:p>
            <w:pPr>
              <w:pStyle w:val="Compact"/>
              <w:jc w:val="left"/>
            </w:pPr>
            <w:r>
              <w:t xml:space="preserve">Majority of outstanding shares entitled to vote (as-converted, single class); &gt;16,950,000 of 33,900,000 FD</w:t>
            </w:r>
          </w:p>
        </w:tc>
        <w:tc>
          <w:tcPr/>
          <w:p>
            <w:pPr>
              <w:pStyle w:val="Compact"/>
              <w:jc w:val="left"/>
            </w:pPr>
            <w:r>
              <w:t xml:space="preserve">Terravox stockholders</w:t>
            </w:r>
          </w:p>
        </w:tc>
        <w:tc>
          <w:tcPr/>
          <w:p>
            <w:pPr>
              <w:pStyle w:val="Compact"/>
              <w:jc w:val="left"/>
            </w:pPr>
            <w:r>
              <w:t xml:space="preserve">Yes (with ~950K+ additional common/option support)</w:t>
            </w:r>
          </w:p>
        </w:tc>
        <w:tc>
          <w:tcPr/>
          <w:p>
            <w:pPr>
              <w:pStyle w:val="Compact"/>
              <w:jc w:val="left"/>
            </w:pPr>
            <w:r>
              <w:t xml:space="preserve">Not yet obtained; achievable via written consent (Bylaws §2.6)</w:t>
            </w:r>
          </w:p>
        </w:tc>
      </w:tr>
      <w:tr>
        <w:tc>
          <w:tcPr/>
          <w:p>
            <w:pPr>
              <w:pStyle w:val="Compact"/>
              <w:jc w:val="left"/>
            </w:pPr>
            <w:r>
              <w:t xml:space="preserve">3</w:t>
            </w:r>
          </w:p>
        </w:tc>
        <w:tc>
          <w:tcPr/>
          <w:p>
            <w:pPr>
              <w:pStyle w:val="Compact"/>
              <w:jc w:val="left"/>
            </w:pPr>
            <w:r>
              <w:t xml:space="preserve">All-Preferred consent (Liquidation Event)</w:t>
            </w:r>
          </w:p>
        </w:tc>
        <w:tc>
          <w:tcPr/>
          <w:p>
            <w:pPr>
              <w:pStyle w:val="Compact"/>
              <w:jc w:val="left"/>
            </w:pPr>
            <w:r>
              <w:t xml:space="preserve">Charter §4.3.6(a)(vi)</w:t>
            </w:r>
          </w:p>
        </w:tc>
        <w:tc>
          <w:tcPr/>
          <w:p>
            <w:pPr>
              <w:pStyle w:val="Compact"/>
              <w:jc w:val="left"/>
            </w:pPr>
            <w:r>
              <w:t xml:space="preserve">Majority (&gt;50%) of Preferred, as-converted, single class; &gt;8,250,000 of 16,500,000</w:t>
            </w:r>
          </w:p>
        </w:tc>
        <w:tc>
          <w:tcPr/>
          <w:p>
            <w:pPr>
              <w:pStyle w:val="Compact"/>
              <w:jc w:val="left"/>
            </w:pPr>
            <w:r>
              <w:t xml:space="preserve">Preferred holders</w:t>
            </w:r>
          </w:p>
        </w:tc>
        <w:tc>
          <w:tcPr/>
          <w:p>
            <w:pPr>
              <w:pStyle w:val="Compact"/>
              <w:jc w:val="left"/>
            </w:pPr>
            <w:r>
              <w:rPr>
                <w:b/>
                <w:bCs/>
              </w:rPr>
              <w:t xml:space="preserve">Yes</w:t>
            </w:r>
            <w:r>
              <w:t xml:space="preserve"> </w:t>
            </w:r>
            <w:r>
              <w:t xml:space="preserve">(Ridgeline + Northbridge = 8,700,000)</w:t>
            </w:r>
          </w:p>
        </w:tc>
        <w:tc>
          <w:tcPr/>
          <w:p>
            <w:pPr>
              <w:pStyle w:val="Compact"/>
              <w:jc w:val="left"/>
            </w:pPr>
            <w:r>
              <w:t xml:space="preserve">Not yet obtained; achievable without Stonemill</w:t>
            </w:r>
          </w:p>
        </w:tc>
      </w:tr>
      <w:tr>
        <w:tc>
          <w:tcPr/>
          <w:p>
            <w:pPr>
              <w:pStyle w:val="Compact"/>
              <w:jc w:val="left"/>
            </w:pPr>
            <w:r>
              <w:t xml:space="preserve">4</w:t>
            </w:r>
          </w:p>
        </w:tc>
        <w:tc>
          <w:tcPr/>
          <w:p>
            <w:pPr>
              <w:pStyle w:val="Compact"/>
              <w:jc w:val="left"/>
            </w:pPr>
            <w:r>
              <w:t xml:space="preserve">Series C separate-class consent (Liquidation Event)</w:t>
            </w:r>
          </w:p>
        </w:tc>
        <w:tc>
          <w:tcPr/>
          <w:p>
            <w:pPr>
              <w:pStyle w:val="Compact"/>
              <w:jc w:val="left"/>
            </w:pPr>
            <w:r>
              <w:t xml:space="preserve">Charter §4.3.6(b)(i)</w:t>
            </w:r>
          </w:p>
        </w:tc>
        <w:tc>
          <w:tcPr/>
          <w:p>
            <w:pPr>
              <w:pStyle w:val="Compact"/>
              <w:jc w:val="left"/>
            </w:pPr>
            <w:r>
              <w:t xml:space="preserve">66⅔% of Series C, separate class; ≥5,200,000 of 7,800,000</w:t>
            </w:r>
          </w:p>
        </w:tc>
        <w:tc>
          <w:tcPr/>
          <w:p>
            <w:pPr>
              <w:pStyle w:val="Compact"/>
              <w:jc w:val="left"/>
            </w:pPr>
            <w:r>
              <w:t xml:space="preserve">Series C holders (Stonemill = 100%)</w:t>
            </w:r>
          </w:p>
        </w:tc>
        <w:tc>
          <w:tcPr/>
          <w:p>
            <w:pPr>
              <w:pStyle w:val="Compact"/>
              <w:jc w:val="left"/>
            </w:pPr>
            <w:r>
              <w:rPr>
                <w:b/>
                <w:bCs/>
              </w:rPr>
              <w:t xml:space="preserve">No — HARD BLOCK</w:t>
            </w:r>
          </w:p>
        </w:tc>
        <w:tc>
          <w:tcPr/>
          <w:p>
            <w:pPr>
              <w:pStyle w:val="Compact"/>
              <w:jc w:val="left"/>
            </w:pPr>
            <w:r>
              <w:t xml:space="preserve">Not yet obtained;</w:t>
            </w:r>
            <w:r>
              <w:t xml:space="preserve"> </w:t>
            </w:r>
            <w:r>
              <w:rPr>
                <w:b/>
                <w:bCs/>
              </w:rPr>
              <w:t xml:space="preserve">requires Stonemill’s affirmative consent</w:t>
            </w:r>
          </w:p>
        </w:tc>
      </w:tr>
      <w:tr>
        <w:tc>
          <w:tcPr/>
          <w:p>
            <w:pPr>
              <w:pStyle w:val="Compact"/>
              <w:jc w:val="left"/>
            </w:pPr>
            <w:r>
              <w:t xml:space="preserve">5</w:t>
            </w:r>
          </w:p>
        </w:tc>
        <w:tc>
          <w:tcPr/>
          <w:p>
            <w:pPr>
              <w:pStyle w:val="Compact"/>
              <w:jc w:val="left"/>
            </w:pPr>
            <w:r>
              <w:t xml:space="preserve">All-Preferred consent (Charter amendment, if any)</w:t>
            </w:r>
          </w:p>
        </w:tc>
        <w:tc>
          <w:tcPr/>
          <w:p>
            <w:pPr>
              <w:pStyle w:val="Compact"/>
              <w:jc w:val="left"/>
            </w:pPr>
            <w:r>
              <w:t xml:space="preserve">Charter §4.3.6(a)(i)</w:t>
            </w:r>
          </w:p>
        </w:tc>
        <w:tc>
          <w:tcPr/>
          <w:p>
            <w:pPr>
              <w:pStyle w:val="Compact"/>
              <w:jc w:val="left"/>
            </w:pPr>
            <w:r>
              <w:t xml:space="preserve">Majority of Preferred, as-converted</w:t>
            </w:r>
          </w:p>
        </w:tc>
        <w:tc>
          <w:tcPr/>
          <w:p>
            <w:pPr>
              <w:pStyle w:val="Compact"/>
              <w:jc w:val="left"/>
            </w:pPr>
            <w:r>
              <w:t xml:space="preserve">Preferred holders</w:t>
            </w:r>
          </w:p>
        </w:tc>
        <w:tc>
          <w:tcPr/>
          <w:p>
            <w:pPr>
              <w:pStyle w:val="Compact"/>
              <w:jc w:val="left"/>
            </w:pPr>
            <w:r>
              <w:t xml:space="preserve">Yes (if triggered)</w:t>
            </w:r>
          </w:p>
        </w:tc>
        <w:tc>
          <w:tcPr/>
          <w:p>
            <w:pPr>
              <w:pStyle w:val="Compact"/>
              <w:jc w:val="left"/>
            </w:pPr>
            <w:r>
              <w:t xml:space="preserve">Likely not triggered (no Charter amendment in reverse triangular merger); confirm</w:t>
            </w:r>
          </w:p>
        </w:tc>
      </w:tr>
      <w:tr>
        <w:tc>
          <w:tcPr/>
          <w:p>
            <w:pPr>
              <w:pStyle w:val="Compact"/>
              <w:jc w:val="left"/>
            </w:pPr>
            <w:r>
              <w:t xml:space="preserve">6</w:t>
            </w:r>
          </w:p>
        </w:tc>
        <w:tc>
          <w:tcPr/>
          <w:p>
            <w:pPr>
              <w:pStyle w:val="Compact"/>
              <w:jc w:val="left"/>
            </w:pPr>
            <w:r>
              <w:t xml:space="preserve">Series C separate-class consent (Charter amendment adversely/disproportionately affecting Series C, if any)</w:t>
            </w:r>
          </w:p>
        </w:tc>
        <w:tc>
          <w:tcPr/>
          <w:p>
            <w:pPr>
              <w:pStyle w:val="Compact"/>
              <w:jc w:val="left"/>
            </w:pPr>
            <w:r>
              <w:t xml:space="preserve">Charter §4.3.6(b)(ii)</w:t>
            </w:r>
          </w:p>
        </w:tc>
        <w:tc>
          <w:tcPr/>
          <w:p>
            <w:pPr>
              <w:pStyle w:val="Compact"/>
              <w:jc w:val="left"/>
            </w:pPr>
            <w:r>
              <w:t xml:space="preserve">66⅔% of Series C, separate class</w:t>
            </w:r>
          </w:p>
        </w:tc>
        <w:tc>
          <w:tcPr/>
          <w:p>
            <w:pPr>
              <w:pStyle w:val="Compact"/>
              <w:jc w:val="left"/>
            </w:pPr>
            <w:r>
              <w:t xml:space="preserve">Stonemill</w:t>
            </w:r>
          </w:p>
        </w:tc>
        <w:tc>
          <w:tcPr/>
          <w:p>
            <w:pPr>
              <w:pStyle w:val="Compact"/>
              <w:jc w:val="left"/>
            </w:pPr>
            <w:r>
              <w:rPr>
                <w:b/>
                <w:bCs/>
              </w:rPr>
              <w:t xml:space="preserve">No</w:t>
            </w:r>
            <w:r>
              <w:t xml:space="preserve"> </w:t>
            </w:r>
            <w:r>
              <w:t xml:space="preserve">(if triggered)</w:t>
            </w:r>
          </w:p>
        </w:tc>
        <w:tc>
          <w:tcPr/>
          <w:p>
            <w:pPr>
              <w:pStyle w:val="Compact"/>
              <w:jc w:val="left"/>
            </w:pPr>
            <w:r>
              <w:t xml:space="preserve">Likely not triggered; if triggered, Stonemill block</w:t>
            </w:r>
          </w:p>
        </w:tc>
      </w:tr>
      <w:tr>
        <w:tc>
          <w:tcPr/>
          <w:p>
            <w:pPr>
              <w:pStyle w:val="Compact"/>
              <w:jc w:val="left"/>
            </w:pPr>
            <w:r>
              <w:t xml:space="preserve">7</w:t>
            </w:r>
          </w:p>
        </w:tc>
        <w:tc>
          <w:tcPr/>
          <w:p>
            <w:pPr>
              <w:pStyle w:val="Compact"/>
              <w:jc w:val="left"/>
            </w:pPr>
            <w:r>
              <w:t xml:space="preserve">Drag-along trigger</w:t>
            </w:r>
          </w:p>
        </w:tc>
        <w:tc>
          <w:tcPr/>
          <w:p>
            <w:pPr>
              <w:pStyle w:val="Compact"/>
              <w:jc w:val="left"/>
            </w:pPr>
            <w:r>
              <w:t xml:space="preserve">SHA §3.1(a)</w:t>
            </w:r>
          </w:p>
        </w:tc>
        <w:tc>
          <w:tcPr/>
          <w:p>
            <w:pPr>
              <w:pStyle w:val="Compact"/>
              <w:jc w:val="left"/>
            </w:pPr>
            <w:r>
              <w:t xml:space="preserve">(i) majority Common as-converted; (ii) majority Preferred as-converted; (iii) 2 of 3 Investor Stockholders</w:t>
            </w:r>
          </w:p>
        </w:tc>
        <w:tc>
          <w:tcPr/>
          <w:p>
            <w:pPr>
              <w:pStyle w:val="Compact"/>
              <w:jc w:val="left"/>
            </w:pPr>
            <w:r>
              <w:t xml:space="preserve">Restricted Stockholders (parties to SHA)</w:t>
            </w:r>
          </w:p>
        </w:tc>
        <w:tc>
          <w:tcPr/>
          <w:p>
            <w:pPr>
              <w:pStyle w:val="Compact"/>
              <w:jc w:val="left"/>
            </w:pPr>
            <w:r>
              <w:t xml:space="preserve">Prongs (ii) &amp; (iii):</w:t>
            </w:r>
            <w:r>
              <w:t xml:space="preserve"> </w:t>
            </w:r>
            <w:r>
              <w:rPr>
                <w:b/>
                <w:bCs/>
              </w:rPr>
              <w:t xml:space="preserve">Yes</w:t>
            </w:r>
            <w:r>
              <w:t xml:space="preserve"> </w:t>
            </w:r>
            <w:r>
              <w:t xml:space="preserve">(Ridgeline + Northbridge). Prong (i): achievable with ~950K+ additional common/option support</w:t>
            </w:r>
          </w:p>
        </w:tc>
        <w:tc>
          <w:tcPr/>
          <w:p>
            <w:pPr>
              <w:pStyle w:val="Compact"/>
              <w:jc w:val="left"/>
            </w:pPr>
            <w:r>
              <w:t xml:space="preserve">Not yet triggered;</w:t>
            </w:r>
            <w:r>
              <w:t xml:space="preserve"> </w:t>
            </w:r>
            <w:r>
              <w:rPr>
                <w:b/>
                <w:bCs/>
              </w:rPr>
              <w:t xml:space="preserve">cannot override #4</w:t>
            </w:r>
          </w:p>
        </w:tc>
      </w:tr>
      <w:tr>
        <w:tc>
          <w:tcPr/>
          <w:p>
            <w:pPr>
              <w:pStyle w:val="Compact"/>
              <w:jc w:val="left"/>
            </w:pPr>
            <w:r>
              <w:t xml:space="preserve">8</w:t>
            </w:r>
          </w:p>
        </w:tc>
        <w:tc>
          <w:tcPr/>
          <w:p>
            <w:pPr>
              <w:pStyle w:val="Compact"/>
              <w:jc w:val="left"/>
            </w:pPr>
            <w:r>
              <w:t xml:space="preserve">20-day Liquidation Event notice</w:t>
            </w:r>
          </w:p>
        </w:tc>
        <w:tc>
          <w:tcPr/>
          <w:p>
            <w:pPr>
              <w:pStyle w:val="Compact"/>
              <w:jc w:val="left"/>
            </w:pPr>
            <w:r>
              <w:t xml:space="preserve">Charter §4.3.2(d) (last para.)</w:t>
            </w:r>
          </w:p>
        </w:tc>
        <w:tc>
          <w:tcPr/>
          <w:p>
            <w:pPr>
              <w:pStyle w:val="Compact"/>
              <w:jc w:val="left"/>
            </w:pPr>
            <w:r>
              <w:t xml:space="preserve">Notice ≥20 days pre-closing</w:t>
            </w:r>
          </w:p>
        </w:tc>
        <w:tc>
          <w:tcPr/>
          <w:p>
            <w:pPr>
              <w:pStyle w:val="Compact"/>
              <w:jc w:val="left"/>
            </w:pPr>
            <w:r>
              <w:t xml:space="preserve">Company → each Preferred holder</w:t>
            </w:r>
          </w:p>
        </w:tc>
        <w:tc>
          <w:tcPr/>
          <w:p>
            <w:pPr>
              <w:pStyle w:val="Compact"/>
              <w:jc w:val="left"/>
            </w:pPr>
            <w:r>
              <w:t xml:space="preserve">N/A</w:t>
            </w:r>
          </w:p>
        </w:tc>
        <w:tc>
          <w:tcPr/>
          <w:p>
            <w:pPr>
              <w:pStyle w:val="Compact"/>
              <w:jc w:val="left"/>
            </w:pPr>
            <w:r>
              <w:t xml:space="preserve">Not yet given; calendar as closing condition</w:t>
            </w:r>
          </w:p>
        </w:tc>
      </w:tr>
      <w:tr>
        <w:tc>
          <w:tcPr/>
          <w:p>
            <w:pPr>
              <w:pStyle w:val="Compact"/>
              <w:jc w:val="left"/>
            </w:pPr>
            <w:r>
              <w:t xml:space="preserve">9</w:t>
            </w:r>
          </w:p>
        </w:tc>
        <w:tc>
          <w:tcPr/>
          <w:p>
            <w:pPr>
              <w:pStyle w:val="Compact"/>
              <w:jc w:val="left"/>
            </w:pPr>
            <w:r>
              <w:t xml:space="preserve">SHA termination</w:t>
            </w:r>
          </w:p>
        </w:tc>
        <w:tc>
          <w:tcPr/>
          <w:p>
            <w:pPr>
              <w:pStyle w:val="Compact"/>
              <w:jc w:val="left"/>
            </w:pPr>
            <w:r>
              <w:t xml:space="preserve">SHA §6.1(b)</w:t>
            </w:r>
          </w:p>
        </w:tc>
        <w:tc>
          <w:tcPr/>
          <w:p>
            <w:pPr>
              <w:pStyle w:val="Compact"/>
              <w:jc w:val="left"/>
            </w:pPr>
            <w:r>
              <w:t xml:space="preserve">Automatic on Sale of the Company</w:t>
            </w:r>
          </w:p>
        </w:tc>
        <w:tc>
          <w:tcPr/>
          <w:p>
            <w:pPr>
              <w:pStyle w:val="Compact"/>
              <w:jc w:val="left"/>
            </w:pPr>
            <w:r>
              <w:t xml:space="preserve">N/A</w:t>
            </w:r>
          </w:p>
        </w:tc>
        <w:tc>
          <w:tcPr/>
          <w:p>
            <w:pPr>
              <w:pStyle w:val="Compact"/>
              <w:jc w:val="left"/>
            </w:pPr>
            <w:r>
              <w:t xml:space="preserve">N/A</w:t>
            </w:r>
          </w:p>
        </w:tc>
        <w:tc>
          <w:tcPr/>
          <w:p>
            <w:pPr>
              <w:pStyle w:val="Compact"/>
              <w:jc w:val="left"/>
            </w:pPr>
            <w:r>
              <w:t xml:space="preserve">Terminates at closing (merger = Sale of the Company)</w:t>
            </w:r>
          </w:p>
        </w:tc>
      </w:tr>
      <w:tr>
        <w:tc>
          <w:tcPr/>
          <w:p>
            <w:pPr>
              <w:pStyle w:val="Compact"/>
              <w:jc w:val="left"/>
            </w:pPr>
            <w:r>
              <w:t xml:space="preserve">10</w:t>
            </w:r>
          </w:p>
        </w:tc>
        <w:tc>
          <w:tcPr/>
          <w:p>
            <w:pPr>
              <w:pStyle w:val="Compact"/>
              <w:jc w:val="left"/>
            </w:pPr>
            <w:r>
              <w:t xml:space="preserve">Voting Agreement termination</w:t>
            </w:r>
          </w:p>
        </w:tc>
        <w:tc>
          <w:tcPr/>
          <w:p>
            <w:pPr>
              <w:pStyle w:val="Compact"/>
              <w:jc w:val="left"/>
            </w:pPr>
            <w:r>
              <w:t xml:space="preserve">VA §7.1(b)</w:t>
            </w:r>
          </w:p>
        </w:tc>
        <w:tc>
          <w:tcPr/>
          <w:p>
            <w:pPr>
              <w:pStyle w:val="Compact"/>
              <w:jc w:val="left"/>
            </w:pPr>
            <w:r>
              <w:t xml:space="preserve">Automatic on Sale of the Company</w:t>
            </w:r>
          </w:p>
        </w:tc>
        <w:tc>
          <w:tcPr/>
          <w:p>
            <w:pPr>
              <w:pStyle w:val="Compact"/>
              <w:jc w:val="left"/>
            </w:pPr>
            <w:r>
              <w:t xml:space="preserve">N/A</w:t>
            </w:r>
          </w:p>
        </w:tc>
        <w:tc>
          <w:tcPr/>
          <w:p>
            <w:pPr>
              <w:pStyle w:val="Compact"/>
              <w:jc w:val="left"/>
            </w:pPr>
            <w:r>
              <w:t xml:space="preserve">N/A</w:t>
            </w:r>
          </w:p>
        </w:tc>
        <w:tc>
          <w:tcPr/>
          <w:p>
            <w:pPr>
              <w:pStyle w:val="Compact"/>
              <w:jc w:val="left"/>
            </w:pPr>
            <w:r>
              <w:t xml:space="preserve">Terminates at closing; 11/3/2026 sunset as backstop</w:t>
            </w:r>
          </w:p>
        </w:tc>
      </w:tr>
      <w:tr>
        <w:tc>
          <w:tcPr/>
          <w:p>
            <w:pPr>
              <w:pStyle w:val="Compact"/>
              <w:jc w:val="left"/>
            </w:pPr>
            <w:r>
              <w:t xml:space="preserve">11</w:t>
            </w:r>
          </w:p>
        </w:tc>
        <w:tc>
          <w:tcPr/>
          <w:p>
            <w:pPr>
              <w:pStyle w:val="Compact"/>
              <w:jc w:val="left"/>
            </w:pPr>
            <w:r>
              <w:t xml:space="preserve">RRA termination</w:t>
            </w:r>
          </w:p>
        </w:tc>
        <w:tc>
          <w:tcPr/>
          <w:p>
            <w:pPr>
              <w:pStyle w:val="Compact"/>
              <w:jc w:val="left"/>
            </w:pPr>
            <w:r>
              <w:t xml:space="preserve">RRA §9(c)</w:t>
            </w:r>
          </w:p>
        </w:tc>
        <w:tc>
          <w:tcPr/>
          <w:p>
            <w:pPr>
              <w:pStyle w:val="Compact"/>
              <w:jc w:val="left"/>
            </w:pPr>
            <w:r>
              <w:t xml:space="preserve">“</w:t>
            </w:r>
            <w:r>
              <w:t xml:space="preserve">Deemed Liquidation Event</w:t>
            </w:r>
            <w:r>
              <w:t xml:space="preserve">”</w:t>
            </w:r>
            <w:r>
              <w:t xml:space="preserve"> </w:t>
            </w:r>
            <w:r>
              <w:t xml:space="preserve">(undefined)</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Ambiguous</w:t>
            </w:r>
            <w:r>
              <w:t xml:space="preserve"> </w:t>
            </w:r>
            <w:r>
              <w:t xml:space="preserve">— obtain express termination at closing</w:t>
            </w:r>
          </w:p>
        </w:tc>
      </w:tr>
      <w:tr>
        <w:tc>
          <w:tcPr/>
          <w:p>
            <w:pPr>
              <w:pStyle w:val="Compact"/>
              <w:jc w:val="left"/>
            </w:pPr>
            <w:r>
              <w:t xml:space="preserve">12</w:t>
            </w:r>
          </w:p>
        </w:tc>
        <w:tc>
          <w:tcPr/>
          <w:p>
            <w:pPr>
              <w:pStyle w:val="Compact"/>
              <w:jc w:val="left"/>
            </w:pPr>
            <w:r>
              <w:t xml:space="preserve">Merger-sub / parent approvals</w:t>
            </w:r>
          </w:p>
        </w:tc>
        <w:tc>
          <w:tcPr/>
          <w:p>
            <w:pPr>
              <w:pStyle w:val="Compact"/>
              <w:jc w:val="left"/>
            </w:pPr>
            <w:r>
              <w:t xml:space="preserve">DGCL §251</w:t>
            </w:r>
          </w:p>
        </w:tc>
        <w:tc>
          <w:tcPr/>
          <w:p>
            <w:pPr>
              <w:pStyle w:val="Compact"/>
              <w:jc w:val="left"/>
            </w:pPr>
            <w:r>
              <w:t xml:space="preserve">Board/consent of Hargrove and Merger Sub</w:t>
            </w:r>
          </w:p>
        </w:tc>
        <w:tc>
          <w:tcPr/>
          <w:p>
            <w:pPr>
              <w:pStyle w:val="Compact"/>
              <w:jc w:val="left"/>
            </w:pPr>
            <w:r>
              <w:t xml:space="preserve">Buyer entities</w:t>
            </w:r>
          </w:p>
        </w:tc>
        <w:tc>
          <w:tcPr/>
          <w:p>
            <w:pPr>
              <w:pStyle w:val="Compact"/>
              <w:jc w:val="left"/>
            </w:pPr>
            <w:r>
              <w:t xml:space="preserve">N/A</w:t>
            </w:r>
          </w:p>
        </w:tc>
        <w:tc>
          <w:tcPr/>
          <w:p>
            <w:pPr>
              <w:pStyle w:val="Compact"/>
              <w:jc w:val="left"/>
            </w:pPr>
            <w:r>
              <w:t xml:space="preserve">Buyer-side; confirm in merger agreement</w:t>
            </w:r>
          </w:p>
        </w:tc>
      </w:tr>
    </w:tbl>
    <w:p>
      <w:r>
        <w:pict>
          <v:rect style="width:0;height:1.5pt" o:hralign="center" o:hrstd="t" o:hr="t"/>
        </w:pict>
      </w:r>
    </w:p>
    <w:bookmarkEnd w:id="34"/>
    <w:bookmarkStart w:id="35" w:name="X100cf8fd029e589aeb0030deebf8ed1d7c3ca05"/>
    <w:p>
      <w:pPr>
        <w:pStyle w:val="Heading2"/>
      </w:pPr>
      <w:r>
        <w:t xml:space="preserve">Appendix B — Severity Classification of Identified Issues</w:t>
      </w:r>
    </w:p>
    <w:p>
      <w:pPr>
        <w:pStyle w:val="FirstParagraph"/>
      </w:pPr>
      <w:r>
        <w:rPr>
          <w:b/>
          <w:bCs/>
        </w:rPr>
        <w:t xml:space="preserve">Critical</w:t>
      </w:r>
    </w:p>
    <w:p>
      <w:pPr>
        <w:numPr>
          <w:ilvl w:val="0"/>
          <w:numId w:val="1023"/>
        </w:numPr>
      </w:pPr>
      <w:r>
        <w:rPr>
          <w:b/>
          <w:bCs/>
        </w:rPr>
        <w:t xml:space="preserve">Stonemill Series C separate-class blocking right (Charter §4.3.6(b)(i)).</w:t>
      </w:r>
      <w:r>
        <w:t xml:space="preserve"> </w:t>
      </w:r>
      <w:r>
        <w:t xml:space="preserve">Stonemill holds 100% of Series C; the 66⅔% separate-class consent to effect a Liquidation Event cannot be obtained without Stonemill. No circumvention via drag-along or Charter amendment.</w:t>
      </w:r>
      <w:r>
        <w:t xml:space="preserve"> </w:t>
      </w:r>
      <w:r>
        <w:rPr>
          <w:i/>
          <w:iCs/>
        </w:rPr>
        <w:t xml:space="preserve">The transaction cannot close without Stonemill’s affirmative consent.</w:t>
      </w:r>
    </w:p>
    <w:p>
      <w:pPr>
        <w:numPr>
          <w:ilvl w:val="0"/>
          <w:numId w:val="1023"/>
        </w:numPr>
      </w:pPr>
      <w:r>
        <w:rPr>
          <w:b/>
          <w:bCs/>
        </w:rPr>
        <w:t xml:space="preserve">SensorLink LOI auto-renewal / potential live exclusivity.</w:t>
      </w:r>
      <w:r>
        <w:t xml:space="preserve"> </w:t>
      </w:r>
      <w:r>
        <w:t xml:space="preserve">If no termination notice was sent before September 8, 2024, a binding exclusivity obligation may be running in favor of SensorLink, conflicting with signing a definitive agreement with Hargrove.</w:t>
      </w:r>
      <w:r>
        <w:t xml:space="preserve"> </w:t>
      </w:r>
      <w:r>
        <w:rPr>
          <w:i/>
          <w:iCs/>
        </w:rPr>
        <w:t xml:space="preserve">Time-sensitive; investigate and remediate immediately.</w:t>
      </w:r>
    </w:p>
    <w:p>
      <w:pPr>
        <w:numPr>
          <w:ilvl w:val="0"/>
          <w:numId w:val="1023"/>
        </w:numPr>
      </w:pPr>
      <w:r>
        <w:rPr>
          <w:b/>
          <w:bCs/>
        </w:rPr>
        <w:t xml:space="preserve">Drag-along cannot override Charter protective provisions.</w:t>
      </w:r>
      <w:r>
        <w:t xml:space="preserve"> </w:t>
      </w:r>
      <w:r>
        <w:t xml:space="preserve">The drag-along is triggerable without Stonemill but cannot compel the Series C separate-class consent.</w:t>
      </w:r>
      <w:r>
        <w:t xml:space="preserve"> </w:t>
      </w:r>
      <w:r>
        <w:rPr>
          <w:i/>
          <w:iCs/>
        </w:rPr>
        <w:t xml:space="preserve">Confirms no path to closing over Stonemill’s objection (related to #1).</w:t>
      </w:r>
    </w:p>
    <w:p>
      <w:pPr>
        <w:pStyle w:val="FirstParagraph"/>
      </w:pPr>
      <w:r>
        <w:rPr>
          <w:b/>
          <w:bCs/>
        </w:rPr>
        <w:t xml:space="preserve">Significant</w:t>
      </w:r>
    </w:p>
    <w:p>
      <w:pPr>
        <w:numPr>
          <w:ilvl w:val="0"/>
          <w:numId w:val="1024"/>
        </w:numPr>
      </w:pPr>
      <w:r>
        <w:rPr>
          <w:b/>
          <w:bCs/>
        </w:rPr>
        <w:t xml:space="preserve">Clearfield $12M term loan — apparent lack of Preferred consent (Charter §4.3.6(a)(v)).</w:t>
      </w:r>
      <w:r>
        <w:t xml:space="preserve"> </w:t>
      </w:r>
      <w:r>
        <w:t xml:space="preserve">Loan exceeds $5M threshold; Board Minutes reflect only Board approval. Potential Charter violation; Stonemill leverage point.</w:t>
      </w:r>
      <w:r>
        <w:t xml:space="preserve"> </w:t>
      </w:r>
      <w:r>
        <w:rPr>
          <w:i/>
          <w:iCs/>
        </w:rPr>
        <w:t xml:space="preserve">Request consent records and loan agreement.</w:t>
      </w:r>
    </w:p>
    <w:p>
      <w:pPr>
        <w:numPr>
          <w:ilvl w:val="0"/>
          <w:numId w:val="1024"/>
        </w:numPr>
      </w:pPr>
      <w:r>
        <w:rPr>
          <w:b/>
          <w:bCs/>
        </w:rPr>
        <w:t xml:space="preserve">Special Committee composition — Okafor not disinterested.</w:t>
      </w:r>
      <w:r>
        <w:t xml:space="preserve"> </w:t>
      </w:r>
      <w:r>
        <w:t xml:space="preserve">Northbridge designee/Principal on the sale-oversight committee. Revlon/sale-process vulnerability.</w:t>
      </w:r>
      <w:r>
        <w:t xml:space="preserve"> </w:t>
      </w:r>
      <w:r>
        <w:rPr>
          <w:i/>
          <w:iCs/>
        </w:rPr>
        <w:t xml:space="preserve">Consider reconstituting committee.</w:t>
      </w:r>
    </w:p>
    <w:p>
      <w:pPr>
        <w:numPr>
          <w:ilvl w:val="0"/>
          <w:numId w:val="1024"/>
        </w:numPr>
      </w:pPr>
      <w:r>
        <w:rPr>
          <w:b/>
          <w:bCs/>
        </w:rPr>
        <w:t xml:space="preserve">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undefined — registration rights may survive merger.</w:t>
      </w:r>
      <w:r>
        <w:t xml:space="preserve"> </w:t>
      </w:r>
      <w:r>
        <w:t xml:space="preserve">Definitional gap creates post-closing liability risk.</w:t>
      </w:r>
      <w:r>
        <w:t xml:space="preserve"> </w:t>
      </w:r>
      <w:r>
        <w:rPr>
          <w:i/>
          <w:iCs/>
        </w:rPr>
        <w:t xml:space="preserve">Obtain express RRA termination at closing.</w:t>
      </w:r>
    </w:p>
    <w:p>
      <w:pPr>
        <w:numPr>
          <w:ilvl w:val="0"/>
          <w:numId w:val="1024"/>
        </w:numPr>
      </w:pPr>
      <w:r>
        <w:rPr>
          <w:b/>
          <w:bCs/>
        </w:rPr>
        <w:t xml:space="preserve">Equity Plan and award agreements not produced — document gap.</w:t>
      </w:r>
      <w:r>
        <w:t xml:space="preserve"> </w:t>
      </w:r>
      <w:r>
        <w:t xml:space="preserve">Cannot assess change-of-control acceleration or aggregate dollar impact.</w:t>
      </w:r>
      <w:r>
        <w:t xml:space="preserve"> </w:t>
      </w:r>
      <w:r>
        <w:rPr>
          <w:i/>
          <w:iCs/>
        </w:rPr>
        <w:t xml:space="preserve">Request Plan, award agreements, and full cap table.</w:t>
      </w:r>
    </w:p>
    <w:p>
      <w:pPr>
        <w:numPr>
          <w:ilvl w:val="0"/>
          <w:numId w:val="1024"/>
        </w:numPr>
      </w:pPr>
      <w:r>
        <w:rPr>
          <w:b/>
          <w:bCs/>
        </w:rPr>
        <w:t xml:space="preserve">Plan share-reserve increase (July 2023) — stockholder approval status unclear.</w:t>
      </w:r>
      <w:r>
        <w:t xml:space="preserve"> </w:t>
      </w:r>
      <w:r>
        <w:t xml:space="preserve">Minutes reflect only Board approval.</w:t>
      </w:r>
      <w:r>
        <w:t xml:space="preserve"> </w:t>
      </w:r>
      <w:r>
        <w:rPr>
          <w:i/>
          <w:iCs/>
        </w:rPr>
        <w:t xml:space="preserve">Request stockholder consent records.</w:t>
      </w:r>
    </w:p>
    <w:p>
      <w:pPr>
        <w:numPr>
          <w:ilvl w:val="0"/>
          <w:numId w:val="1024"/>
        </w:numPr>
      </w:pPr>
      <w:r>
        <w:rPr>
          <w:b/>
          <w:bCs/>
        </w:rPr>
        <w:t xml:space="preserve">Waterfall misstatement in September 25, 2024 minutes.</w:t>
      </w:r>
      <w:r>
        <w:t xml:space="preserve"> </w:t>
      </w:r>
      <w:r>
        <w:t xml:space="preserve">Statement that all Preferred would receive amounts in excess of preferences on an as-converted basis is incorrect for Series C.</w:t>
      </w:r>
      <w:r>
        <w:t xml:space="preserve"> </w:t>
      </w:r>
      <w:r>
        <w:rPr>
          <w:i/>
          <w:iCs/>
        </w:rPr>
        <w:t xml:space="preserve">Reconcile with Thornbury/Meridian analysis; bears on fairness.</w:t>
      </w:r>
    </w:p>
    <w:p>
      <w:pPr>
        <w:numPr>
          <w:ilvl w:val="0"/>
          <w:numId w:val="1024"/>
        </w:numPr>
      </w:pPr>
      <w:r>
        <w:rPr>
          <w:b/>
          <w:bCs/>
        </w:rPr>
        <w:t xml:space="preserve">Sale-process breadth and Trask’s exclusion/objection.</w:t>
      </w:r>
      <w:r>
        <w:t xml:space="preserve"> </w:t>
      </w:r>
      <w:r>
        <w:t xml:space="preserve">Narrow auction and Trask’s absence/objection at the April 17, 2024 meeting create process-challenge ammunition for Stonemill.</w:t>
      </w:r>
      <w:r>
        <w:t xml:space="preserve"> </w:t>
      </w:r>
      <w:r>
        <w:rPr>
          <w:i/>
          <w:iCs/>
        </w:rPr>
        <w:t xml:space="preserve">Document robust market-check record.</w:t>
      </w:r>
    </w:p>
    <w:p>
      <w:pPr>
        <w:pStyle w:val="FirstParagraph"/>
      </w:pPr>
      <w:r>
        <w:rPr>
          <w:b/>
          <w:bCs/>
        </w:rPr>
        <w:t xml:space="preserve">Moderate</w:t>
      </w:r>
    </w:p>
    <w:p>
      <w:pPr>
        <w:numPr>
          <w:ilvl w:val="0"/>
          <w:numId w:val="1025"/>
        </w:numPr>
      </w:pPr>
      <w:r>
        <w:rPr>
          <w:b/>
          <w:bCs/>
        </w:rPr>
        <w:t xml:space="preserve">Cross-document definitional inconsistencies.</w:t>
      </w:r>
      <w:r>
        <w:t xml:space="preserve"> </w:t>
      </w:r>
      <w:r>
        <w:t xml:space="preserve">“</w:t>
      </w:r>
      <w:r>
        <w:t xml:space="preserve">At least 50%</w:t>
      </w:r>
      <w:r>
        <w:t xml:space="preserve">”</w:t>
      </w:r>
      <w:r>
        <w:t xml:space="preserve"> </w:t>
      </w:r>
      <w:r>
        <w:t xml:space="preserve">(Charter) vs. </w:t>
      </w:r>
      <w:r>
        <w:t xml:space="preserve">“</w:t>
      </w:r>
      <w:r>
        <w:t xml:space="preserve">a majority</w:t>
      </w:r>
      <w:r>
        <w:t xml:space="preserve">”</w:t>
      </w:r>
      <w:r>
        <w:t xml:space="preserve"> </w:t>
      </w:r>
      <w:r>
        <w:t xml:space="preserve">(SHA/VA); equity-financing carve-out in Charter but not SHA/VA; undefined</w:t>
      </w:r>
      <w:r>
        <w:t xml:space="preserve"> </w:t>
      </w:r>
      <w:r>
        <w:t xml:space="preserve">“</w:t>
      </w:r>
      <w:r>
        <w:t xml:space="preserve">Deemed Liquidation Event</w:t>
      </w:r>
      <w:r>
        <w:t xml:space="preserve">”</w:t>
      </w:r>
      <w:r>
        <w:t xml:space="preserve"> </w:t>
      </w:r>
      <w:r>
        <w:t xml:space="preserve">in RRA.</w:t>
      </w:r>
      <w:r>
        <w:t xml:space="preserve"> </w:t>
      </w:r>
      <w:r>
        <w:rPr>
          <w:i/>
          <w:iCs/>
        </w:rPr>
        <w:t xml:space="preserve">No practical impact on this merger (0% retention), but flag for completeness.</w:t>
      </w:r>
    </w:p>
    <w:p>
      <w:pPr>
        <w:numPr>
          <w:ilvl w:val="0"/>
          <w:numId w:val="1025"/>
        </w:numPr>
      </w:pPr>
      <w:r>
        <w:rPr>
          <w:b/>
          <w:bCs/>
        </w:rPr>
        <w:t xml:space="preserve">Voting Agreement 5-year sunset (November 3, 2026) as backstop.</w:t>
      </w:r>
      <w:r>
        <w:t xml:space="preserve"> </w:t>
      </w:r>
      <w:r>
        <w:t xml:space="preserve">Low-probability lingering risk if Sale of the Company definition were challenged.</w:t>
      </w:r>
      <w:r>
        <w:t xml:space="preserve"> </w:t>
      </w:r>
      <w:r>
        <w:rPr>
          <w:i/>
          <w:iCs/>
        </w:rPr>
        <w:t xml:space="preserve">Obtain confirmatory termination at closing.</w:t>
      </w:r>
    </w:p>
    <w:p>
      <w:pPr>
        <w:numPr>
          <w:ilvl w:val="0"/>
          <w:numId w:val="1025"/>
        </w:numPr>
      </w:pPr>
      <w:r>
        <w:rPr>
          <w:b/>
          <w:bCs/>
        </w:rPr>
        <w:t xml:space="preserve">D&amp;O indemnification survival.</w:t>
      </w:r>
      <w:r>
        <w:t xml:space="preserve"> </w:t>
      </w:r>
      <w:r>
        <w:t xml:space="preserve">Charter/Bylaws indemnification and individual indemnification agreements survive closing for pre-closing acts.</w:t>
      </w:r>
      <w:r>
        <w:t xml:space="preserve"> </w:t>
      </w:r>
      <w:r>
        <w:rPr>
          <w:i/>
          <w:iCs/>
        </w:rPr>
        <w:t xml:space="preserve">Provide indemnification tail and run-off insurance in merger agreement.</w:t>
      </w:r>
    </w:p>
    <w:p>
      <w:pPr>
        <w:numPr>
          <w:ilvl w:val="0"/>
          <w:numId w:val="1025"/>
        </w:numPr>
      </w:pPr>
      <w:r>
        <w:rPr>
          <w:b/>
          <w:bCs/>
        </w:rPr>
        <w:t xml:space="preserve">Exclusive forum selection (Delaware Court of Chancery).</w:t>
      </w:r>
      <w:r>
        <w:t xml:space="preserve"> </w:t>
      </w:r>
      <w:r>
        <w:t xml:space="preserve">Bylaws §8.1; relevant venue for any Stonemill litigation.</w:t>
      </w:r>
      <w:r>
        <w:t xml:space="preserve"> </w:t>
      </w:r>
      <w:r>
        <w:rPr>
          <w:i/>
          <w:iCs/>
        </w:rPr>
        <w:t xml:space="preserve">Note for dispute-resolution planning.</w:t>
      </w:r>
    </w:p>
    <w:p>
      <w:pPr>
        <w:numPr>
          <w:ilvl w:val="0"/>
          <w:numId w:val="1025"/>
        </w:numPr>
      </w:pPr>
      <w:r>
        <w:rPr>
          <w:b/>
          <w:bCs/>
        </w:rPr>
        <w:t xml:space="preserve">Malhotra options underwater.</w:t>
      </w:r>
      <w:r>
        <w:t xml:space="preserve"> </w:t>
      </w:r>
      <w:r>
        <w:t xml:space="preserve">350,000 options at $14.30 exercise price exceed implied merger consideration (~$12.59–$13.95); likely cancelled for no consideration.</w:t>
      </w:r>
      <w:r>
        <w:t xml:space="preserve"> </w:t>
      </w:r>
      <w:r>
        <w:rPr>
          <w:i/>
          <w:iCs/>
        </w:rPr>
        <w:t xml:space="preserve">Confirm treatment in Plan/award agreement.</w:t>
      </w:r>
    </w:p>
    <w:p>
      <w:pPr>
        <w:numPr>
          <w:ilvl w:val="0"/>
          <w:numId w:val="1025"/>
        </w:numPr>
      </w:pPr>
      <w:r>
        <w:rPr>
          <w:b/>
          <w:bCs/>
        </w:rPr>
        <w:t xml:space="preserve">Linda Yeung dual role (CFO + Secretary + recording secretary).</w:t>
      </w:r>
      <w:r>
        <w:t xml:space="preserve"> </w:t>
      </w:r>
      <w:r>
        <w:t xml:space="preserve">Recorded minutes of the meeting at which her own RSU grant was approved.</w:t>
      </w:r>
      <w:r>
        <w:t xml:space="preserve"> </w:t>
      </w:r>
      <w:r>
        <w:rPr>
          <w:i/>
          <w:iCs/>
        </w:rPr>
        <w:t xml:space="preserve">Minor governance optics note; no direct illegality.</w:t>
      </w:r>
    </w:p>
    <w:p>
      <w:r>
        <w:pict>
          <v:rect style="width:0;height:1.5pt" o:hralign="center" o:hrstd="t" o:hr="t"/>
        </w:pict>
      </w:r>
    </w:p>
    <w:p>
      <w:pPr>
        <w:pStyle w:val="FirstParagraph"/>
      </w:pPr>
      <w:r>
        <w:rPr>
          <w:i/>
          <w:iCs/>
        </w:rPr>
        <w:t xml:space="preserve">Prepared by Whitfield &amp; Crane LLP. This memorandum is privileged and confidential attorney work product and is intended solely for the internal use of the firm and its client, Hargrove Capital Management, LLC. Do not distribute to the Company, its counsel, or its stockholders.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Diligence Memorandum</dc:title>
  <dc:creator/>
  <cp:keywords/>
  <dcterms:created xsi:type="dcterms:W3CDTF">2026-06-29T00:47:44Z</dcterms:created>
  <dcterms:modified xsi:type="dcterms:W3CDTF">2026-06-29T00:47:44Z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Proposed Acquisition of Terravox Systems, Inc. by Hargrove Capital Partners III, LP</vt:lpwstr>
  </property>
</Properties>
</file>