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0" w:name="issues-memorandum"/>
    <w:p>
      <w:pPr>
        <w:pStyle w:val="Heading1"/>
      </w:pPr>
      <w:r>
        <w:t xml:space="preserve">ISSUES MEMORANDUM</w:t>
      </w:r>
    </w:p>
    <w:p>
      <w:pPr>
        <w:pStyle w:val="FirstParagraph"/>
      </w:pPr>
      <w:r>
        <w:rPr>
          <w:b/>
          <w:bCs/>
        </w:rPr>
        <w:t xml:space="preserve">To:</w:t>
      </w:r>
      <w:r>
        <w:t xml:space="preserve"> </w:t>
      </w:r>
      <w:r>
        <w:t xml:space="preserve">Priya Venkatesh, General Counsel; Marcus Reinholt, Chief Executive Officer — Vaultline Technologies, Inc.</w:t>
      </w:r>
    </w:p>
    <w:p>
      <w:pPr>
        <w:pStyle w:val="BodyText"/>
      </w:pPr>
      <w:r>
        <w:rPr>
          <w:b/>
          <w:bCs/>
        </w:rPr>
        <w:t xml:space="preserve">From:</w:t>
      </w:r>
      <w:r>
        <w:t xml:space="preserve"> </w:t>
      </w:r>
      <w:r>
        <w:t xml:space="preserve">Thornbury &amp; Locke LLP (Outside Privacy &amp; Regulatory Counsel)</w:t>
      </w:r>
    </w:p>
    <w:p>
      <w:pPr>
        <w:pStyle w:val="BodyText"/>
      </w:pPr>
      <w:r>
        <w:rPr>
          <w:b/>
          <w:bCs/>
        </w:rPr>
        <w:t xml:space="preserve">Re:</w:t>
      </w:r>
      <w:r>
        <w:t xml:space="preserve"> </w:t>
      </w:r>
      <w:r>
        <w:t xml:space="preserve">Cross-Document Privacy &amp; Data Protection Compliance Gaps Identified in Series C Due Diligence Review</w:t>
      </w:r>
    </w:p>
    <w:p>
      <w:pPr>
        <w:pStyle w:val="BodyText"/>
      </w:pPr>
      <w:r>
        <w:rPr>
          <w:b/>
          <w:bCs/>
        </w:rPr>
        <w:t xml:space="preserve">Date:</w:t>
      </w:r>
      <w:r>
        <w:t xml:space="preserve"> </w:t>
      </w:r>
      <w:r>
        <w:t xml:space="preserve">March 24, 2025</w:t>
      </w:r>
    </w:p>
    <w:p>
      <w:pPr>
        <w:pStyle w:val="BodyText"/>
      </w:pPr>
      <w:r>
        <w:rPr>
          <w:b/>
          <w:bCs/>
        </w:rPr>
        <w:t xml:space="preserve">Matter:</w:t>
      </w:r>
      <w:r>
        <w:t xml:space="preserve"> </w:t>
      </w:r>
      <w:r>
        <w:t xml:space="preserve">Vaultline Technologies, Inc. — Series C Financing (Kessler Whitman Ventures, lead investor)</w:t>
      </w:r>
    </w:p>
    <w:p>
      <w:pPr>
        <w:pStyle w:val="BodyText"/>
      </w:pPr>
      <w:r>
        <w:rPr>
          <w:b/>
          <w:bCs/>
        </w:rPr>
        <w:t xml:space="preserve">Prepared by:</w:t>
      </w:r>
      <w:r>
        <w:t xml:space="preserve"> </w:t>
      </w:r>
      <w:r>
        <w:t xml:space="preserve">Catherine Aldridge, Partner; Daniel Fong, Associate</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This memorandum summarizes the cross-document privacy and data protection compliance gaps identified during our review of five Vaultline documents, undertaken at the direction of Vaultline’s General Counsel in response to the March 3, 2025 correspondence from Ashford Barnes LLP (counsel to Kessler Whitman Ventures, the anticipated lead investor in the Series C round) and in connection with (a) the Series C due diligence deadline of April 15, 2025, and (b) Vaultline’s planned Q3 2025 EU market launch.</w:t>
      </w:r>
    </w:p>
    <w:p>
      <w:pPr>
        <w:pStyle w:val="BodyText"/>
      </w:pPr>
      <w:r>
        <w:rPr>
          <w:b/>
          <w:bCs/>
        </w:rPr>
        <w:t xml:space="preserve">Documents reviewed:</w:t>
      </w:r>
    </w:p>
    <w:p>
      <w:pPr>
        <w:pStyle w:val="Compact"/>
        <w:numPr>
          <w:ilvl w:val="0"/>
          <w:numId w:val="1001"/>
        </w:numPr>
      </w:pPr>
      <w:r>
        <w:rPr>
          <w:b/>
          <w:bCs/>
        </w:rPr>
        <w:t xml:space="preserve">Privacy Policy</w:t>
      </w:r>
      <w:r>
        <w:t xml:space="preserve"> </w:t>
      </w:r>
      <w:r>
        <w:t xml:space="preserve">—</w:t>
      </w:r>
      <w:r>
        <w:t xml:space="preserve"> </w:t>
      </w:r>
      <w:r>
        <w:rPr>
          <w:i/>
          <w:iCs/>
        </w:rPr>
        <w:t xml:space="preserve">Vaultline Technologies, Inc. Privacy Policy</w:t>
      </w:r>
      <w:r>
        <w:t xml:space="preserve">, published at vaultline.com,</w:t>
      </w:r>
      <w:r>
        <w:t xml:space="preserve"> </w:t>
      </w:r>
      <w:r>
        <w:t xml:space="preserve">“</w:t>
      </w:r>
      <w:r>
        <w:t xml:space="preserve">Last Updated: January 15, 2023</w:t>
      </w:r>
      <w:r>
        <w:t xml:space="preserve">”</w:t>
      </w:r>
      <w:r>
        <w:t xml:space="preserve"> </w:t>
      </w:r>
      <w:r>
        <w:t xml:space="preserve">(the</w:t>
      </w:r>
      <w:r>
        <w:t xml:space="preserve"> </w:t>
      </w:r>
      <w:r>
        <w:t xml:space="preserve">“</w:t>
      </w:r>
      <w:r>
        <w:t xml:space="preserve">Policy</w:t>
      </w:r>
      <w:r>
        <w:t xml:space="preserve">”</w:t>
      </w:r>
      <w:r>
        <w:t xml:space="preserve">).</w:t>
      </w:r>
    </w:p>
    <w:p>
      <w:pPr>
        <w:pStyle w:val="Compact"/>
        <w:numPr>
          <w:ilvl w:val="0"/>
          <w:numId w:val="1001"/>
        </w:numPr>
      </w:pPr>
      <w:r>
        <w:rPr>
          <w:b/>
          <w:bCs/>
        </w:rPr>
        <w:t xml:space="preserve">Data Inventory</w:t>
      </w:r>
      <w:r>
        <w:t xml:space="preserve"> </w:t>
      </w:r>
      <w:r>
        <w:t xml:space="preserve">—</w:t>
      </w:r>
      <w:r>
        <w:t xml:space="preserve"> </w:t>
      </w:r>
      <w:r>
        <w:rPr>
          <w:i/>
          <w:iCs/>
        </w:rPr>
        <w:t xml:space="preserve">Vaultline Technologies, Inc. — Internal Data Inventory</w:t>
      </w:r>
      <w:r>
        <w:t xml:space="preserve">, Version 3.4, last updated February 18, 2025, maintained by Sandra Linh, Head of Data &amp; Analytics, approved by Priya Venkatesh (the</w:t>
      </w:r>
      <w:r>
        <w:t xml:space="preserve"> </w:t>
      </w:r>
      <w:r>
        <w:t xml:space="preserve">“</w:t>
      </w:r>
      <w:r>
        <w:t xml:space="preserve">Inventory</w:t>
      </w:r>
      <w:r>
        <w:t xml:space="preserve">”</w:t>
      </w:r>
      <w:r>
        <w:t xml:space="preserve">).</w:t>
      </w:r>
    </w:p>
    <w:p>
      <w:pPr>
        <w:pStyle w:val="Compact"/>
        <w:numPr>
          <w:ilvl w:val="0"/>
          <w:numId w:val="1001"/>
        </w:numPr>
      </w:pPr>
      <w:r>
        <w:rPr>
          <w:b/>
          <w:bCs/>
        </w:rPr>
        <w:t xml:space="preserve">Data Sharing Agreement</w:t>
      </w:r>
      <w:r>
        <w:t xml:space="preserve"> </w:t>
      </w:r>
      <w:r>
        <w:t xml:space="preserve">— Data Sharing Agreement between Vaultline and Brightly Analytics, Inc., effective September 1, 2022, as amended by the First Amendment dated June 15, 2024 (the</w:t>
      </w:r>
      <w:r>
        <w:t xml:space="preserve"> </w:t>
      </w:r>
      <w:r>
        <w:t xml:space="preserve">“</w:t>
      </w:r>
      <w:r>
        <w:t xml:space="preserve">DSA</w:t>
      </w:r>
      <w:r>
        <w:t xml:space="preserve">”</w:t>
      </w:r>
      <w:r>
        <w:t xml:space="preserve">).</w:t>
      </w:r>
    </w:p>
    <w:p>
      <w:pPr>
        <w:pStyle w:val="Compact"/>
        <w:numPr>
          <w:ilvl w:val="0"/>
          <w:numId w:val="1001"/>
        </w:numPr>
      </w:pPr>
      <w:r>
        <w:rPr>
          <w:b/>
          <w:bCs/>
        </w:rPr>
        <w:t xml:space="preserve">Incident Response Log</w:t>
      </w:r>
      <w:r>
        <w:t xml:space="preserve"> </w:t>
      </w:r>
      <w:r>
        <w:t xml:space="preserve">— Incident Response Log VT-IRL-2024-003,</w:t>
      </w:r>
      <w:r>
        <w:t xml:space="preserve"> </w:t>
      </w:r>
      <w:r>
        <w:t xml:space="preserve">“</w:t>
      </w:r>
      <w:r>
        <w:t xml:space="preserve">Unauthorized Database Access — August 2024,</w:t>
      </w:r>
      <w:r>
        <w:t xml:space="preserve">”</w:t>
      </w:r>
      <w:r>
        <w:t xml:space="preserve"> </w:t>
      </w:r>
      <w:r>
        <w:t xml:space="preserve">prepared by Tomás Guerrero, VP of Engineering, with input from Priya Venkatesh (the</w:t>
      </w:r>
      <w:r>
        <w:t xml:space="preserve"> </w:t>
      </w:r>
      <w:r>
        <w:t xml:space="preserve">“</w:t>
      </w:r>
      <w:r>
        <w:t xml:space="preserve">Breach Log</w:t>
      </w:r>
      <w:r>
        <w:t xml:space="preserve">”</w:t>
      </w:r>
      <w:r>
        <w:t xml:space="preserve">).</w:t>
      </w:r>
    </w:p>
    <w:p>
      <w:pPr>
        <w:pStyle w:val="Compact"/>
        <w:numPr>
          <w:ilvl w:val="0"/>
          <w:numId w:val="1001"/>
        </w:numPr>
      </w:pPr>
      <w:r>
        <w:rPr>
          <w:b/>
          <w:bCs/>
        </w:rPr>
        <w:t xml:space="preserve">Investor Counsel Email</w:t>
      </w:r>
      <w:r>
        <w:t xml:space="preserve"> </w:t>
      </w:r>
      <w:r>
        <w:t xml:space="preserve">— Email dated March 3, 2025 from Elena Marchetti, Ashford Barnes LLP, to Catherine Aldridge, Thornbury &amp; Locke LLP (the</w:t>
      </w:r>
      <w:r>
        <w:t xml:space="preserve"> </w:t>
      </w:r>
      <w:r>
        <w:t xml:space="preserve">“</w:t>
      </w:r>
      <w:r>
        <w:t xml:space="preserve">Investor Letter</w:t>
      </w:r>
      <w:r>
        <w:t xml:space="preserve">”</w:t>
      </w:r>
      <w:r>
        <w:t xml:space="preserve">).</w:t>
      </w:r>
    </w:p>
    <w:p>
      <w:pPr>
        <w:pStyle w:val="FirstParagraph"/>
      </w:pPr>
      <w:r>
        <w:rPr>
          <w:b/>
          <w:bCs/>
        </w:rPr>
        <w:t xml:space="preserve">Methodology.</w:t>
      </w:r>
      <w:r>
        <w:t xml:space="preserve"> </w:t>
      </w:r>
      <w:r>
        <w:t xml:space="preserve">We cross-referenced each document against the others and against the applicable legal frameworks — the California Consumer Privacy Act as amended by the CPRA (</w:t>
      </w:r>
      <w:r>
        <w:t xml:space="preserve">“</w:t>
      </w:r>
      <w:r>
        <w:t xml:space="preserve">CCPA/CPRA</w:t>
      </w:r>
      <w:r>
        <w:t xml:space="preserve">”</w:t>
      </w:r>
      <w:r>
        <w:t xml:space="preserve">); the EU General Data Protection Regulation (</w:t>
      </w:r>
      <w:r>
        <w:t xml:space="preserve">“</w:t>
      </w:r>
      <w:r>
        <w:t xml:space="preserve">GDPR</w:t>
      </w:r>
      <w:r>
        <w:t xml:space="preserve">”</w:t>
      </w:r>
      <w:r>
        <w:t xml:space="preserve">); the Gramm-Leach-Bliley Act (</w:t>
      </w:r>
      <w:r>
        <w:t xml:space="preserve">“</w:t>
      </w:r>
      <w:r>
        <w:t xml:space="preserve">GLBA</w:t>
      </w:r>
      <w:r>
        <w:t xml:space="preserve">”</w:t>
      </w:r>
      <w:r>
        <w:t xml:space="preserve">) and the FTC’s Financial Privacy Rule (Regulation P); the Illinois Biometric Information Privacy Act, 740 ILCS 14 (</w:t>
      </w:r>
      <w:r>
        <w:t xml:space="preserve">“</w:t>
      </w:r>
      <w:r>
        <w:t xml:space="preserve">BIPA</w:t>
      </w:r>
      <w:r>
        <w:t xml:space="preserve">”</w:t>
      </w:r>
      <w:r>
        <w:t xml:space="preserve">); state data breach notification statutes; the ePrivacy Directive; and the Fair Credit Reporting Act (</w:t>
      </w:r>
      <w:r>
        <w:t xml:space="preserve">“</w:t>
      </w:r>
      <w:r>
        <w:t xml:space="preserve">FCRA</w:t>
      </w:r>
      <w:r>
        <w:t xml:space="preserve">”</w:t>
      </w:r>
      <w:r>
        <w:t xml:space="preserve">). Our objective was to identify</w:t>
      </w:r>
      <w:r>
        <w:t xml:space="preserve"> </w:t>
      </w:r>
      <w:r>
        <w:rPr>
          <w:i/>
          <w:iCs/>
        </w:rPr>
        <w:t xml:space="preserve">cross-document</w:t>
      </w:r>
      <w:r>
        <w:t xml:space="preserve"> </w:t>
      </w:r>
      <w:r>
        <w:t xml:space="preserve">inconsistencies — places where the Policy, the Inventory, the DSA, and the Breach Log do not align with one another or with Vaultline’s actual documented practices.</w:t>
      </w:r>
    </w:p>
    <w:p>
      <w:pPr>
        <w:pStyle w:val="BodyText"/>
      </w:pPr>
      <w:r>
        <w:rPr>
          <w:b/>
          <w:bCs/>
        </w:rPr>
        <w:t xml:space="preserve">Important caveats.</w:t>
      </w:r>
      <w:r>
        <w:t xml:space="preserve"> </w:t>
      </w:r>
      <w:r>
        <w:t xml:space="preserve">This is a preliminary issues-identification memorandum, not a final legal opinion. Several findings turn on factual matters that require further confirmation (e.g., the precise residency of affected breach users, whether EU data is replicated to the Dublin data center, and the GLBA</w:t>
      </w:r>
      <w:r>
        <w:t xml:space="preserve"> </w:t>
      </w:r>
      <w:r>
        <w:t xml:space="preserve">“</w:t>
      </w:r>
      <w:r>
        <w:t xml:space="preserve">financial institution</w:t>
      </w:r>
      <w:r>
        <w:t xml:space="preserve">”</w:t>
      </w:r>
      <w:r>
        <w:t xml:space="preserve"> </w:t>
      </w:r>
      <w:r>
        <w:t xml:space="preserve">characterization). Where a finding depends on such matters, we have flagged it. This memorandum is privileged and is distributed only to the authorized recipients identified above; it should not be produced in diligence without prior privilege review.</w:t>
      </w:r>
    </w:p>
    <w:bookmarkEnd w:id="21"/>
    <w:bookmarkStart w:id="22" w:name="ii.-executive-summary"/>
    <w:p>
      <w:pPr>
        <w:pStyle w:val="Heading2"/>
      </w:pPr>
      <w:r>
        <w:t xml:space="preserve">II. Executive Summary</w:t>
      </w:r>
    </w:p>
    <w:p>
      <w:pPr>
        <w:pStyle w:val="FirstParagraph"/>
      </w:pPr>
      <w:r>
        <w:t xml:space="preserve">Vaultline’s privacy posture exhibits</w:t>
      </w:r>
      <w:r>
        <w:t xml:space="preserve"> </w:t>
      </w:r>
      <w:r>
        <w:rPr>
          <w:b/>
          <w:bCs/>
        </w:rPr>
        <w:t xml:space="preserve">systemic, cross-document inconsistencies</w:t>
      </w:r>
      <w:r>
        <w:t xml:space="preserve"> </w:t>
      </w:r>
      <w:r>
        <w:t xml:space="preserve">among (a) what the consumer-facing Policy discloses, (b) what the internal Inventory documents as Vaultline’s actual practices, (c) what the DSA authorizes Brightly to do with user data, and (d) what the August 2024 Breach Log reflects about incident response. The Policy — last updated</w:t>
      </w:r>
      <w:r>
        <w:t xml:space="preserve"> </w:t>
      </w:r>
      <w:r>
        <w:rPr>
          <w:b/>
          <w:bCs/>
        </w:rPr>
        <w:t xml:space="preserve">January 15, 2023</w:t>
      </w:r>
      <w:r>
        <w:t xml:space="preserve"> </w:t>
      </w:r>
      <w:r>
        <w:t xml:space="preserve">— has not been revised to reflect at least three material subsequent events: the</w:t>
      </w:r>
      <w:r>
        <w:t xml:space="preserve"> </w:t>
      </w:r>
      <w:r>
        <w:rPr>
          <w:b/>
          <w:bCs/>
        </w:rPr>
        <w:t xml:space="preserve">March 8, 2023</w:t>
      </w:r>
      <w:r>
        <w:t xml:space="preserve"> </w:t>
      </w:r>
      <w:r>
        <w:t xml:space="preserve">launch of the Selfie Verify biometric feature; the</w:t>
      </w:r>
      <w:r>
        <w:t xml:space="preserve"> </w:t>
      </w:r>
      <w:r>
        <w:rPr>
          <w:b/>
          <w:bCs/>
        </w:rPr>
        <w:t xml:space="preserve">June 15, 2024</w:t>
      </w:r>
      <w:r>
        <w:t xml:space="preserve"> </w:t>
      </w:r>
      <w:r>
        <w:t xml:space="preserve">amendment to the Brightly DSA; and the</w:t>
      </w:r>
      <w:r>
        <w:t xml:space="preserve"> </w:t>
      </w:r>
      <w:r>
        <w:rPr>
          <w:b/>
          <w:bCs/>
        </w:rPr>
        <w:t xml:space="preserve">August 2024</w:t>
      </w:r>
      <w:r>
        <w:t xml:space="preserve"> </w:t>
      </w:r>
      <w:r>
        <w:t xml:space="preserve">data breach affecting approximately 84,000 users. The Investor Letter independently identified several of the same issues and signaled that remediation may be made a condition to closing, with possible holdback/escrow provisions and valuation consequences.</w:t>
      </w:r>
    </w:p>
    <w:p>
      <w:pPr>
        <w:pStyle w:val="BodyText"/>
      </w:pPr>
      <w:r>
        <w:t xml:space="preserve">We identify</w:t>
      </w:r>
      <w:r>
        <w:t xml:space="preserve"> </w:t>
      </w:r>
      <w:r>
        <w:rPr>
          <w:b/>
          <w:bCs/>
        </w:rPr>
        <w:t xml:space="preserve">fourteen discrete issues</w:t>
      </w:r>
      <w:r>
        <w:t xml:space="preserve">, summarized in the table below and detailed in Part III. Severity ratings reflect a combination of (i) the strength of the legal obligation, (ii) the magnitude of potential exposure, and (iii) the likelihood of enforcement or private action given Vaultline’s user base and imminent EU launch.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Authority</w:t>
            </w:r>
          </w:p>
        </w:tc>
        <w:tc>
          <w:tcPr/>
          <w:p>
            <w:pPr>
              <w:pStyle w:val="Compact"/>
              <w:jc w:val="left"/>
            </w:pPr>
            <w:r>
              <w:t xml:space="preserve">Key Documents Implicated</w:t>
            </w:r>
          </w:p>
        </w:tc>
      </w:tr>
      <w:tr>
        <w:tc>
          <w:tcPr/>
          <w:p>
            <w:pPr>
              <w:pStyle w:val="Compact"/>
              <w:jc w:val="left"/>
            </w:pPr>
            <w:r>
              <w:t xml:space="preserve">1</w:t>
            </w:r>
          </w:p>
        </w:tc>
        <w:tc>
          <w:tcPr/>
          <w:p>
            <w:pPr>
              <w:pStyle w:val="Compact"/>
              <w:jc w:val="left"/>
            </w:pPr>
            <w:r>
              <w:t xml:space="preserve">Biometric data (Selfie Verify) collected without disclosure or consent</w:t>
            </w:r>
          </w:p>
        </w:tc>
        <w:tc>
          <w:tcPr/>
          <w:p>
            <w:pPr>
              <w:pStyle w:val="Compact"/>
              <w:jc w:val="left"/>
            </w:pPr>
            <w:r>
              <w:t xml:space="preserve">Critical</w:t>
            </w:r>
          </w:p>
        </w:tc>
        <w:tc>
          <w:tcPr/>
          <w:p>
            <w:pPr>
              <w:pStyle w:val="Compact"/>
              <w:jc w:val="left"/>
            </w:pPr>
            <w:r>
              <w:t xml:space="preserve">BIPA; CCPA/CPRA; GDPR Art. 9</w:t>
            </w:r>
          </w:p>
        </w:tc>
        <w:tc>
          <w:tcPr/>
          <w:p>
            <w:pPr>
              <w:pStyle w:val="Compact"/>
              <w:jc w:val="left"/>
            </w:pPr>
            <w:r>
              <w:t xml:space="preserve">Policy; Inventory (DC-011, Selfie Verify tab)</w:t>
            </w:r>
          </w:p>
        </w:tc>
      </w:tr>
      <w:tr>
        <w:tc>
          <w:tcPr/>
          <w:p>
            <w:pPr>
              <w:pStyle w:val="Compact"/>
              <w:jc w:val="left"/>
            </w:pPr>
            <w:r>
              <w:t xml:space="preserve">2</w:t>
            </w:r>
          </w:p>
        </w:tc>
        <w:tc>
          <w:tcPr/>
          <w:p>
            <w:pPr>
              <w:pStyle w:val="Compact"/>
              <w:jc w:val="left"/>
            </w:pPr>
            <w:r>
              <w:t xml:space="preserve">International transfers rely on invalidated Privacy Shield</w:t>
            </w:r>
          </w:p>
        </w:tc>
        <w:tc>
          <w:tcPr/>
          <w:p>
            <w:pPr>
              <w:pStyle w:val="Compact"/>
              <w:jc w:val="left"/>
            </w:pPr>
            <w:r>
              <w:t xml:space="preserve">Critical</w:t>
            </w:r>
          </w:p>
        </w:tc>
        <w:tc>
          <w:tcPr/>
          <w:p>
            <w:pPr>
              <w:pStyle w:val="Compact"/>
              <w:jc w:val="left"/>
            </w:pPr>
            <w:r>
              <w:t xml:space="preserve">GDPR Ch. V</w:t>
            </w:r>
          </w:p>
        </w:tc>
        <w:tc>
          <w:tcPr/>
          <w:p>
            <w:pPr>
              <w:pStyle w:val="Compact"/>
              <w:jc w:val="left"/>
            </w:pPr>
            <w:r>
              <w:t xml:space="preserve">Policy; Inventory (IT-001 to IT-003)</w:t>
            </w:r>
          </w:p>
        </w:tc>
      </w:tr>
      <w:tr>
        <w:tc>
          <w:tcPr/>
          <w:p>
            <w:pPr>
              <w:pStyle w:val="Compact"/>
              <w:jc w:val="left"/>
            </w:pPr>
            <w:r>
              <w:t xml:space="preserve">3</w:t>
            </w:r>
          </w:p>
        </w:tc>
        <w:tc>
          <w:tcPr/>
          <w:p>
            <w:pPr>
              <w:pStyle w:val="Compact"/>
              <w:jc w:val="left"/>
            </w:pPr>
            <w:r>
              <w:t xml:space="preserve">GDPR transparency, DPO, Art. 27 rep, and DPIA obligations unmet</w:t>
            </w:r>
          </w:p>
        </w:tc>
        <w:tc>
          <w:tcPr/>
          <w:p>
            <w:pPr>
              <w:pStyle w:val="Compact"/>
              <w:jc w:val="left"/>
            </w:pPr>
            <w:r>
              <w:t xml:space="preserve">Critical</w:t>
            </w:r>
          </w:p>
        </w:tc>
        <w:tc>
          <w:tcPr/>
          <w:p>
            <w:pPr>
              <w:pStyle w:val="Compact"/>
              <w:jc w:val="left"/>
            </w:pPr>
            <w:r>
              <w:t xml:space="preserve">GDPR Art. 13/14, 27, 35, 37</w:t>
            </w:r>
          </w:p>
        </w:tc>
        <w:tc>
          <w:tcPr/>
          <w:p>
            <w:pPr>
              <w:pStyle w:val="Compact"/>
              <w:jc w:val="left"/>
            </w:pPr>
            <w:r>
              <w:t xml:space="preserve">Policy; Inventory (EU Processing Summary, DPIA Status)</w:t>
            </w:r>
          </w:p>
        </w:tc>
      </w:tr>
      <w:tr>
        <w:tc>
          <w:tcPr/>
          <w:p>
            <w:pPr>
              <w:pStyle w:val="Compact"/>
              <w:jc w:val="left"/>
            </w:pPr>
            <w:r>
              <w:t xml:space="preserve">4</w:t>
            </w:r>
          </w:p>
        </w:tc>
        <w:tc>
          <w:tcPr/>
          <w:p>
            <w:pPr>
              <w:pStyle w:val="Compact"/>
              <w:jc w:val="left"/>
            </w:pPr>
            <w:r>
              <w:t xml:space="preserve">Undisclosed automated decision-making (Smart Insights)</w:t>
            </w:r>
          </w:p>
        </w:tc>
        <w:tc>
          <w:tcPr/>
          <w:p>
            <w:pPr>
              <w:pStyle w:val="Compact"/>
              <w:jc w:val="left"/>
            </w:pPr>
            <w:r>
              <w:t xml:space="preserve">Critical</w:t>
            </w:r>
          </w:p>
        </w:tc>
        <w:tc>
          <w:tcPr/>
          <w:p>
            <w:pPr>
              <w:pStyle w:val="Compact"/>
              <w:jc w:val="left"/>
            </w:pPr>
            <w:r>
              <w:t xml:space="preserve">GDPR Art. 22/35; CCPA/CPRA</w:t>
            </w:r>
          </w:p>
        </w:tc>
        <w:tc>
          <w:tcPr/>
          <w:p>
            <w:pPr>
              <w:pStyle w:val="Compact"/>
              <w:jc w:val="left"/>
            </w:pPr>
            <w:r>
              <w:t xml:space="preserve">Policy; Inventory (PA-003)</w:t>
            </w:r>
          </w:p>
        </w:tc>
      </w:tr>
      <w:tr>
        <w:tc>
          <w:tcPr/>
          <w:p>
            <w:pPr>
              <w:pStyle w:val="Compact"/>
              <w:jc w:val="left"/>
            </w:pPr>
            <w:r>
              <w:t xml:space="preserve">5</w:t>
            </w:r>
          </w:p>
        </w:tc>
        <w:tc>
          <w:tcPr/>
          <w:p>
            <w:pPr>
              <w:pStyle w:val="Compact"/>
              <w:jc w:val="left"/>
            </w:pPr>
            <w:r>
              <w:t xml:space="preserve">August 2024 breach: regulator notification gaps and timing</w:t>
            </w:r>
          </w:p>
        </w:tc>
        <w:tc>
          <w:tcPr/>
          <w:p>
            <w:pPr>
              <w:pStyle w:val="Compact"/>
              <w:jc w:val="left"/>
            </w:pPr>
            <w:r>
              <w:t xml:space="preserve">Critical</w:t>
            </w:r>
          </w:p>
        </w:tc>
        <w:tc>
          <w:tcPr/>
          <w:p>
            <w:pPr>
              <w:pStyle w:val="Compact"/>
              <w:jc w:val="left"/>
            </w:pPr>
            <w:r>
              <w:t xml:space="preserve">State breach laws; GDPR Art. 33/34</w:t>
            </w:r>
          </w:p>
        </w:tc>
        <w:tc>
          <w:tcPr/>
          <w:p>
            <w:pPr>
              <w:pStyle w:val="Compact"/>
              <w:jc w:val="left"/>
            </w:pPr>
            <w:r>
              <w:t xml:space="preserve">Breach Log; DSA §9.2</w:t>
            </w:r>
          </w:p>
        </w:tc>
      </w:tr>
      <w:tr>
        <w:tc>
          <w:tcPr/>
          <w:p>
            <w:pPr>
              <w:pStyle w:val="Compact"/>
              <w:jc w:val="left"/>
            </w:pPr>
            <w:r>
              <w:t xml:space="preserve">6</w:t>
            </w:r>
          </w:p>
        </w:tc>
        <w:tc>
          <w:tcPr/>
          <w:p>
            <w:pPr>
              <w:pStyle w:val="Compact"/>
              <w:jc w:val="left"/>
            </w:pPr>
            <w:r>
              <w:t xml:space="preserve">Brightly sharing: undisclosed</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opt-out; DSA rep risk</w:t>
            </w:r>
          </w:p>
        </w:tc>
        <w:tc>
          <w:tcPr/>
          <w:p>
            <w:pPr>
              <w:pStyle w:val="Compact"/>
              <w:jc w:val="left"/>
            </w:pPr>
            <w:r>
              <w:t xml:space="preserve">High</w:t>
            </w:r>
          </w:p>
        </w:tc>
        <w:tc>
          <w:tcPr/>
          <w:p>
            <w:pPr>
              <w:pStyle w:val="Compact"/>
              <w:jc w:val="left"/>
            </w:pPr>
            <w:r>
              <w:t xml:space="preserve">CCPA/CPRA; DSA §7.1</w:t>
            </w:r>
          </w:p>
        </w:tc>
        <w:tc>
          <w:tcPr/>
          <w:p>
            <w:pPr>
              <w:pStyle w:val="Compact"/>
              <w:jc w:val="left"/>
            </w:pPr>
            <w:r>
              <w:t xml:space="preserve">Policy; DSA; Inventory (TS-002, DC-014/015)</w:t>
            </w:r>
          </w:p>
        </w:tc>
      </w:tr>
      <w:tr>
        <w:tc>
          <w:tcPr/>
          <w:p>
            <w:pPr>
              <w:pStyle w:val="Compact"/>
              <w:jc w:val="left"/>
            </w:pPr>
            <w:r>
              <w:t xml:space="preserve">7</w:t>
            </w:r>
          </w:p>
        </w:tc>
        <w:tc>
          <w:tcPr/>
          <w:p>
            <w:pPr>
              <w:pStyle w:val="Compact"/>
              <w:jc w:val="left"/>
            </w:pPr>
            <w:r>
              <w:t xml:space="preserve">CCPA/CPRA consumer rights disclosures incomplete</w:t>
            </w:r>
          </w:p>
        </w:tc>
        <w:tc>
          <w:tcPr/>
          <w:p>
            <w:pPr>
              <w:pStyle w:val="Compact"/>
              <w:jc w:val="left"/>
            </w:pPr>
            <w:r>
              <w:t xml:space="preserve">High</w:t>
            </w:r>
          </w:p>
        </w:tc>
        <w:tc>
          <w:tcPr/>
          <w:p>
            <w:pPr>
              <w:pStyle w:val="Compact"/>
              <w:jc w:val="left"/>
            </w:pPr>
            <w:r>
              <w:t xml:space="preserve">CCPA/CPRA</w:t>
            </w:r>
          </w:p>
        </w:tc>
        <w:tc>
          <w:tcPr/>
          <w:p>
            <w:pPr>
              <w:pStyle w:val="Compact"/>
              <w:jc w:val="left"/>
            </w:pPr>
            <w:r>
              <w:t xml:space="preserve">Policy; Inventory</w:t>
            </w:r>
          </w:p>
        </w:tc>
      </w:tr>
      <w:tr>
        <w:tc>
          <w:tcPr/>
          <w:p>
            <w:pPr>
              <w:pStyle w:val="Compact"/>
              <w:jc w:val="left"/>
            </w:pPr>
            <w:r>
              <w:t xml:space="preserve">8</w:t>
            </w:r>
          </w:p>
        </w:tc>
        <w:tc>
          <w:tcPr/>
          <w:p>
            <w:pPr>
              <w:pStyle w:val="Compact"/>
              <w:jc w:val="left"/>
            </w:pPr>
            <w:r>
              <w:t xml:space="preserve">Data retention: indefinite retention, no disclosed periods</w:t>
            </w:r>
          </w:p>
        </w:tc>
        <w:tc>
          <w:tcPr/>
          <w:p>
            <w:pPr>
              <w:pStyle w:val="Compact"/>
              <w:jc w:val="left"/>
            </w:pPr>
            <w:r>
              <w:t xml:space="preserve">High</w:t>
            </w:r>
          </w:p>
        </w:tc>
        <w:tc>
          <w:tcPr/>
          <w:p>
            <w:pPr>
              <w:pStyle w:val="Compact"/>
              <w:jc w:val="left"/>
            </w:pPr>
            <w:r>
              <w:t xml:space="preserve">GDPR Art. 5(1)(e); CCPA/CPRA; BIPA</w:t>
            </w:r>
          </w:p>
        </w:tc>
        <w:tc>
          <w:tcPr/>
          <w:p>
            <w:pPr>
              <w:pStyle w:val="Compact"/>
              <w:jc w:val="left"/>
            </w:pPr>
            <w:r>
              <w:t xml:space="preserve">Policy; Inventory (Data Retention tab)</w:t>
            </w:r>
          </w:p>
        </w:tc>
      </w:tr>
      <w:tr>
        <w:tc>
          <w:tcPr/>
          <w:p>
            <w:pPr>
              <w:pStyle w:val="Compact"/>
              <w:jc w:val="left"/>
            </w:pPr>
            <w:r>
              <w:t xml:space="preserve">9</w:t>
            </w:r>
          </w:p>
        </w:tc>
        <w:tc>
          <w:tcPr/>
          <w:p>
            <w:pPr>
              <w:pStyle w:val="Compact"/>
              <w:jc w:val="left"/>
            </w:pPr>
            <w:r>
              <w:t xml:space="preserve">Potential GLBA</w:t>
            </w:r>
            <w:r>
              <w:t xml:space="preserve"> </w:t>
            </w:r>
            <w:r>
              <w:t xml:space="preserve">“</w:t>
            </w:r>
            <w:r>
              <w:t xml:space="preserve">financial institution</w:t>
            </w:r>
            <w:r>
              <w:t xml:space="preserve">”</w:t>
            </w:r>
            <w:r>
              <w:t xml:space="preserve"> </w:t>
            </w:r>
            <w:r>
              <w:t xml:space="preserve">characterization</w:t>
            </w:r>
          </w:p>
        </w:tc>
        <w:tc>
          <w:tcPr/>
          <w:p>
            <w:pPr>
              <w:pStyle w:val="Compact"/>
              <w:jc w:val="left"/>
            </w:pPr>
            <w:r>
              <w:t xml:space="preserve">High</w:t>
            </w:r>
          </w:p>
        </w:tc>
        <w:tc>
          <w:tcPr/>
          <w:p>
            <w:pPr>
              <w:pStyle w:val="Compact"/>
              <w:jc w:val="left"/>
            </w:pPr>
            <w:r>
              <w:t xml:space="preserve">GLBA; Reg. P</w:t>
            </w:r>
          </w:p>
        </w:tc>
        <w:tc>
          <w:tcPr/>
          <w:p>
            <w:pPr>
              <w:pStyle w:val="Compact"/>
              <w:jc w:val="left"/>
            </w:pPr>
            <w:r>
              <w:t xml:space="preserve">Policy; Inventory; Investor Letter</w:t>
            </w:r>
          </w:p>
        </w:tc>
      </w:tr>
      <w:tr>
        <w:tc>
          <w:tcPr/>
          <w:p>
            <w:pPr>
              <w:pStyle w:val="Compact"/>
              <w:jc w:val="left"/>
            </w:pPr>
            <w:r>
              <w:t xml:space="preserve">10</w:t>
            </w:r>
          </w:p>
        </w:tc>
        <w:tc>
          <w:tcPr/>
          <w:p>
            <w:pPr>
              <w:pStyle w:val="Compact"/>
              <w:jc w:val="left"/>
            </w:pPr>
            <w:r>
              <w:t xml:space="preserve">Cookies/tracking: consent banner non-compliant</w:t>
            </w:r>
          </w:p>
        </w:tc>
        <w:tc>
          <w:tcPr/>
          <w:p>
            <w:pPr>
              <w:pStyle w:val="Compact"/>
              <w:jc w:val="left"/>
            </w:pPr>
            <w:r>
              <w:t xml:space="preserve">High</w:t>
            </w:r>
          </w:p>
        </w:tc>
        <w:tc>
          <w:tcPr/>
          <w:p>
            <w:pPr>
              <w:pStyle w:val="Compact"/>
              <w:jc w:val="left"/>
            </w:pPr>
            <w:r>
              <w:t xml:space="preserve">ePrivacy; GDPR Art. 4(11); CalOPPA</w:t>
            </w:r>
          </w:p>
        </w:tc>
        <w:tc>
          <w:tcPr/>
          <w:p>
            <w:pPr>
              <w:pStyle w:val="Compact"/>
              <w:jc w:val="left"/>
            </w:pPr>
            <w:r>
              <w:t xml:space="preserve">Policy; Inventory (Cookie Inventory)</w:t>
            </w:r>
          </w:p>
        </w:tc>
      </w:tr>
      <w:tr>
        <w:tc>
          <w:tcPr/>
          <w:p>
            <w:pPr>
              <w:pStyle w:val="Compact"/>
              <w:jc w:val="left"/>
            </w:pPr>
            <w:r>
              <w:t xml:space="preserve">11</w:t>
            </w:r>
          </w:p>
        </w:tc>
        <w:tc>
          <w:tcPr/>
          <w:p>
            <w:pPr>
              <w:pStyle w:val="Compact"/>
              <w:jc w:val="left"/>
            </w:pPr>
            <w:r>
              <w:t xml:space="preserve">Privacy Policy staleness and readability</w:t>
            </w:r>
          </w:p>
        </w:tc>
        <w:tc>
          <w:tcPr/>
          <w:p>
            <w:pPr>
              <w:pStyle w:val="Compact"/>
              <w:jc w:val="left"/>
            </w:pPr>
            <w:r>
              <w:t xml:space="preserve">Medium</w:t>
            </w:r>
          </w:p>
        </w:tc>
        <w:tc>
          <w:tcPr/>
          <w:p>
            <w:pPr>
              <w:pStyle w:val="Compact"/>
              <w:jc w:val="left"/>
            </w:pPr>
            <w:r>
              <w:t xml:space="preserve">FTC</w:t>
            </w:r>
            <w:r>
              <w:t xml:space="preserve"> </w:t>
            </w:r>
            <w:r>
              <w:t xml:space="preserve">“</w:t>
            </w:r>
            <w:r>
              <w:t xml:space="preserve">clear &amp; conspicuous</w:t>
            </w:r>
            <w:r>
              <w:t xml:space="preserve">”</w:t>
            </w:r>
            <w:r>
              <w:t xml:space="preserve">; CCPA/CPRA</w:t>
            </w:r>
          </w:p>
        </w:tc>
        <w:tc>
          <w:tcPr/>
          <w:p>
            <w:pPr>
              <w:pStyle w:val="Compact"/>
              <w:jc w:val="left"/>
            </w:pPr>
            <w:r>
              <w:t xml:space="preserve">Policy; Investor Letter</w:t>
            </w:r>
          </w:p>
        </w:tc>
      </w:tr>
      <w:tr>
        <w:tc>
          <w:tcPr/>
          <w:p>
            <w:pPr>
              <w:pStyle w:val="Compact"/>
              <w:jc w:val="left"/>
            </w:pPr>
            <w:r>
              <w:t xml:space="preserve">12</w:t>
            </w:r>
          </w:p>
        </w:tc>
        <w:tc>
          <w:tcPr/>
          <w:p>
            <w:pPr>
              <w:pStyle w:val="Compact"/>
              <w:jc w:val="left"/>
            </w:pPr>
            <w:r>
              <w:t xml:space="preserve">Third-party recipient disclosure gaps (Brightly unnamed)</w:t>
            </w:r>
          </w:p>
        </w:tc>
        <w:tc>
          <w:tcPr/>
          <w:p>
            <w:pPr>
              <w:pStyle w:val="Compact"/>
              <w:jc w:val="left"/>
            </w:pPr>
            <w:r>
              <w:t xml:space="preserve">Medium</w:t>
            </w:r>
          </w:p>
        </w:tc>
        <w:tc>
          <w:tcPr/>
          <w:p>
            <w:pPr>
              <w:pStyle w:val="Compact"/>
              <w:jc w:val="left"/>
            </w:pPr>
            <w:r>
              <w:t xml:space="preserve">CCPA/CPRA; GDPR Art. 13/14</w:t>
            </w:r>
          </w:p>
        </w:tc>
        <w:tc>
          <w:tcPr/>
          <w:p>
            <w:pPr>
              <w:pStyle w:val="Compact"/>
              <w:jc w:val="left"/>
            </w:pPr>
            <w:r>
              <w:t xml:space="preserve">Policy; DSA; Inventory (TS-002)</w:t>
            </w:r>
          </w:p>
        </w:tc>
      </w:tr>
      <w:tr>
        <w:tc>
          <w:tcPr/>
          <w:p>
            <w:pPr>
              <w:pStyle w:val="Compact"/>
              <w:jc w:val="left"/>
            </w:pPr>
            <w:r>
              <w:t xml:space="preserve">13</w:t>
            </w:r>
          </w:p>
        </w:tc>
        <w:tc>
          <w:tcPr/>
          <w:p>
            <w:pPr>
              <w:pStyle w:val="Compact"/>
              <w:jc w:val="left"/>
            </w:pPr>
            <w:r>
              <w:t xml:space="preserve">Sensitive personal information classification gaps</w:t>
            </w:r>
          </w:p>
        </w:tc>
        <w:tc>
          <w:tcPr/>
          <w:p>
            <w:pPr>
              <w:pStyle w:val="Compact"/>
              <w:jc w:val="left"/>
            </w:pPr>
            <w:r>
              <w:t xml:space="preserve">Medium</w:t>
            </w:r>
          </w:p>
        </w:tc>
        <w:tc>
          <w:tcPr/>
          <w:p>
            <w:pPr>
              <w:pStyle w:val="Compact"/>
              <w:jc w:val="left"/>
            </w:pPr>
            <w:r>
              <w:t xml:space="preserve">CCPA/CPRA</w:t>
            </w:r>
          </w:p>
        </w:tc>
        <w:tc>
          <w:tcPr/>
          <w:p>
            <w:pPr>
              <w:pStyle w:val="Compact"/>
              <w:jc w:val="left"/>
            </w:pPr>
            <w:r>
              <w:t xml:space="preserve">Policy; Inventory (DC-003/010/011)</w:t>
            </w:r>
          </w:p>
        </w:tc>
      </w:tr>
      <w:tr>
        <w:tc>
          <w:tcPr/>
          <w:p>
            <w:pPr>
              <w:pStyle w:val="Compact"/>
              <w:jc w:val="left"/>
            </w:pPr>
            <w:r>
              <w:t xml:space="preserve">14</w:t>
            </w:r>
          </w:p>
        </w:tc>
        <w:tc>
          <w:tcPr/>
          <w:p>
            <w:pPr>
              <w:pStyle w:val="Compact"/>
              <w:jc w:val="left"/>
            </w:pPr>
            <w:r>
              <w:t xml:space="preserve">EU data location inconsistency (Breach Log vs. Inventory)</w:t>
            </w:r>
          </w:p>
        </w:tc>
        <w:tc>
          <w:tcPr/>
          <w:p>
            <w:pPr>
              <w:pStyle w:val="Compact"/>
              <w:jc w:val="left"/>
            </w:pPr>
            <w:r>
              <w:t xml:space="preserve">Medium</w:t>
            </w:r>
          </w:p>
        </w:tc>
        <w:tc>
          <w:tcPr/>
          <w:p>
            <w:pPr>
              <w:pStyle w:val="Compact"/>
              <w:jc w:val="left"/>
            </w:pPr>
            <w:r>
              <w:t xml:space="preserve">GDPR Ch. V</w:t>
            </w:r>
          </w:p>
        </w:tc>
        <w:tc>
          <w:tcPr/>
          <w:p>
            <w:pPr>
              <w:pStyle w:val="Compact"/>
              <w:jc w:val="left"/>
            </w:pPr>
            <w:r>
              <w:t xml:space="preserve">Breach Log; Inventory (IT-001)</w:t>
            </w:r>
          </w:p>
        </w:tc>
      </w:tr>
    </w:tbl>
    <w:p>
      <w:pPr>
        <w:pStyle w:val="BodyText"/>
      </w:pPr>
      <w:r>
        <w:rPr>
          <w:b/>
          <w:bCs/>
        </w:rPr>
        <w:t xml:space="preserve">Aggregate potential exposure.</w:t>
      </w:r>
      <w:r>
        <w:t xml:space="preserve"> </w:t>
      </w:r>
      <w:r>
        <w:t xml:space="preserve">The most quantifiable exposures are: (i)</w:t>
      </w:r>
      <w:r>
        <w:t xml:space="preserve"> </w:t>
      </w:r>
      <w:r>
        <w:rPr>
          <w:b/>
          <w:bCs/>
        </w:rPr>
        <w:t xml:space="preserve">BIPA statutory damages</w:t>
      </w:r>
      <w:r>
        <w:t xml:space="preserve"> </w:t>
      </w:r>
      <w:r>
        <w:t xml:space="preserve">of approximately</w:t>
      </w:r>
      <w:r>
        <w:t xml:space="preserve"> </w:t>
      </w:r>
      <w:r>
        <w:rPr>
          <w:b/>
          <w:bCs/>
        </w:rPr>
        <w:t xml:space="preserve">$87 million</w:t>
      </w:r>
      <w:r>
        <w:t xml:space="preserve"> </w:t>
      </w:r>
      <w:r>
        <w:t xml:space="preserve">(negligent) to</w:t>
      </w:r>
      <w:r>
        <w:t xml:space="preserve"> </w:t>
      </w:r>
      <w:r>
        <w:rPr>
          <w:b/>
          <w:bCs/>
        </w:rPr>
        <w:t xml:space="preserve">$435 million</w:t>
      </w:r>
      <w:r>
        <w:t xml:space="preserve"> </w:t>
      </w:r>
      <w:r>
        <w:t xml:space="preserve">(intentional/reckless), based on ~87,000 Illinois users at $1,000–$5,000 per violation, with a private right of action and fee-shifting; (ii)</w:t>
      </w:r>
      <w:r>
        <w:t xml:space="preserve"> </w:t>
      </w:r>
      <w:r>
        <w:rPr>
          <w:b/>
          <w:bCs/>
        </w:rPr>
        <w:t xml:space="preserve">GDPR administrative fines</w:t>
      </w:r>
      <w:r>
        <w:t xml:space="preserve"> </w:t>
      </w:r>
      <w:r>
        <w:t xml:space="preserve">up to</w:t>
      </w:r>
      <w:r>
        <w:t xml:space="preserve"> </w:t>
      </w:r>
      <w:r>
        <w:rPr>
          <w:b/>
          <w:bCs/>
        </w:rPr>
        <w:t xml:space="preserve">4% of annual global turnover</w:t>
      </w:r>
      <w:r>
        <w:t xml:space="preserve"> </w:t>
      </w:r>
      <w:r>
        <w:t xml:space="preserve">(~$1.89 million based on FY 2024 revenue of $47.3 million) for transparency and data-subject-rights infringements, and up to 2% for other obligations; (iii)</w:t>
      </w:r>
      <w:r>
        <w:t xml:space="preserve"> </w:t>
      </w:r>
      <w:r>
        <w:rPr>
          <w:b/>
          <w:bCs/>
        </w:rPr>
        <w:t xml:space="preserve">CCPA/CPRA civil penalties</w:t>
      </w:r>
      <w:r>
        <w:t xml:space="preserve"> </w:t>
      </w:r>
      <w:r>
        <w:t xml:space="preserve">of $2,500 per violation and $7,500 per intentional or minor-directed violation, plus a private right of action for certain breaches; (iv)</w:t>
      </w:r>
      <w:r>
        <w:t xml:space="preserve"> </w:t>
      </w:r>
      <w:r>
        <w:rPr>
          <w:b/>
          <w:bCs/>
        </w:rPr>
        <w:t xml:space="preserve">FTC enforcement</w:t>
      </w:r>
      <w:r>
        <w:t xml:space="preserve"> </w:t>
      </w:r>
      <w:r>
        <w:t xml:space="preserve">risk under GLBA/Regulation P and Section 5 (unfairness/deception); (v)</w:t>
      </w:r>
      <w:r>
        <w:t xml:space="preserve"> </w:t>
      </w:r>
      <w:r>
        <w:rPr>
          <w:b/>
          <w:bCs/>
        </w:rPr>
        <w:t xml:space="preserve">state attorney general</w:t>
      </w:r>
      <w:r>
        <w:t xml:space="preserve"> </w:t>
      </w:r>
      <w:r>
        <w:t xml:space="preserve">enforcement for breach-notification failures; and (vi)</w:t>
      </w:r>
      <w:r>
        <w:t xml:space="preserve"> </w:t>
      </w:r>
      <w:r>
        <w:rPr>
          <w:b/>
          <w:bCs/>
        </w:rPr>
        <w:t xml:space="preserve">transaction risk</w:t>
      </w:r>
      <w:r>
        <w:t xml:space="preserve"> </w:t>
      </w:r>
      <w:r>
        <w:t xml:space="preserve">— the Investor Letter expressly contemplates pre-closing remediation conditions, post-closing remediation plans with holdback/escrow, and valuation impact for undisclosed regulatory risk.</w:t>
      </w:r>
    </w:p>
    <w:bookmarkEnd w:id="22"/>
    <w:bookmarkStart w:id="37" w:name="iii.-detailed-issues"/>
    <w:p>
      <w:pPr>
        <w:pStyle w:val="Heading2"/>
      </w:pPr>
      <w:r>
        <w:t xml:space="preserve">III. Detailed Issues</w:t>
      </w:r>
    </w:p>
    <w:p>
      <w:pPr>
        <w:pStyle w:val="FirstParagraph"/>
      </w:pPr>
      <w:r>
        <w:t xml:space="preserve">For each issue we set out (A) the cross-document gap, (B) the legal authority and exposure, and (C) recommended remediation.</w:t>
      </w:r>
    </w:p>
    <w:bookmarkStart w:id="23" w:name="X9386a79d93e58f79e909eab6d9347a1b0c94ae0"/>
    <w:p>
      <w:pPr>
        <w:pStyle w:val="Heading3"/>
      </w:pPr>
      <w:r>
        <w:t xml:space="preserve">Issue 1 — Biometric Data (Selfie Verify) Collected Without Disclosure or Consent [CRITICAL]</w:t>
      </w:r>
    </w:p>
    <w:p>
      <w:pPr>
        <w:pStyle w:val="FirstParagraph"/>
      </w:pPr>
      <w:r>
        <w:rPr>
          <w:b/>
          <w:bCs/>
        </w:rPr>
        <w:t xml:space="preserve">(A) Cross-document gap.</w:t>
      </w:r>
      <w:r>
        <w:t xml:space="preserve"> </w:t>
      </w:r>
      <w:r>
        <w:t xml:space="preserve">The Policy (last updated January 15, 2023) contains</w:t>
      </w:r>
      <w:r>
        <w:t xml:space="preserve"> </w:t>
      </w:r>
      <w:r>
        <w:rPr>
          <w:b/>
          <w:bCs/>
        </w:rPr>
        <w:t xml:space="preserve">no mention whatsoever</w:t>
      </w:r>
      <w:r>
        <w:t xml:space="preserve"> </w:t>
      </w:r>
      <w:r>
        <w:t xml:space="preserve">of biometric data, facial geometry,</w:t>
      </w:r>
      <w:r>
        <w:t xml:space="preserve"> </w:t>
      </w:r>
      <w:r>
        <w:t xml:space="preserve">“</w:t>
      </w:r>
      <w:r>
        <w:t xml:space="preserve">Selfie Verify,</w:t>
      </w:r>
      <w:r>
        <w:t xml:space="preserve">”</w:t>
      </w:r>
      <w:r>
        <w:t xml:space="preserve"> </w:t>
      </w:r>
      <w:r>
        <w:t xml:space="preserve">or faceprints. The Inventory documents that the Selfie Verify feature — which captures a facial geometry template during account creation — was</w:t>
      </w:r>
      <w:r>
        <w:t xml:space="preserve"> </w:t>
      </w:r>
      <w:r>
        <w:rPr>
          <w:b/>
          <w:bCs/>
        </w:rPr>
        <w:t xml:space="preserve">launched March 8, 2023, two months after the Policy’s last update</w:t>
      </w:r>
      <w:r>
        <w:t xml:space="preserve">, and that the Policy was never revised to reflect it. The Inventory (DC-011 and the</w:t>
      </w:r>
      <w:r>
        <w:t xml:space="preserve"> </w:t>
      </w:r>
      <w:r>
        <w:t xml:space="preserve">“</w:t>
      </w:r>
      <w:r>
        <w:t xml:space="preserve">Selfie Verify Details</w:t>
      </w:r>
      <w:r>
        <w:t xml:space="preserve">”</w:t>
      </w:r>
      <w:r>
        <w:t xml:space="preserve"> </w:t>
      </w:r>
      <w:r>
        <w:t xml:space="preserve">tab) records the following:</w:t>
      </w:r>
    </w:p>
    <w:p>
      <w:pPr>
        <w:pStyle w:val="Compact"/>
        <w:numPr>
          <w:ilvl w:val="0"/>
          <w:numId w:val="1002"/>
        </w:numPr>
      </w:pPr>
      <w:r>
        <w:t xml:space="preserve">Approximately</w:t>
      </w:r>
      <w:r>
        <w:t xml:space="preserve"> </w:t>
      </w:r>
      <w:r>
        <w:rPr>
          <w:b/>
          <w:bCs/>
        </w:rPr>
        <w:t xml:space="preserve">1,900,000 users</w:t>
      </w:r>
      <w:r>
        <w:t xml:space="preserve"> </w:t>
      </w:r>
      <w:r>
        <w:t xml:space="preserve">have used Selfie Verify; facial geometry templates are stored for</w:t>
      </w:r>
      <w:r>
        <w:t xml:space="preserve"> </w:t>
      </w:r>
      <w:r>
        <w:rPr>
          <w:b/>
          <w:bCs/>
        </w:rPr>
        <w:t xml:space="preserve">5 years</w:t>
      </w:r>
      <w:r>
        <w:t xml:space="preserve"> </w:t>
      </w:r>
      <w:r>
        <w:t xml:space="preserve">after account creation on CloudFort’s Ashburn, Virginia infrastructure.</w:t>
      </w:r>
    </w:p>
    <w:p>
      <w:pPr>
        <w:pStyle w:val="Compact"/>
        <w:numPr>
          <w:ilvl w:val="0"/>
          <w:numId w:val="1002"/>
        </w:numPr>
      </w:pPr>
      <w:r>
        <w:rPr>
          <w:b/>
          <w:bCs/>
        </w:rPr>
        <w:t xml:space="preserve">No written informed consent</w:t>
      </w:r>
      <w:r>
        <w:t xml:space="preserve"> </w:t>
      </w:r>
      <w:r>
        <w:t xml:space="preserve">was obtained — the only mechanism is a browsewrap</w:t>
      </w:r>
      <w:r>
        <w:t xml:space="preserve"> </w:t>
      </w:r>
      <w:r>
        <w:t xml:space="preserve">“</w:t>
      </w:r>
      <w:r>
        <w:t xml:space="preserve">Continue</w:t>
      </w:r>
      <w:r>
        <w:t xml:space="preserve">”</w:t>
      </w:r>
      <w:r>
        <w:t xml:space="preserve"> </w:t>
      </w:r>
      <w:r>
        <w:t xml:space="preserve">tap; there is no separate biometric consent, no disclosure of purpose/duration/destruction, and no signature or affirmative written-consent mechanism.</w:t>
      </w:r>
    </w:p>
    <w:p>
      <w:pPr>
        <w:pStyle w:val="Compact"/>
        <w:numPr>
          <w:ilvl w:val="0"/>
          <w:numId w:val="1002"/>
        </w:numPr>
      </w:pPr>
      <w:r>
        <w:rPr>
          <w:b/>
          <w:bCs/>
        </w:rPr>
        <w:t xml:space="preserve">No publicly available written retention schedule or destruction guidelines</w:t>
      </w:r>
      <w:r>
        <w:t xml:space="preserve"> </w:t>
      </w:r>
      <w:r>
        <w:t xml:space="preserve">exist; the destruction method is</w:t>
      </w:r>
      <w:r>
        <w:t xml:space="preserve"> </w:t>
      </w:r>
      <w:r>
        <w:t xml:space="preserve">“</w:t>
      </w:r>
      <w:r>
        <w:t xml:space="preserve">not defined.</w:t>
      </w:r>
      <w:r>
        <w:t xml:space="preserve">”</w:t>
      </w:r>
    </w:p>
    <w:p>
      <w:pPr>
        <w:pStyle w:val="Compact"/>
        <w:numPr>
          <w:ilvl w:val="0"/>
          <w:numId w:val="1002"/>
        </w:numPr>
      </w:pPr>
      <w:r>
        <w:t xml:space="preserve">Approximately</w:t>
      </w:r>
      <w:r>
        <w:t xml:space="preserve"> </w:t>
      </w:r>
      <w:r>
        <w:rPr>
          <w:b/>
          <w:bCs/>
        </w:rPr>
        <w:t xml:space="preserve">87,000 Illinois users</w:t>
      </w:r>
      <w:r>
        <w:t xml:space="preserve">, ~71,000 California users, and ~11,500 EU-resident users are affected.</w:t>
      </w:r>
    </w:p>
    <w:p>
      <w:pPr>
        <w:pStyle w:val="Compact"/>
        <w:numPr>
          <w:ilvl w:val="0"/>
          <w:numId w:val="1002"/>
        </w:numPr>
      </w:pPr>
      <w:r>
        <w:t xml:space="preserve">The Inventory expressly classifies the data as CCPA/CPRA sensitive personal information, GDPR Article 9 special category data, and a BIPA</w:t>
      </w:r>
      <w:r>
        <w:t xml:space="preserve"> </w:t>
      </w:r>
      <w:r>
        <w:t xml:space="preserve">“</w:t>
      </w:r>
      <w:r>
        <w:t xml:space="preserve">biometric identifier</w:t>
      </w:r>
      <w:r>
        <w:t xml:space="preserve">”</w:t>
      </w:r>
      <w:r>
        <w:t xml:space="preserve"> </w:t>
      </w:r>
      <w:r>
        <w:t xml:space="preserve">(facial geometry) under 740 ILCS 14/10, and states the feature’s BIPA compliance status as</w:t>
      </w:r>
      <w:r>
        <w:t xml:space="preserve"> </w:t>
      </w:r>
      <w:r>
        <w:t xml:space="preserve">“</w:t>
      </w:r>
      <w:r>
        <w:t xml:space="preserve">NON-COMPLIANT.</w:t>
      </w:r>
      <w:r>
        <w:t xml:space="preserve">”</w:t>
      </w:r>
    </w:p>
    <w:p>
      <w:pPr>
        <w:pStyle w:val="FirstParagraph"/>
      </w:pPr>
      <w:r>
        <w:t xml:space="preserve">The Investor Letter independently flags the absence of any biometric disclosure in the Policy and requests review under BIPA and other state biometric statutes.</w:t>
      </w:r>
    </w:p>
    <w:p>
      <w:pPr>
        <w:pStyle w:val="BodyText"/>
      </w:pPr>
      <w:r>
        <w:rPr>
          <w:b/>
          <w:bCs/>
        </w:rPr>
        <w:t xml:space="preserve">(B) Legal authority and exposure.</w:t>
      </w:r>
    </w:p>
    <w:p>
      <w:pPr>
        <w:pStyle w:val="Compact"/>
        <w:numPr>
          <w:ilvl w:val="0"/>
          <w:numId w:val="1003"/>
        </w:numPr>
      </w:pPr>
      <w:r>
        <w:rPr>
          <w:b/>
          <w:bCs/>
        </w:rPr>
        <w:t xml:space="preserve">BIPA (740 ILCS 14/15).</w:t>
      </w:r>
      <w:r>
        <w:t xml:space="preserve"> </w:t>
      </w:r>
      <w:r>
        <w:t xml:space="preserve">BIPA requires, before collecting biometric identifiers: (i) a publicly available written policy establishing a retention schedule and destruction guidelines (§15(a)); and (ii) written informed consent disclosing the specific purpose and length of term of collection (§15(b)). The Inventory confirms</w:t>
      </w:r>
      <w:r>
        <w:t xml:space="preserve"> </w:t>
      </w:r>
      <w:r>
        <w:rPr>
          <w:b/>
          <w:bCs/>
        </w:rPr>
        <w:t xml:space="preserve">neither exists</w:t>
      </w:r>
      <w:r>
        <w:t xml:space="preserve">. BIPA carries a</w:t>
      </w:r>
      <w:r>
        <w:t xml:space="preserve"> </w:t>
      </w:r>
      <w:r>
        <w:rPr>
          <w:b/>
          <w:bCs/>
        </w:rPr>
        <w:t xml:space="preserve">private right of action</w:t>
      </w:r>
      <w:r>
        <w:t xml:space="preserve"> </w:t>
      </w:r>
      <w:r>
        <w:t xml:space="preserve">with statutory damages of</w:t>
      </w:r>
      <w:r>
        <w:t xml:space="preserve"> </w:t>
      </w:r>
      <w:r>
        <w:rPr>
          <w:b/>
          <w:bCs/>
        </w:rPr>
        <w:t xml:space="preserve">$1,000 per negligent violation and $5,000 per intentional or reckless violation</w:t>
      </w:r>
      <w:r>
        <w:t xml:space="preserve">, plus attorneys’ fees and costs. Based on ~87,000 Illinois users, the Inventory estimates exposure of</w:t>
      </w:r>
      <w:r>
        <w:t xml:space="preserve"> </w:t>
      </w:r>
      <w:r>
        <w:rPr>
          <w:b/>
          <w:bCs/>
        </w:rPr>
        <w:t xml:space="preserve">$87 million (negligent) to $435 million (intentional/reckless)</w:t>
      </w:r>
      <w:r>
        <w:t xml:space="preserve">. BIPA litigation is active in Illinois and has produced large settlements and judgments; this is Vaultline’s single largest quantifiable exposure.</w:t>
      </w:r>
    </w:p>
    <w:p>
      <w:pPr>
        <w:pStyle w:val="Compact"/>
        <w:numPr>
          <w:ilvl w:val="0"/>
          <w:numId w:val="1003"/>
        </w:numPr>
      </w:pPr>
      <w:r>
        <w:rPr>
          <w:b/>
          <w:bCs/>
        </w:rPr>
        <w:t xml:space="preserve">CCPA/CPRA.</w:t>
      </w:r>
      <w:r>
        <w:t xml:space="preserve"> </w:t>
      </w:r>
      <w:r>
        <w:t xml:space="preserve">Biometric information is</w:t>
      </w:r>
      <w:r>
        <w:t xml:space="preserve"> </w:t>
      </w:r>
      <w:r>
        <w:t xml:space="preserve">“</w:t>
      </w:r>
      <w:r>
        <w:t xml:space="preserve">sensitive personal information.</w:t>
      </w:r>
      <w:r>
        <w:t xml:space="preserve">”</w:t>
      </w:r>
      <w:r>
        <w:t xml:space="preserve"> </w:t>
      </w:r>
      <w:r>
        <w:t xml:space="preserve">The Policy provides no sensitive-PI disclosure, no right to limit use, and no opt-out — see Issue 13.</w:t>
      </w:r>
    </w:p>
    <w:p>
      <w:pPr>
        <w:pStyle w:val="Compact"/>
        <w:numPr>
          <w:ilvl w:val="0"/>
          <w:numId w:val="1003"/>
        </w:numPr>
      </w:pPr>
      <w:r>
        <w:rPr>
          <w:b/>
          <w:bCs/>
        </w:rPr>
        <w:t xml:space="preserve">GDPR Art. 9.</w:t>
      </w:r>
      <w:r>
        <w:t xml:space="preserve"> </w:t>
      </w:r>
      <w:r>
        <w:t xml:space="preserve">Facial geometry processed for identification is special category data requiring an Article 9(2) exception (typically explicit consent). Browsewrap consent is insufficient under Art. 9(2)(a). ~11,500 EU users are affected, with exposure amplified by the planned EU launch.</w:t>
      </w:r>
    </w:p>
    <w:p>
      <w:pPr>
        <w:pStyle w:val="FirstParagraph"/>
      </w:pPr>
      <w:r>
        <w:rPr>
          <w:b/>
          <w:bCs/>
        </w:rPr>
        <w:t xml:space="preserve">(C) Recommended remediation.</w:t>
      </w:r>
      <w:r>
        <w:t xml:space="preserve"> </w:t>
      </w:r>
      <w:r>
        <w:t xml:space="preserve">(i) Immediately assess whether to</w:t>
      </w:r>
      <w:r>
        <w:t xml:space="preserve"> </w:t>
      </w:r>
      <w:r>
        <w:rPr>
          <w:b/>
          <w:bCs/>
        </w:rPr>
        <w:t xml:space="preserve">suspend or retire</w:t>
      </w:r>
      <w:r>
        <w:t xml:space="preserve"> </w:t>
      </w:r>
      <w:r>
        <w:t xml:space="preserve">Selfie Verify pending remediation, or restrict it to non-Illinois/non-EU users. (ii) If retained, implement a</w:t>
      </w:r>
      <w:r>
        <w:t xml:space="preserve"> </w:t>
      </w:r>
      <w:r>
        <w:rPr>
          <w:b/>
          <w:bCs/>
        </w:rPr>
        <w:t xml:space="preserve">standalone, written BIPA-compliant consent flow</w:t>
      </w:r>
      <w:r>
        <w:t xml:space="preserve"> </w:t>
      </w:r>
      <w:r>
        <w:t xml:space="preserve">(purpose, term, destruction disclosure, affirmative written consent) and publish a</w:t>
      </w:r>
      <w:r>
        <w:t xml:space="preserve"> </w:t>
      </w:r>
      <w:r>
        <w:rPr>
          <w:b/>
          <w:bCs/>
        </w:rPr>
        <w:t xml:space="preserve">publicly available retention-and-destruction policy</w:t>
      </w:r>
      <w:r>
        <w:t xml:space="preserve">. (iii) Update the Policy to disclose biometric collection, classification as sensitive PI, retention, and the right to limit. (iv) Conduct the mandatory DPIA (see Issue 3). (v) Engage Illinois counsel to assess litigation exposure and statute-of-limitations posture, and consider whether insurance/indemnity coverage applies.</w:t>
      </w:r>
    </w:p>
    <w:bookmarkEnd w:id="23"/>
    <w:bookmarkStart w:id="24" w:name="Xcd5940dc8346897840322ec6540723273d4ee83"/>
    <w:p>
      <w:pPr>
        <w:pStyle w:val="Heading3"/>
      </w:pPr>
      <w:r>
        <w:t xml:space="preserve">Issue 2 — International Data Transfers Rely on Invalidated Privacy Shield [CRITICAL]</w:t>
      </w:r>
    </w:p>
    <w:p>
      <w:pPr>
        <w:pStyle w:val="FirstParagraph"/>
      </w:pPr>
      <w:r>
        <w:rPr>
          <w:b/>
          <w:bCs/>
        </w:rPr>
        <w:t xml:space="preserve">(A) Cross-document gap.</w:t>
      </w:r>
      <w:r>
        <w:t xml:space="preserve"> </w:t>
      </w:r>
      <w:r>
        <w:t xml:space="preserve">The Policy’s</w:t>
      </w:r>
      <w:r>
        <w:t xml:space="preserve"> </w:t>
      </w:r>
      <w:r>
        <w:t xml:space="preserve">“</w:t>
      </w:r>
      <w:r>
        <w:t xml:space="preserve">International Data Transfers</w:t>
      </w:r>
      <w:r>
        <w:t xml:space="preserve">”</w:t>
      </w:r>
      <w:r>
        <w:t xml:space="preserve"> </w:t>
      </w:r>
      <w:r>
        <w:t xml:space="preserve">section states that, for EU/EEA/UK users, Vaultline transfers personal data to the United States</w:t>
      </w:r>
      <w:r>
        <w:t xml:space="preserve"> </w:t>
      </w:r>
      <w:r>
        <w:t xml:space="preserve">“</w:t>
      </w:r>
      <w:r>
        <w:t xml:space="preserve">in reliance on the</w:t>
      </w:r>
      <w:r>
        <w:t xml:space="preserve"> </w:t>
      </w:r>
      <w:r>
        <w:rPr>
          <w:b/>
          <w:bCs/>
        </w:rPr>
        <w:t xml:space="preserve">EU-US Privacy Shield Framework</w:t>
      </w:r>
      <w:r>
        <w:t xml:space="preserve">,</w:t>
      </w:r>
      <w:r>
        <w:t xml:space="preserve">”</w:t>
      </w:r>
      <w:r>
        <w:t xml:space="preserve"> </w:t>
      </w:r>
      <w:r>
        <w:t xml:space="preserve">and represents that Vaultline</w:t>
      </w:r>
      <w:r>
        <w:t xml:space="preserve"> </w:t>
      </w:r>
      <w:r>
        <w:t xml:space="preserve">“</w:t>
      </w:r>
      <w:r>
        <w:t xml:space="preserve">has certified its compliance with the EU-US Privacy Shield Principles.</w:t>
      </w:r>
      <w:r>
        <w:t xml:space="preserve">”</w:t>
      </w:r>
      <w:r>
        <w:t xml:space="preserve"> </w:t>
      </w:r>
      <w:r>
        <w:t xml:space="preserve">The Inventory (International Transfers tab, IT-001) confirms that</w:t>
      </w:r>
      <w:r>
        <w:t xml:space="preserve"> </w:t>
      </w:r>
      <w:r>
        <w:rPr>
          <w:b/>
          <w:bCs/>
        </w:rPr>
        <w:t xml:space="preserve">no valid transfer mechanism is in place</w:t>
      </w:r>
      <w:r>
        <w:t xml:space="preserve">: Privacy Shield was</w:t>
      </w:r>
      <w:r>
        <w:t xml:space="preserve"> </w:t>
      </w:r>
      <w:r>
        <w:rPr>
          <w:b/>
          <w:bCs/>
        </w:rPr>
        <w:t xml:space="preserve">invalidated by the CJEU in</w:t>
      </w:r>
      <w:r>
        <w:rPr>
          <w:b/>
          <w:bCs/>
        </w:rPr>
        <w:t xml:space="preserve"> </w:t>
      </w:r>
      <w:r>
        <w:rPr>
          <w:b/>
          <w:bCs/>
          <w:i/>
          <w:iCs/>
        </w:rPr>
        <w:t xml:space="preserve">Schrems II</w:t>
      </w:r>
      <w:r>
        <w:rPr>
          <w:b/>
          <w:bCs/>
        </w:rPr>
        <w:t xml:space="preserve">, Case C-311/18, on July 16, 2020</w:t>
      </w:r>
      <w:r>
        <w:t xml:space="preserve"> </w:t>
      </w:r>
      <w:r>
        <w:t xml:space="preserve">— nearly five years ago — and Vaultline has</w:t>
      </w:r>
      <w:r>
        <w:t xml:space="preserve"> </w:t>
      </w:r>
      <w:r>
        <w:rPr>
          <w:b/>
          <w:bCs/>
        </w:rPr>
        <w:t xml:space="preserve">not obtained EU-US Data Privacy Framework (</w:t>
      </w:r>
      <w:r>
        <w:rPr>
          <w:b/>
          <w:bCs/>
        </w:rPr>
        <w:t xml:space="preserve">“</w:t>
      </w:r>
      <w:r>
        <w:rPr>
          <w:b/>
          <w:bCs/>
        </w:rPr>
        <w:t xml:space="preserve">DPF</w:t>
      </w:r>
      <w:r>
        <w:rPr>
          <w:b/>
          <w:bCs/>
        </w:rPr>
        <w:t xml:space="preserve">”</w:t>
      </w:r>
      <w:r>
        <w:rPr>
          <w:b/>
          <w:bCs/>
        </w:rPr>
        <w:t xml:space="preserve">) certification</w:t>
      </w:r>
      <w:r>
        <w:t xml:space="preserve"> </w:t>
      </w:r>
      <w:r>
        <w:t xml:space="preserve">(adequacy decision July 10, 2023),</w:t>
      </w:r>
      <w:r>
        <w:t xml:space="preserve"> </w:t>
      </w:r>
      <w:r>
        <w:rPr>
          <w:b/>
          <w:bCs/>
        </w:rPr>
        <w:t xml:space="preserve">has not executed Standard Contractual Clauses (</w:t>
      </w:r>
      <w:r>
        <w:rPr>
          <w:b/>
          <w:bCs/>
        </w:rPr>
        <w:t xml:space="preserve">“</w:t>
      </w:r>
      <w:r>
        <w:rPr>
          <w:b/>
          <w:bCs/>
        </w:rPr>
        <w:t xml:space="preserve">SCCs</w:t>
      </w:r>
      <w:r>
        <w:rPr>
          <w:b/>
          <w:bCs/>
        </w:rPr>
        <w:t xml:space="preserve">”</w:t>
      </w:r>
      <w:r>
        <w:rPr>
          <w:b/>
          <w:bCs/>
        </w:rPr>
        <w:t xml:space="preserve">)</w:t>
      </w:r>
      <w:r>
        <w:t xml:space="preserve"> </w:t>
      </w:r>
      <w:r>
        <w:t xml:space="preserve">with CloudFort, and</w:t>
      </w:r>
      <w:r>
        <w:t xml:space="preserve"> </w:t>
      </w:r>
      <w:r>
        <w:rPr>
          <w:b/>
          <w:bCs/>
        </w:rPr>
        <w:t xml:space="preserve">has no Binding Corporate Rules</w:t>
      </w:r>
      <w:r>
        <w:t xml:space="preserve">. The Inventory records that</w:t>
      </w:r>
      <w:r>
        <w:t xml:space="preserve"> </w:t>
      </w:r>
      <w:r>
        <w:rPr>
          <w:b/>
          <w:bCs/>
        </w:rPr>
        <w:t xml:space="preserve">all ~23,000 EU-resident users’ data is processed and stored on CloudFort’s Virginia servers</w:t>
      </w:r>
      <w:r>
        <w:t xml:space="preserve">, with no transfer mechanism for that transfer. Two additional EU transfers are likewise unmechanized: IT-002 (EU data shared with Brightly, an independent controller with no DPA) and IT-003 (EU bank credentials shared with FinLink). The Investor Letter independently flags this as a</w:t>
      </w:r>
      <w:r>
        <w:t xml:space="preserve"> </w:t>
      </w:r>
      <w:r>
        <w:t xml:space="preserve">“</w:t>
      </w:r>
      <w:r>
        <w:rPr>
          <w:b/>
          <w:bCs/>
        </w:rPr>
        <w:t xml:space="preserve">critical risk</w:t>
      </w:r>
      <w:r>
        <w:t xml:space="preserve">.</w:t>
      </w:r>
      <w:r>
        <w:t xml:space="preserve">”</w:t>
      </w:r>
    </w:p>
    <w:p>
      <w:pPr>
        <w:pStyle w:val="BodyText"/>
      </w:pPr>
      <w:r>
        <w:rPr>
          <w:b/>
          <w:bCs/>
        </w:rPr>
        <w:t xml:space="preserve">(B) Legal authority and exposure.</w:t>
      </w:r>
      <w:r>
        <w:t xml:space="preserve"> </w:t>
      </w:r>
      <w:r>
        <w:t xml:space="preserve">Without a valid Chapter V transfer mechanism, all processing of EU-resident personal data in the United States is</w:t>
      </w:r>
      <w:r>
        <w:t xml:space="preserve"> </w:t>
      </w:r>
      <w:r>
        <w:rPr>
          <w:b/>
          <w:bCs/>
        </w:rPr>
        <w:t xml:space="preserve">potentially unlawful</w:t>
      </w:r>
      <w:r>
        <w:t xml:space="preserve"> </w:t>
      </w:r>
      <w:r>
        <w:t xml:space="preserve">under GDPR Articles 44–49, exposing Vaultline to supervisory-authority enforcement, suspension-of-transfer orders, and private claims by affected data subjects. The Inventory’s DPIA Status tab rates PA-007 (cloud storage/international transfers) as</w:t>
      </w:r>
      <w:r>
        <w:t xml:space="preserve"> </w:t>
      </w:r>
      <w:r>
        <w:rPr>
          <w:b/>
          <w:bCs/>
        </w:rPr>
        <w:t xml:space="preserve">Critical</w:t>
      </w:r>
      <w:r>
        <w:t xml:space="preserve"> </w:t>
      </w:r>
      <w:r>
        <w:t xml:space="preserve">risk, pre-mitigation. Exposure grows materially with the Q3 2025 EU launch. The Policy’s affirmative representation of Privacy Shield certification — a mechanism that no longer exists — is also a</w:t>
      </w:r>
      <w:r>
        <w:t xml:space="preserve"> </w:t>
      </w:r>
      <w:r>
        <w:rPr>
          <w:b/>
          <w:bCs/>
        </w:rPr>
        <w:t xml:space="preserve">transparency/accuracy defect</w:t>
      </w:r>
      <w:r>
        <w:t xml:space="preserve"> </w:t>
      </w:r>
      <w:r>
        <w:t xml:space="preserve">that compounds the Article 13/14 failures in Issue 3.</w:t>
      </w:r>
    </w:p>
    <w:p>
      <w:pPr>
        <w:pStyle w:val="BodyText"/>
      </w:pPr>
      <w:r>
        <w:rPr>
          <w:b/>
          <w:bCs/>
        </w:rPr>
        <w:t xml:space="preserve">(C) Recommended remediation.</w:t>
      </w:r>
      <w:r>
        <w:t xml:space="preserve"> </w:t>
      </w:r>
      <w:r>
        <w:t xml:space="preserve">(i)</w:t>
      </w:r>
      <w:r>
        <w:t xml:space="preserve"> </w:t>
      </w:r>
      <w:r>
        <w:rPr>
          <w:b/>
          <w:bCs/>
        </w:rPr>
        <w:t xml:space="preserve">Obtain DPF certification</w:t>
      </w:r>
      <w:r>
        <w:t xml:space="preserve"> </w:t>
      </w:r>
      <w:r>
        <w:t xml:space="preserve">(preferred, given CloudFort’s U.S. hosting) or, alternatively,</w:t>
      </w:r>
      <w:r>
        <w:t xml:space="preserve"> </w:t>
      </w:r>
      <w:r>
        <w:rPr>
          <w:b/>
          <w:bCs/>
        </w:rPr>
        <w:t xml:space="preserve">execute EU SCCs</w:t>
      </w:r>
      <w:r>
        <w:t xml:space="preserve"> </w:t>
      </w:r>
      <w:r>
        <w:t xml:space="preserve">with CloudFort and conduct a transfer impact assessment. (ii) Execute SCCs (or rely on DPF) for the Brightly and FinLink transfers; for Brightly, a DPA is also required (see Issue 6). (iii) Evaluate migrating EU-resident data to CloudFort’s Dublin facility to reduce transfer volume. (iv) Update the Policy to replace the Privacy Shield reference with the actual mechanism. (v) Appoint an Article 27 EU representative (see Issue 3).</w:t>
      </w:r>
    </w:p>
    <w:bookmarkEnd w:id="24"/>
    <w:bookmarkStart w:id="25" w:name="X03037a1e79ab15c16f65e2c3c6aafc2b88d22d0"/>
    <w:p>
      <w:pPr>
        <w:pStyle w:val="Heading3"/>
      </w:pPr>
      <w:r>
        <w:t xml:space="preserve">Issue 3 — GDPR Transparency, DPO, Article 27 Representative, and DPIA Obligations Unmet [CRITICAL]</w:t>
      </w:r>
    </w:p>
    <w:p>
      <w:pPr>
        <w:pStyle w:val="FirstParagraph"/>
      </w:pPr>
      <w:r>
        <w:rPr>
          <w:b/>
          <w:bCs/>
        </w:rPr>
        <w:t xml:space="preserve">(A) Cross-document gap.</w:t>
      </w:r>
      <w:r>
        <w:t xml:space="preserve"> </w:t>
      </w:r>
      <w:r>
        <w:t xml:space="preserve">The Policy’s entire GDPR disclosure is a single sentence:</w:t>
      </w:r>
      <w:r>
        <w:t xml:space="preserve"> </w:t>
      </w:r>
      <w:r>
        <w:rPr>
          <w:i/>
          <w:iCs/>
        </w:rPr>
        <w:t xml:space="preserve">“</w:t>
      </w:r>
      <w:r>
        <w:rPr>
          <w:i/>
          <w:iCs/>
        </w:rPr>
        <w:t xml:space="preserve">If you are located in the European Union, you may have additional rights under applicable law.</w:t>
      </w:r>
      <w:r>
        <w:rPr>
          <w:i/>
          <w:iCs/>
        </w:rPr>
        <w:t xml:space="preserve">”</w:t>
      </w:r>
      <w:r>
        <w:t xml:space="preserve"> </w:t>
      </w:r>
      <w:r>
        <w:t xml:space="preserve">The Inventory’s</w:t>
      </w:r>
      <w:r>
        <w:t xml:space="preserve"> </w:t>
      </w:r>
      <w:r>
        <w:t xml:space="preserve">“</w:t>
      </w:r>
      <w:r>
        <w:t xml:space="preserve">EU Processing Summary</w:t>
      </w:r>
      <w:r>
        <w:t xml:space="preserve">”</w:t>
      </w:r>
      <w:r>
        <w:t xml:space="preserve"> </w:t>
      </w:r>
      <w:r>
        <w:t xml:space="preserve">tab documents that virtually every GDPR obligation is unmet:</w:t>
      </w:r>
    </w:p>
    <w:p>
      <w:pPr>
        <w:pStyle w:val="Compact"/>
        <w:numPr>
          <w:ilvl w:val="0"/>
          <w:numId w:val="1004"/>
        </w:numPr>
      </w:pPr>
      <w:r>
        <w:rPr>
          <w:b/>
          <w:bCs/>
        </w:rPr>
        <w:t xml:space="preserve">DPO (Art. 37):</w:t>
      </w:r>
      <w:r>
        <w:t xml:space="preserve"> </w:t>
      </w:r>
      <w:r>
        <w:t xml:space="preserve">Not appointed — required given large-scale processing of special category data (biometrics) and systematic monitoring.</w:t>
      </w:r>
    </w:p>
    <w:p>
      <w:pPr>
        <w:pStyle w:val="Compact"/>
        <w:numPr>
          <w:ilvl w:val="0"/>
          <w:numId w:val="1004"/>
        </w:numPr>
      </w:pPr>
      <w:r>
        <w:rPr>
          <w:b/>
          <w:bCs/>
        </w:rPr>
        <w:t xml:space="preserve">EU Representative (Art. 27):</w:t>
      </w:r>
      <w:r>
        <w:t xml:space="preserve"> </w:t>
      </w:r>
      <w:r>
        <w:t xml:space="preserve">Not appointed — required for a non-EU-established controller processing EU residents’ data at scale.</w:t>
      </w:r>
    </w:p>
    <w:p>
      <w:pPr>
        <w:pStyle w:val="Compact"/>
        <w:numPr>
          <w:ilvl w:val="0"/>
          <w:numId w:val="1004"/>
        </w:numPr>
      </w:pPr>
      <w:r>
        <w:rPr>
          <w:b/>
          <w:bCs/>
        </w:rPr>
        <w:t xml:space="preserve">Lawful basis (Art. 6):</w:t>
      </w:r>
      <w:r>
        <w:t xml:space="preserve"> </w:t>
      </w:r>
      <w:r>
        <w:t xml:space="preserve">Not documented; the Policy relies solely on browsewrap consent for all processing, which the Inventory concludes is</w:t>
      </w:r>
      <w:r>
        <w:t xml:space="preserve"> </w:t>
      </w:r>
      <w:r>
        <w:t xml:space="preserve">“</w:t>
      </w:r>
      <w:r>
        <w:t xml:space="preserve">likely insufficient</w:t>
      </w:r>
      <w:r>
        <w:t xml:space="preserve">”</w:t>
      </w:r>
      <w:r>
        <w:t xml:space="preserve"> </w:t>
      </w:r>
      <w:r>
        <w:t xml:space="preserve">under Art. 7; no legitimate-interest assessment exists.</w:t>
      </w:r>
    </w:p>
    <w:p>
      <w:pPr>
        <w:pStyle w:val="Compact"/>
        <w:numPr>
          <w:ilvl w:val="0"/>
          <w:numId w:val="1004"/>
        </w:numPr>
      </w:pPr>
      <w:r>
        <w:rPr>
          <w:b/>
          <w:bCs/>
        </w:rPr>
        <w:t xml:space="preserve">DPIA (Art. 35):</w:t>
      </w:r>
      <w:r>
        <w:t xml:space="preserve"> </w:t>
      </w:r>
      <w:r>
        <w:t xml:space="preserve">Not conducted for</w:t>
      </w:r>
      <w:r>
        <w:t xml:space="preserve"> </w:t>
      </w:r>
      <w:r>
        <w:rPr>
          <w:b/>
          <w:bCs/>
        </w:rPr>
        <w:t xml:space="preserve">any</w:t>
      </w:r>
      <w:r>
        <w:t xml:space="preserve"> </w:t>
      </w:r>
      <w:r>
        <w:t xml:space="preserve">of eight processing activities, despite multiple mandatory triggers (see table below).</w:t>
      </w:r>
    </w:p>
    <w:p>
      <w:pPr>
        <w:pStyle w:val="Compact"/>
        <w:numPr>
          <w:ilvl w:val="0"/>
          <w:numId w:val="1004"/>
        </w:numPr>
      </w:pPr>
      <w:r>
        <w:rPr>
          <w:b/>
          <w:bCs/>
        </w:rPr>
        <w:t xml:space="preserve">Art. 13/14 transparency disclosures:</w:t>
      </w:r>
      <w:r>
        <w:t xml:space="preserve"> </w:t>
      </w:r>
      <w:r>
        <w:t xml:space="preserve">“</w:t>
      </w:r>
      <w:r>
        <w:t xml:space="preserve">MINIMAL — virtually all Art. 13/14 requirements unmet</w:t>
      </w:r>
      <w:r>
        <w:t xml:space="preserve">”</w:t>
      </w:r>
      <w:r>
        <w:t xml:space="preserve"> </w:t>
      </w:r>
      <w:r>
        <w:t xml:space="preserve">(no purposes/legal basis, no recipients, no retention periods, no data-subject rights, no right to withdraw consent, no right to complain to a supervisory authority, no automated decision-making information).</w:t>
      </w:r>
    </w:p>
    <w:p>
      <w:pPr>
        <w:pStyle w:val="Compact"/>
        <w:numPr>
          <w:ilvl w:val="0"/>
          <w:numId w:val="1004"/>
        </w:numPr>
      </w:pPr>
      <w:r>
        <w:rPr>
          <w:b/>
          <w:bCs/>
        </w:rPr>
        <w:t xml:space="preserve">Biometric explicit consent (Art. 9):</w:t>
      </w:r>
      <w:r>
        <w:t xml:space="preserve"> </w:t>
      </w:r>
      <w:r>
        <w:t xml:space="preserve">Not obtained (see Issue 1).</w:t>
      </w:r>
    </w:p>
    <w:p>
      <w:pPr>
        <w:pStyle w:val="FirstParagraph"/>
      </w:pPr>
      <w:r>
        <w:t xml:space="preserve">The Investor Letter independently identifies each of these deficiencies and estimates potential fines up to 4% of annual global turnover (~$1.89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Processing Activity (Inventory ref)</w:t>
            </w:r>
          </w:p>
        </w:tc>
        <w:tc>
          <w:tcPr/>
          <w:p>
            <w:pPr>
              <w:pStyle w:val="Compact"/>
              <w:jc w:val="left"/>
            </w:pPr>
            <w:r>
              <w:t xml:space="preserve">DPIA Trigger</w:t>
            </w:r>
          </w:p>
        </w:tc>
        <w:tc>
          <w:tcPr/>
          <w:p>
            <w:pPr>
              <w:pStyle w:val="Compact"/>
              <w:jc w:val="left"/>
            </w:pPr>
            <w:r>
              <w:t xml:space="preserve">DPIA Status</w:t>
            </w:r>
          </w:p>
        </w:tc>
        <w:tc>
          <w:tcPr/>
          <w:p>
            <w:pPr>
              <w:pStyle w:val="Compact"/>
              <w:jc w:val="left"/>
            </w:pPr>
            <w:r>
              <w:t xml:space="preserve">Pre-Mitigation Risk</w:t>
            </w:r>
          </w:p>
        </w:tc>
      </w:tr>
      <w:tr>
        <w:tc>
          <w:tcPr/>
          <w:p>
            <w:pPr>
              <w:pStyle w:val="Compact"/>
              <w:jc w:val="left"/>
            </w:pPr>
            <w:r>
              <w:t xml:space="preserve">PA-001 Account Registration / Selfie Verify</w:t>
            </w:r>
          </w:p>
        </w:tc>
        <w:tc>
          <w:tcPr/>
          <w:p>
            <w:pPr>
              <w:pStyle w:val="Compact"/>
              <w:jc w:val="left"/>
            </w:pPr>
            <w:r>
              <w:t xml:space="preserve">Art. 35(3)(b) — large-scale special category (biometric)</w:t>
            </w:r>
          </w:p>
        </w:tc>
        <w:tc>
          <w:tcPr/>
          <w:p>
            <w:pPr>
              <w:pStyle w:val="Compact"/>
              <w:jc w:val="left"/>
            </w:pPr>
            <w:r>
              <w:t xml:space="preserve">Not conducted</w:t>
            </w:r>
          </w:p>
        </w:tc>
        <w:tc>
          <w:tcPr/>
          <w:p>
            <w:pPr>
              <w:pStyle w:val="Compact"/>
              <w:jc w:val="left"/>
            </w:pPr>
            <w:r>
              <w:t xml:space="preserve">High</w:t>
            </w:r>
          </w:p>
        </w:tc>
      </w:tr>
      <w:tr>
        <w:tc>
          <w:tcPr/>
          <w:p>
            <w:pPr>
              <w:pStyle w:val="Compact"/>
              <w:jc w:val="left"/>
            </w:pPr>
            <w:r>
              <w:t xml:space="preserve">PA-003 Smart Insights (automated decisions)</w:t>
            </w:r>
          </w:p>
        </w:tc>
        <w:tc>
          <w:tcPr/>
          <w:p>
            <w:pPr>
              <w:pStyle w:val="Compact"/>
              <w:jc w:val="left"/>
            </w:pPr>
            <w:r>
              <w:t xml:space="preserve">Art. 35(3)(a) — extensive automated evaluation producing legal/significant effects</w:t>
            </w:r>
          </w:p>
        </w:tc>
        <w:tc>
          <w:tcPr/>
          <w:p>
            <w:pPr>
              <w:pStyle w:val="Compact"/>
              <w:jc w:val="left"/>
            </w:pPr>
            <w:r>
              <w:t xml:space="preserve">Not conducted</w:t>
            </w:r>
          </w:p>
        </w:tc>
        <w:tc>
          <w:tcPr/>
          <w:p>
            <w:pPr>
              <w:pStyle w:val="Compact"/>
              <w:jc w:val="left"/>
            </w:pPr>
            <w:r>
              <w:t xml:space="preserve">Critical</w:t>
            </w:r>
          </w:p>
        </w:tc>
      </w:tr>
      <w:tr>
        <w:tc>
          <w:tcPr/>
          <w:p>
            <w:pPr>
              <w:pStyle w:val="Compact"/>
              <w:jc w:val="left"/>
            </w:pPr>
            <w:r>
              <w:t xml:space="preserve">PA-004 Brightly targeted advertising</w:t>
            </w:r>
          </w:p>
        </w:tc>
        <w:tc>
          <w:tcPr/>
          <w:p>
            <w:pPr>
              <w:pStyle w:val="Compact"/>
              <w:jc w:val="left"/>
            </w:pPr>
            <w:r>
              <w:t xml:space="preserve">Large-scale profiling for behavioral advertising</w:t>
            </w:r>
          </w:p>
        </w:tc>
        <w:tc>
          <w:tcPr/>
          <w:p>
            <w:pPr>
              <w:pStyle w:val="Compact"/>
              <w:jc w:val="left"/>
            </w:pPr>
            <w:r>
              <w:t xml:space="preserve">Not conducted</w:t>
            </w:r>
          </w:p>
        </w:tc>
        <w:tc>
          <w:tcPr/>
          <w:p>
            <w:pPr>
              <w:pStyle w:val="Compact"/>
              <w:jc w:val="left"/>
            </w:pPr>
            <w:r>
              <w:t xml:space="preserve">High</w:t>
            </w:r>
          </w:p>
        </w:tc>
      </w:tr>
      <w:tr>
        <w:tc>
          <w:tcPr/>
          <w:p>
            <w:pPr>
              <w:pStyle w:val="Compact"/>
              <w:jc w:val="left"/>
            </w:pPr>
            <w:r>
              <w:t xml:space="preserve">PA-007 Cloud storage / international transfers</w:t>
            </w:r>
          </w:p>
        </w:tc>
        <w:tc>
          <w:tcPr/>
          <w:p>
            <w:pPr>
              <w:pStyle w:val="Compact"/>
              <w:jc w:val="left"/>
            </w:pPr>
            <w:r>
              <w:t xml:space="preserve">Ch. V transfer without adequate safeguards</w:t>
            </w:r>
          </w:p>
        </w:tc>
        <w:tc>
          <w:tcPr/>
          <w:p>
            <w:pPr>
              <w:pStyle w:val="Compact"/>
              <w:jc w:val="left"/>
            </w:pPr>
            <w:r>
              <w:t xml:space="preserve">Not conducted</w:t>
            </w:r>
          </w:p>
        </w:tc>
        <w:tc>
          <w:tcPr/>
          <w:p>
            <w:pPr>
              <w:pStyle w:val="Compact"/>
              <w:jc w:val="left"/>
            </w:pPr>
            <w:r>
              <w:t xml:space="preserve">Critical</w:t>
            </w:r>
          </w:p>
        </w:tc>
      </w:tr>
    </w:tbl>
    <w:p>
      <w:pPr>
        <w:pStyle w:val="BodyText"/>
      </w:pPr>
      <w:r>
        <w:rPr>
          <w:b/>
          <w:bCs/>
        </w:rPr>
        <w:t xml:space="preserve">(B) Legal authority and exposure.</w:t>
      </w:r>
      <w:r>
        <w:t xml:space="preserve"> </w:t>
      </w:r>
      <w:r>
        <w:t xml:space="preserve">Infringements of the transparency and data-subject-rights obligations carry administrative fines up to</w:t>
      </w:r>
      <w:r>
        <w:t xml:space="preserve"> </w:t>
      </w:r>
      <w:r>
        <w:rPr>
          <w:b/>
          <w:bCs/>
        </w:rPr>
        <w:t xml:space="preserve">€20 million or 4% of global annual turnover</w:t>
      </w:r>
      <w:r>
        <w:t xml:space="preserve"> </w:t>
      </w:r>
      <w:r>
        <w:t xml:space="preserve">(Art. 83(5)); other obligations up to €10 million or 2% (Art. 83(4)). The absence of a DPO, Art. 27 representative, lawful basis, DPIAs, and Art. 13/14 disclosures are each independently actionable. The browsewrap-only consent model is inadequate for GDPR purposes and is fatal to any Art. 9 explicit-consent defense.</w:t>
      </w:r>
    </w:p>
    <w:p>
      <w:pPr>
        <w:pStyle w:val="BodyText"/>
      </w:pPr>
      <w:r>
        <w:rPr>
          <w:b/>
          <w:bCs/>
        </w:rPr>
        <w:t xml:space="preserve">(C) Recommended remediation.</w:t>
      </w:r>
      <w:r>
        <w:t xml:space="preserve"> </w:t>
      </w:r>
      <w:r>
        <w:t xml:space="preserve">(i)</w:t>
      </w:r>
      <w:r>
        <w:t xml:space="preserve"> </w:t>
      </w:r>
      <w:r>
        <w:rPr>
          <w:b/>
          <w:bCs/>
        </w:rPr>
        <w:t xml:space="preserve">Appoint a DPO</w:t>
      </w:r>
      <w:r>
        <w:t xml:space="preserve"> </w:t>
      </w:r>
      <w:r>
        <w:t xml:space="preserve">and an</w:t>
      </w:r>
      <w:r>
        <w:t xml:space="preserve"> </w:t>
      </w:r>
      <w:r>
        <w:rPr>
          <w:b/>
          <w:bCs/>
        </w:rPr>
        <w:t xml:space="preserve">Art. 27 EU representative</w:t>
      </w:r>
      <w:r>
        <w:t xml:space="preserve"> </w:t>
      </w:r>
      <w:r>
        <w:t xml:space="preserve">before the EU launch. (ii) Conduct and document</w:t>
      </w:r>
      <w:r>
        <w:t xml:space="preserve"> </w:t>
      </w:r>
      <w:r>
        <w:rPr>
          <w:b/>
          <w:bCs/>
        </w:rPr>
        <w:t xml:space="preserve">lawful-basis analyses</w:t>
      </w:r>
      <w:r>
        <w:t xml:space="preserve"> </w:t>
      </w:r>
      <w:r>
        <w:t xml:space="preserve">for each processing activity and</w:t>
      </w:r>
      <w:r>
        <w:t xml:space="preserve"> </w:t>
      </w:r>
      <w:r>
        <w:rPr>
          <w:b/>
          <w:bCs/>
        </w:rPr>
        <w:t xml:space="preserve">DPIAs</w:t>
      </w:r>
      <w:r>
        <w:t xml:space="preserve"> </w:t>
      </w:r>
      <w:r>
        <w:t xml:space="preserve">for PA-001, PA-003, PA-004, and PA-007 at minimum. (iii) Rewrite the Policy’s EU section to provide full Art. 13/14 disclosures. (iv) Replace browsewrap with a lawful, granular consent mechanism for processing that relies on consent (and especially for biometrics). (v) Establish a data-subject-rights request process with verifiable identity and statutory timelines.</w:t>
      </w:r>
    </w:p>
    <w:bookmarkEnd w:id="25"/>
    <w:bookmarkStart w:id="26" w:name="Xefdd232c568fe5483a489cf8f949a094e426a11"/>
    <w:p>
      <w:pPr>
        <w:pStyle w:val="Heading3"/>
      </w:pPr>
      <w:r>
        <w:t xml:space="preserve">Issue 4 — Undisclosed Automated Decision-Making (Smart Insights) [CRITICAL]</w:t>
      </w:r>
    </w:p>
    <w:p>
      <w:pPr>
        <w:pStyle w:val="FirstParagraph"/>
      </w:pPr>
      <w:r>
        <w:rPr>
          <w:b/>
          <w:bCs/>
        </w:rPr>
        <w:t xml:space="preserve">(A) Cross-document gap.</w:t>
      </w:r>
      <w:r>
        <w:t xml:space="preserve"> </w:t>
      </w:r>
      <w:r>
        <w:t xml:space="preserve">The Policy contains</w:t>
      </w:r>
      <w:r>
        <w:t xml:space="preserve"> </w:t>
      </w:r>
      <w:r>
        <w:rPr>
          <w:b/>
          <w:bCs/>
        </w:rPr>
        <w:t xml:space="preserve">no mention</w:t>
      </w:r>
      <w:r>
        <w:t xml:space="preserve"> </w:t>
      </w:r>
      <w:r>
        <w:t xml:space="preserve">of</w:t>
      </w:r>
      <w:r>
        <w:t xml:space="preserve"> </w:t>
      </w:r>
      <w:r>
        <w:t xml:space="preserve">“</w:t>
      </w:r>
      <w:r>
        <w:t xml:space="preserve">Smart Insights,</w:t>
      </w:r>
      <w:r>
        <w:t xml:space="preserve">”</w:t>
      </w:r>
      <w:r>
        <w:t xml:space="preserve"> </w:t>
      </w:r>
      <w:r>
        <w:t xml:space="preserve">artificial intelligence, automated decision-making, or profiling. The Inventory (PA-003) documents that Smart Insights uses machine-learning models to analyze transaction, income, and spending data and that the AI</w:t>
      </w:r>
      <w:r>
        <w:t xml:space="preserve"> </w:t>
      </w:r>
      <w:r>
        <w:rPr>
          <w:b/>
          <w:bCs/>
        </w:rPr>
        <w:t xml:space="preserve">“</w:t>
      </w:r>
      <w:r>
        <w:rPr>
          <w:b/>
          <w:bCs/>
        </w:rPr>
        <w:t xml:space="preserve">determines which credit product partner offers to show or hide based on assessment of the user’s financial profile.</w:t>
      </w:r>
      <w:r>
        <w:rPr>
          <w:b/>
          <w:bCs/>
        </w:rPr>
        <w:t xml:space="preserve">”</w:t>
      </w:r>
      <w:r>
        <w:t xml:space="preserve"> </w:t>
      </w:r>
      <w:r>
        <w:t xml:space="preserve">The Inventory records this as</w:t>
      </w:r>
      <w:r>
        <w:t xml:space="preserve"> </w:t>
      </w:r>
      <w:r>
        <w:rPr>
          <w:b/>
          <w:bCs/>
        </w:rPr>
        <w:t xml:space="preserve">“</w:t>
      </w:r>
      <w:r>
        <w:rPr>
          <w:b/>
          <w:bCs/>
        </w:rPr>
        <w:t xml:space="preserve">YES — Fully Automated</w:t>
      </w:r>
      <w:r>
        <w:rPr>
          <w:b/>
          <w:bCs/>
        </w:rPr>
        <w:t xml:space="preserve">”</w:t>
      </w:r>
      <w:r>
        <w:t xml:space="preserve"> </w:t>
      </w:r>
      <w:r>
        <w:t xml:space="preserve">and</w:t>
      </w:r>
      <w:r>
        <w:t xml:space="preserve"> </w:t>
      </w:r>
      <w:r>
        <w:rPr>
          <w:b/>
          <w:bCs/>
        </w:rPr>
        <w:t xml:space="preserve">“</w:t>
      </w:r>
      <w:r>
        <w:rPr>
          <w:b/>
          <w:bCs/>
        </w:rPr>
        <w:t xml:space="preserve">YES — Produces legal or similarly significant effects</w:t>
      </w:r>
      <w:r>
        <w:rPr>
          <w:b/>
          <w:bCs/>
        </w:rPr>
        <w:t xml:space="preserve">”</w:t>
      </w:r>
      <w:r>
        <w:t xml:space="preserve"> </w:t>
      </w:r>
      <w:r>
        <w:t xml:space="preserve">(recommending or withholding credit-product offers from 14 partner companies based on AI scoring), with</w:t>
      </w:r>
      <w:r>
        <w:t xml:space="preserve"> </w:t>
      </w:r>
      <w:r>
        <w:rPr>
          <w:b/>
          <w:bCs/>
        </w:rPr>
        <w:t xml:space="preserve">no disclosure, no opt-out mechanism, and no human-review option</w:t>
      </w:r>
      <w:r>
        <w:t xml:space="preserve">. The DPIA Status tab rates PA-003 as</w:t>
      </w:r>
      <w:r>
        <w:t xml:space="preserve"> </w:t>
      </w:r>
      <w:r>
        <w:rPr>
          <w:b/>
          <w:bCs/>
        </w:rPr>
        <w:t xml:space="preserve">Critical</w:t>
      </w:r>
      <w:r>
        <w:t xml:space="preserve"> </w:t>
      </w:r>
      <w:r>
        <w:t xml:space="preserve">and notes the mandatory Art. 35(3)(a) trigger. The Investor Letter independently flags Smart Insights under GDPR Art. 22 and emerging U.S. state AI-governance requirements.</w:t>
      </w:r>
    </w:p>
    <w:p>
      <w:pPr>
        <w:pStyle w:val="BodyText"/>
      </w:pPr>
      <w:r>
        <w:rPr>
          <w:b/>
          <w:bCs/>
        </w:rPr>
        <w:t xml:space="preserve">(B) Legal authority and exposure.</w:t>
      </w:r>
      <w:r>
        <w:t xml:space="preserve"> </w:t>
      </w:r>
      <w:r>
        <w:t xml:space="preserve">GDPR Art. 22 grants data subjects the right not to be subject to solely automated decisions producing legal or similarly significant effects, with safeguards including human intervention, the ability to express a point of view, and to contest the decision; Art. 13(2)(f) and 15(1)(h) require disclosure of the existence of such processing, the logic involved, and the envisaged consequences. Vaultline appears to meet none of these. The credit-product offer/hide function — affecting financial product access — is a paradigmatic</w:t>
      </w:r>
      <w:r>
        <w:t xml:space="preserve"> </w:t>
      </w:r>
      <w:r>
        <w:t xml:space="preserve">“</w:t>
      </w:r>
      <w:r>
        <w:t xml:space="preserve">legal or similarly significant effect.</w:t>
      </w:r>
      <w:r>
        <w:t xml:space="preserve">”</w:t>
      </w:r>
      <w:r>
        <w:t xml:space="preserve"> </w:t>
      </w:r>
      <w:r>
        <w:t xml:space="preserve">A mandatory DPIA under Art. 35(3)(a) has not been conducted. CCPA/CPRA also imposes opt-out-of-profiling-for-decision-making obligations that are not addressed. Exposure includes the Art. 83(5) fine tier and, in the EU, orders to suspend the processing.</w:t>
      </w:r>
    </w:p>
    <w:p>
      <w:pPr>
        <w:pStyle w:val="BodyText"/>
      </w:pPr>
      <w:r>
        <w:rPr>
          <w:b/>
          <w:bCs/>
        </w:rPr>
        <w:t xml:space="preserve">(C) Recommended remediation.</w:t>
      </w:r>
      <w:r>
        <w:t xml:space="preserve"> </w:t>
      </w:r>
      <w:r>
        <w:t xml:space="preserve">(i) Disclose Smart Insights in the Policy, including the existence of automated decision-making, its logic and consequences, and the right to human review and to contest. (ii) Implement a</w:t>
      </w:r>
      <w:r>
        <w:t xml:space="preserve"> </w:t>
      </w:r>
      <w:r>
        <w:rPr>
          <w:b/>
          <w:bCs/>
        </w:rPr>
        <w:t xml:space="preserve">human-review and contest mechanism</w:t>
      </w:r>
      <w:r>
        <w:t xml:space="preserve"> </w:t>
      </w:r>
      <w:r>
        <w:t xml:space="preserve">and an</w:t>
      </w:r>
      <w:r>
        <w:t xml:space="preserve"> </w:t>
      </w:r>
      <w:r>
        <w:rPr>
          <w:b/>
          <w:bCs/>
        </w:rPr>
        <w:t xml:space="preserve">opt-out</w:t>
      </w:r>
      <w:r>
        <w:t xml:space="preserve">. (iii) Conduct the mandatory DPIA. (iv) Evaluate whether the credit-offer visibility function should require explicit consent or be restructured to avoid Art. 22 scope. (v) Address CCPA/CPRA profiling opt-out.</w:t>
      </w:r>
    </w:p>
    <w:bookmarkEnd w:id="26"/>
    <w:bookmarkStart w:id="27" w:name="X596bd4c14e0eae335252e7e273df104d6ed1b9c"/>
    <w:p>
      <w:pPr>
        <w:pStyle w:val="Heading3"/>
      </w:pPr>
      <w:r>
        <w:t xml:space="preserve">Issue 5 — August 2024 Breach: Regulator Notification Gaps and Timing [CRITICAL]</w:t>
      </w:r>
    </w:p>
    <w:p>
      <w:pPr>
        <w:pStyle w:val="FirstParagraph"/>
      </w:pPr>
      <w:r>
        <w:rPr>
          <w:b/>
          <w:bCs/>
        </w:rPr>
        <w:t xml:space="preserve">(A) Cross-document gap.</w:t>
      </w:r>
      <w:r>
        <w:t xml:space="preserve"> </w:t>
      </w:r>
      <w:r>
        <w:t xml:space="preserve">The Breach Log documents a breach discovered</w:t>
      </w:r>
      <w:r>
        <w:t xml:space="preserve"> </w:t>
      </w:r>
      <w:r>
        <w:rPr>
          <w:b/>
          <w:bCs/>
        </w:rPr>
        <w:t xml:space="preserve">August 12, 2024</w:t>
      </w:r>
      <w:r>
        <w:t xml:space="preserve">, affecting ~84,000 user records (full legal names, email addresses, last-four SSN digits, and transaction histories), with consumer notification distributed on</w:t>
      </w:r>
      <w:r>
        <w:t xml:space="preserve"> </w:t>
      </w:r>
      <w:r>
        <w:rPr>
          <w:b/>
          <w:bCs/>
        </w:rPr>
        <w:t xml:space="preserve">September 28, 2024 — 47 days after discovery</w:t>
      </w:r>
      <w:r>
        <w:t xml:space="preserve">. The Breach Log’s own</w:t>
      </w:r>
      <w:r>
        <w:t xml:space="preserve"> </w:t>
      </w:r>
      <w:r>
        <w:t xml:space="preserve">“</w:t>
      </w:r>
      <w:r>
        <w:t xml:space="preserve">Notification Log</w:t>
      </w:r>
      <w:r>
        <w:t xml:space="preserve">”</w:t>
      </w:r>
      <w:r>
        <w:t xml:space="preserve"> </w:t>
      </w:r>
      <w:r>
        <w:t xml:space="preserve">(Section 6) records notifications to only five recipients: affected users, CloudFort, the cyber-insurance carrier, Thornbury &amp; Locke, and the CEO.</w:t>
      </w:r>
      <w:r>
        <w:t xml:space="preserve"> </w:t>
      </w:r>
      <w:r>
        <w:rPr>
          <w:b/>
          <w:bCs/>
        </w:rPr>
        <w:t xml:space="preserve">No regulator notifications are documented</w:t>
      </w:r>
      <w:r>
        <w:t xml:space="preserve"> </w:t>
      </w:r>
      <w:r>
        <w:t xml:space="preserve">— not the California Attorney General, not any other state AG, and not any EU supervisory authority — even though the Breach Log itself identifies the legal triggers:</w:t>
      </w:r>
    </w:p>
    <w:p>
      <w:pPr>
        <w:pStyle w:val="Compact"/>
        <w:numPr>
          <w:ilvl w:val="0"/>
          <w:numId w:val="1005"/>
        </w:numPr>
      </w:pPr>
      <w:r>
        <w:rPr>
          <w:b/>
          <w:bCs/>
        </w:rPr>
        <w:t xml:space="preserve">California AG (Cal. Civ. Code § 1798.82(f)):</w:t>
      </w:r>
      <w:r>
        <w:t xml:space="preserve"> </w:t>
      </w:r>
      <w:r>
        <w:t xml:space="preserve">The Breach Log (Entry 6) states notification is required when a breach affects more than 500 California residents and calculates ~3,100 affected California residents — well above the threshold — yet lists the matter only as</w:t>
      </w:r>
      <w:r>
        <w:t xml:space="preserve"> </w:t>
      </w:r>
      <w:r>
        <w:t xml:space="preserve">“</w:t>
      </w:r>
      <w:r>
        <w:t xml:space="preserve">under review</w:t>
      </w:r>
      <w:r>
        <w:t xml:space="preserve">”</w:t>
      </w:r>
      <w:r>
        <w:t xml:space="preserve"> </w:t>
      </w:r>
      <w:r>
        <w:t xml:space="preserve">and never records completion.</w:t>
      </w:r>
    </w:p>
    <w:p>
      <w:pPr>
        <w:pStyle w:val="Compact"/>
        <w:numPr>
          <w:ilvl w:val="0"/>
          <w:numId w:val="1005"/>
        </w:numPr>
      </w:pPr>
      <w:r>
        <w:rPr>
          <w:b/>
          <w:bCs/>
        </w:rPr>
        <w:t xml:space="preserve">Other state AGs:</w:t>
      </w:r>
      <w:r>
        <w:t xml:space="preserve"> </w:t>
      </w:r>
      <w:r>
        <w:t xml:space="preserve">The geographic breakdown (Entry 7 / Section 4) shows ~7,200 Texas, ~5,800 New York, ~4,500 Florida, and ~2,800 Illinois affected residents. Multiple state breach statutes require AG notification above commonly applicable thresholds (e.g., 500 residents; Texas at 250). Each of these counts exceeds the applicable threshold, yet the Notification Log reflects</w:t>
      </w:r>
      <w:r>
        <w:t xml:space="preserve"> </w:t>
      </w:r>
      <w:r>
        <w:rPr>
          <w:b/>
          <w:bCs/>
        </w:rPr>
        <w:t xml:space="preserve">no state AG notifications</w:t>
      </w:r>
      <w:r>
        <w:t xml:space="preserve">.</w:t>
      </w:r>
    </w:p>
    <w:p>
      <w:pPr>
        <w:pStyle w:val="Compact"/>
        <w:numPr>
          <w:ilvl w:val="0"/>
          <w:numId w:val="1005"/>
        </w:numPr>
      </w:pPr>
      <w:r>
        <w:rPr>
          <w:b/>
          <w:bCs/>
        </w:rPr>
        <w:t xml:space="preserve">EU supervisory authority (GDPR Art. 33):</w:t>
      </w:r>
      <w:r>
        <w:t xml:space="preserve"> </w:t>
      </w:r>
      <w:r>
        <w:t xml:space="preserve">Entry 7 flags that ~510 affected users self-identified as EU residents and that the</w:t>
      </w:r>
      <w:r>
        <w:t xml:space="preserve"> </w:t>
      </w:r>
      <w:r>
        <w:rPr>
          <w:b/>
          <w:bCs/>
        </w:rPr>
        <w:t xml:space="preserve">72-hour</w:t>
      </w:r>
      <w:r>
        <w:t xml:space="preserve"> </w:t>
      </w:r>
      <w:r>
        <w:t xml:space="preserve">supervisory-authority notification obligation</w:t>
      </w:r>
      <w:r>
        <w:t xml:space="preserve"> </w:t>
      </w:r>
      <w:r>
        <w:t xml:space="preserve">“</w:t>
      </w:r>
      <w:r>
        <w:t xml:space="preserve">has been flagged for Priya Venkatesh’s review.</w:t>
      </w:r>
      <w:r>
        <w:t xml:space="preserve">”</w:t>
      </w:r>
      <w:r>
        <w:t xml:space="preserve"> </w:t>
      </w:r>
      <w:r>
        <w:t xml:space="preserve">The 72-hour window from August 12 expired on or about August 15. The Notification Log reflects</w:t>
      </w:r>
      <w:r>
        <w:t xml:space="preserve"> </w:t>
      </w:r>
      <w:r>
        <w:rPr>
          <w:b/>
          <w:bCs/>
        </w:rPr>
        <w:t xml:space="preserve">no EU supervisory-authority notification</w:t>
      </w:r>
      <w:r>
        <w:t xml:space="preserve">.</w:t>
      </w:r>
    </w:p>
    <w:p>
      <w:pPr>
        <w:pStyle w:val="Compact"/>
        <w:numPr>
          <w:ilvl w:val="0"/>
          <w:numId w:val="1005"/>
        </w:numPr>
      </w:pPr>
      <w:r>
        <w:rPr>
          <w:b/>
          <w:bCs/>
        </w:rPr>
        <w:t xml:space="preserve">Data subjects (GDPR Art. 34):</w:t>
      </w:r>
      <w:r>
        <w:t xml:space="preserve"> </w:t>
      </w:r>
      <w:r>
        <w:t xml:space="preserve">The 47-day consumer notification — including an ~18-day gap between finalization of the notice (September 10) and distribution (September 28) — is likely</w:t>
      </w:r>
      <w:r>
        <w:t xml:space="preserve"> </w:t>
      </w:r>
      <w:r>
        <w:t xml:space="preserve">“</w:t>
      </w:r>
      <w:r>
        <w:t xml:space="preserve">undue delay</w:t>
      </w:r>
      <w:r>
        <w:t xml:space="preserve">”</w:t>
      </w:r>
      <w:r>
        <w:t xml:space="preserve"> </w:t>
      </w:r>
      <w:r>
        <w:t xml:space="preserve">for the ~510 EU users, particularly given the sensitivity of the compromised data (last-four SSN and transaction history).</w:t>
      </w:r>
    </w:p>
    <w:p>
      <w:pPr>
        <w:pStyle w:val="FirstParagraph"/>
      </w:pPr>
      <w:r>
        <w:t xml:space="preserve">Separately, the</w:t>
      </w:r>
      <w:r>
        <w:t xml:space="preserve"> </w:t>
      </w:r>
      <w:r>
        <w:rPr>
          <w:b/>
          <w:bCs/>
        </w:rPr>
        <w:t xml:space="preserve">DSA (Section 9.2)</w:t>
      </w:r>
      <w:r>
        <w:t xml:space="preserve"> </w:t>
      </w:r>
      <w:r>
        <w:t xml:space="preserve">requires each party to notify the other within</w:t>
      </w:r>
      <w:r>
        <w:t xml:space="preserve"> </w:t>
      </w:r>
      <w:r>
        <w:rPr>
          <w:b/>
          <w:bCs/>
        </w:rPr>
        <w:t xml:space="preserve">72 hours</w:t>
      </w:r>
      <w:r>
        <w:t xml:space="preserve"> </w:t>
      </w:r>
      <w:r>
        <w:t xml:space="preserve">of discovering a security breach</w:t>
      </w:r>
      <w:r>
        <w:t xml:space="preserve"> </w:t>
      </w:r>
      <w:r>
        <w:t xml:space="preserve">“</w:t>
      </w:r>
      <w:r>
        <w:t xml:space="preserve">involving Shared Data or SDK Data.</w:t>
      </w:r>
      <w:r>
        <w:t xml:space="preserve">”</w:t>
      </w:r>
      <w:r>
        <w:t xml:space="preserve"> </w:t>
      </w:r>
      <w:r>
        <w:t xml:space="preserve">The breached production database is the source of the Shared Data transmitted to Brightly (hashed emails derived from the compromised email addresses; spending-category summaries derived from the compromised transaction histories). The Notification Log reflects</w:t>
      </w:r>
      <w:r>
        <w:t xml:space="preserve"> </w:t>
      </w:r>
      <w:r>
        <w:rPr>
          <w:b/>
          <w:bCs/>
        </w:rPr>
        <w:t xml:space="preserve">no Brightly notification</w:t>
      </w:r>
      <w:r>
        <w:t xml:space="preserve">, creating a potential contractual breach-notification default under DSA §9.2 (and a related indemnification/rep concern).</w:t>
      </w:r>
    </w:p>
    <w:p>
      <w:pPr>
        <w:pStyle w:val="BodyText"/>
      </w:pPr>
      <w:r>
        <w:t xml:space="preserve">Finally, the Policy contains</w:t>
      </w:r>
      <w:r>
        <w:t xml:space="preserve"> </w:t>
      </w:r>
      <w:r>
        <w:rPr>
          <w:b/>
          <w:bCs/>
        </w:rPr>
        <w:t xml:space="preserve">no breach-notification section</w:t>
      </w:r>
      <w:r>
        <w:t xml:space="preserve"> </w:t>
      </w:r>
      <w:r>
        <w:t xml:space="preserve">describing Vaultline’s practices for notifying users of security incidents.</w:t>
      </w:r>
    </w:p>
    <w:p>
      <w:pPr>
        <w:pStyle w:val="BodyText"/>
      </w:pPr>
      <w:r>
        <w:rPr>
          <w:b/>
          <w:bCs/>
        </w:rPr>
        <w:t xml:space="preserve">(B) Legal authority and exposure.</w:t>
      </w:r>
      <w:r>
        <w:t xml:space="preserve"> </w:t>
      </w:r>
      <w:r>
        <w:t xml:space="preserve">State breach-notification statutes (e.g., Cal. Civ. Code § 1798.82; N.Y. Gen. Bus. Law § 899-aa; Fla. Stat. § 501.171; 815 ILCS 530; Tex. Bus. &amp; Com. Code § 521.053) generally require notice</w:t>
      </w:r>
      <w:r>
        <w:t xml:space="preserve"> </w:t>
      </w:r>
      <w:r>
        <w:t xml:space="preserve">“</w:t>
      </w:r>
      <w:r>
        <w:t xml:space="preserve">in the most expedient time possible and without unreasonable delay,</w:t>
      </w:r>
      <w:r>
        <w:t xml:space="preserve">”</w:t>
      </w:r>
      <w:r>
        <w:t xml:space="preserve"> </w:t>
      </w:r>
      <w:r>
        <w:t xml:space="preserve">with AG notification above stated thresholds; several impose specific maximum timelines. A 47-day delay — particularly the post-finalization gap — is vulnerable to challenge as</w:t>
      </w:r>
      <w:r>
        <w:t xml:space="preserve"> </w:t>
      </w:r>
      <w:r>
        <w:t xml:space="preserve">“</w:t>
      </w:r>
      <w:r>
        <w:t xml:space="preserve">unreasonable delay,</w:t>
      </w:r>
      <w:r>
        <w:t xml:space="preserve">”</w:t>
      </w:r>
      <w:r>
        <w:t xml:space="preserve"> </w:t>
      </w:r>
      <w:r>
        <w:t xml:space="preserve">and the apparent absence of required AG notifications is a standalone violation. GDPR Arts. 33–34 carry the Art. 83(4) fine tier (up to 2% of global turnover). The DSA §9.2 default exposes Vaultline to contractual claims and to the indemnification structure in DSA §11. The Investor Letter expressly requests confirmation of compliance with all applicable state breach-notification laws.</w:t>
      </w:r>
    </w:p>
    <w:p>
      <w:pPr>
        <w:pStyle w:val="BodyText"/>
      </w:pPr>
      <w:r>
        <w:rPr>
          <w:b/>
          <w:bCs/>
        </w:rPr>
        <w:t xml:space="preserve">(C) Recommended remediation.</w:t>
      </w:r>
      <w:r>
        <w:t xml:space="preserve"> </w:t>
      </w:r>
      <w:r>
        <w:t xml:space="preserve">(i)</w:t>
      </w:r>
      <w:r>
        <w:t xml:space="preserve"> </w:t>
      </w:r>
      <w:r>
        <w:rPr>
          <w:b/>
          <w:bCs/>
        </w:rPr>
        <w:t xml:space="preserve">Immediately confirm</w:t>
      </w:r>
      <w:r>
        <w:t xml:space="preserve"> </w:t>
      </w:r>
      <w:r>
        <w:t xml:space="preserve">whether state AG and EU supervisory-authority notifications were made; if not, assess cure options (late notification, regulator engagement) with breach counsel. (ii) Document and preserve all notification decisions and the legal basis for any delay. (iii) Assess the DSA §9.2 Brightly-notification obligation and cure if indicated. (iv) Add a breach-notification section to the Policy. (v) Revise the Incident Response Plan to embed statutory notification timelines and AG-notification steps (the Breach Log’s own post-incident recommendation).</w:t>
      </w:r>
    </w:p>
    <w:bookmarkEnd w:id="27"/>
    <w:bookmarkStart w:id="28" w:name="X0a26ba89b8a2ce0b8d243638c27ddf2c5568b70"/>
    <w:p>
      <w:pPr>
        <w:pStyle w:val="Heading3"/>
      </w:pPr>
      <w:r>
        <w:t xml:space="preserve">Issue 6 — Brightly Sharing: Undisclosed</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Opt-Out; DSA Representation Risk [HIGH]</w:t>
      </w:r>
    </w:p>
    <w:p>
      <w:pPr>
        <w:pStyle w:val="FirstParagraph"/>
      </w:pPr>
      <w:r>
        <w:rPr>
          <w:b/>
          <w:bCs/>
        </w:rPr>
        <w:t xml:space="preserve">(A) Cross-document gap.</w:t>
      </w:r>
      <w:r>
        <w:t xml:space="preserve"> </w:t>
      </w:r>
      <w:r>
        <w:t xml:space="preserve">This is the most pronounced cross-document inconsistency in the set. The DSA and the Policy describe the Brightly relationship in materially incompatible ways:</w:t>
      </w:r>
    </w:p>
    <w:p>
      <w:pPr>
        <w:pStyle w:val="Compact"/>
        <w:numPr>
          <w:ilvl w:val="0"/>
          <w:numId w:val="1006"/>
        </w:numPr>
      </w:pPr>
      <w:r>
        <w:rPr>
          <w:b/>
          <w:bCs/>
        </w:rPr>
        <w:t xml:space="preserve">What the DSA authorizes.</w:t>
      </w:r>
      <w:r>
        <w:t xml:space="preserve"> </w:t>
      </w:r>
      <w:r>
        <w:t xml:space="preserve">Vaultline transmits to Brightly, daily,</w:t>
      </w:r>
      <w:r>
        <w:t xml:space="preserve"> </w:t>
      </w:r>
      <w:r>
        <w:rPr>
          <w:b/>
          <w:bCs/>
        </w:rPr>
        <w:t xml:space="preserve">hashed email addresses (SHA-256), age range, income bracket, and spending-category summaries</w:t>
      </w:r>
      <w:r>
        <w:t xml:space="preserve"> </w:t>
      </w:r>
      <w:r>
        <w:t xml:space="preserve">(Shared Data), and Brightly’s SDK independently collects</w:t>
      </w:r>
      <w:r>
        <w:t xml:space="preserve"> </w:t>
      </w:r>
      <w:r>
        <w:rPr>
          <w:b/>
          <w:bCs/>
        </w:rPr>
        <w:t xml:space="preserve">IDFA/GAID, IP addresses, approximate geolocation, and in-app behavioral events</w:t>
      </w:r>
      <w:r>
        <w:t xml:space="preserve"> </w:t>
      </w:r>
      <w:r>
        <w:t xml:space="preserve">(SDK Data). Brightly is designated an</w:t>
      </w:r>
      <w:r>
        <w:t xml:space="preserve"> </w:t>
      </w:r>
      <w:r>
        <w:rPr>
          <w:b/>
          <w:bCs/>
        </w:rPr>
        <w:t xml:space="preserve">“</w:t>
      </w:r>
      <w:r>
        <w:rPr>
          <w:b/>
          <w:bCs/>
        </w:rPr>
        <w:t xml:space="preserve">independent data controller</w:t>
      </w:r>
      <w:r>
        <w:rPr>
          <w:b/>
          <w:bCs/>
        </w:rPr>
        <w:t xml:space="preserve">”</w:t>
      </w:r>
      <w:r>
        <w:rPr>
          <w:b/>
          <w:bCs/>
        </w:rPr>
        <w:t xml:space="preserve"> </w:t>
      </w:r>
      <w:r>
        <w:rPr>
          <w:b/>
          <w:bCs/>
        </w:rPr>
        <w:t xml:space="preserve">— expressly</w:t>
      </w:r>
      <w:r>
        <w:rPr>
          <w:b/>
          <w:bCs/>
        </w:rPr>
        <w:t xml:space="preserve"> </w:t>
      </w:r>
      <w:r>
        <w:rPr>
          <w:b/>
          <w:bCs/>
          <w:i/>
          <w:iCs/>
        </w:rPr>
        <w:t xml:space="preserve">not</w:t>
      </w:r>
      <w:r>
        <w:rPr>
          <w:b/>
          <w:bCs/>
        </w:rPr>
        <w:t xml:space="preserve"> </w:t>
      </w:r>
      <w:r>
        <w:rPr>
          <w:b/>
          <w:bCs/>
        </w:rPr>
        <w:t xml:space="preserve">a service provider or processor</w:t>
      </w:r>
      <w:r>
        <w:t xml:space="preserve"> </w:t>
      </w:r>
      <w:r>
        <w:t xml:space="preserve">— and may</w:t>
      </w:r>
      <w:r>
        <w:t xml:space="preserve"> </w:t>
      </w:r>
      <w:r>
        <w:rPr>
          <w:b/>
          <w:bCs/>
        </w:rPr>
        <w:t xml:space="preserve">combine</w:t>
      </w:r>
      <w:r>
        <w:t xml:space="preserve"> </w:t>
      </w:r>
      <w:r>
        <w:t xml:space="preserve">Vaultline data with data from other sources,</w:t>
      </w:r>
      <w:r>
        <w:t xml:space="preserve"> </w:t>
      </w:r>
      <w:r>
        <w:rPr>
          <w:b/>
          <w:bCs/>
        </w:rPr>
        <w:t xml:space="preserve">create audience segments, and license/sell those segments to Third-Party Advertisers</w:t>
      </w:r>
      <w:r>
        <w:t xml:space="preserve"> </w:t>
      </w:r>
      <w:r>
        <w:t xml:space="preserve">for cross-application behavioral advertising. Brightly pays Vaultline</w:t>
      </w:r>
      <w:r>
        <w:t xml:space="preserve"> </w:t>
      </w:r>
      <w:r>
        <w:rPr>
          <w:b/>
          <w:bCs/>
        </w:rPr>
        <w:t xml:space="preserve">$0.87 per MAU per month</w:t>
      </w:r>
      <w:r>
        <w:t xml:space="preserve"> </w:t>
      </w:r>
      <w:r>
        <w:t xml:space="preserve">(~253,000 average MAUs ≈</w:t>
      </w:r>
      <w:r>
        <w:t xml:space="preserve"> </w:t>
      </w:r>
      <w:r>
        <w:rPr>
          <w:b/>
          <w:bCs/>
        </w:rPr>
        <w:t xml:space="preserve">~$2.64 million annually</w:t>
      </w:r>
      <w:r>
        <w:t xml:space="preserve">).</w:t>
      </w:r>
    </w:p>
    <w:p>
      <w:pPr>
        <w:pStyle w:val="Compact"/>
        <w:numPr>
          <w:ilvl w:val="0"/>
          <w:numId w:val="1006"/>
        </w:numPr>
      </w:pPr>
      <w:r>
        <w:rPr>
          <w:b/>
          <w:bCs/>
        </w:rPr>
        <w:t xml:space="preserve">What the Policy says.</w:t>
      </w:r>
      <w:r>
        <w:t xml:space="preserve"> </w:t>
      </w:r>
      <w:r>
        <w:t xml:space="preserve">The Policy does</w:t>
      </w:r>
      <w:r>
        <w:t xml:space="preserve"> </w:t>
      </w:r>
      <w:r>
        <w:rPr>
          <w:b/>
          <w:bCs/>
        </w:rPr>
        <w:t xml:space="preserve">not name Brightly</w:t>
      </w:r>
      <w:r>
        <w:t xml:space="preserve">, refers only generically to</w:t>
      </w:r>
      <w:r>
        <w:t xml:space="preserve"> </w:t>
      </w:r>
      <w:r>
        <w:t xml:space="preserve">“</w:t>
      </w:r>
      <w:r>
        <w:t xml:space="preserve">analytics and advertising partners,</w:t>
      </w:r>
      <w:r>
        <w:t xml:space="preserve">”</w:t>
      </w:r>
      <w:r>
        <w:t xml:space="preserve"> </w:t>
      </w:r>
      <w:r>
        <w:t xml:space="preserve">and describes recipients as</w:t>
      </w:r>
      <w:r>
        <w:t xml:space="preserve"> </w:t>
      </w:r>
      <w:r>
        <w:rPr>
          <w:b/>
          <w:bCs/>
        </w:rPr>
        <w:t xml:space="preserve">“</w:t>
      </w:r>
      <w:r>
        <w:rPr>
          <w:b/>
          <w:bCs/>
        </w:rPr>
        <w:t xml:space="preserve">service providers</w:t>
      </w:r>
      <w:r>
        <w:rPr>
          <w:b/>
          <w:bCs/>
        </w:rPr>
        <w:t xml:space="preserve">”</w:t>
      </w:r>
      <w:r>
        <w:t xml:space="preserve"> </w:t>
      </w:r>
      <w:r>
        <w:t xml:space="preserve">who are</w:t>
      </w:r>
      <w:r>
        <w:t xml:space="preserve"> </w:t>
      </w:r>
      <w:r>
        <w:t xml:space="preserve">“</w:t>
      </w:r>
      <w:r>
        <w:t xml:space="preserve">contractually obligated to use information shared with them</w:t>
      </w:r>
      <w:r>
        <w:t xml:space="preserve"> </w:t>
      </w:r>
      <w:r>
        <w:rPr>
          <w:b/>
          <w:bCs/>
        </w:rPr>
        <w:t xml:space="preserve">solely for the purpose of performing the services</w:t>
      </w:r>
      <w:r>
        <w:t xml:space="preserve"> </w:t>
      </w:r>
      <w:r>
        <w:t xml:space="preserve">for which they have been engaged.</w:t>
      </w:r>
      <w:r>
        <w:t xml:space="preserve">”</w:t>
      </w:r>
      <w:r>
        <w:t xml:space="preserve"> </w:t>
      </w:r>
      <w:r>
        <w:t xml:space="preserve">That description is</w:t>
      </w:r>
      <w:r>
        <w:t xml:space="preserve"> </w:t>
      </w:r>
      <w:r>
        <w:rPr>
          <w:b/>
          <w:bCs/>
        </w:rPr>
        <w:t xml:space="preserve">directly contradicted</w:t>
      </w:r>
      <w:r>
        <w:t xml:space="preserve"> </w:t>
      </w:r>
      <w:r>
        <w:t xml:space="preserve">by the DSA, under which Brightly uses the data for its</w:t>
      </w:r>
      <w:r>
        <w:t xml:space="preserve"> </w:t>
      </w:r>
      <w:r>
        <w:rPr>
          <w:b/>
          <w:bCs/>
        </w:rPr>
        <w:t xml:space="preserve">own commercial purposes</w:t>
      </w:r>
      <w:r>
        <w:t xml:space="preserve"> </w:t>
      </w:r>
      <w:r>
        <w:t xml:space="preserve">(selling audience segments to third parties) — the defining feature of a controller, not a service provider.</w:t>
      </w:r>
    </w:p>
    <w:p>
      <w:pPr>
        <w:pStyle w:val="Compact"/>
        <w:numPr>
          <w:ilvl w:val="0"/>
          <w:numId w:val="1006"/>
        </w:numPr>
      </w:pPr>
      <w:r>
        <w:rPr>
          <w:b/>
          <w:bCs/>
        </w:rPr>
        <w:t xml:space="preserve">What the Inventory says.</w:t>
      </w:r>
      <w:r>
        <w:t xml:space="preserve"> </w:t>
      </w:r>
      <w:r>
        <w:t xml:space="preserve">TS-002 records that</w:t>
      </w:r>
      <w:r>
        <w:t xml:space="preserve"> </w:t>
      </w:r>
      <w:r>
        <w:rPr>
          <w:b/>
          <w:bCs/>
        </w:rPr>
        <w:t xml:space="preserve">no internal CCPA sale/sharing analysis was performed</w:t>
      </w:r>
      <w:r>
        <w:t xml:space="preserve">, that</w:t>
      </w:r>
      <w:r>
        <w:t xml:space="preserve"> </w:t>
      </w:r>
      <w:r>
        <w:rPr>
          <w:b/>
          <w:bCs/>
        </w:rPr>
        <w:t xml:space="preserve">no opt-out mechanism</w:t>
      </w:r>
      <w:r>
        <w:t xml:space="preserve"> </w:t>
      </w:r>
      <w:r>
        <w:t xml:space="preserve">is provided, and that the revenue share</w:t>
      </w:r>
      <w:r>
        <w:t xml:space="preserve"> </w:t>
      </w:r>
      <w:r>
        <w:t xml:space="preserve">“</w:t>
      </w:r>
      <w:r>
        <w:t xml:space="preserve">constitutes monetary consideration — likely</w:t>
      </w:r>
      <w:r>
        <w:t xml:space="preserve"> </w:t>
      </w:r>
      <w:r>
        <w:t xml:space="preserve">‘</w:t>
      </w:r>
      <w:r>
        <w:t xml:space="preserve">sale</w:t>
      </w:r>
      <w:r>
        <w:t xml:space="preserve">’</w:t>
      </w:r>
      <w:r>
        <w:t xml:space="preserve"> </w:t>
      </w:r>
      <w:r>
        <w:t xml:space="preserve">under CPRA</w:t>
      </w:r>
      <w:r>
        <w:t xml:space="preserve">”</w:t>
      </w:r>
      <w:r>
        <w:t xml:space="preserve"> </w:t>
      </w:r>
      <w:r>
        <w:t xml:space="preserve">and that cross-app behavioral advertising is</w:t>
      </w:r>
      <w:r>
        <w:t xml:space="preserve"> </w:t>
      </w:r>
      <w:r>
        <w:t xml:space="preserve">“</w:t>
      </w:r>
      <w:r>
        <w:t xml:space="preserve">likely</w:t>
      </w:r>
      <w:r>
        <w:t xml:space="preserve"> </w:t>
      </w:r>
      <w:r>
        <w:t xml:space="preserve">‘</w:t>
      </w:r>
      <w:r>
        <w:t xml:space="preserve">sharing</w:t>
      </w:r>
      <w:r>
        <w:t xml:space="preserve">’</w:t>
      </w:r>
      <w:r>
        <w:t xml:space="preserve"> </w:t>
      </w:r>
      <w:r>
        <w:t xml:space="preserve">under CPRA.</w:t>
      </w:r>
      <w:r>
        <w:t xml:space="preserve">”</w:t>
      </w:r>
      <w:r>
        <w:t xml:space="preserve"> </w:t>
      </w:r>
      <w:r>
        <w:t xml:space="preserve">DC-014 (hashed emails) and DC-015 (demographic/financial profile summaries) are both marked</w:t>
      </w:r>
      <w:r>
        <w:t xml:space="preserve"> </w:t>
      </w:r>
      <w:r>
        <w:rPr>
          <w:b/>
          <w:bCs/>
        </w:rPr>
        <w:t xml:space="preserve">“</w:t>
      </w:r>
      <w:r>
        <w:rPr>
          <w:b/>
          <w:bCs/>
        </w:rPr>
        <w:t xml:space="preserve">not specifically disclosed as shared.</w:t>
      </w:r>
      <w:r>
        <w:rPr>
          <w:b/>
          <w:bCs/>
        </w:rPr>
        <w:t xml:space="preserve">”</w:t>
      </w:r>
    </w:p>
    <w:p>
      <w:pPr>
        <w:pStyle w:val="FirstParagraph"/>
      </w:pPr>
      <w:r>
        <w:t xml:space="preserve">The Investor Letter requests analysis of whether the Brightly arrangement is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 and whether disclosures and opt-outs are in place.</w:t>
      </w:r>
    </w:p>
    <w:p>
      <w:pPr>
        <w:pStyle w:val="BodyText"/>
      </w:pPr>
      <w:r>
        <w:rPr>
          <w:b/>
          <w:bCs/>
        </w:rPr>
        <w:t xml:space="preserve">(B) Legal authority and exposure.</w:t>
      </w:r>
      <w:r>
        <w:t xml:space="preserve"> </w:t>
      </w:r>
      <w:r>
        <w:t xml:space="preserve">Under CCPA/CPRA, a</w:t>
      </w:r>
      <w:r>
        <w:t xml:space="preserve"> </w:t>
      </w:r>
      <w:r>
        <w:t xml:space="preserve">“</w:t>
      </w:r>
      <w:r>
        <w:t xml:space="preserve">sale</w:t>
      </w:r>
      <w:r>
        <w:t xml:space="preserve">”</w:t>
      </w:r>
      <w:r>
        <w:t xml:space="preserve"> </w:t>
      </w:r>
      <w:r>
        <w:t xml:space="preserve">is the exchange of personal information for</w:t>
      </w:r>
      <w:r>
        <w:t xml:space="preserve"> </w:t>
      </w:r>
      <w:r>
        <w:rPr>
          <w:b/>
          <w:bCs/>
        </w:rPr>
        <w:t xml:space="preserve">monetary</w:t>
      </w:r>
      <w:r>
        <w:t xml:space="preserve"> </w:t>
      </w:r>
      <w:r>
        <w:t xml:space="preserve">consideration, and</w:t>
      </w:r>
      <w:r>
        <w:t xml:space="preserve"> </w:t>
      </w:r>
      <w:r>
        <w:t xml:space="preserve">“</w:t>
      </w:r>
      <w:r>
        <w:t xml:space="preserve">sharing</w:t>
      </w:r>
      <w:r>
        <w:t xml:space="preserve">”</w:t>
      </w:r>
      <w:r>
        <w:t xml:space="preserve"> </w:t>
      </w:r>
      <w:r>
        <w:t xml:space="preserve">includes cross-context behavioral advertising. The Brightly arrangement — monetary revenue share plus cross-app behavioral advertising using data that Brightly further commercializes — is, on the Inventory’s own analysis,</w:t>
      </w:r>
      <w:r>
        <w:t xml:space="preserve"> </w:t>
      </w:r>
      <w:r>
        <w:rPr>
          <w:b/>
          <w:bCs/>
        </w:rPr>
        <w:t xml:space="preserve">both a sale and a sharing</w:t>
      </w:r>
      <w:r>
        <w:t xml:space="preserve">. The Policy’s failure to (i) name Brightly, (ii) disclose the specific categories shared, (iii) provide a</w:t>
      </w:r>
      <w:r>
        <w:t xml:space="preserve"> </w:t>
      </w:r>
      <w:r>
        <w:t xml:space="preserve">“</w:t>
      </w:r>
      <w:r>
        <w:t xml:space="preserve">Do Not Sell or Share My Personal Information</w:t>
      </w:r>
      <w:r>
        <w:t xml:space="preserve">”</w:t>
      </w:r>
      <w:r>
        <w:t xml:space="preserve"> </w:t>
      </w:r>
      <w:r>
        <w:t xml:space="preserve">opt-out, and (iv) describe Brightly accurately (as a controller that sells audience segments, not a service provider) is a CCPA/CPRA disclosure and consumer-rights violation. Separately,</w:t>
      </w:r>
      <w:r>
        <w:t xml:space="preserve"> </w:t>
      </w:r>
      <w:r>
        <w:rPr>
          <w:b/>
          <w:bCs/>
        </w:rPr>
        <w:t xml:space="preserve">DSA §7.1(b)–(d)</w:t>
      </w:r>
      <w:r>
        <w:t xml:space="preserve"> </w:t>
      </w:r>
      <w:r>
        <w:t xml:space="preserve">contains Vaultline representations that the sharing is</w:t>
      </w:r>
      <w:r>
        <w:t xml:space="preserve"> </w:t>
      </w:r>
      <w:r>
        <w:t xml:space="preserve">“</w:t>
      </w:r>
      <w:r>
        <w:t xml:space="preserve">consistent with Vaultline’s privacy policy,</w:t>
      </w:r>
      <w:r>
        <w:t xml:space="preserve">”</w:t>
      </w:r>
      <w:r>
        <w:t xml:space="preserve"> </w:t>
      </w:r>
      <w:r>
        <w:t xml:space="preserve">that Vaultline</w:t>
      </w:r>
      <w:r>
        <w:t xml:space="preserve"> </w:t>
      </w:r>
      <w:r>
        <w:t xml:space="preserve">“</w:t>
      </w:r>
      <w:r>
        <w:t xml:space="preserve">has obtained all necessary consents … required for the sharing of Shared Data with Brightly for the Permitted Uses,</w:t>
      </w:r>
      <w:r>
        <w:t xml:space="preserve">”</w:t>
      </w:r>
      <w:r>
        <w:t xml:space="preserve"> </w:t>
      </w:r>
      <w:r>
        <w:t xml:space="preserve">and that the sharing</w:t>
      </w:r>
      <w:r>
        <w:t xml:space="preserve"> </w:t>
      </w:r>
      <w:r>
        <w:t xml:space="preserve">“</w:t>
      </w:r>
      <w:r>
        <w:t xml:space="preserve">complies with all applicable … laws.</w:t>
      </w:r>
      <w:r>
        <w:t xml:space="preserve">”</w:t>
      </w:r>
      <w:r>
        <w:t xml:space="preserve"> </w:t>
      </w:r>
      <w:r>
        <w:t xml:space="preserve">Given the Policy’s silence and the absence of opt-outs/consents,</w:t>
      </w:r>
      <w:r>
        <w:t xml:space="preserve"> </w:t>
      </w:r>
      <w:r>
        <w:rPr>
          <w:b/>
          <w:bCs/>
        </w:rPr>
        <w:t xml:space="preserve">these representations appear to be inaccurate</w:t>
      </w:r>
      <w:r>
        <w:t xml:space="preserve">, exposing Vaultline to DSA §11.1 indemnification claims from Brightly and undermining Vaultline’s own contractual posture.</w:t>
      </w:r>
    </w:p>
    <w:p>
      <w:pPr>
        <w:pStyle w:val="BodyText"/>
      </w:pPr>
      <w:r>
        <w:rPr>
          <w:b/>
          <w:bCs/>
        </w:rPr>
        <w:t xml:space="preserve">(C) Recommended remediation.</w:t>
      </w:r>
      <w:r>
        <w:t xml:space="preserve"> </w:t>
      </w:r>
      <w:r>
        <w:t xml:space="preserve">(i) Conduct and document the CCPA sale/sharing analysis (the Inventory confirms none exists). (ii) Update the Policy to</w:t>
      </w:r>
      <w:r>
        <w:t xml:space="preserve"> </w:t>
      </w:r>
      <w:r>
        <w:rPr>
          <w:b/>
          <w:bCs/>
        </w:rPr>
        <w:t xml:space="preserve">name Brightly</w:t>
      </w:r>
      <w:r>
        <w:t xml:space="preserve">, accurately describe its controller status and its use/sale of audience segments, and disclose the specific data categories shared. (iii) Implement a</w:t>
      </w:r>
      <w:r>
        <w:t xml:space="preserve"> </w:t>
      </w:r>
      <w:r>
        <w:rPr>
          <w:b/>
          <w:bCs/>
        </w:rPr>
        <w:t xml:space="preserve">“</w:t>
      </w:r>
      <w:r>
        <w:rPr>
          <w:b/>
          <w:bCs/>
        </w:rPr>
        <w:t xml:space="preserve">Do Not Sell or Share</w:t>
      </w:r>
      <w:r>
        <w:rPr>
          <w:b/>
          <w:bCs/>
        </w:rPr>
        <w:t xml:space="preserve">”</w:t>
      </w:r>
      <w:r>
        <w:rPr>
          <w:b/>
          <w:bCs/>
        </w:rPr>
        <w:t xml:space="preserve"> </w:t>
      </w:r>
      <w:r>
        <w:rPr>
          <w:b/>
          <w:bCs/>
        </w:rPr>
        <w:t xml:space="preserve">opt-out</w:t>
      </w:r>
      <w:r>
        <w:t xml:space="preserve"> </w:t>
      </w:r>
      <w:r>
        <w:t xml:space="preserve">and honor Global Privacy Control signals. (iv) Reconcile or amend the DSA to add CCPA-specific provisions, an opt-out flow, and (for EU users) a DPA; correct or qualify the §7.1 representations. (v) Evaluate whether the</w:t>
      </w:r>
      <w:r>
        <w:t xml:space="preserve"> </w:t>
      </w:r>
      <w:r>
        <w:t xml:space="preserve">“</w:t>
      </w:r>
      <w:r>
        <w:t xml:space="preserve">independent controller</w:t>
      </w:r>
      <w:r>
        <w:t xml:space="preserve">”</w:t>
      </w:r>
      <w:r>
        <w:t xml:space="preserve"> </w:t>
      </w:r>
      <w:r>
        <w:t xml:space="preserve">structure is sustainable given CPRA’s service-provider-contract requirements for non-sale sharing.</w:t>
      </w:r>
    </w:p>
    <w:bookmarkEnd w:id="28"/>
    <w:bookmarkStart w:id="29" w:name="X2a1b1bc2d531aa4059778b6403f34589aedebd0"/>
    <w:p>
      <w:pPr>
        <w:pStyle w:val="Heading3"/>
      </w:pPr>
      <w:r>
        <w:t xml:space="preserve">Issue 7 — CCPA/CPRA Consumer Rights Disclosures Incomplete [HIGH]</w:t>
      </w:r>
    </w:p>
    <w:p>
      <w:pPr>
        <w:pStyle w:val="FirstParagraph"/>
      </w:pPr>
      <w:r>
        <w:rPr>
          <w:b/>
          <w:bCs/>
        </w:rPr>
        <w:t xml:space="preserve">(A) Cross-document gap.</w:t>
      </w:r>
      <w:r>
        <w:t xml:space="preserve"> </w:t>
      </w:r>
      <w:r>
        <w:t xml:space="preserve">The Policy’s California section discloses only the</w:t>
      </w:r>
      <w:r>
        <w:t xml:space="preserve"> </w:t>
      </w:r>
      <w:r>
        <w:rPr>
          <w:b/>
          <w:bCs/>
        </w:rPr>
        <w:t xml:space="preserve">right to know</w:t>
      </w:r>
      <w:r>
        <w:t xml:space="preserve"> </w:t>
      </w:r>
      <w:r>
        <w:t xml:space="preserve">(request categories/specific pieces of personal information collected). It does</w:t>
      </w:r>
      <w:r>
        <w:t xml:space="preserve"> </w:t>
      </w:r>
      <w:r>
        <w:rPr>
          <w:b/>
          <w:bCs/>
        </w:rPr>
        <w:t xml:space="preserve">not</w:t>
      </w:r>
      <w:r>
        <w:t xml:space="preserve"> </w:t>
      </w:r>
      <w:r>
        <w:t xml:space="preserve">mention the rights to</w:t>
      </w:r>
      <w:r>
        <w:t xml:space="preserve"> </w:t>
      </w:r>
      <w:r>
        <w:rPr>
          <w:b/>
          <w:bCs/>
        </w:rPr>
        <w:t xml:space="preserve">deletion, correction, opt-out of sale or sharing, limitation of the use and disclosure of sensitive personal information, or non-discrimination</w:t>
      </w:r>
      <w:r>
        <w:t xml:space="preserve"> </w:t>
      </w:r>
      <w:r>
        <w:t xml:space="preserve">— all of which are required CPRA disclosures. The Inventory confirms the operational absence of these rights: TS-002 and TS-003 record</w:t>
      </w:r>
      <w:r>
        <w:t xml:space="preserve"> </w:t>
      </w:r>
      <w:r>
        <w:rPr>
          <w:b/>
          <w:bCs/>
        </w:rPr>
        <w:t xml:space="preserve">no opt-out</w:t>
      </w:r>
      <w:r>
        <w:t xml:space="preserve"> </w:t>
      </w:r>
      <w:r>
        <w:t xml:space="preserve">for the Brightly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or the 14 partner referrals (which themselves involve referral fees — potentially a</w:t>
      </w:r>
      <w:r>
        <w:t xml:space="preserve"> </w:t>
      </w:r>
      <w:r>
        <w:t xml:space="preserve">“</w:t>
      </w:r>
      <w:r>
        <w:t xml:space="preserve">sale</w:t>
      </w:r>
      <w:r>
        <w:t xml:space="preserve">”</w:t>
      </w:r>
      <w:r>
        <w:t xml:space="preserve">). The Investor Letter independently flags that only the right to know is referenced.</w:t>
      </w:r>
    </w:p>
    <w:p>
      <w:pPr>
        <w:pStyle w:val="BodyText"/>
      </w:pPr>
      <w:r>
        <w:rPr>
          <w:b/>
          <w:bCs/>
        </w:rPr>
        <w:t xml:space="preserve">(B) Legal authority and exposure.</w:t>
      </w:r>
      <w:r>
        <w:t xml:space="preserve"> </w:t>
      </w:r>
      <w:r>
        <w:t xml:space="preserve">CCPA/CPRA (Cal. Civ. Code §1798.100 et seq.) requires businesses to disclose the full suite of consumer rights and to provide two opt-out links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Failure exposes Vaultline to CPPA enforcement (civil penalties of $2,500 per violation; $7,500 per intentional or minor-directed violation) and, for breaches, the private right of action under §1798.150. With ~142,000 California users, exposure is material.</w:t>
      </w:r>
    </w:p>
    <w:p>
      <w:pPr>
        <w:pStyle w:val="BodyText"/>
      </w:pPr>
      <w:r>
        <w:rPr>
          <w:b/>
          <w:bCs/>
        </w:rPr>
        <w:t xml:space="preserve">(C) Recommended remediation.</w:t>
      </w:r>
      <w:r>
        <w:t xml:space="preserve"> </w:t>
      </w:r>
      <w:r>
        <w:t xml:space="preserve">Rewrite the California section to enumerate all CPRA rights, add both opt-out links/mechanisms, honor Global Privacy Control, and publish a notice at collection. Implement the operational processes (deletion, correction, opt-out, sensitive-PI limitation, non-discrimination).</w:t>
      </w:r>
    </w:p>
    <w:bookmarkEnd w:id="29"/>
    <w:bookmarkStart w:id="30" w:name="X0837e843940456a06a372f292f9606d7729a625"/>
    <w:p>
      <w:pPr>
        <w:pStyle w:val="Heading3"/>
      </w:pPr>
      <w:r>
        <w:t xml:space="preserve">Issue 8 — Data Retention: Indefinite Retention, No Disclosed Periods [HIGH]</w:t>
      </w:r>
    </w:p>
    <w:p>
      <w:pPr>
        <w:pStyle w:val="FirstParagraph"/>
      </w:pPr>
      <w:r>
        <w:rPr>
          <w:b/>
          <w:bCs/>
        </w:rPr>
        <w:t xml:space="preserve">(A) Cross-document gap.</w:t>
      </w:r>
      <w:r>
        <w:t xml:space="preserve"> </w:t>
      </w:r>
      <w:r>
        <w:t xml:space="preserve">The Policy’s</w:t>
      </w:r>
      <w:r>
        <w:t xml:space="preserve"> </w:t>
      </w:r>
      <w:r>
        <w:t xml:space="preserve">“</w:t>
      </w:r>
      <w:r>
        <w:t xml:space="preserve">Data Retention</w:t>
      </w:r>
      <w:r>
        <w:t xml:space="preserve">”</w:t>
      </w:r>
      <w:r>
        <w:t xml:space="preserve"> </w:t>
      </w:r>
      <w:r>
        <w:t xml:space="preserve">section states only that information is retained</w:t>
      </w:r>
      <w:r>
        <w:t xml:space="preserve"> </w:t>
      </w:r>
      <w:r>
        <w:t xml:space="preserve">“</w:t>
      </w:r>
      <w:r>
        <w:t xml:space="preserve">for as long as necessary</w:t>
      </w:r>
      <w:r>
        <w:t xml:space="preserve">”</w:t>
      </w:r>
      <w:r>
        <w:t xml:space="preserve"> </w:t>
      </w:r>
      <w:r>
        <w:t xml:space="preserve">and provides</w:t>
      </w:r>
      <w:r>
        <w:t xml:space="preserve"> </w:t>
      </w:r>
      <w:r>
        <w:rPr>
          <w:b/>
          <w:bCs/>
        </w:rPr>
        <w:t xml:space="preserve">no retention periods for any category</w:t>
      </w:r>
      <w:r>
        <w:t xml:space="preserve">. The Inventory’s</w:t>
      </w:r>
      <w:r>
        <w:t xml:space="preserve"> </w:t>
      </w:r>
      <w:r>
        <w:t xml:space="preserve">“</w:t>
      </w:r>
      <w:r>
        <w:t xml:space="preserve">Data Retention</w:t>
      </w:r>
      <w:r>
        <w:t xml:space="preserve">”</w:t>
      </w:r>
      <w:r>
        <w:t xml:space="preserve"> </w:t>
      </w:r>
      <w:r>
        <w:t xml:space="preserve">tab records that</w:t>
      </w:r>
      <w:r>
        <w:t xml:space="preserve"> </w:t>
      </w:r>
      <w:r>
        <w:rPr>
          <w:b/>
          <w:bCs/>
        </w:rPr>
        <w:t xml:space="preserve">every category (DC-001 through DC-015) is retained indefinitely</w:t>
      </w:r>
      <w:r>
        <w:t xml:space="preserve">, including sensitive categories (last-four SSN, financial account information, transaction history, precise geolocation, and biometric facial-geometry templates), with</w:t>
      </w:r>
      <w:r>
        <w:t xml:space="preserve"> </w:t>
      </w:r>
      <w:r>
        <w:rPr>
          <w:b/>
          <w:bCs/>
        </w:rPr>
        <w:t xml:space="preserve">“</w:t>
      </w:r>
      <w:r>
        <w:rPr>
          <w:b/>
          <w:bCs/>
        </w:rPr>
        <w:t xml:space="preserve">No — retained indefinitely after account deletion</w:t>
      </w:r>
      <w:r>
        <w:rPr>
          <w:b/>
          <w:bCs/>
        </w:rPr>
        <w:t xml:space="preserve">”</w:t>
      </w:r>
      <w:r>
        <w:t xml:space="preserve"> </w:t>
      </w:r>
      <w:r>
        <w:t xml:space="preserve">for all categories,</w:t>
      </w:r>
      <w:r>
        <w:t xml:space="preserve"> </w:t>
      </w:r>
      <w:r>
        <w:rPr>
          <w:b/>
          <w:bCs/>
        </w:rPr>
        <w:t xml:space="preserve">no formal retention schedule</w:t>
      </w:r>
      <w:r>
        <w:t xml:space="preserve">, and</w:t>
      </w:r>
      <w:r>
        <w:t xml:space="preserve"> </w:t>
      </w:r>
      <w:r>
        <w:rPr>
          <w:b/>
          <w:bCs/>
        </w:rPr>
        <w:t xml:space="preserve">no defined destruction method</w:t>
      </w:r>
      <w:r>
        <w:t xml:space="preserve">. For biometric data specifically, the Inventory notes that BIPA requires a publicly available retention schedule</w:t>
      </w:r>
      <w:r>
        <w:t xml:space="preserve"> </w:t>
      </w:r>
      <w:r>
        <w:rPr>
          <w:b/>
          <w:bCs/>
        </w:rPr>
        <w:t xml:space="preserve">and</w:t>
      </w:r>
      <w:r>
        <w:t xml:space="preserve"> </w:t>
      </w:r>
      <w:r>
        <w:t xml:space="preserve">destruction guidelines, neither of which exists, and that the 5-year template retention period has no documented justification. The Investor Letter flags the absence of retention periods as both a CPRA disclosure requirement and a GDPR storage-limitation issue.</w:t>
      </w:r>
    </w:p>
    <w:p>
      <w:pPr>
        <w:pStyle w:val="BodyText"/>
      </w:pPr>
      <w:r>
        <w:rPr>
          <w:b/>
          <w:bCs/>
        </w:rPr>
        <w:t xml:space="preserve">(B) Legal authority and exposure.</w:t>
      </w:r>
      <w:r>
        <w:t xml:space="preserve"> </w:t>
      </w:r>
      <w:r>
        <w:t xml:space="preserve">GDPR Art. 5(1)(e) (storage limitation) is violated by indefinite retention without purpose-based limits; CCPA/CPRA requires disclosure of retention periods for each category of personal information; and BIPA §15(a) requires a publicly available retention-and-destruction policy for biometric data. Indefinite retention of sensitive PI (especially SSN-fragments, financial data, and biometrics) materially increases breach and enforcement exposure and is difficult to defend on the</w:t>
      </w:r>
      <w:r>
        <w:t xml:space="preserve"> </w:t>
      </w:r>
      <w:r>
        <w:t xml:space="preserve">“</w:t>
      </w:r>
      <w:r>
        <w:t xml:space="preserve">regulatory compliance and fraud prevention</w:t>
      </w:r>
      <w:r>
        <w:t xml:space="preserve">”</w:t>
      </w:r>
      <w:r>
        <w:t xml:space="preserve"> </w:t>
      </w:r>
      <w:r>
        <w:t xml:space="preserve">justification the Inventory cites.</w:t>
      </w:r>
    </w:p>
    <w:p>
      <w:pPr>
        <w:pStyle w:val="BodyText"/>
      </w:pPr>
      <w:r>
        <w:rPr>
          <w:b/>
          <w:bCs/>
        </w:rPr>
        <w:t xml:space="preserve">(C) Recommended remediation.</w:t>
      </w:r>
      <w:r>
        <w:t xml:space="preserve"> </w:t>
      </w:r>
      <w:r>
        <w:t xml:space="preserve">(i) Establish and document</w:t>
      </w:r>
      <w:r>
        <w:t xml:space="preserve"> </w:t>
      </w:r>
      <w:r>
        <w:rPr>
          <w:b/>
          <w:bCs/>
        </w:rPr>
        <w:t xml:space="preserve">purpose-based retention periods</w:t>
      </w:r>
      <w:r>
        <w:t xml:space="preserve"> </w:t>
      </w:r>
      <w:r>
        <w:t xml:space="preserve">for each data category, with deletion/anonymization upon account closure except where a specific legal basis for longer retention exists. (ii) Publish a</w:t>
      </w:r>
      <w:r>
        <w:t xml:space="preserve"> </w:t>
      </w:r>
      <w:r>
        <w:rPr>
          <w:b/>
          <w:bCs/>
        </w:rPr>
        <w:t xml:space="preserve">biometric retention-and-destruction policy</w:t>
      </w:r>
      <w:r>
        <w:t xml:space="preserve"> </w:t>
      </w:r>
      <w:r>
        <w:t xml:space="preserve">(BIPA). (iii) Disclose retention periods in the Policy. (iv) Implement technical deletion/anonymization processes and backup-lifecycle controls.</w:t>
      </w:r>
    </w:p>
    <w:bookmarkEnd w:id="30"/>
    <w:bookmarkStart w:id="31" w:name="X831ddef6cbb327d1fc75e2fa0744c60a52302da"/>
    <w:p>
      <w:pPr>
        <w:pStyle w:val="Heading3"/>
      </w:pPr>
      <w:r>
        <w:t xml:space="preserve">Issue 9 — Potential GLBA</w:t>
      </w:r>
      <w:r>
        <w:t xml:space="preserve"> </w:t>
      </w:r>
      <w:r>
        <w:t xml:space="preserve">“</w:t>
      </w:r>
      <w:r>
        <w:t xml:space="preserve">Financial Institution</w:t>
      </w:r>
      <w:r>
        <w:t xml:space="preserve">”</w:t>
      </w:r>
      <w:r>
        <w:t xml:space="preserve"> </w:t>
      </w:r>
      <w:r>
        <w:t xml:space="preserve">Characterization [HIGH]</w:t>
      </w:r>
    </w:p>
    <w:p>
      <w:pPr>
        <w:pStyle w:val="FirstParagraph"/>
      </w:pPr>
      <w:r>
        <w:rPr>
          <w:b/>
          <w:bCs/>
        </w:rPr>
        <w:t xml:space="preserve">(A) Cross-document gap.</w:t>
      </w:r>
      <w:r>
        <w:t xml:space="preserve"> </w:t>
      </w:r>
      <w:r>
        <w:t xml:space="preserve">The Policy contains</w:t>
      </w:r>
      <w:r>
        <w:t xml:space="preserve"> </w:t>
      </w:r>
      <w:r>
        <w:rPr>
          <w:b/>
          <w:bCs/>
        </w:rPr>
        <w:t xml:space="preserve">no GLBA-related disclosures</w:t>
      </w:r>
      <w:r>
        <w:t xml:space="preserve"> </w:t>
      </w:r>
      <w:r>
        <w:t xml:space="preserve">— no financial privacy notice, no reference to nonpublic personal information (</w:t>
      </w:r>
      <w:r>
        <w:t xml:space="preserve">“</w:t>
      </w:r>
      <w:r>
        <w:t xml:space="preserve">NPI</w:t>
      </w:r>
      <w:r>
        <w:t xml:space="preserve">”</w:t>
      </w:r>
      <w:r>
        <w:t xml:space="preserve">), and no opt-out for sharing NPI with non-affiliated third parties. The Inventory, however, flags</w:t>
      </w:r>
      <w:r>
        <w:t xml:space="preserve"> </w:t>
      </w:r>
      <w:r>
        <w:rPr>
          <w:b/>
          <w:bCs/>
        </w:rPr>
        <w:t xml:space="preserve">GLBA</w:t>
      </w:r>
      <w:r>
        <w:t xml:space="preserve"> </w:t>
      </w:r>
      <w:r>
        <w:t xml:space="preserve">as an applicable regulation for DC-003 (last-four SSN), DC-004 (financial account information), DC-005 (transaction history), DC-006 (income), and DC-007 (credit score), and documents that Vaultline aggregates financial data from 4,200+ institutions via FinLink and shares financial data with 14 partner financial-product companies for referral fees. The Investor Letter raises a</w:t>
      </w:r>
      <w:r>
        <w:t xml:space="preserve"> </w:t>
      </w:r>
      <w:r>
        <w:t xml:space="preserve">“</w:t>
      </w:r>
      <w:r>
        <w:t xml:space="preserve">credible argument</w:t>
      </w:r>
      <w:r>
        <w:t xml:space="preserve">”</w:t>
      </w:r>
      <w:r>
        <w:t xml:space="preserve"> </w:t>
      </w:r>
      <w:r>
        <w:t xml:space="preserve">that Vaultline qualifies as a GLBA</w:t>
      </w:r>
      <w:r>
        <w:t xml:space="preserve"> </w:t>
      </w:r>
      <w:r>
        <w:t xml:space="preserve">“</w:t>
      </w:r>
      <w:r>
        <w:t xml:space="preserve">financial institution</w:t>
      </w:r>
      <w:r>
        <w:t xml:space="preserve">”</w:t>
      </w:r>
      <w:r>
        <w:t xml:space="preserve"> </w:t>
      </w:r>
      <w:r>
        <w:t xml:space="preserve">under 15 U.S.C. §6809(3) (incorporating Bank Holding Company Act §4(k), which includes financial data processing), given that Vaultline’s core business is aggregating, analyzing, and monetizing consumer financial data and facilitating financial-product referrals.</w:t>
      </w:r>
    </w:p>
    <w:p>
      <w:pPr>
        <w:pStyle w:val="BodyText"/>
      </w:pPr>
      <w:r>
        <w:rPr>
          <w:b/>
          <w:bCs/>
        </w:rPr>
        <w:t xml:space="preserve">(B) Legal authority and exposure.</w:t>
      </w:r>
      <w:r>
        <w:t xml:space="preserve"> </w:t>
      </w:r>
      <w:r>
        <w:t xml:space="preserve">If the GLBA applies, Vaultline must provide an initial privacy notice at account establishment, annual privacy notices, and an opt-out of NPI sharing with non-affiliated third parties, and comply with the FTC’s Financial Privacy Rule (Regulation P, 16 C.F.R. Part 313) and Safeguards Rule (16 C.F.R. Part 314). The 14-partner referral sharing and the Brightly sharing of financial-derived data could implicate the NPI opt-out. Non-compliance risks FTC enforcement and state AG action. The characterization is fact-dependent and warrants focused analysis.</w:t>
      </w:r>
    </w:p>
    <w:p>
      <w:pPr>
        <w:pStyle w:val="BodyText"/>
      </w:pPr>
      <w:r>
        <w:rPr>
          <w:b/>
          <w:bCs/>
        </w:rPr>
        <w:t xml:space="preserve">(C) Recommended remediation.</w:t>
      </w:r>
      <w:r>
        <w:t xml:space="preserve"> </w:t>
      </w:r>
      <w:r>
        <w:t xml:space="preserve">(i) Obtain a definitive GLBA characterization analysis (considering the FinLink aggregation, the referral-fee model, and whether Vaultline is</w:t>
      </w:r>
      <w:r>
        <w:t xml:space="preserve"> </w:t>
      </w:r>
      <w:r>
        <w:t xml:space="preserve">“</w:t>
      </w:r>
      <w:r>
        <w:t xml:space="preserve">significantly engaged</w:t>
      </w:r>
      <w:r>
        <w:t xml:space="preserve">”</w:t>
      </w:r>
      <w:r>
        <w:t xml:space="preserve"> </w:t>
      </w:r>
      <w:r>
        <w:t xml:space="preserve">in financial activities). (ii) If the GLBA applies, implement Reg. P initial/annual notices and an NPI opt-out, and confirm Safeguards Rule compliance. (iii) Coordinate GLBA notices with the CCPA/CPRA notices to avoid conflicting opt-out frameworks.</w:t>
      </w:r>
    </w:p>
    <w:bookmarkEnd w:id="31"/>
    <w:bookmarkStart w:id="32" w:name="Xa4cea80a082db0520ceff42dc34979d5c8e1bd4"/>
    <w:p>
      <w:pPr>
        <w:pStyle w:val="Heading3"/>
      </w:pPr>
      <w:r>
        <w:t xml:space="preserve">Issue 10 — Cookies/Tracking: Consent Banner Non-Compliant [HIGH]</w:t>
      </w:r>
    </w:p>
    <w:p>
      <w:pPr>
        <w:pStyle w:val="FirstParagraph"/>
      </w:pPr>
      <w:r>
        <w:rPr>
          <w:b/>
          <w:bCs/>
        </w:rPr>
        <w:t xml:space="preserve">(A) Cross-document gap.</w:t>
      </w:r>
      <w:r>
        <w:t xml:space="preserve"> </w:t>
      </w:r>
      <w:r>
        <w:t xml:space="preserve">The Policy’s</w:t>
      </w:r>
      <w:r>
        <w:t xml:space="preserve"> </w:t>
      </w:r>
      <w:r>
        <w:t xml:space="preserve">“</w:t>
      </w:r>
      <w:r>
        <w:t xml:space="preserve">Cookies and Tracking Technologies</w:t>
      </w:r>
      <w:r>
        <w:t xml:space="preserve">”</w:t>
      </w:r>
      <w:r>
        <w:t xml:space="preserve"> </w:t>
      </w:r>
      <w:r>
        <w:t xml:space="preserve">section tells users they may</w:t>
      </w:r>
      <w:r>
        <w:t xml:space="preserve"> </w:t>
      </w:r>
      <w:r>
        <w:t xml:space="preserve">“</w:t>
      </w:r>
      <w:r>
        <w:t xml:space="preserve">adjust your browser settings to refuse cookies</w:t>
      </w:r>
      <w:r>
        <w:t xml:space="preserve">”</w:t>
      </w:r>
      <w:r>
        <w:t xml:space="preserve"> </w:t>
      </w:r>
      <w:r>
        <w:t xml:space="preserve">and otherwise defers to third-party practices; it does not describe a consent banner, does not disclose a Do-Not-Track response, and does not address the volume of third-party tracking. The Inventory’s</w:t>
      </w:r>
      <w:r>
        <w:t xml:space="preserve"> </w:t>
      </w:r>
      <w:r>
        <w:t xml:space="preserve">“</w:t>
      </w:r>
      <w:r>
        <w:t xml:space="preserve">Cookie Inventory</w:t>
      </w:r>
      <w:r>
        <w:t xml:space="preserve">”</w:t>
      </w:r>
      <w:r>
        <w:t xml:space="preserve"> </w:t>
      </w:r>
      <w:r>
        <w:t xml:space="preserve">tab records</w:t>
      </w:r>
      <w:r>
        <w:t xml:space="preserve"> </w:t>
      </w:r>
      <w:r>
        <w:rPr>
          <w:b/>
          <w:bCs/>
        </w:rPr>
        <w:t xml:space="preserve">34 cookies total, of which 29 are third-party advertising/tracking cookies</w:t>
      </w:r>
      <w:r>
        <w:t xml:space="preserve"> </w:t>
      </w:r>
      <w:r>
        <w:t xml:space="preserve">(4 Brightly + 25 other third-party networks). The consent banner is documented as</w:t>
      </w:r>
      <w:r>
        <w:t xml:space="preserve"> </w:t>
      </w:r>
      <w:r>
        <w:rPr>
          <w:b/>
          <w:bCs/>
        </w:rPr>
        <w:t xml:space="preserve">“</w:t>
      </w:r>
      <w:r>
        <w:rPr>
          <w:b/>
          <w:bCs/>
        </w:rPr>
        <w:t xml:space="preserve">Accept All Button Only</w:t>
      </w:r>
      <w:r>
        <w:rPr>
          <w:b/>
          <w:bCs/>
        </w:rPr>
        <w:t xml:space="preserve">”</w:t>
      </w:r>
      <w:r>
        <w:t xml:space="preserve"> </w:t>
      </w:r>
      <w:r>
        <w:t xml:space="preserve">—</w:t>
      </w:r>
      <w:r>
        <w:t xml:space="preserve"> </w:t>
      </w:r>
      <w:r>
        <w:rPr>
          <w:b/>
          <w:bCs/>
        </w:rPr>
        <w:t xml:space="preserve">no reject option, no customize/preferences option, no granular category consent</w:t>
      </w:r>
      <w:r>
        <w:t xml:space="preserve">, and</w:t>
      </w:r>
      <w:r>
        <w:t xml:space="preserve"> </w:t>
      </w:r>
      <w:r>
        <w:rPr>
          <w:b/>
          <w:bCs/>
        </w:rPr>
        <w:t xml:space="preserve">“</w:t>
      </w:r>
      <w:r>
        <w:rPr>
          <w:b/>
          <w:bCs/>
        </w:rPr>
        <w:t xml:space="preserve">all cookies fire on page load regardless of banner interaction.</w:t>
      </w:r>
      <w:r>
        <w:rPr>
          <w:b/>
          <w:bCs/>
        </w:rPr>
        <w:t xml:space="preserve">”</w:t>
      </w:r>
      <w:r>
        <w:t xml:space="preserve"> </w:t>
      </w:r>
      <w:r>
        <w:t xml:space="preserve">The Inventory concludes this violates the ePrivacy Directive consent requirement for EU users and fails the GDPR consent standard (Art. 4(11) — freely given, specific, informed, unambiguous), and that no Do-Not-Track signal detection or CalOPPA DNT disclosure exists.</w:t>
      </w:r>
    </w:p>
    <w:p>
      <w:pPr>
        <w:pStyle w:val="BodyText"/>
      </w:pPr>
      <w:r>
        <w:rPr>
          <w:b/>
          <w:bCs/>
        </w:rPr>
        <w:t xml:space="preserve">(B) Legal authority and exposure.</w:t>
      </w:r>
      <w:r>
        <w:t xml:space="preserve"> </w:t>
      </w:r>
      <w:r>
        <w:t xml:space="preserve">For EU users (and the planned EU launch), non-essential cookies require freely given, specific, informed, and unambiguous consent</w:t>
      </w:r>
      <w:r>
        <w:t xml:space="preserve"> </w:t>
      </w:r>
      <w:r>
        <w:rPr>
          <w:b/>
          <w:bCs/>
        </w:rPr>
        <w:t xml:space="preserve">prior</w:t>
      </w:r>
      <w:r>
        <w:t xml:space="preserve"> </w:t>
      </w:r>
      <w:r>
        <w:t xml:space="preserve">to placement; an</w:t>
      </w:r>
      <w:r>
        <w:t xml:space="preserve"> </w:t>
      </w:r>
      <w:r>
        <w:t xml:space="preserve">“</w:t>
      </w:r>
      <w:r>
        <w:t xml:space="preserve">Accept All</w:t>
      </w:r>
      <w:r>
        <w:t xml:space="preserve">”</w:t>
      </w:r>
      <w:r>
        <w:t xml:space="preserve">-only banner that pre-loads cookies does not satisfy ePrivacy/GDPR. CalOPPA requires a Do-Not-Track disclosure. The 29 third-party tracking cookies — many placing persistent identifiers for cross-site advertising — also feed the CCPA</w:t>
      </w:r>
      <w:r>
        <w:t xml:space="preserve"> </w:t>
      </w:r>
      <w:r>
        <w:t xml:space="preserve">“</w:t>
      </w:r>
      <w:r>
        <w:t xml:space="preserve">sharing</w:t>
      </w:r>
      <w:r>
        <w:t xml:space="preserve">”</w:t>
      </w:r>
      <w:r>
        <w:t xml:space="preserve"> </w:t>
      </w:r>
      <w:r>
        <w:t xml:space="preserve">analysis in Issue 6. Exposure includes supervisory-authority enforcement (EU), FTC Section 5 risk, and state-law exposure.</w:t>
      </w:r>
    </w:p>
    <w:p>
      <w:pPr>
        <w:pStyle w:val="BodyText"/>
      </w:pPr>
      <w:r>
        <w:rPr>
          <w:b/>
          <w:bCs/>
        </w:rPr>
        <w:t xml:space="preserve">(C) Recommended remediation.</w:t>
      </w:r>
      <w:r>
        <w:t xml:space="preserve"> </w:t>
      </w:r>
      <w:r>
        <w:t xml:space="preserve">(i) Implement a</w:t>
      </w:r>
      <w:r>
        <w:t xml:space="preserve"> </w:t>
      </w:r>
      <w:r>
        <w:rPr>
          <w:b/>
          <w:bCs/>
        </w:rPr>
        <w:t xml:space="preserve">consent management platform</w:t>
      </w:r>
      <w:r>
        <w:t xml:space="preserve"> </w:t>
      </w:r>
      <w:r>
        <w:t xml:space="preserve">with reject-all and granular category options, blocking non-essential cookies until consent. (ii) Add a CalOPPA Do-Not-Track disclosure and honor Global Privacy Control. (iii) Audit and reduce the 29 third-party tracking cookies; document the lawful basis/consent for each. (iv) Update the Policy’s cookies section to describe the banner and choices accurately.</w:t>
      </w:r>
    </w:p>
    <w:bookmarkEnd w:id="32"/>
    <w:bookmarkStart w:id="33" w:name="X70e0c03dc7dc6801bf696014204c0d61399caa6"/>
    <w:p>
      <w:pPr>
        <w:pStyle w:val="Heading3"/>
      </w:pPr>
      <w:r>
        <w:t xml:space="preserve">Issue 11 — Privacy Policy Staleness and Readability [MEDIUM]</w:t>
      </w:r>
    </w:p>
    <w:p>
      <w:pPr>
        <w:pStyle w:val="FirstParagraph"/>
      </w:pPr>
      <w:r>
        <w:rPr>
          <w:b/>
          <w:bCs/>
        </w:rPr>
        <w:t xml:space="preserve">(A) Cross-document gap.</w:t>
      </w:r>
      <w:r>
        <w:t xml:space="preserve"> </w:t>
      </w:r>
      <w:r>
        <w:t xml:space="preserve">The Policy is dated</w:t>
      </w:r>
      <w:r>
        <w:t xml:space="preserve"> </w:t>
      </w:r>
      <w:r>
        <w:rPr>
          <w:b/>
          <w:bCs/>
        </w:rPr>
        <w:t xml:space="preserve">January 15, 2023</w:t>
      </w:r>
      <w:r>
        <w:t xml:space="preserve"> </w:t>
      </w:r>
      <w:r>
        <w:t xml:space="preserve">— over two years old — and has not been updated to reflect the Selfie Verify launch (March 2023), the Brightly DSA amendment (June 2024), the August 2024 breach, or any of the Inventory’s documented practices. The Investor Letter reports a readability analysis estimating a</w:t>
      </w:r>
      <w:r>
        <w:t xml:space="preserve"> </w:t>
      </w:r>
      <w:r>
        <w:rPr>
          <w:b/>
          <w:bCs/>
        </w:rPr>
        <w:t xml:space="preserve">Flesch-Kincaid grade level of ~18.2</w:t>
      </w:r>
      <w:r>
        <w:t xml:space="preserve"> </w:t>
      </w:r>
      <w:r>
        <w:t xml:space="preserve">(post-graduate) across ~9,200 words of</w:t>
      </w:r>
      <w:r>
        <w:t xml:space="preserve"> </w:t>
      </w:r>
      <w:r>
        <w:t xml:space="preserve">“</w:t>
      </w:r>
      <w:r>
        <w:t xml:space="preserve">dense, unformatted legal prose</w:t>
      </w:r>
      <w:r>
        <w:t xml:space="preserve">”</w:t>
      </w:r>
      <w:r>
        <w:t xml:space="preserve"> </w:t>
      </w:r>
      <w:r>
        <w:t xml:space="preserve">with no section headers, table of contents, or layered structure, raising FTC</w:t>
      </w:r>
      <w:r>
        <w:t xml:space="preserve"> </w:t>
      </w:r>
      <w:r>
        <w:t xml:space="preserve">“</w:t>
      </w:r>
      <w:r>
        <w:t xml:space="preserve">clear and conspicuous</w:t>
      </w:r>
      <w:r>
        <w:t xml:space="preserve">”</w:t>
      </w:r>
      <w:r>
        <w:t xml:space="preserve"> </w:t>
      </w:r>
      <w:r>
        <w:t xml:space="preserve">concerns. The Inventory’s revision log shows the Inventory itself has been updated eight times (through v3.4) while the Policy has not been touched.</w:t>
      </w:r>
    </w:p>
    <w:p>
      <w:pPr>
        <w:pStyle w:val="BodyText"/>
      </w:pPr>
      <w:r>
        <w:rPr>
          <w:b/>
          <w:bCs/>
        </w:rPr>
        <w:t xml:space="preserve">(B) Legal authority and exposure.</w:t>
      </w:r>
      <w:r>
        <w:t xml:space="preserve"> </w:t>
      </w:r>
      <w:r>
        <w:t xml:space="preserve">A stale, unreadable policy undermines the</w:t>
      </w:r>
      <w:r>
        <w:t xml:space="preserve"> </w:t>
      </w:r>
      <w:r>
        <w:t xml:space="preserve">“</w:t>
      </w:r>
      <w:r>
        <w:t xml:space="preserve">clear and conspicuous</w:t>
      </w:r>
      <w:r>
        <w:t xml:space="preserve">”</w:t>
      </w:r>
      <w:r>
        <w:t xml:space="preserve"> </w:t>
      </w:r>
      <w:r>
        <w:t xml:space="preserve">disclosure standard the FTC applies under Section 5 and that CCPA/CPRA and GDPR require for transparency. Staleness also means the Policy cannot serve as the lawful-basis/consent anchor for processing introduced after January 2023 (biometrics, Smart Insights, the amended Brightly terms), compounding Issues 1, 4, and 6.</w:t>
      </w:r>
    </w:p>
    <w:p>
      <w:pPr>
        <w:pStyle w:val="BodyText"/>
      </w:pPr>
      <w:r>
        <w:rPr>
          <w:b/>
          <w:bCs/>
        </w:rPr>
        <w:t xml:space="preserve">(C) Recommended remediation.</w:t>
      </w:r>
      <w:r>
        <w:t xml:space="preserve"> </w:t>
      </w:r>
      <w:r>
        <w:t xml:space="preserve">Comprehensive Policy rewrite: add a table of contents and section headers; reduce reading level; layer disclosures; and update the</w:t>
      </w:r>
      <w:r>
        <w:t xml:space="preserve"> </w:t>
      </w:r>
      <w:r>
        <w:t xml:space="preserve">“</w:t>
      </w:r>
      <w:r>
        <w:t xml:space="preserve">Last Updated</w:t>
      </w:r>
      <w:r>
        <w:t xml:space="preserve">”</w:t>
      </w:r>
      <w:r>
        <w:t xml:space="preserve"> </w:t>
      </w:r>
      <w:r>
        <w:t xml:space="preserve">date with each material change. Implement a change-management process tying Policy updates to Inventory revisions and new feature launches.</w:t>
      </w:r>
    </w:p>
    <w:bookmarkEnd w:id="33"/>
    <w:bookmarkStart w:id="34" w:name="Xe481f15f781e0b43bc7dc59333379486cbd8ad4"/>
    <w:p>
      <w:pPr>
        <w:pStyle w:val="Heading3"/>
      </w:pPr>
      <w:r>
        <w:t xml:space="preserve">Issue 12 — Third-Party Recipient Disclosure Gaps (Brightly Unnamed) [MEDIUM]</w:t>
      </w:r>
    </w:p>
    <w:p>
      <w:pPr>
        <w:pStyle w:val="FirstParagraph"/>
      </w:pPr>
      <w:r>
        <w:rPr>
          <w:b/>
          <w:bCs/>
        </w:rPr>
        <w:t xml:space="preserve">(A) Cross-document gap.</w:t>
      </w:r>
      <w:r>
        <w:t xml:space="preserve"> </w:t>
      </w:r>
      <w:r>
        <w:t xml:space="preserve">The Policy</w:t>
      </w:r>
      <w:r>
        <w:t xml:space="preserve"> </w:t>
      </w:r>
      <w:r>
        <w:rPr>
          <w:b/>
          <w:bCs/>
        </w:rPr>
        <w:t xml:space="preserve">names</w:t>
      </w:r>
      <w:r>
        <w:t xml:space="preserve"> </w:t>
      </w:r>
      <w:r>
        <w:t xml:space="preserve">FinLink Data Services and CloudFort Systems specifically, but does</w:t>
      </w:r>
      <w:r>
        <w:t xml:space="preserve"> </w:t>
      </w:r>
      <w:r>
        <w:rPr>
          <w:b/>
          <w:bCs/>
        </w:rPr>
        <w:t xml:space="preserve">not name Brightly Analytics</w:t>
      </w:r>
      <w:r>
        <w:t xml:space="preserve">, despite Brightly being a major recipient (~$2.64M/year, independent controller, seller of audience segments). The Inventory confirms that the specific data shared with Brightly — DC-014 (hashed emails) and DC-015 (demographic/financial profile summaries) — is</w:t>
      </w:r>
      <w:r>
        <w:t xml:space="preserve"> </w:t>
      </w:r>
      <w:r>
        <w:rPr>
          <w:b/>
          <w:bCs/>
        </w:rPr>
        <w:t xml:space="preserve">“</w:t>
      </w:r>
      <w:r>
        <w:rPr>
          <w:b/>
          <w:bCs/>
        </w:rPr>
        <w:t xml:space="preserve">not specifically disclosed as shared,</w:t>
      </w:r>
      <w:r>
        <w:rPr>
          <w:b/>
          <w:bCs/>
        </w:rPr>
        <w:t xml:space="preserve">”</w:t>
      </w:r>
      <w:r>
        <w:t xml:space="preserve"> </w:t>
      </w:r>
      <w:r>
        <w:t xml:space="preserve">and that DC-006 (income) is only</w:t>
      </w:r>
      <w:r>
        <w:t xml:space="preserve"> </w:t>
      </w:r>
      <w:r>
        <w:t xml:space="preserve">“</w:t>
      </w:r>
      <w:r>
        <w:t xml:space="preserve">partially</w:t>
      </w:r>
      <w:r>
        <w:t xml:space="preserve">”</w:t>
      </w:r>
      <w:r>
        <w:t xml:space="preserve"> </w:t>
      </w:r>
      <w:r>
        <w:t xml:space="preserve">disclosed. The DSA, by contrast, specifies the exact Shared Data categories. The 14 partner financial-product companies (TS-003) are described only generically in the Policy.</w:t>
      </w:r>
    </w:p>
    <w:p>
      <w:pPr>
        <w:pStyle w:val="BodyText"/>
      </w:pPr>
      <w:r>
        <w:rPr>
          <w:b/>
          <w:bCs/>
        </w:rPr>
        <w:t xml:space="preserve">(B) Legal authority and exposure.</w:t>
      </w:r>
      <w:r>
        <w:t xml:space="preserve"> </w:t>
      </w:r>
      <w:r>
        <w:t xml:space="preserve">CCPA/CPRA and GDPR Art. 13/14 require disclosure of the</w:t>
      </w:r>
      <w:r>
        <w:t xml:space="preserve"> </w:t>
      </w:r>
      <w:r>
        <w:rPr>
          <w:b/>
          <w:bCs/>
        </w:rPr>
        <w:t xml:space="preserve">categories of recipients</w:t>
      </w:r>
      <w:r>
        <w:t xml:space="preserve"> </w:t>
      </w:r>
      <w:r>
        <w:t xml:space="preserve">(and, under GDPR, the recipients themselves or their categories) and the categories of personal information shared. Naming two providers but omitting the most significant one (Brightly) is a selective and misleading disclosure. This overlaps with Issue 6 but is separately actionable as a transparency defect.</w:t>
      </w:r>
    </w:p>
    <w:p>
      <w:pPr>
        <w:pStyle w:val="BodyText"/>
      </w:pPr>
      <w:r>
        <w:rPr>
          <w:b/>
          <w:bCs/>
        </w:rPr>
        <w:t xml:space="preserve">(C) Recommended remediation.</w:t>
      </w:r>
      <w:r>
        <w:t xml:space="preserve"> </w:t>
      </w:r>
      <w:r>
        <w:t xml:space="preserve">Update the Policy to name Brightly and the partner categories, and to disclose the specific data categories shared with each (consistent with the DSA and the Inventory). Reconcile the Policy’s recipient list with the Inventory’s Third-Party Sharing tab.</w:t>
      </w:r>
    </w:p>
    <w:bookmarkEnd w:id="34"/>
    <w:bookmarkStart w:id="35" w:name="X60d2b071842cc0f0992b285d4ebc5413a47cc10"/>
    <w:p>
      <w:pPr>
        <w:pStyle w:val="Heading3"/>
      </w:pPr>
      <w:r>
        <w:t xml:space="preserve">Issue 13 — Sensitive Personal Information Classification Gaps [MEDIUM]</w:t>
      </w:r>
    </w:p>
    <w:p>
      <w:pPr>
        <w:pStyle w:val="FirstParagraph"/>
      </w:pPr>
      <w:r>
        <w:rPr>
          <w:b/>
          <w:bCs/>
        </w:rPr>
        <w:t xml:space="preserve">(A) Cross-document gap.</w:t>
      </w:r>
      <w:r>
        <w:t xml:space="preserve"> </w:t>
      </w:r>
      <w:r>
        <w:t xml:space="preserve">The Policy contains</w:t>
      </w:r>
      <w:r>
        <w:t xml:space="preserve"> </w:t>
      </w:r>
      <w:r>
        <w:rPr>
          <w:b/>
          <w:bCs/>
        </w:rPr>
        <w:t xml:space="preserve">no CPRA</w:t>
      </w:r>
      <w:r>
        <w:rPr>
          <w:b/>
          <w:bCs/>
        </w:rPr>
        <w:t xml:space="preserve"> </w:t>
      </w:r>
      <w:r>
        <w:rPr>
          <w:b/>
          <w:bCs/>
        </w:rPr>
        <w:t xml:space="preserve">“</w:t>
      </w:r>
      <w:r>
        <w:rPr>
          <w:b/>
          <w:bCs/>
        </w:rPr>
        <w:t xml:space="preserve">sensitive personal information</w:t>
      </w:r>
      <w:r>
        <w:rPr>
          <w:b/>
          <w:bCs/>
        </w:rPr>
        <w:t xml:space="preserve">”</w:t>
      </w:r>
      <w:r>
        <w:rPr>
          <w:b/>
          <w:bCs/>
        </w:rPr>
        <w:t xml:space="preserve"> </w:t>
      </w:r>
      <w:r>
        <w:rPr>
          <w:b/>
          <w:bCs/>
        </w:rPr>
        <w:t xml:space="preserve">section</w:t>
      </w:r>
      <w:r>
        <w:t xml:space="preserve"> </w:t>
      </w:r>
      <w:r>
        <w:t xml:space="preserve">and provides no right to limit the use of sensitive PI. The Inventory documents that several categories that</w:t>
      </w:r>
      <w:r>
        <w:t xml:space="preserve"> </w:t>
      </w:r>
      <w:r>
        <w:rPr>
          <w:b/>
          <w:bCs/>
        </w:rPr>
        <w:t xml:space="preserve">are</w:t>
      </w:r>
      <w:r>
        <w:t xml:space="preserve"> </w:t>
      </w:r>
      <w:r>
        <w:t xml:space="preserve">sensitive PI under CPRA are</w:t>
      </w:r>
      <w:r>
        <w:t xml:space="preserve"> </w:t>
      </w:r>
      <w:r>
        <w:rPr>
          <w:b/>
          <w:bCs/>
        </w:rPr>
        <w:t xml:space="preserve">not flagged as such</w:t>
      </w:r>
      <w:r>
        <w:t xml:space="preserve"> </w:t>
      </w:r>
      <w:r>
        <w:t xml:space="preserve">in the Policy: DC-003 (last-four SSN —</w:t>
      </w:r>
      <w:r>
        <w:t xml:space="preserve"> </w:t>
      </w:r>
      <w:r>
        <w:t xml:space="preserve">“</w:t>
      </w:r>
      <w:r>
        <w:t xml:space="preserve">Privacy policy does not classify as sensitive PI</w:t>
      </w:r>
      <w:r>
        <w:t xml:space="preserve">”</w:t>
      </w:r>
      <w:r>
        <w:t xml:space="preserve">); DC-010 (precise geolocation —</w:t>
      </w:r>
      <w:r>
        <w:t xml:space="preserve"> </w:t>
      </w:r>
      <w:r>
        <w:t xml:space="preserve">“</w:t>
      </w:r>
      <w:r>
        <w:t xml:space="preserve">not flagged as sensitive PI</w:t>
      </w:r>
      <w:r>
        <w:t xml:space="preserve">”</w:t>
      </w:r>
      <w:r>
        <w:t xml:space="preserve">); and DC-011 (biometric data — not disclosed at all). The Inventory also flags financial account information, transaction history, income, and credit score as sensitive (DC-004 through DC-007), which should be confirmed against the CPRA’s enumerated sensitive-PI categories.</w:t>
      </w:r>
    </w:p>
    <w:p>
      <w:pPr>
        <w:pStyle w:val="BodyText"/>
      </w:pPr>
      <w:r>
        <w:rPr>
          <w:b/>
          <w:bCs/>
        </w:rPr>
        <w:t xml:space="preserve">(B) Legal authority and exposure.</w:t>
      </w:r>
      <w:r>
        <w:t xml:space="preserve"> </w:t>
      </w:r>
      <w:r>
        <w:t xml:space="preserve">CPRA requires businesses to (i) disclose sensitive PI, (ii) provide a</w:t>
      </w:r>
      <w:r>
        <w:t xml:space="preserve"> </w:t>
      </w:r>
      <w:r>
        <w:t xml:space="preserve">“</w:t>
      </w:r>
      <w:r>
        <w:t xml:space="preserve">Limit the Use of My Sensitive Personal Information</w:t>
      </w:r>
      <w:r>
        <w:t xml:space="preserve">”</w:t>
      </w:r>
      <w:r>
        <w:t xml:space="preserve"> </w:t>
      </w:r>
      <w:r>
        <w:t xml:space="preserve">opt-out, and (iii) limit use of sensitive PI to the purposes disclosed or as permitted. Misclassification or non-disclosure of SSN-fragments, precise geolocation, and biometrics is a direct CPRA violation and compounds the BIPA and GDPR Art. 9 exposures.</w:t>
      </w:r>
    </w:p>
    <w:p>
      <w:pPr>
        <w:pStyle w:val="BodyText"/>
      </w:pPr>
      <w:r>
        <w:rPr>
          <w:b/>
          <w:bCs/>
        </w:rPr>
        <w:t xml:space="preserve">(C) Recommended remediation.</w:t>
      </w:r>
      <w:r>
        <w:t xml:space="preserve"> </w:t>
      </w:r>
      <w:r>
        <w:t xml:space="preserve">Add a sensitive-PI section to the Policy; classify each category against the CPRA enumeration; implement the</w:t>
      </w:r>
      <w:r>
        <w:t xml:space="preserve"> </w:t>
      </w:r>
      <w:r>
        <w:t xml:space="preserve">“</w:t>
      </w:r>
      <w:r>
        <w:t xml:space="preserve">Limit</w:t>
      </w:r>
      <w:r>
        <w:t xml:space="preserve">”</w:t>
      </w:r>
      <w:r>
        <w:t xml:space="preserve"> </w:t>
      </w:r>
      <w:r>
        <w:t xml:space="preserve">opt-out; and limit use of sensitive PI accordingly. Confirm the Inventory’s financial-data sensitive-PI classifications against the statute.</w:t>
      </w:r>
    </w:p>
    <w:bookmarkEnd w:id="35"/>
    <w:bookmarkStart w:id="36" w:name="X8107b9cbff6ebc1a6797053e6172e219df0d35f"/>
    <w:p>
      <w:pPr>
        <w:pStyle w:val="Heading3"/>
      </w:pPr>
      <w:r>
        <w:t xml:space="preserve">Issue 14 — EU Data Location Inconsistency (Breach Log vs. Inventory) [MEDIUM]</w:t>
      </w:r>
    </w:p>
    <w:p>
      <w:pPr>
        <w:pStyle w:val="FirstParagraph"/>
      </w:pPr>
      <w:r>
        <w:rPr>
          <w:b/>
          <w:bCs/>
        </w:rPr>
        <w:t xml:space="preserve">(A) Cross-document gap.</w:t>
      </w:r>
      <w:r>
        <w:t xml:space="preserve"> </w:t>
      </w:r>
      <w:r>
        <w:t xml:space="preserve">The Breach Log (Entry 5) states that CloudFort</w:t>
      </w:r>
      <w:r>
        <w:t xml:space="preserve"> </w:t>
      </w:r>
      <w:r>
        <w:t xml:space="preserve">“</w:t>
      </w:r>
      <w:r>
        <w:t xml:space="preserve">confirmed that … no access anomalies were detected on its</w:t>
      </w:r>
      <w:r>
        <w:t xml:space="preserve"> </w:t>
      </w:r>
      <w:r>
        <w:rPr>
          <w:b/>
          <w:bCs/>
        </w:rPr>
        <w:t xml:space="preserve">Dublin, Ireland infrastructure, where EU-resident user data is partially replicated</w:t>
      </w:r>
      <w:r>
        <w:t xml:space="preserve">.</w:t>
      </w:r>
      <w:r>
        <w:t xml:space="preserve">”</w:t>
      </w:r>
      <w:r>
        <w:t xml:space="preserve"> </w:t>
      </w:r>
      <w:r>
        <w:t xml:space="preserve">The Inventory (IT-001), however, states that</w:t>
      </w:r>
      <w:r>
        <w:t xml:space="preserve"> </w:t>
      </w:r>
      <w:r>
        <w:t xml:space="preserve">“</w:t>
      </w:r>
      <w:r>
        <w:rPr>
          <w:b/>
          <w:bCs/>
        </w:rPr>
        <w:t xml:space="preserve">all</w:t>
      </w:r>
      <w:r>
        <w:t xml:space="preserve"> </w:t>
      </w:r>
      <w:r>
        <w:t xml:space="preserve">EU-resident user data is processed and stored on CloudFort</w:t>
      </w:r>
      <w:r>
        <w:t xml:space="preserve"> </w:t>
      </w:r>
      <w:r>
        <w:rPr>
          <w:b/>
          <w:bCs/>
        </w:rPr>
        <w:t xml:space="preserve">Virginia</w:t>
      </w:r>
      <w:r>
        <w:t xml:space="preserve"> </w:t>
      </w:r>
      <w:r>
        <w:t xml:space="preserve">servers</w:t>
      </w:r>
      <w:r>
        <w:t xml:space="preserve">”</w:t>
      </w:r>
      <w:r>
        <w:t xml:space="preserve"> </w:t>
      </w:r>
      <w:r>
        <w:t xml:space="preserve">and that no SCCs or transfer mechanism exists. These statements are difficult to reconcile: either EU data is replicated to Dublin (in which case the Inventory’s</w:t>
      </w:r>
      <w:r>
        <w:t xml:space="preserve"> </w:t>
      </w:r>
      <w:r>
        <w:t xml:space="preserve">“</w:t>
      </w:r>
      <w:r>
        <w:t xml:space="preserve">all … on Virginia servers</w:t>
      </w:r>
      <w:r>
        <w:t xml:space="preserve">”</w:t>
      </w:r>
      <w:r>
        <w:t xml:space="preserve"> </w:t>
      </w:r>
      <w:r>
        <w:t xml:space="preserve">is inaccurate and a US→Ireland transfer exists), or it is not (in which case the Breach Log’s</w:t>
      </w:r>
      <w:r>
        <w:t xml:space="preserve"> </w:t>
      </w:r>
      <w:r>
        <w:t xml:space="preserve">“</w:t>
      </w:r>
      <w:r>
        <w:t xml:space="preserve">partially replicated</w:t>
      </w:r>
      <w:r>
        <w:t xml:space="preserve">”</w:t>
      </w:r>
      <w:r>
        <w:t xml:space="preserve"> </w:t>
      </w:r>
      <w:r>
        <w:t xml:space="preserve">statement is inaccurate). The inconsistency itself is a documentation defect that undermines the reliability of both records for transfer-mapping and breach-scoping purposes.</w:t>
      </w:r>
    </w:p>
    <w:p>
      <w:pPr>
        <w:pStyle w:val="BodyText"/>
      </w:pPr>
      <w:r>
        <w:rPr>
          <w:b/>
          <w:bCs/>
        </w:rPr>
        <w:t xml:space="preserve">(B) Legal authority and exposure.</w:t>
      </w:r>
      <w:r>
        <w:t xml:space="preserve"> </w:t>
      </w:r>
      <w:r>
        <w:t xml:space="preserve">Accurate records of processing and data flows are required under GDPR Art. 30 and are essential to breach scoping (which EU users’ data was actually exposed) and to transfer-mechanism analysis (Issue 2). The inconsistency could affect the accuracy of the breach notification to EU users and supervisory authorities.</w:t>
      </w:r>
    </w:p>
    <w:p>
      <w:pPr>
        <w:pStyle w:val="BodyText"/>
      </w:pPr>
      <w:r>
        <w:rPr>
          <w:b/>
          <w:bCs/>
        </w:rPr>
        <w:t xml:space="preserve">(C) Recommended remediation.</w:t>
      </w:r>
      <w:r>
        <w:t xml:space="preserve"> </w:t>
      </w:r>
      <w:r>
        <w:t xml:space="preserve">Reconcile the actual location(s) of EU-resident data; update the Inventory’s Article 30 record of processing and the Breach Log as needed; and confirm that the breach scoping for the ~510 EU users reflects the true data location.</w:t>
      </w:r>
    </w:p>
    <w:bookmarkEnd w:id="36"/>
    <w:bookmarkEnd w:id="37"/>
    <w:bookmarkStart w:id="38" w:name="iv.-prioritized-remediation-roadmap"/>
    <w:p>
      <w:pPr>
        <w:pStyle w:val="Heading2"/>
      </w:pPr>
      <w:r>
        <w:t xml:space="preserve">IV. Prioritized Remediation Roadmap</w:t>
      </w:r>
    </w:p>
    <w:p>
      <w:pPr>
        <w:pStyle w:val="FirstParagraph"/>
      </w:pPr>
      <w:r>
        <w:t xml:space="preserve">We recommend sequencing remediation around the April 15, 2025 diligence deadline and the Q3 2025 EU launch. The Investor Letter has signaled that pre-closing remediation of material deficiencies, or a binding post-closing remediation plan with holdback/escrow, may be conditions to the Series C investment.</w:t>
      </w:r>
    </w:p>
    <w:p>
      <w:pPr>
        <w:pStyle w:val="BodyText"/>
      </w:pPr>
      <w:r>
        <w:rPr>
          <w:b/>
          <w:bCs/>
        </w:rPr>
        <w:t xml:space="preserve">Immediate (target before April 15, 2025 diligence deadline):</w:t>
      </w:r>
    </w:p>
    <w:p>
      <w:pPr>
        <w:pStyle w:val="Compact"/>
        <w:numPr>
          <w:ilvl w:val="0"/>
          <w:numId w:val="1007"/>
        </w:numPr>
      </w:pPr>
      <w:r>
        <w:rPr>
          <w:b/>
          <w:bCs/>
        </w:rPr>
        <w:t xml:space="preserve">Comprehensive Policy rewrite</w:t>
      </w:r>
      <w:r>
        <w:t xml:space="preserve"> </w:t>
      </w:r>
      <w:r>
        <w:t xml:space="preserve">addressing Issues 1, 4, 6, 7, 8, 11, 12, and 13 — biometric disclosure, Smart Insights/automated decision-making, Brightly (named, accurate, with opt-out), full CPRA rights, retention periods, sensitive-PI section, recipient disclosures, readability, and a breach-notification section (Issue 5).</w:t>
      </w:r>
    </w:p>
    <w:p>
      <w:pPr>
        <w:pStyle w:val="Compact"/>
        <w:numPr>
          <w:ilvl w:val="0"/>
          <w:numId w:val="1007"/>
        </w:numPr>
      </w:pPr>
      <w:r>
        <w:rPr>
          <w:b/>
          <w:bCs/>
        </w:rPr>
        <w:t xml:space="preserve">BIPA remediation (Issue 1):</w:t>
      </w:r>
      <w:r>
        <w:t xml:space="preserve"> </w:t>
      </w:r>
      <w:r>
        <w:t xml:space="preserve">decide whether to suspend/retire Selfie Verify or implement written consent + a public retention/destruction policy; engage Illinois counsel on exposure.</w:t>
      </w:r>
    </w:p>
    <w:p>
      <w:pPr>
        <w:pStyle w:val="Compact"/>
        <w:numPr>
          <w:ilvl w:val="0"/>
          <w:numId w:val="1007"/>
        </w:numPr>
      </w:pPr>
      <w:r>
        <w:rPr>
          <w:b/>
          <w:bCs/>
        </w:rPr>
        <w:t xml:space="preserve">CCPA/CPRA operational rights (Issues 6, 7, 13):</w:t>
      </w:r>
      <w:r>
        <w:t xml:space="preserve"> </w:t>
      </w:r>
      <w:r>
        <w:t xml:space="preserve">implement</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Sensitive PI</w:t>
      </w:r>
      <w:r>
        <w:t xml:space="preserve">”</w:t>
      </w:r>
      <w:r>
        <w:t xml:space="preserve"> </w:t>
      </w:r>
      <w:r>
        <w:t xml:space="preserve">opt-outs; honor Global Privacy Control; publish a notice at collection.</w:t>
      </w:r>
    </w:p>
    <w:p>
      <w:pPr>
        <w:pStyle w:val="Compact"/>
        <w:numPr>
          <w:ilvl w:val="0"/>
          <w:numId w:val="1007"/>
        </w:numPr>
      </w:pPr>
      <w:r>
        <w:rPr>
          <w:b/>
          <w:bCs/>
        </w:rPr>
        <w:t xml:space="preserve">Breach notification cure (Issue 5):</w:t>
      </w:r>
      <w:r>
        <w:t xml:space="preserve"> </w:t>
      </w:r>
      <w:r>
        <w:t xml:space="preserve">confirm/complete state AG and EU supervisory-authority notifications; assess DSA §9.2 Brightly notification; document decisions.</w:t>
      </w:r>
    </w:p>
    <w:p>
      <w:pPr>
        <w:pStyle w:val="Compact"/>
        <w:numPr>
          <w:ilvl w:val="0"/>
          <w:numId w:val="1007"/>
        </w:numPr>
      </w:pPr>
      <w:r>
        <w:rPr>
          <w:b/>
          <w:bCs/>
        </w:rPr>
        <w:t xml:space="preserve">Transfer mechanism (Issue 2):</w:t>
      </w:r>
      <w:r>
        <w:t xml:space="preserve"> </w:t>
      </w:r>
      <w:r>
        <w:t xml:space="preserve">initiate DPF certification or execute SCCs with CloudFort (and SCCs/DPAs for Brightly and FinLink); begin transfer impact assessment.</w:t>
      </w:r>
    </w:p>
    <w:p>
      <w:pPr>
        <w:pStyle w:val="Compact"/>
        <w:numPr>
          <w:ilvl w:val="0"/>
          <w:numId w:val="1007"/>
        </w:numPr>
      </w:pPr>
      <w:r>
        <w:rPr>
          <w:b/>
          <w:bCs/>
        </w:rPr>
        <w:t xml:space="preserve">GDPR governance (Issue 3):</w:t>
      </w:r>
      <w:r>
        <w:t xml:space="preserve"> </w:t>
      </w:r>
      <w:r>
        <w:t xml:space="preserve">appoint DPO and Art. 27 EU representative; commence DPIAs for PA-001, PA-003, PA-004, PA-007; document lawful bases.</w:t>
      </w:r>
    </w:p>
    <w:p>
      <w:pPr>
        <w:pStyle w:val="FirstParagraph"/>
      </w:pPr>
      <w:r>
        <w:rPr>
          <w:b/>
          <w:bCs/>
        </w:rPr>
        <w:t xml:space="preserve">Near-term (post-closing remediation plan, with holdback/escrow if required by investor):</w:t>
      </w:r>
    </w:p>
    <w:p>
      <w:pPr>
        <w:pStyle w:val="Compact"/>
        <w:numPr>
          <w:ilvl w:val="0"/>
          <w:numId w:val="1008"/>
        </w:numPr>
      </w:pPr>
      <w:r>
        <w:rPr>
          <w:b/>
          <w:bCs/>
        </w:rPr>
        <w:t xml:space="preserve">Cookie consent (Issue 10):</w:t>
      </w:r>
      <w:r>
        <w:t xml:space="preserve"> </w:t>
      </w:r>
      <w:r>
        <w:t xml:space="preserve">deploy a consent management platform with reject and granular options; reduce third-party tracking cookies; add CalOPPA DNT disclosure.</w:t>
      </w:r>
    </w:p>
    <w:p>
      <w:pPr>
        <w:pStyle w:val="Compact"/>
        <w:numPr>
          <w:ilvl w:val="0"/>
          <w:numId w:val="1008"/>
        </w:numPr>
      </w:pPr>
      <w:r>
        <w:rPr>
          <w:b/>
          <w:bCs/>
        </w:rPr>
        <w:t xml:space="preserve">GLBA analysis (Issue 9):</w:t>
      </w:r>
      <w:r>
        <w:t xml:space="preserve"> </w:t>
      </w:r>
      <w:r>
        <w:t xml:space="preserve">obtain definitive characterization; if applicable, implement Reg. P notices, NPI opt-out, and Safeguards Rule compliance.</w:t>
      </w:r>
    </w:p>
    <w:p>
      <w:pPr>
        <w:pStyle w:val="Compact"/>
        <w:numPr>
          <w:ilvl w:val="0"/>
          <w:numId w:val="1008"/>
        </w:numPr>
      </w:pPr>
      <w:r>
        <w:rPr>
          <w:b/>
          <w:bCs/>
        </w:rPr>
        <w:t xml:space="preserve">Retention program (Issue 8):</w:t>
      </w:r>
      <w:r>
        <w:t xml:space="preserve"> </w:t>
      </w:r>
      <w:r>
        <w:t xml:space="preserve">establish purpose-based retention periods and deletion-on-closure; publish biometric retention/destruction policy; implement technical deletion.</w:t>
      </w:r>
    </w:p>
    <w:p>
      <w:pPr>
        <w:pStyle w:val="Compact"/>
        <w:numPr>
          <w:ilvl w:val="0"/>
          <w:numId w:val="1008"/>
        </w:numPr>
      </w:pPr>
      <w:r>
        <w:rPr>
          <w:b/>
          <w:bCs/>
        </w:rPr>
        <w:t xml:space="preserve">DSA reconciliation (Issue 6):</w:t>
      </w:r>
      <w:r>
        <w:t xml:space="preserve"> </w:t>
      </w:r>
      <w:r>
        <w:t xml:space="preserve">amend the Brightly DSA to add CCPA provisions, an opt-out flow, a DPA for EU data, and corrected/qualified §7.1 representations.</w:t>
      </w:r>
    </w:p>
    <w:p>
      <w:pPr>
        <w:pStyle w:val="Compact"/>
        <w:numPr>
          <w:ilvl w:val="0"/>
          <w:numId w:val="1008"/>
        </w:numPr>
      </w:pPr>
      <w:r>
        <w:rPr>
          <w:b/>
          <w:bCs/>
        </w:rPr>
        <w:t xml:space="preserve">Records reconciliation (Issue 14):</w:t>
      </w:r>
      <w:r>
        <w:t xml:space="preserve"> </w:t>
      </w:r>
      <w:r>
        <w:t xml:space="preserve">reconcile EU data location; update Article 30 records and breach scoping.</w:t>
      </w:r>
    </w:p>
    <w:bookmarkEnd w:id="38"/>
    <w:bookmarkStart w:id="39" w:name="v.-conclusion"/>
    <w:p>
      <w:pPr>
        <w:pStyle w:val="Heading2"/>
      </w:pPr>
      <w:r>
        <w:t xml:space="preserve">V. Conclusion</w:t>
      </w:r>
    </w:p>
    <w:p>
      <w:pPr>
        <w:pStyle w:val="FirstParagraph"/>
      </w:pPr>
      <w:r>
        <w:t xml:space="preserve">The five documents, read together, reveal a privacy program in which the consumer-facing Policy has fallen materially out of step with Vaultline’s actual data practices as documented internally, with the Brightly Data Sharing Agreement, and with the August 2024 breach response. The most serious exposures — BIPA biometric liability ($87M–$435M estimated), invalid international transfer mechanisms, undisclosed automated decision-making, and breach-notification gaps — are each corroborated by more than one document and, in several cases, independently identified by investor counsel. Several of these issues are also deal-risk items: the Investor Letter expressly contemplates remediation conditions, holdback/escrow, and valuation consequences.</w:t>
      </w:r>
    </w:p>
    <w:p>
      <w:pPr>
        <w:pStyle w:val="BodyText"/>
      </w:pPr>
      <w:r>
        <w:t xml:space="preserve">We recommend that Vaultline (i) authorize the immediate remediation steps in Part IV, (ii) prioritize the BIPA, transfer-mechanism, breach-notification, and Policy-rewrite workstreams for completion before the April 15, 2025 deadline, and (iii) prepare a written remediation plan suitable for delivery to Kessler Whitman’s counsel. We are available to discuss any of the foregoing and to refine the analysis as additional facts are confirmed.</w:t>
      </w:r>
    </w:p>
    <w:p>
      <w:pPr>
        <w:pStyle w:val="BodyText"/>
      </w:pPr>
      <w:r>
        <w:rPr>
          <w:i/>
          <w:iCs/>
        </w:rPr>
        <w:t xml:space="preserve">This memorandum is privileged and confidential, prepared at the direction of and in coordination with Vaultline’s General Counsel in anticipation of litigation and regulatory enforcement. It is distributed only to the authorized recipients identified above and should not be produced in due diligence or to third parties without prior privilege review.</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2026-06-23T05:28:50Z</dcterms:created>
  <dcterms:modified xsi:type="dcterms:W3CDTF">2026-06-23T05:28:50Z</dcterms:modified>
</cp:coreProperties>
</file>

<file path=docProps/custom.xml><?xml version="1.0" encoding="utf-8"?>
<Properties xmlns="http://schemas.openxmlformats.org/officeDocument/2006/custom-properties" xmlns:vt="http://schemas.openxmlformats.org/officeDocument/2006/docPropsVTypes"/>
</file>