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44" w:name="thornbury-locke-llp"/>
    <w:p>
      <w:pPr>
        <w:pStyle w:val="Heading1"/>
      </w:pPr>
      <w:r>
        <w:t xml:space="preserve">THORNBURY &amp; LOCKE LLP</w:t>
      </w:r>
    </w:p>
    <w:bookmarkStart w:id="21" w:name="memorandum"/>
    <w:p>
      <w:pPr>
        <w:pStyle w:val="Heading2"/>
      </w:pPr>
      <w:r>
        <w:t xml:space="preserve">MEMORANDUM</w:t>
      </w:r>
    </w:p>
    <w:p>
      <w:pPr>
        <w:pStyle w:val="FirstParagraph"/>
      </w:pPr>
      <w:r>
        <w:rPr>
          <w:b/>
          <w:bCs/>
        </w:rPr>
        <w:t xml:space="preserve">TO:</w:t>
      </w:r>
      <w:r>
        <w:t xml:space="preserve"> </w:t>
      </w:r>
      <w:r>
        <w:t xml:space="preserve">Priya Venkatesh, General Counsel, Vaultline Technologies, Inc.</w:t>
      </w:r>
    </w:p>
    <w:p>
      <w:pPr>
        <w:pStyle w:val="BodyText"/>
      </w:pPr>
      <w:r>
        <w:rPr>
          <w:b/>
          <w:bCs/>
        </w:rPr>
        <w:t xml:space="preserve">CC:</w:t>
      </w:r>
      <w:r>
        <w:t xml:space="preserve"> </w:t>
      </w:r>
      <w:r>
        <w:t xml:space="preserve">Marcus Reinholt, Chief Executive Officer; Tomás Guerrero, VP of Engineering; Sandra Linh, Head of Data &amp; Analytics</w:t>
      </w:r>
    </w:p>
    <w:p>
      <w:pPr>
        <w:pStyle w:val="BodyText"/>
      </w:pPr>
      <w:r>
        <w:rPr>
          <w:b/>
          <w:bCs/>
        </w:rPr>
        <w:t xml:space="preserve">FROM:</w:t>
      </w:r>
      <w:r>
        <w:t xml:space="preserve"> </w:t>
      </w:r>
      <w:r>
        <w:t xml:space="preserve">Catherine Aldridge, Partner; Daniel Fong, Associate — Thornbury &amp; Locke LLP</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Cross-Document Privacy Compliance Issues Identification — Vaultline Technologies, Inc. (Series C Due Diligence)</w:t>
      </w:r>
    </w:p>
    <w:p>
      <w:pPr>
        <w:pStyle w:val="BodyText"/>
      </w:pPr>
      <w:r>
        <w:rPr>
          <w:b/>
          <w:bCs/>
        </w:rPr>
        <w:t xml:space="preserve">MATTER NO.:</w:t>
      </w:r>
      <w:r>
        <w:t xml:space="preserve"> </w:t>
      </w:r>
      <w:r>
        <w:t xml:space="preserve">TL-VT-2025-014</w:t>
      </w:r>
    </w:p>
    <w:p>
      <w:r>
        <w:pict>
          <v:rect style="width:0;height:1.5pt" o:hralign="center" o:hrstd="t" o:hr="t"/>
        </w:pict>
      </w:r>
    </w:p>
    <w:bookmarkEnd w:id="21"/>
    <w:bookmarkStart w:id="22" w:name="Xf29f204f3b193cbdf33d2fa7bb1226e77722b80"/>
    <w:p>
      <w:pPr>
        <w:pStyle w:val="Heading2"/>
      </w:pPr>
      <w:r>
        <w:t xml:space="preserve">I. Introduction and Engagement Background</w:t>
      </w:r>
    </w:p>
    <w:p>
      <w:pPr>
        <w:pStyle w:val="FirstParagraph"/>
      </w:pPr>
      <w:r>
        <w:t xml:space="preserve">This memorandum is prepared at the direction of Vaultline Technologies, Inc. (</w:t>
      </w:r>
      <w:r>
        <w:t xml:space="preserve">“</w:t>
      </w:r>
      <w:r>
        <w:t xml:space="preserve">Vaultline</w:t>
      </w:r>
      <w:r>
        <w:t xml:space="preserve">”</w:t>
      </w:r>
      <w:r>
        <w:t xml:space="preserve"> </w:t>
      </w:r>
      <w:r>
        <w:t xml:space="preserve">or the</w:t>
      </w:r>
      <w:r>
        <w:t xml:space="preserve"> </w:t>
      </w:r>
      <w:r>
        <w:t xml:space="preserve">“</w:t>
      </w:r>
      <w:r>
        <w:t xml:space="preserve">Company</w:t>
      </w:r>
      <w:r>
        <w:t xml:space="preserve">”</w:t>
      </w:r>
      <w:r>
        <w:t xml:space="preserve">) in response to the March 3, 2025 correspondence from Elena Marchetti of Ashford Barnes LLP, counsel to Kessler Whitman Ventures (</w:t>
      </w:r>
      <w:r>
        <w:t xml:space="preserve">“</w:t>
      </w:r>
      <w:r>
        <w:t xml:space="preserve">Kessler Whitman</w:t>
      </w:r>
      <w:r>
        <w:t xml:space="preserve">”</w:t>
      </w:r>
      <w:r>
        <w:t xml:space="preserve">), the anticipated lead investor in Vaultline’s Series C financing round. That correspondence requested that Thornbury &amp; Locke, as Vaultline’s outside privacy and regulatory counsel, conduct a comprehensive privacy and data protection compliance review and provide a written assessment identifying all compliance issues, associated risk levels, and recommended remediation actions in advance of the April 15, 2025 due diligence deadline and the Company’s planned Q3 2025 EU market launch.</w:t>
      </w:r>
    </w:p>
    <w:p>
      <w:pPr>
        <w:pStyle w:val="BodyText"/>
      </w:pPr>
      <w:r>
        <w:t xml:space="preserve">This memorandum constitutes our preliminary issues identification. It is based on a cross-document review of the five materials identified in Part II below and focuses specifically on</w:t>
      </w:r>
      <w:r>
        <w:t xml:space="preserve"> </w:t>
      </w:r>
      <w:r>
        <w:rPr>
          <w:b/>
          <w:bCs/>
        </w:rPr>
        <w:t xml:space="preserve">compliance gaps that emerge from, or are confirmed by, comparing those documents against one another</w:t>
      </w:r>
      <w:r>
        <w:t xml:space="preserve"> </w:t>
      </w:r>
      <w:r>
        <w:t xml:space="preserve">— that is, contradictions between documents, practices disclosed in one document that contradict representations made in another, and internal records that confirm non-compliance only visible when the documents are read together. Our review is preliminary and is not exhaustive; additional issues may surface as we complete the full review, interview key personnel, and review remaining data-room materials. This memorandum is privileged and confidential, is prepared in anticipation of litigation and regulatory inquiry, and should not be disclosed outside the authorized recipient group without our prior consent.</w:t>
      </w:r>
    </w:p>
    <w:bookmarkEnd w:id="22"/>
    <w:bookmarkStart w:id="23" w:name="ii.-documents-reviewed"/>
    <w:p>
      <w:pPr>
        <w:pStyle w:val="Heading2"/>
      </w:pPr>
      <w:r>
        <w:t xml:space="preserve">II. Documents Reviewed</w:t>
      </w:r>
    </w:p>
    <w:p>
      <w:pPr>
        <w:pStyle w:val="FirstParagraph"/>
      </w:pPr>
      <w:r>
        <w:t xml:space="preserve">We reviewed the following five documents (collectively, the</w:t>
      </w:r>
      <w:r>
        <w:t xml:space="preserve"> </w:t>
      </w:r>
      <w:r>
        <w:t xml:space="preserve">“</w:t>
      </w:r>
      <w:r>
        <w:t xml:space="preserve">Reviewed Materials</w:t>
      </w:r>
      <w:r>
        <w:t xml:space="preserve">”</w:t>
      </w:r>
      <w:r>
        <w:t xml:space="preserve">):</w:t>
      </w:r>
    </w:p>
    <w:p>
      <w:pPr>
        <w:pStyle w:val="Compact"/>
        <w:numPr>
          <w:ilvl w:val="0"/>
          <w:numId w:val="1001"/>
        </w:numPr>
      </w:pPr>
      <w:r>
        <w:rPr>
          <w:b/>
          <w:bCs/>
        </w:rPr>
        <w:t xml:space="preserve">Privacy Policy</w:t>
      </w:r>
      <w:r>
        <w:t xml:space="preserve"> </w:t>
      </w:r>
      <w:r>
        <w:t xml:space="preserve">—</w:t>
      </w:r>
      <w:r>
        <w:t xml:space="preserve"> </w:t>
      </w:r>
      <w:r>
        <w:rPr>
          <w:i/>
          <w:iCs/>
        </w:rPr>
        <w:t xml:space="preserve">Vaultline Technologies, Inc. Privacy Policy</w:t>
      </w:r>
      <w:r>
        <w:t xml:space="preserve">, last updated January 15, 2023 (the</w:t>
      </w:r>
      <w:r>
        <w:t xml:space="preserve"> </w:t>
      </w:r>
      <w:r>
        <w:t xml:space="preserve">“</w:t>
      </w:r>
      <w:r>
        <w:t xml:space="preserve">Privacy Policy</w:t>
      </w:r>
      <w:r>
        <w:t xml:space="preserve">”</w:t>
      </w:r>
      <w:r>
        <w:t xml:space="preserve">).</w:t>
      </w:r>
    </w:p>
    <w:p>
      <w:pPr>
        <w:pStyle w:val="Compact"/>
        <w:numPr>
          <w:ilvl w:val="0"/>
          <w:numId w:val="1001"/>
        </w:numPr>
      </w:pPr>
      <w:r>
        <w:rPr>
          <w:b/>
          <w:bCs/>
        </w:rPr>
        <w:t xml:space="preserve">Data Inventory</w:t>
      </w:r>
      <w:r>
        <w:t xml:space="preserve"> </w:t>
      </w:r>
      <w:r>
        <w:t xml:space="preserve">—</w:t>
      </w:r>
      <w:r>
        <w:t xml:space="preserve"> </w:t>
      </w:r>
      <w:r>
        <w:rPr>
          <w:i/>
          <w:iCs/>
        </w:rPr>
        <w:t xml:space="preserve">Vaultline Technologies, Inc. — Internal Data Inventory</w:t>
      </w:r>
      <w:r>
        <w:t xml:space="preserve">, version 3.4, last updated February 18, 2025, maintained by Sandra Linh and approved by Priya Venkatesh (the</w:t>
      </w:r>
      <w:r>
        <w:t xml:space="preserve"> </w:t>
      </w:r>
      <w:r>
        <w:t xml:space="preserve">“</w:t>
      </w:r>
      <w:r>
        <w:t xml:space="preserve">Data Inventory</w:t>
      </w:r>
      <w:r>
        <w:t xml:space="preserve">”</w:t>
      </w:r>
      <w:r>
        <w:t xml:space="preserve">).</w:t>
      </w:r>
    </w:p>
    <w:p>
      <w:pPr>
        <w:pStyle w:val="Compact"/>
        <w:numPr>
          <w:ilvl w:val="0"/>
          <w:numId w:val="1001"/>
        </w:numPr>
      </w:pPr>
      <w:r>
        <w:rPr>
          <w:b/>
          <w:bCs/>
        </w:rPr>
        <w:t xml:space="preserve">Data Sharing Agreement</w:t>
      </w:r>
      <w:r>
        <w:t xml:space="preserve"> </w:t>
      </w:r>
      <w:r>
        <w:t xml:space="preserve">—</w:t>
      </w:r>
      <w:r>
        <w:t xml:space="preserve"> </w:t>
      </w:r>
      <w:r>
        <w:rPr>
          <w:i/>
          <w:iCs/>
        </w:rPr>
        <w:t xml:space="preserve">Data Sharing Agreement</w:t>
      </w:r>
      <w:r>
        <w:t xml:space="preserve"> </w:t>
      </w:r>
      <w:r>
        <w:t xml:space="preserve">between Vaultline and Brightly Analytics, Inc., effective September 1, 2022, as amended by the First Amendment dated June 15, 2024 (the</w:t>
      </w:r>
      <w:r>
        <w:t xml:space="preserve"> </w:t>
      </w:r>
      <w:r>
        <w:t xml:space="preserve">“</w:t>
      </w:r>
      <w:r>
        <w:t xml:space="preserve">DSA</w:t>
      </w:r>
      <w:r>
        <w:t xml:space="preserve">”</w:t>
      </w:r>
      <w:r>
        <w:t xml:space="preserve">).</w:t>
      </w:r>
    </w:p>
    <w:p>
      <w:pPr>
        <w:pStyle w:val="Compact"/>
        <w:numPr>
          <w:ilvl w:val="0"/>
          <w:numId w:val="1001"/>
        </w:numPr>
      </w:pPr>
      <w:r>
        <w:rPr>
          <w:b/>
          <w:bCs/>
        </w:rPr>
        <w:t xml:space="preserve">Breach Log</w:t>
      </w:r>
      <w:r>
        <w:t xml:space="preserve"> </w:t>
      </w:r>
      <w:r>
        <w:t xml:space="preserve">—</w:t>
      </w:r>
      <w:r>
        <w:t xml:space="preserve"> </w:t>
      </w:r>
      <w:r>
        <w:rPr>
          <w:i/>
          <w:iCs/>
        </w:rPr>
        <w:t xml:space="preserve">Incident Response Log</w:t>
      </w:r>
      <w:r>
        <w:t xml:space="preserve">, document reference VT-IRL-2024-003, covering the August 2024 unauthorized database access incident (the</w:t>
      </w:r>
      <w:r>
        <w:t xml:space="preserve"> </w:t>
      </w:r>
      <w:r>
        <w:t xml:space="preserve">“</w:t>
      </w:r>
      <w:r>
        <w:t xml:space="preserve">Breach Log</w:t>
      </w:r>
      <w:r>
        <w:t xml:space="preserve">”</w:t>
      </w:r>
      <w:r>
        <w:t xml:space="preserve">).</w:t>
      </w:r>
    </w:p>
    <w:p>
      <w:pPr>
        <w:pStyle w:val="Compact"/>
        <w:numPr>
          <w:ilvl w:val="0"/>
          <w:numId w:val="1001"/>
        </w:numPr>
      </w:pPr>
      <w:r>
        <w:rPr>
          <w:b/>
          <w:bCs/>
        </w:rPr>
        <w:t xml:space="preserve">Investor Counsel Email</w:t>
      </w:r>
      <w:r>
        <w:t xml:space="preserve"> </w:t>
      </w:r>
      <w:r>
        <w:t xml:space="preserve">— March 3, 2025 email from Elena Marchetti (Ashford Barnes LLP) to Catherine Aldridge (Thornbury &amp; Locke LLP) (the</w:t>
      </w:r>
      <w:r>
        <w:t xml:space="preserve"> </w:t>
      </w:r>
      <w:r>
        <w:t xml:space="preserve">“</w:t>
      </w:r>
      <w:r>
        <w:t xml:space="preserve">Investor Email</w:t>
      </w:r>
      <w:r>
        <w:t xml:space="preserve">”</w:t>
      </w:r>
      <w:r>
        <w:t xml:space="preserve">).</w:t>
      </w:r>
    </w:p>
    <w:bookmarkEnd w:id="23"/>
    <w:bookmarkStart w:id="24" w:name="iii.-executive-summary"/>
    <w:p>
      <w:pPr>
        <w:pStyle w:val="Heading2"/>
      </w:pPr>
      <w:r>
        <w:t xml:space="preserve">III. Executive Summary</w:t>
      </w:r>
    </w:p>
    <w:p>
      <w:pPr>
        <w:pStyle w:val="FirstParagraph"/>
      </w:pPr>
      <w:r>
        <w:t xml:space="preserve">Our cross-document review identifies</w:t>
      </w:r>
      <w:r>
        <w:t xml:space="preserve"> </w:t>
      </w:r>
      <w:r>
        <w:rPr>
          <w:b/>
          <w:bCs/>
        </w:rPr>
        <w:t xml:space="preserve">fifteen (15) discrete compliance issues</w:t>
      </w:r>
      <w:r>
        <w:t xml:space="preserve">, ranging in severity from Critical to Medium. Four issues present Critical exposure, six present High exposure, and five present Medium exposure. Several of the Critical issues carry quantifiable liability exposure that, in the aggregate, materially exceeds the Company’s reported FY 2024 revenue of $47.3 million and should be treated as deal-affecting in the Series C context.</w:t>
      </w:r>
    </w:p>
    <w:p>
      <w:pPr>
        <w:pStyle w:val="BodyText"/>
      </w:pPr>
      <w:r>
        <w:t xml:space="preserve">The most significant findings are:</w:t>
      </w:r>
    </w:p>
    <w:p>
      <w:pPr>
        <w:numPr>
          <w:ilvl w:val="0"/>
          <w:numId w:val="1002"/>
        </w:numPr>
      </w:pPr>
      <w:r>
        <w:rPr>
          <w:b/>
          <w:bCs/>
        </w:rPr>
        <w:t xml:space="preserve">Invalidated transfer mechanism.</w:t>
      </w:r>
      <w:r>
        <w:t xml:space="preserve"> </w:t>
      </w:r>
      <w:r>
        <w:t xml:space="preserve">The Privacy Policy relies on the EU-U.S. Privacy Shield, which was invalidated by the Court of Justice of the European Union in</w:t>
      </w:r>
      <w:r>
        <w:t xml:space="preserve"> </w:t>
      </w:r>
      <w:r>
        <w:rPr>
          <w:i/>
          <w:iCs/>
        </w:rPr>
        <w:t xml:space="preserve">Schrems II</w:t>
      </w:r>
      <w:r>
        <w:t xml:space="preserve"> </w:t>
      </w:r>
      <w:r>
        <w:t xml:space="preserve">(Case C-311/18, July 16, 2020) — nearly five years ago. The Data Inventory confirms that no replacement mechanism (SCCs, DPF certification, or BCRs) is in place for any of the Company’s three EU-data transfer paths. This is confirmed as a Critical risk by the Investor Email and is acutely compounded by the planned Q3 2025 EU launch.</w:t>
      </w:r>
    </w:p>
    <w:p>
      <w:pPr>
        <w:numPr>
          <w:ilvl w:val="0"/>
          <w:numId w:val="1002"/>
        </w:numPr>
      </w:pPr>
      <w:r>
        <w:rPr>
          <w:b/>
          <w:bCs/>
        </w:rPr>
        <w:t xml:space="preserve">Undisclosed biometric processing.</w:t>
      </w:r>
      <w:r>
        <w:t xml:space="preserve"> </w:t>
      </w:r>
      <w:r>
        <w:t xml:space="preserve">The Selfie Verify facial-geometry feature (launched March 8, 2023 — two months</w:t>
      </w:r>
      <w:r>
        <w:t xml:space="preserve"> </w:t>
      </w:r>
      <w:r>
        <w:rPr>
          <w:i/>
          <w:iCs/>
        </w:rPr>
        <w:t xml:space="preserve">after</w:t>
      </w:r>
      <w:r>
        <w:t xml:space="preserve"> </w:t>
      </w:r>
      <w:r>
        <w:t xml:space="preserve">the Privacy Policy’s last update) has been used by approximately 1.9 million users, including approximately 87,000 Illinois residents, with no privacy-policy disclosure, no BIPA-compliant written consent, and no publicly available retention/destruction schedule. The Data Inventory quantifies potential BIPA statutory exposure at $87 million to $435 million for Illinois users alone, with additional exposure under the Texas CUBI statute (approximately 310,000 Texas users) and GDPR Article 9.</w:t>
      </w:r>
    </w:p>
    <w:p>
      <w:pPr>
        <w:numPr>
          <w:ilvl w:val="0"/>
          <w:numId w:val="1002"/>
        </w:numPr>
      </w:pPr>
      <w:r>
        <w:rPr>
          <w:b/>
          <w:bCs/>
        </w:rPr>
        <w:t xml:space="preserve">Undisclosed automated decision-making.</w:t>
      </w:r>
      <w:r>
        <w:t xml:space="preserve"> </w:t>
      </w:r>
      <w:r>
        <w:t xml:space="preserve">The Smart Insights feature makes fully automated, significant-effect decisions about which credit-product offers (from 14 partner companies) to show or withhold from approximately 2.8 million users, with no privacy-policy disclosure, no opt-out, and no human review — implicating GDPR Article 22 and emerging U.S. state AI governance requirements, and raising potential fair-lending (ECOA/FCRA) concerns.</w:t>
      </w:r>
    </w:p>
    <w:p>
      <w:pPr>
        <w:numPr>
          <w:ilvl w:val="0"/>
          <w:numId w:val="1002"/>
        </w:numPr>
      </w:pPr>
      <w:r>
        <w:rPr>
          <w:b/>
          <w:bCs/>
        </w:rPr>
        <w:t xml:space="preserve">Breach notification failures.</w:t>
      </w:r>
      <w:r>
        <w:t xml:space="preserve"> </w:t>
      </w:r>
      <w:r>
        <w:t xml:space="preserve">The August 2024 breach affecting 84,000 records (including approximately 510 EU residents) appears not to have triggered the GDPR Article 33 72-hour supervisory-authority notification or Article 34 data-subject communication, and the 47-day consumer-notification delay likely exceeds several state statutory deadlines (including Florida’s 30-day requirement). The Breach Log’s Notification Log reflects no state attorney general notifications despite the California threshold (500+ residents) being exceeded.</w:t>
      </w:r>
    </w:p>
    <w:p>
      <w:pPr>
        <w:numPr>
          <w:ilvl w:val="0"/>
          <w:numId w:val="1002"/>
        </w:numPr>
      </w:pPr>
      <w:r>
        <w:rPr>
          <w:b/>
          <w:bCs/>
        </w:rPr>
        <w:t xml:space="preserve">Undisclosed</w:t>
      </w:r>
      <w:r>
        <w:rPr>
          <w:b/>
          <w:bCs/>
        </w:rPr>
        <w:t xml:space="preserve"> </w:t>
      </w:r>
      <w:r>
        <w:rPr>
          <w:b/>
          <w:bCs/>
        </w:rPr>
        <w:t xml:space="preserve">“</w:t>
      </w:r>
      <w:r>
        <w:rPr>
          <w:b/>
          <w:bCs/>
        </w:rPr>
        <w:t xml:space="preserve">sale</w:t>
      </w:r>
      <w:r>
        <w:rPr>
          <w:b/>
          <w:bCs/>
        </w:rPr>
        <w:t xml:space="preserve">”</w:t>
      </w:r>
      <w:r>
        <w:rPr>
          <w:b/>
          <w:bCs/>
        </w:rPr>
        <w:t xml:space="preserve">/</w:t>
      </w:r>
      <w:r>
        <w:rPr>
          <w:b/>
          <w:bCs/>
        </w:rPr>
        <w:t xml:space="preserve">“</w:t>
      </w:r>
      <w:r>
        <w:rPr>
          <w:b/>
          <w:bCs/>
        </w:rPr>
        <w:t xml:space="preserve">sharing</w:t>
      </w:r>
      <w:r>
        <w:rPr>
          <w:b/>
          <w:bCs/>
        </w:rPr>
        <w:t xml:space="preserve">”</w:t>
      </w:r>
      <w:r>
        <w:rPr>
          <w:b/>
          <w:bCs/>
        </w:rPr>
        <w:t xml:space="preserve"> </w:t>
      </w:r>
      <w:r>
        <w:rPr>
          <w:b/>
          <w:bCs/>
        </w:rPr>
        <w:t xml:space="preserve">to Brightly.</w:t>
      </w:r>
      <w:r>
        <w:t xml:space="preserve"> </w:t>
      </w:r>
      <w:r>
        <w:t xml:space="preserve">The DSA structures Brightly as an</w:t>
      </w:r>
      <w:r>
        <w:t xml:space="preserve"> </w:t>
      </w:r>
      <w:r>
        <w:t xml:space="preserve">“</w:t>
      </w:r>
      <w:r>
        <w:t xml:space="preserve">independent controller</w:t>
      </w:r>
      <w:r>
        <w:t xml:space="preserve">”</w:t>
      </w:r>
      <w:r>
        <w:t xml:space="preserve"> </w:t>
      </w:r>
      <w:r>
        <w:t xml:space="preserve">— explicitly</w:t>
      </w:r>
      <w:r>
        <w:t xml:space="preserve"> </w:t>
      </w:r>
      <w:r>
        <w:rPr>
          <w:i/>
          <w:iCs/>
        </w:rPr>
        <w:t xml:space="preserve">not</w:t>
      </w:r>
      <w:r>
        <w:t xml:space="preserve"> </w:t>
      </w:r>
      <w:r>
        <w:t xml:space="preserve">a service provider — in exchange for $0.87 per monthly active user (approximately $2.64 million annually), and authorizes Brightly to sell audience segments to third-party advertisers and conduct cross-context behavioral advertising. This arrangement very likely constitutes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the CPRA, yet the Privacy Policy contains no</w:t>
      </w:r>
      <w:r>
        <w:t xml:space="preserve"> </w:t>
      </w:r>
      <w:r>
        <w:t xml:space="preserve">“</w:t>
      </w:r>
      <w:r>
        <w:t xml:space="preserve">Do Not Sell or Share</w:t>
      </w:r>
      <w:r>
        <w:t xml:space="preserve">”</w:t>
      </w:r>
      <w:r>
        <w:t xml:space="preserve"> </w:t>
      </w:r>
      <w:r>
        <w:t xml:space="preserve">disclosure or opt-out, and its Nevada section affirmatively states that the Company</w:t>
      </w:r>
      <w:r>
        <w:t xml:space="preserve"> </w:t>
      </w:r>
      <w:r>
        <w:t xml:space="preserve">“</w:t>
      </w:r>
      <w:r>
        <w:t xml:space="preserve">does not currently engage in the sale of covered information</w:t>
      </w:r>
      <w:r>
        <w:t xml:space="preserve">”</w:t>
      </w:r>
      <w:r>
        <w:t xml:space="preserve"> </w:t>
      </w:r>
      <w:r>
        <w:t xml:space="preserve">— a direct contradiction.</w:t>
      </w:r>
    </w:p>
    <w:p>
      <w:pPr>
        <w:pStyle w:val="FirstParagraph"/>
      </w:pPr>
      <w:r>
        <w:t xml:space="preserve">A severity summary appears in the table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Regulatory Frameworks</w:t>
            </w:r>
          </w:p>
        </w:tc>
      </w:tr>
      <w:tr>
        <w:tc>
          <w:tcPr/>
          <w:p>
            <w:pPr>
              <w:pStyle w:val="Compact"/>
              <w:jc w:val="left"/>
            </w:pPr>
            <w:r>
              <w:t xml:space="preserve">1</w:t>
            </w:r>
          </w:p>
        </w:tc>
        <w:tc>
          <w:tcPr/>
          <w:p>
            <w:pPr>
              <w:pStyle w:val="Compact"/>
              <w:jc w:val="left"/>
            </w:pPr>
            <w:r>
              <w:t xml:space="preserve">Invalidated EU-U.S. Privacy Shield as sole transfer mechanism</w:t>
            </w:r>
          </w:p>
        </w:tc>
        <w:tc>
          <w:tcPr/>
          <w:p>
            <w:pPr>
              <w:pStyle w:val="Compact"/>
              <w:jc w:val="left"/>
            </w:pPr>
            <w:r>
              <w:t xml:space="preserve">Critical</w:t>
            </w:r>
          </w:p>
        </w:tc>
        <w:tc>
          <w:tcPr/>
          <w:p>
            <w:pPr>
              <w:pStyle w:val="Compact"/>
              <w:jc w:val="left"/>
            </w:pPr>
            <w:r>
              <w:t xml:space="preserve">GDPR Ch. V; Art. 83(5)</w:t>
            </w:r>
          </w:p>
        </w:tc>
      </w:tr>
      <w:tr>
        <w:tc>
          <w:tcPr/>
          <w:p>
            <w:pPr>
              <w:pStyle w:val="Compact"/>
              <w:jc w:val="left"/>
            </w:pPr>
            <w:r>
              <w:t xml:space="preserve">2</w:t>
            </w:r>
          </w:p>
        </w:tc>
        <w:tc>
          <w:tcPr/>
          <w:p>
            <w:pPr>
              <w:pStyle w:val="Compact"/>
              <w:jc w:val="left"/>
            </w:pPr>
            <w:r>
              <w:t xml:space="preserve">Undisclosed/non-consented biometric processing (Selfie Verify)</w:t>
            </w:r>
          </w:p>
        </w:tc>
        <w:tc>
          <w:tcPr/>
          <w:p>
            <w:pPr>
              <w:pStyle w:val="Compact"/>
              <w:jc w:val="left"/>
            </w:pPr>
            <w:r>
              <w:t xml:space="preserve">Critical</w:t>
            </w:r>
          </w:p>
        </w:tc>
        <w:tc>
          <w:tcPr/>
          <w:p>
            <w:pPr>
              <w:pStyle w:val="Compact"/>
              <w:jc w:val="left"/>
            </w:pPr>
            <w:r>
              <w:t xml:space="preserve">BIPA; TX CUBI; GDPR Art. 9; CPRA</w:t>
            </w:r>
          </w:p>
        </w:tc>
      </w:tr>
      <w:tr>
        <w:tc>
          <w:tcPr/>
          <w:p>
            <w:pPr>
              <w:pStyle w:val="Compact"/>
              <w:jc w:val="left"/>
            </w:pPr>
            <w:r>
              <w:t xml:space="preserve">3</w:t>
            </w:r>
          </w:p>
        </w:tc>
        <w:tc>
          <w:tcPr/>
          <w:p>
            <w:pPr>
              <w:pStyle w:val="Compact"/>
              <w:jc w:val="left"/>
            </w:pPr>
            <w:r>
              <w:t xml:space="preserve">Undisclosed automated decision-making (Smart Insights)</w:t>
            </w:r>
          </w:p>
        </w:tc>
        <w:tc>
          <w:tcPr/>
          <w:p>
            <w:pPr>
              <w:pStyle w:val="Compact"/>
              <w:jc w:val="left"/>
            </w:pPr>
            <w:r>
              <w:t xml:space="preserve">Critical</w:t>
            </w:r>
          </w:p>
        </w:tc>
        <w:tc>
          <w:tcPr/>
          <w:p>
            <w:pPr>
              <w:pStyle w:val="Compact"/>
              <w:jc w:val="left"/>
            </w:pPr>
            <w:r>
              <w:t xml:space="preserve">GDPR Art. 22/35; CPRA; ECOA/FCRA</w:t>
            </w:r>
          </w:p>
        </w:tc>
      </w:tr>
      <w:tr>
        <w:tc>
          <w:tcPr/>
          <w:p>
            <w:pPr>
              <w:pStyle w:val="Compact"/>
              <w:jc w:val="left"/>
            </w:pPr>
            <w:r>
              <w:t xml:space="preserve">4</w:t>
            </w:r>
          </w:p>
        </w:tc>
        <w:tc>
          <w:tcPr/>
          <w:p>
            <w:pPr>
              <w:pStyle w:val="Compact"/>
              <w:jc w:val="left"/>
            </w:pPr>
            <w:r>
              <w:t xml:space="preserve">August 2024 breach — GDPR Art. 33/34 and state notification failures</w:t>
            </w:r>
          </w:p>
        </w:tc>
        <w:tc>
          <w:tcPr/>
          <w:p>
            <w:pPr>
              <w:pStyle w:val="Compact"/>
              <w:jc w:val="left"/>
            </w:pPr>
            <w:r>
              <w:t xml:space="preserve">Critical</w:t>
            </w:r>
          </w:p>
        </w:tc>
        <w:tc>
          <w:tcPr/>
          <w:p>
            <w:pPr>
              <w:pStyle w:val="Compact"/>
              <w:jc w:val="left"/>
            </w:pPr>
            <w:r>
              <w:t xml:space="preserve">GDPR Art. 33/34/83(4); state breach laws</w:t>
            </w:r>
          </w:p>
        </w:tc>
      </w:tr>
      <w:tr>
        <w:tc>
          <w:tcPr/>
          <w:p>
            <w:pPr>
              <w:pStyle w:val="Compact"/>
              <w:jc w:val="left"/>
            </w:pPr>
            <w:r>
              <w:t xml:space="preserve">5</w:t>
            </w:r>
          </w:p>
        </w:tc>
        <w:tc>
          <w:tcPr/>
          <w:p>
            <w:pPr>
              <w:pStyle w:val="Compact"/>
              <w:jc w:val="left"/>
            </w:pPr>
            <w:r>
              <w:t xml:space="preserve">Brightly</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undisclosed; DSA/policy inconsistency</w:t>
            </w:r>
          </w:p>
        </w:tc>
        <w:tc>
          <w:tcPr/>
          <w:p>
            <w:pPr>
              <w:pStyle w:val="Compact"/>
              <w:jc w:val="left"/>
            </w:pPr>
            <w:r>
              <w:t xml:space="preserve">High (Critical if sale confirmed)</w:t>
            </w:r>
          </w:p>
        </w:tc>
        <w:tc>
          <w:tcPr/>
          <w:p>
            <w:pPr>
              <w:pStyle w:val="Compact"/>
              <w:jc w:val="left"/>
            </w:pPr>
            <w:r>
              <w:t xml:space="preserve">CPRA; DSA reps &amp; indemnity</w:t>
            </w:r>
          </w:p>
        </w:tc>
      </w:tr>
      <w:tr>
        <w:tc>
          <w:tcPr/>
          <w:p>
            <w:pPr>
              <w:pStyle w:val="Compact"/>
              <w:jc w:val="left"/>
            </w:pPr>
            <w:r>
              <w:t xml:space="preserve">6</w:t>
            </w:r>
          </w:p>
        </w:tc>
        <w:tc>
          <w:tcPr/>
          <w:p>
            <w:pPr>
              <w:pStyle w:val="Compact"/>
              <w:jc w:val="left"/>
            </w:pPr>
            <w:r>
              <w:t xml:space="preserve">GDPR governance/transparency (DPO, Art. 27 rep, lawful basis, DPIAs, Art. 13/14)</w:t>
            </w:r>
          </w:p>
        </w:tc>
        <w:tc>
          <w:tcPr/>
          <w:p>
            <w:pPr>
              <w:pStyle w:val="Compact"/>
              <w:jc w:val="left"/>
            </w:pPr>
            <w:r>
              <w:t xml:space="preserve">High</w:t>
            </w:r>
          </w:p>
        </w:tc>
        <w:tc>
          <w:tcPr/>
          <w:p>
            <w:pPr>
              <w:pStyle w:val="Compact"/>
              <w:jc w:val="left"/>
            </w:pPr>
            <w:r>
              <w:t xml:space="preserve">GDPR Arts. 5–14, 27, 35, 37, 83</w:t>
            </w:r>
          </w:p>
        </w:tc>
      </w:tr>
      <w:tr>
        <w:tc>
          <w:tcPr/>
          <w:p>
            <w:pPr>
              <w:pStyle w:val="Compact"/>
              <w:jc w:val="left"/>
            </w:pPr>
            <w:r>
              <w:t xml:space="preserve">7</w:t>
            </w:r>
          </w:p>
        </w:tc>
        <w:tc>
          <w:tcPr/>
          <w:p>
            <w:pPr>
              <w:pStyle w:val="Compact"/>
              <w:jc w:val="left"/>
            </w:pPr>
            <w:r>
              <w:t xml:space="preserve">Potential GLBA applicability — no financial privacy notices/opt-out</w:t>
            </w:r>
          </w:p>
        </w:tc>
        <w:tc>
          <w:tcPr/>
          <w:p>
            <w:pPr>
              <w:pStyle w:val="Compact"/>
              <w:jc w:val="left"/>
            </w:pPr>
            <w:r>
              <w:t xml:space="preserve">High</w:t>
            </w:r>
          </w:p>
        </w:tc>
        <w:tc>
          <w:tcPr/>
          <w:p>
            <w:pPr>
              <w:pStyle w:val="Compact"/>
              <w:jc w:val="left"/>
            </w:pPr>
            <w:r>
              <w:t xml:space="preserve">GLBA; Reg. P (16 C.F.R. Pt. 313)</w:t>
            </w:r>
          </w:p>
        </w:tc>
      </w:tr>
      <w:tr>
        <w:tc>
          <w:tcPr/>
          <w:p>
            <w:pPr>
              <w:pStyle w:val="Compact"/>
              <w:jc w:val="left"/>
            </w:pPr>
            <w:r>
              <w:t xml:space="preserve">8</w:t>
            </w:r>
          </w:p>
        </w:tc>
        <w:tc>
          <w:tcPr/>
          <w:p>
            <w:pPr>
              <w:pStyle w:val="Compact"/>
              <w:jc w:val="left"/>
            </w:pPr>
            <w:r>
              <w:t xml:space="preserve">CCPA/CPRA rights and sensitive-PI disclosures incomplete</w:t>
            </w:r>
          </w:p>
        </w:tc>
        <w:tc>
          <w:tcPr/>
          <w:p>
            <w:pPr>
              <w:pStyle w:val="Compact"/>
              <w:jc w:val="left"/>
            </w:pPr>
            <w:r>
              <w:t xml:space="preserve">High</w:t>
            </w:r>
          </w:p>
        </w:tc>
        <w:tc>
          <w:tcPr/>
          <w:p>
            <w:pPr>
              <w:pStyle w:val="Compact"/>
              <w:jc w:val="left"/>
            </w:pPr>
            <w:r>
              <w:t xml:space="preserve">CPRA; Cal. Civ. Code § 1798.100 et seq.</w:t>
            </w:r>
          </w:p>
        </w:tc>
      </w:tr>
      <w:tr>
        <w:tc>
          <w:tcPr/>
          <w:p>
            <w:pPr>
              <w:pStyle w:val="Compact"/>
              <w:jc w:val="left"/>
            </w:pPr>
            <w:r>
              <w:t xml:space="preserve">9</w:t>
            </w:r>
          </w:p>
        </w:tc>
        <w:tc>
          <w:tcPr/>
          <w:p>
            <w:pPr>
              <w:pStyle w:val="Compact"/>
              <w:jc w:val="left"/>
            </w:pPr>
            <w:r>
              <w:t xml:space="preserve">Indefinite data retention — no periods disclosed; no deletion on closure</w:t>
            </w:r>
          </w:p>
        </w:tc>
        <w:tc>
          <w:tcPr/>
          <w:p>
            <w:pPr>
              <w:pStyle w:val="Compact"/>
              <w:jc w:val="left"/>
            </w:pPr>
            <w:r>
              <w:t xml:space="preserve">High</w:t>
            </w:r>
          </w:p>
        </w:tc>
        <w:tc>
          <w:tcPr/>
          <w:p>
            <w:pPr>
              <w:pStyle w:val="Compact"/>
              <w:jc w:val="left"/>
            </w:pPr>
            <w:r>
              <w:t xml:space="preserve">CPRA; GDPR Art. 5(1)(e); BIPA</w:t>
            </w:r>
          </w:p>
        </w:tc>
      </w:tr>
      <w:tr>
        <w:tc>
          <w:tcPr/>
          <w:p>
            <w:pPr>
              <w:pStyle w:val="Compact"/>
              <w:jc w:val="left"/>
            </w:pPr>
            <w:r>
              <w:t xml:space="preserve">10</w:t>
            </w:r>
          </w:p>
        </w:tc>
        <w:tc>
          <w:tcPr/>
          <w:p>
            <w:pPr>
              <w:pStyle w:val="Compact"/>
              <w:jc w:val="left"/>
            </w:pPr>
            <w:r>
              <w:t xml:space="preserve">Cookie consent non-compliance — no reject option; pre-consent firing</w:t>
            </w:r>
          </w:p>
        </w:tc>
        <w:tc>
          <w:tcPr/>
          <w:p>
            <w:pPr>
              <w:pStyle w:val="Compact"/>
              <w:jc w:val="left"/>
            </w:pPr>
            <w:r>
              <w:t xml:space="preserve">High</w:t>
            </w:r>
          </w:p>
        </w:tc>
        <w:tc>
          <w:tcPr/>
          <w:p>
            <w:pPr>
              <w:pStyle w:val="Compact"/>
              <w:jc w:val="left"/>
            </w:pPr>
            <w:r>
              <w:t xml:space="preserve">ePrivacy Directive; GDPR; CalOPPA; CPRA</w:t>
            </w:r>
          </w:p>
        </w:tc>
      </w:tr>
      <w:tr>
        <w:tc>
          <w:tcPr/>
          <w:p>
            <w:pPr>
              <w:pStyle w:val="Compact"/>
              <w:jc w:val="left"/>
            </w:pPr>
            <w:r>
              <w:t xml:space="preserve">11</w:t>
            </w:r>
          </w:p>
        </w:tc>
        <w:tc>
          <w:tcPr/>
          <w:p>
            <w:pPr>
              <w:pStyle w:val="Compact"/>
              <w:jc w:val="left"/>
            </w:pPr>
            <w:r>
              <w:t xml:space="preserve">Cross-document inconsistency — EU data location (Dublin vs. Virginia)</w:t>
            </w:r>
          </w:p>
        </w:tc>
        <w:tc>
          <w:tcPr/>
          <w:p>
            <w:pPr>
              <w:pStyle w:val="Compact"/>
              <w:jc w:val="left"/>
            </w:pPr>
            <w:r>
              <w:t xml:space="preserve">Medium</w:t>
            </w:r>
          </w:p>
        </w:tc>
        <w:tc>
          <w:tcPr/>
          <w:p>
            <w:pPr>
              <w:pStyle w:val="Compact"/>
              <w:jc w:val="left"/>
            </w:pPr>
            <w:r>
              <w:t xml:space="preserve">GDPR Ch. V; diligence accuracy</w:t>
            </w:r>
          </w:p>
        </w:tc>
      </w:tr>
      <w:tr>
        <w:tc>
          <w:tcPr/>
          <w:p>
            <w:pPr>
              <w:pStyle w:val="Compact"/>
              <w:jc w:val="left"/>
            </w:pPr>
            <w:r>
              <w:t xml:space="preserve">12</w:t>
            </w:r>
          </w:p>
        </w:tc>
        <w:tc>
          <w:tcPr/>
          <w:p>
            <w:pPr>
              <w:pStyle w:val="Compact"/>
              <w:jc w:val="left"/>
            </w:pPr>
            <w:r>
              <w:t xml:space="preserve">Privacy Policy staleness, structure, and readability</w:t>
            </w:r>
          </w:p>
        </w:tc>
        <w:tc>
          <w:tcPr/>
          <w:p>
            <w:pPr>
              <w:pStyle w:val="Compact"/>
              <w:jc w:val="left"/>
            </w:pPr>
            <w:r>
              <w:t xml:space="preserve">Medium</w:t>
            </w:r>
          </w:p>
        </w:tc>
        <w:tc>
          <w:tcPr/>
          <w:p>
            <w:pPr>
              <w:pStyle w:val="Compact"/>
              <w:jc w:val="left"/>
            </w:pPr>
            <w:r>
              <w:t xml:space="preserve">FTC clear-and-conspicuous; CPRA; GDPR</w:t>
            </w:r>
          </w:p>
        </w:tc>
      </w:tr>
      <w:tr>
        <w:tc>
          <w:tcPr/>
          <w:p>
            <w:pPr>
              <w:pStyle w:val="Compact"/>
              <w:jc w:val="left"/>
            </w:pPr>
            <w:r>
              <w:t xml:space="preserve">13</w:t>
            </w:r>
          </w:p>
        </w:tc>
        <w:tc>
          <w:tcPr/>
          <w:p>
            <w:pPr>
              <w:pStyle w:val="Compact"/>
              <w:jc w:val="left"/>
            </w:pPr>
            <w:r>
              <w:t xml:space="preserve">Partner financial-product referrals — potential undisclosed</w:t>
            </w:r>
            <w:r>
              <w:t xml:space="preserve"> </w:t>
            </w:r>
            <w:r>
              <w:t xml:space="preserve">“</w:t>
            </w:r>
            <w:r>
              <w:t xml:space="preserve">sale</w:t>
            </w:r>
            <w:r>
              <w:t xml:space="preserve">”</w:t>
            </w:r>
          </w:p>
        </w:tc>
        <w:tc>
          <w:tcPr/>
          <w:p>
            <w:pPr>
              <w:pStyle w:val="Compact"/>
              <w:jc w:val="left"/>
            </w:pPr>
            <w:r>
              <w:t xml:space="preserve">Medium</w:t>
            </w:r>
          </w:p>
        </w:tc>
        <w:tc>
          <w:tcPr/>
          <w:p>
            <w:pPr>
              <w:pStyle w:val="Compact"/>
              <w:jc w:val="left"/>
            </w:pPr>
            <w:r>
              <w:t xml:space="preserve">CPRA; GLBA; FCRA</w:t>
            </w:r>
          </w:p>
        </w:tc>
      </w:tr>
      <w:tr>
        <w:tc>
          <w:tcPr/>
          <w:p>
            <w:pPr>
              <w:pStyle w:val="Compact"/>
              <w:jc w:val="left"/>
            </w:pPr>
            <w:r>
              <w:t xml:space="preserve">14</w:t>
            </w:r>
          </w:p>
        </w:tc>
        <w:tc>
          <w:tcPr/>
          <w:p>
            <w:pPr>
              <w:pStyle w:val="Compact"/>
              <w:jc w:val="left"/>
            </w:pPr>
            <w:r>
              <w:t xml:space="preserve">DSA §9.2 breach-notification obligation and indemnity exposure</w:t>
            </w:r>
          </w:p>
        </w:tc>
        <w:tc>
          <w:tcPr/>
          <w:p>
            <w:pPr>
              <w:pStyle w:val="Compact"/>
              <w:jc w:val="left"/>
            </w:pPr>
            <w:r>
              <w:t xml:space="preserve">Medium</w:t>
            </w:r>
          </w:p>
        </w:tc>
        <w:tc>
          <w:tcPr/>
          <w:p>
            <w:pPr>
              <w:pStyle w:val="Compact"/>
              <w:jc w:val="left"/>
            </w:pPr>
            <w:r>
              <w:t xml:space="preserve">DSA §§9.2, 11.1</w:t>
            </w:r>
          </w:p>
        </w:tc>
      </w:tr>
      <w:tr>
        <w:tc>
          <w:tcPr/>
          <w:p>
            <w:pPr>
              <w:pStyle w:val="Compact"/>
              <w:jc w:val="left"/>
            </w:pPr>
            <w:r>
              <w:t xml:space="preserve">15</w:t>
            </w:r>
          </w:p>
        </w:tc>
        <w:tc>
          <w:tcPr/>
          <w:p>
            <w:pPr>
              <w:pStyle w:val="Compact"/>
              <w:jc w:val="left"/>
            </w:pPr>
            <w:r>
              <w:t xml:space="preserve">Security representations vs. actual controls (breach root cause)</w:t>
            </w:r>
          </w:p>
        </w:tc>
        <w:tc>
          <w:tcPr/>
          <w:p>
            <w:pPr>
              <w:pStyle w:val="Compact"/>
              <w:jc w:val="left"/>
            </w:pPr>
            <w:r>
              <w:t xml:space="preserve">Medium</w:t>
            </w:r>
          </w:p>
        </w:tc>
        <w:tc>
          <w:tcPr/>
          <w:p>
            <w:pPr>
              <w:pStyle w:val="Compact"/>
              <w:jc w:val="left"/>
            </w:pPr>
            <w:r>
              <w:t xml:space="preserve">CPRA reasonable security; FTC</w:t>
            </w:r>
          </w:p>
        </w:tc>
      </w:tr>
    </w:tbl>
    <w:p>
      <w:pPr>
        <w:pStyle w:val="BodyText"/>
      </w:pPr>
      <w:r>
        <w:t xml:space="preserve">A consolidated table of cross-document inconsistencies appears in Part V.</w:t>
      </w:r>
    </w:p>
    <w:bookmarkEnd w:id="24"/>
    <w:bookmarkStart w:id="40" w:name="iv.-issues-analysis"/>
    <w:p>
      <w:pPr>
        <w:pStyle w:val="Heading2"/>
      </w:pPr>
      <w:r>
        <w:t xml:space="preserve">IV. Issues Analysis</w:t>
      </w:r>
    </w:p>
    <w:p>
      <w:pPr>
        <w:pStyle w:val="FirstParagraph"/>
      </w:pPr>
      <w:r>
        <w:t xml:space="preserve">For each issue below, we identify the documents implicated, describe the gap as revealed by the cross-document comparison, summarize the legal and regulatory implications, and recommend remediation. Risk levels reflect our preliminary assessment of combined likelihood and magnitude of exposure.</w:t>
      </w:r>
    </w:p>
    <w:p>
      <w:r>
        <w:pict>
          <v:rect style="width:0;height:1.5pt" o:hralign="center" o:hrstd="t" o:hr="t"/>
        </w:pict>
      </w:r>
    </w:p>
    <w:bookmarkStart w:id="25" w:name="X298ed350bf968764e41c61c0a4ebf3e79b51e4c"/>
    <w:p>
      <w:pPr>
        <w:pStyle w:val="Heading3"/>
      </w:pPr>
      <w:r>
        <w:t xml:space="preserve">Issue 1 — Invalidated EU-U.S. Privacy Shield as the Sole Lawful Transfer Mechanism for EU Personal Data</w:t>
      </w:r>
    </w:p>
    <w:p>
      <w:pPr>
        <w:pStyle w:val="FirstParagraph"/>
      </w:pPr>
      <w:r>
        <w:rPr>
          <w:b/>
          <w:bCs/>
        </w:rPr>
        <w:t xml:space="preserve">Risk Level: Critical</w:t>
      </w:r>
    </w:p>
    <w:p>
      <w:pPr>
        <w:pStyle w:val="BodyText"/>
      </w:pPr>
      <w:r>
        <w:rPr>
          <w:b/>
          <w:bCs/>
        </w:rPr>
        <w:t xml:space="preserve">Documents Implicated:</w:t>
      </w:r>
      <w:r>
        <w:t xml:space="preserve"> </w:t>
      </w:r>
      <w:r>
        <w:t xml:space="preserve">Privacy Policy (International Data Transfers); Data Inventory (International Transfers IT-001/IT-002/IT-003; Processing Activities PA-007; DPIA Status PA-007; EU Processing Summary); Breach Log (Entry 5); Investor Email (§2).</w:t>
      </w:r>
    </w:p>
    <w:p>
      <w:pPr>
        <w:pStyle w:val="BodyText"/>
      </w:pPr>
      <w:r>
        <w:rPr>
          <w:b/>
          <w:bCs/>
        </w:rPr>
        <w:t xml:space="preserve">The Gap.</w:t>
      </w:r>
      <w:r>
        <w:t xml:space="preserve"> </w:t>
      </w:r>
      <w:r>
        <w:t xml:space="preserve">The Privacy Policy states that, for users in the EU, EEA, and UK, Vaultline</w:t>
      </w:r>
      <w:r>
        <w:t xml:space="preserve"> </w:t>
      </w:r>
      <w:r>
        <w:t xml:space="preserve">“</w:t>
      </w:r>
      <w:r>
        <w:t xml:space="preserve">transfer[s] personal data to the United States in reliance on the EU-US Privacy Shield Framework</w:t>
      </w:r>
      <w:r>
        <w:t xml:space="preserve">”</w:t>
      </w:r>
      <w:r>
        <w:t xml:space="preserve"> </w:t>
      </w:r>
      <w:r>
        <w:t xml:space="preserve">and that</w:t>
      </w:r>
      <w:r>
        <w:t xml:space="preserve"> </w:t>
      </w:r>
      <w:r>
        <w:t xml:space="preserve">“</w:t>
      </w:r>
      <w:r>
        <w:t xml:space="preserve">Vaultline has certified its compliance with the EU-US Privacy Shield Principles.</w:t>
      </w:r>
      <w:r>
        <w:t xml:space="preserve">”</w:t>
      </w:r>
      <w:r>
        <w:t xml:space="preserve"> </w:t>
      </w:r>
      <w:r>
        <w:t xml:space="preserve">The Data Inventory confirms that this is the</w:t>
      </w:r>
      <w:r>
        <w:t xml:space="preserve"> </w:t>
      </w:r>
      <w:r>
        <w:rPr>
          <w:i/>
          <w:iCs/>
        </w:rPr>
        <w:t xml:space="preserve">only</w:t>
      </w:r>
      <w:r>
        <w:t xml:space="preserve"> </w:t>
      </w:r>
      <w:r>
        <w:t xml:space="preserve">transfer mechanism referenced anywhere in the Company’s materials and that no replacement has been implemented: IT-001 records</w:t>
      </w:r>
      <w:r>
        <w:t xml:space="preserve"> </w:t>
      </w:r>
      <w:r>
        <w:t xml:space="preserve">“</w:t>
      </w:r>
      <w:r>
        <w:t xml:space="preserve">None — privacy policy references EU-US Privacy Shield (INVALIDATED by CJEU in Schrems II, Case C-311/18, July 16, 2020)</w:t>
      </w:r>
      <w:r>
        <w:t xml:space="preserve">”</w:t>
      </w:r>
      <w:r>
        <w:t xml:space="preserve">; no SCCs have been executed with CloudFort; the Company is not DPF-certified; and no BCRs are in place. The same gap extends to the two other EU-data transfer paths: IT-002 (data shared with Brightly, an independent controller, with no transfer mechanism and no DPA) and IT-003 (EU bank credentials shared with FinLink, no transfer mechanism). The Investor Email independently flags this as a</w:t>
      </w:r>
      <w:r>
        <w:t xml:space="preserve"> </w:t>
      </w:r>
      <w:r>
        <w:t xml:space="preserve">“</w:t>
      </w:r>
      <w:r>
        <w:t xml:space="preserve">critical risk</w:t>
      </w:r>
      <w:r>
        <w:t xml:space="preserve">”</w:t>
      </w:r>
      <w:r>
        <w:t xml:space="preserve"> </w:t>
      </w:r>
      <w:r>
        <w:t xml:space="preserve">and notes that the EU-U.S. Data Privacy Framework adequacy decision (July 10, 2023) is available but unused. The Breach Log (Entry 5) adds a further wrinkle: CloudFort confirmed that</w:t>
      </w:r>
      <w:r>
        <w:t xml:space="preserve"> </w:t>
      </w:r>
      <w:r>
        <w:t xml:space="preserve">“</w:t>
      </w:r>
      <w:r>
        <w:t xml:space="preserve">no access anomalies were detected on its Dublin, Ireland infrastructure, where EU-resident user data is partially replicated</w:t>
      </w:r>
      <w:r>
        <w:t xml:space="preserve">”</w:t>
      </w:r>
      <w:r>
        <w:t xml:space="preserve"> </w:t>
      </w:r>
      <w:r>
        <w:t xml:space="preserve">— a statement that directly contradicts the Data Inventory’s representation (IT-001, PA-007) that</w:t>
      </w:r>
      <w:r>
        <w:t xml:space="preserve"> </w:t>
      </w:r>
      <w:r>
        <w:t xml:space="preserve">“</w:t>
      </w:r>
      <w:r>
        <w:t xml:space="preserve">[a]ll EU-resident user data is processed and stored on CloudFort Virginia servers</w:t>
      </w:r>
      <w:r>
        <w:t xml:space="preserve">”</w:t>
      </w:r>
      <w:r>
        <w:t xml:space="preserve"> </w:t>
      </w:r>
      <w:r>
        <w:t xml:space="preserve">(see Issue 11).</w:t>
      </w:r>
    </w:p>
    <w:p>
      <w:pPr>
        <w:pStyle w:val="BodyText"/>
      </w:pPr>
      <w:r>
        <w:rPr>
          <w:b/>
          <w:bCs/>
        </w:rPr>
        <w:t xml:space="preserve">Legal/Regulatory Implications.</w:t>
      </w:r>
      <w:r>
        <w:t xml:space="preserve"> </w:t>
      </w:r>
      <w:r>
        <w:t xml:space="preserve">Without a valid Chapter V transfer mechanism, all processing of EU-resident personal data in the United States is potentially unlawful under the GDPR, exposing the Company to supervisory-authority enforcement orders (including suspension of transfers), administrative fines up to 4% of annual global turnover under Article 83(5) (approximately $1.89 million based on FY 2024 revenue of $47.3 million), and private claims by affected data subjects. The exposure is amplified by the approximately 23,000 self-identified EU-resident users and will grow substantially with the Q3 2025 EU launch. The Privacy Policy’s affirmative representation of Privacy Shield certification is also a transparency misrepresentation that is itself a GDPR violation and a potential FTC Section 5 concern.</w:t>
      </w:r>
    </w:p>
    <w:p>
      <w:pPr>
        <w:pStyle w:val="BodyText"/>
      </w:pPr>
      <w:r>
        <w:rPr>
          <w:b/>
          <w:bCs/>
        </w:rPr>
        <w:t xml:space="preserve">Recommended Remediation.</w:t>
      </w:r>
      <w:r>
        <w:t xml:space="preserve"> </w:t>
      </w:r>
      <w:r>
        <w:t xml:space="preserve">(1) Immediately obtain EU-U.S. Data Privacy Framework certification,</w:t>
      </w:r>
      <w:r>
        <w:t xml:space="preserve"> </w:t>
      </w:r>
      <w:r>
        <w:rPr>
          <w:b/>
          <w:bCs/>
        </w:rPr>
        <w:t xml:space="preserve">or</w:t>
      </w:r>
      <w:r>
        <w:t xml:space="preserve"> </w:t>
      </w:r>
      <w:r>
        <w:t xml:space="preserve">execute European Commission Standard Contractual Clauses (2021 modules) with CloudFort, accompanied by a Transfer Impact Assessment and supplementary technical measures (encryption, pseudonymization, access controls); (2) execute SCCs (or restructure with a DPA) for the Brightly and FinLink transfer paths covering EU data; (3) determine and document the actual location of EU-resident data and reconcile the Dublin/Virginia discrepancy (Issue 11), and consider EU-first processing in Dublin to reduce transfer exposure; (4) designate an EU representative under GDPR Article 27; (5) update the Privacy Policy to remove the Privacy Shield reference and describe the actual mechanism(s).</w:t>
      </w:r>
    </w:p>
    <w:p>
      <w:r>
        <w:pict>
          <v:rect style="width:0;height:1.5pt" o:hralign="center" o:hrstd="t" o:hr="t"/>
        </w:pict>
      </w:r>
    </w:p>
    <w:bookmarkEnd w:id="25"/>
    <w:bookmarkStart w:id="26" w:name="Xcf69e8fbd1281b4aef5ac0d2a66780a130817aa"/>
    <w:p>
      <w:pPr>
        <w:pStyle w:val="Heading3"/>
      </w:pPr>
      <w:r>
        <w:t xml:space="preserve">Issue 2 — Undisclosed and Non-Consented Biometric Data Processing (Selfie Verify): BIPA, Texas CUBI, and GDPR Article 9 Exposure</w:t>
      </w:r>
    </w:p>
    <w:p>
      <w:pPr>
        <w:pStyle w:val="FirstParagraph"/>
      </w:pPr>
      <w:r>
        <w:rPr>
          <w:b/>
          <w:bCs/>
        </w:rPr>
        <w:t xml:space="preserve">Risk Level: Critical</w:t>
      </w:r>
    </w:p>
    <w:p>
      <w:pPr>
        <w:pStyle w:val="BodyText"/>
      </w:pPr>
      <w:r>
        <w:rPr>
          <w:b/>
          <w:bCs/>
        </w:rPr>
        <w:t xml:space="preserve">Documents Implicated:</w:t>
      </w:r>
      <w:r>
        <w:t xml:space="preserve"> </w:t>
      </w:r>
      <w:r>
        <w:t xml:space="preserve">Privacy Policy (silent — last updated January 15, 2023); Data Inventory (Data Categories DC-011; Selfie Verify Details tab; Processing Activities PA-001; DPIA Status PA-001); Investor Email (§5).</w:t>
      </w:r>
    </w:p>
    <w:p>
      <w:pPr>
        <w:pStyle w:val="BodyText"/>
      </w:pPr>
      <w:r>
        <w:rPr>
          <w:b/>
          <w:bCs/>
        </w:rPr>
        <w:t xml:space="preserve">The Gap.</w:t>
      </w:r>
      <w:r>
        <w:t xml:space="preserve"> </w:t>
      </w:r>
      <w:r>
        <w:t xml:space="preserve">The Privacy Policy contains zero mention of biometric data, facial geometry,</w:t>
      </w:r>
      <w:r>
        <w:t xml:space="preserve"> </w:t>
      </w:r>
      <w:r>
        <w:t xml:space="preserve">“</w:t>
      </w:r>
      <w:r>
        <w:t xml:space="preserve">Selfie Verify,</w:t>
      </w:r>
      <w:r>
        <w:t xml:space="preserve">”</w:t>
      </w:r>
      <w:r>
        <w:t xml:space="preserve"> </w:t>
      </w:r>
      <w:r>
        <w:t xml:space="preserve">or faceprints. The Selfie Verify feature launched March 8, 2023 — two months</w:t>
      </w:r>
      <w:r>
        <w:t xml:space="preserve"> </w:t>
      </w:r>
      <w:r>
        <w:rPr>
          <w:i/>
          <w:iCs/>
        </w:rPr>
        <w:t xml:space="preserve">after</w:t>
      </w:r>
      <w:r>
        <w:t xml:space="preserve"> </w:t>
      </w:r>
      <w:r>
        <w:t xml:space="preserve">the Privacy Policy’s last update — and the policy has never been revised to reflect it. The Data Inventory discloses the full scope: approximately 1.9 million users have used the feature; facial-geometry templates are stored for five years after account creation with no documented justification; no written informed consent was obtained (the only mechanism is a browsewrap</w:t>
      </w:r>
      <w:r>
        <w:t xml:space="preserve"> </w:t>
      </w:r>
      <w:r>
        <w:t xml:space="preserve">“</w:t>
      </w:r>
      <w:r>
        <w:t xml:space="preserve">Continue</w:t>
      </w:r>
      <w:r>
        <w:t xml:space="preserve">”</w:t>
      </w:r>
      <w:r>
        <w:t xml:space="preserve"> </w:t>
      </w:r>
      <w:r>
        <w:t xml:space="preserve">tap); no publicly available written retention schedule or destruction guidelines exist; and templates are stored on CloudFort’s Ashburn, Virginia infrastructure. The affected populations include approximately 87,000 Illinois users, 71,000 California users, 11,500 EU-resident users, and 310,000 Texas users. The Data Inventory expressly rates BIPA compliance status as</w:t>
      </w:r>
      <w:r>
        <w:t xml:space="preserve"> </w:t>
      </w:r>
      <w:r>
        <w:t xml:space="preserve">“</w:t>
      </w:r>
      <w:r>
        <w:t xml:space="preserve">NON-COMPLIANT</w:t>
      </w:r>
      <w:r>
        <w:t xml:space="preserve">”</w:t>
      </w:r>
      <w:r>
        <w:t xml:space="preserve"> </w:t>
      </w:r>
      <w:r>
        <w:t xml:space="preserve">on all three statutory requirements (740 ILCS 14/15(a) and (b), and policy disclosure).</w:t>
      </w:r>
    </w:p>
    <w:p>
      <w:pPr>
        <w:pStyle w:val="BodyText"/>
      </w:pPr>
      <w:r>
        <w:rPr>
          <w:b/>
          <w:bCs/>
        </w:rPr>
        <w:t xml:space="preserve">Legal/Regulatory Implications.</w:t>
      </w:r>
      <w:r>
        <w:t xml:space="preserve"> </w:t>
      </w:r>
      <w:r>
        <w:t xml:space="preserve">This is the single largest quantified liability exposure in the portfolio. Under BIPA’s private right of action (740 ILCS 14/20), statutory damages are $1,000 per negligent violation and $5,000 per intentional or reckless violation, yielding estimated exposure of</w:t>
      </w:r>
      <w:r>
        <w:t xml:space="preserve"> </w:t>
      </w:r>
      <w:r>
        <w:rPr>
          <w:b/>
          <w:bCs/>
        </w:rPr>
        <w:t xml:space="preserve">$87 million (negligent) to $435 million (intentional/reckless)</w:t>
      </w:r>
      <w:r>
        <w:t xml:space="preserve"> </w:t>
      </w:r>
      <w:r>
        <w:t xml:space="preserve">for Illinois users alone — both figures materially exceed the Company’s FY 2024 revenue. The Texas Capture or Use of Biometric Identifier Act (CUBI) exposes the Company to civil penalties of up to $25,000 per violation enforced by the Texas Attorney General across approximately 310,000 Texas users. Under GDPR Article 9, facial-geometry data processed for identification is special-category data requiring explicit consent (Art. 9(2)(a)) or another Article 9 exception; browsewrap consent is insufficient, affecting approximately 11,500 EU users. A mandatory DPIA under Article 35(3)(b) (large-scale special-category processing) has not been conducted. The CPRA classifies biometric information as sensitive personal information, triggering the right to limit use and disclosure.</w:t>
      </w:r>
    </w:p>
    <w:p>
      <w:pPr>
        <w:pStyle w:val="BodyText"/>
      </w:pPr>
      <w:r>
        <w:rPr>
          <w:b/>
          <w:bCs/>
        </w:rPr>
        <w:t xml:space="preserve">Recommended Remediation.</w:t>
      </w:r>
      <w:r>
        <w:t xml:space="preserve"> </w:t>
      </w:r>
      <w:r>
        <w:t xml:space="preserve">(1) Immediately implement a legal hold on Selfie Verify-related materials and assess whether to suspend the feature pending cure; (2) obtain BIPA-compliant written, informed consent prospectively (disclosing specific purpose, retention duration, and destruction policy) and evaluate the availability and limits of retroactive consent cures under applicable case law; (3) publish a publicly available written biometric retention schedule and destruction guidelines and define an actual destruction process; (4) add a biometric-data disclosure to the Privacy Policy; (5) conduct a DPIA for PA-001; (6) commission a state-by-state biometric-law analysis (at minimum IL, TX, WA, and any other states with biometric statutes); (7) evaluate whether to cease biometric collection entirely given the magnitude of exposure relative to the identity-verification benefit.</w:t>
      </w:r>
    </w:p>
    <w:p>
      <w:r>
        <w:pict>
          <v:rect style="width:0;height:1.5pt" o:hralign="center" o:hrstd="t" o:hr="t"/>
        </w:pict>
      </w:r>
    </w:p>
    <w:bookmarkEnd w:id="26"/>
    <w:bookmarkStart w:id="27" w:name="Xf48ef1a09b5ae05b7f3df8fe84c84a3619c7856"/>
    <w:p>
      <w:pPr>
        <w:pStyle w:val="Heading3"/>
      </w:pPr>
      <w:r>
        <w:t xml:space="preserve">Issue 3 — Undisclosed Automated Decision-Making (Smart Insights): GDPR Article 22, No Safeguards, No DPIA, and Potential Fair-Lending Exposure</w:t>
      </w:r>
    </w:p>
    <w:p>
      <w:pPr>
        <w:pStyle w:val="FirstParagraph"/>
      </w:pPr>
      <w:r>
        <w:rPr>
          <w:b/>
          <w:bCs/>
        </w:rPr>
        <w:t xml:space="preserve">Risk Level: Critical</w:t>
      </w:r>
    </w:p>
    <w:p>
      <w:pPr>
        <w:pStyle w:val="BodyText"/>
      </w:pPr>
      <w:r>
        <w:rPr>
          <w:b/>
          <w:bCs/>
        </w:rPr>
        <w:t xml:space="preserve">Documents Implicated:</w:t>
      </w:r>
      <w:r>
        <w:t xml:space="preserve"> </w:t>
      </w:r>
      <w:r>
        <w:t xml:space="preserve">Privacy Policy (silent); Data Inventory (Processing Activities PA-003; DPIA Status PA-003); Investor Email (§5).</w:t>
      </w:r>
    </w:p>
    <w:p>
      <w:pPr>
        <w:pStyle w:val="BodyText"/>
      </w:pPr>
      <w:r>
        <w:rPr>
          <w:b/>
          <w:bCs/>
        </w:rPr>
        <w:t xml:space="preserve">The Gap.</w:t>
      </w:r>
      <w:r>
        <w:t xml:space="preserve"> </w:t>
      </w:r>
      <w:r>
        <w:t xml:space="preserve">The Privacy Policy makes no mention of the</w:t>
      </w:r>
      <w:r>
        <w:t xml:space="preserve"> </w:t>
      </w:r>
      <w:r>
        <w:t xml:space="preserve">“</w:t>
      </w:r>
      <w:r>
        <w:t xml:space="preserve">Smart Insights</w:t>
      </w:r>
      <w:r>
        <w:t xml:space="preserve">”</w:t>
      </w:r>
      <w:r>
        <w:t xml:space="preserve"> </w:t>
      </w:r>
      <w:r>
        <w:t xml:space="preserve">feature or of any automated decision-making. The Data Inventory (PA-003) discloses that Smart Insights uses machine-learning models to analyze transaction, income, and spending data and to generate personalized financial recommendations, and — critically — that the AI</w:t>
      </w:r>
      <w:r>
        <w:t xml:space="preserve"> </w:t>
      </w:r>
      <w:r>
        <w:t xml:space="preserve">“</w:t>
      </w:r>
      <w:r>
        <w:t xml:space="preserve">determines which credit product partner offers to show or hide based on assessment of the user’s financial profile.</w:t>
      </w:r>
      <w:r>
        <w:t xml:space="preserve">”</w:t>
      </w:r>
      <w:r>
        <w:t xml:space="preserve"> </w:t>
      </w:r>
      <w:r>
        <w:t xml:space="preserve">The inventory classifies this activity as</w:t>
      </w:r>
      <w:r>
        <w:t xml:space="preserve"> </w:t>
      </w:r>
      <w:r>
        <w:t xml:space="preserve">“</w:t>
      </w:r>
      <w:r>
        <w:t xml:space="preserve">YES — Fully Automated</w:t>
      </w:r>
      <w:r>
        <w:t xml:space="preserve">”</w:t>
      </w:r>
      <w:r>
        <w:t xml:space="preserve"> </w:t>
      </w:r>
      <w:r>
        <w:t xml:space="preserve">and</w:t>
      </w:r>
      <w:r>
        <w:t xml:space="preserve"> </w:t>
      </w:r>
      <w:r>
        <w:t xml:space="preserve">“</w:t>
      </w:r>
      <w:r>
        <w:t xml:space="preserve">YES — Produces legal or similarly significant effects,</w:t>
      </w:r>
      <w:r>
        <w:t xml:space="preserve">”</w:t>
      </w:r>
      <w:r>
        <w:t xml:space="preserve"> </w:t>
      </w:r>
      <w:r>
        <w:t xml:space="preserve">affecting approximately 2.8 million active users, with no disclosure, no opt-out mechanism, and no human-review option. The DPIA Status tab rates PA-003 as</w:t>
      </w:r>
      <w:r>
        <w:t xml:space="preserve"> </w:t>
      </w:r>
      <w:r>
        <w:t xml:space="preserve">“</w:t>
      </w:r>
      <w:r>
        <w:t xml:space="preserve">Critical</w:t>
      </w:r>
      <w:r>
        <w:t xml:space="preserve">”</w:t>
      </w:r>
      <w:r>
        <w:t xml:space="preserve"> </w:t>
      </w:r>
      <w:r>
        <w:t xml:space="preserve">risk pre-mitigation and confirms no DPIA has been conducted.</w:t>
      </w:r>
    </w:p>
    <w:p>
      <w:pPr>
        <w:pStyle w:val="BodyText"/>
      </w:pPr>
      <w:r>
        <w:rPr>
          <w:b/>
          <w:bCs/>
        </w:rPr>
        <w:t xml:space="preserve">Legal/Regulatory Implications.</w:t>
      </w:r>
      <w:r>
        <w:t xml:space="preserve"> </w:t>
      </w:r>
      <w:r>
        <w:t xml:space="preserve">Under GDPR Article 22, data subjects have the right not to be subject to solely automated decisions producing legal or similarly significant effects, with corresponding Article 13(2)(f) transparency obligations and a mandatory DPIA under Article 35(3)(a). Administrative fines reach 4% of global turnover under Article 83(5). In the United States, the Colorado Privacy Act’s profiling/automated-decision-making rules and other emerging state AI governance requirements are implicated, and — because the AI gates visibility of credit-product offers from 14 partner financial institutions based on a financial-profile assessment — there is a credible fair-lending concern under the Equal Credit Opportunity Act (ECOA) and Regulation B, and potential FCRA exposure if the scoring functions as a consumer-report-derived eligibility determination. The absence of any human review or opt-out compounds both the GDPR and the fair-lending exposure.</w:t>
      </w:r>
    </w:p>
    <w:p>
      <w:pPr>
        <w:pStyle w:val="BodyText"/>
      </w:pPr>
      <w:r>
        <w:rPr>
          <w:b/>
          <w:bCs/>
        </w:rPr>
        <w:t xml:space="preserve">Recommended Remediation.</w:t>
      </w:r>
      <w:r>
        <w:t xml:space="preserve"> </w:t>
      </w:r>
      <w:r>
        <w:t xml:space="preserve">(1) Disclose the automated decision-making in the Privacy Policy, including the logic involved, significance, and envisaged consequences (Art. 13(2)(f)); (2) implement a meaningful human-review option and an opt-out for affected users; (3) conduct a DPIA for PA-003 (mandatory); (4) commission a fair-lending/ECOA review of the offer-targeting logic, including a disparate-impact analysis; (5) evaluate whether the credit-offer gating should be restructured to reduce Article 22 and ECOA exposure.</w:t>
      </w:r>
    </w:p>
    <w:p>
      <w:r>
        <w:pict>
          <v:rect style="width:0;height:1.5pt" o:hralign="center" o:hrstd="t" o:hr="t"/>
        </w:pict>
      </w:r>
    </w:p>
    <w:bookmarkEnd w:id="27"/>
    <w:bookmarkStart w:id="28" w:name="X91db0cecbcec66190922adefb860bdc49426407"/>
    <w:p>
      <w:pPr>
        <w:pStyle w:val="Heading3"/>
      </w:pPr>
      <w:r>
        <w:t xml:space="preserve">Issue 4 — August 2024 Breach: GDPR Article 33/34 Notification Failures, 47-Day Consumer Delay, and Missing State Attorney General Notifications</w:t>
      </w:r>
    </w:p>
    <w:p>
      <w:pPr>
        <w:pStyle w:val="FirstParagraph"/>
      </w:pPr>
      <w:r>
        <w:rPr>
          <w:b/>
          <w:bCs/>
        </w:rPr>
        <w:t xml:space="preserve">Risk Level: Critical</w:t>
      </w:r>
    </w:p>
    <w:p>
      <w:pPr>
        <w:pStyle w:val="BodyText"/>
      </w:pPr>
      <w:r>
        <w:rPr>
          <w:b/>
          <w:bCs/>
        </w:rPr>
        <w:t xml:space="preserve">Documents Implicated:</w:t>
      </w:r>
      <w:r>
        <w:t xml:space="preserve"> </w:t>
      </w:r>
      <w:r>
        <w:t xml:space="preserve">Breach Log (Entries 7, 12; Notification Log, Section 6); Privacy Policy (predates breach — no mention); Data Inventory (Revision Log v3.0); Investor Email (§5).</w:t>
      </w:r>
    </w:p>
    <w:p>
      <w:pPr>
        <w:pStyle w:val="BodyText"/>
      </w:pPr>
      <w:r>
        <w:rPr>
          <w:b/>
          <w:bCs/>
        </w:rPr>
        <w:t xml:space="preserve">The Gap.</w:t>
      </w:r>
      <w:r>
        <w:t xml:space="preserve"> </w:t>
      </w:r>
      <w:r>
        <w:t xml:space="preserve">The Breach Log records discovery of unauthorized access on August 12, 2024, affecting approximately 84,000 user records (full legal names, email addresses, last-four SSN digits, and transaction histories), including approximately 510 self-identified EU residents and approximately 3,100 California residents. Consumer notification was distributed on September 28, 2024 — 47 days after discovery. The Breach Log’s Notification Log (Section 6) records notifications to affected users, CloudFort, the cyber-insurance carrier, Thornbury &amp; Locke, and the CEO, but reflects</w:t>
      </w:r>
      <w:r>
        <w:t xml:space="preserve"> </w:t>
      </w:r>
      <w:r>
        <w:rPr>
          <w:b/>
          <w:bCs/>
        </w:rPr>
        <w:t xml:space="preserve">no notification to any EU supervisory authority</w:t>
      </w:r>
      <w:r>
        <w:t xml:space="preserve"> </w:t>
      </w:r>
      <w:r>
        <w:t xml:space="preserve">and</w:t>
      </w:r>
      <w:r>
        <w:t xml:space="preserve"> </w:t>
      </w:r>
      <w:r>
        <w:rPr>
          <w:b/>
          <w:bCs/>
        </w:rPr>
        <w:t xml:space="preserve">no notification to any state attorney general</w:t>
      </w:r>
      <w:r>
        <w:t xml:space="preserve">, even though Entry 6 expressly acknowledges that the approximately 3,100 affected California residents</w:t>
      </w:r>
      <w:r>
        <w:t xml:space="preserve"> </w:t>
      </w:r>
      <w:r>
        <w:t xml:space="preserve">“</w:t>
      </w:r>
      <w:r>
        <w:t xml:space="preserve">significantly exceeds</w:t>
      </w:r>
      <w:r>
        <w:t xml:space="preserve">”</w:t>
      </w:r>
      <w:r>
        <w:t xml:space="preserve"> </w:t>
      </w:r>
      <w:r>
        <w:t xml:space="preserve">the California Attorney General notification threshold (500+ residents) and Entry 7 flags the GDPR Article 33 72-hour obligation for Priya Venkatesh’s review. No subsequent entry records that either obligation was satisfied.</w:t>
      </w:r>
    </w:p>
    <w:p>
      <w:pPr>
        <w:pStyle w:val="BodyText"/>
      </w:pPr>
      <w:r>
        <w:rPr>
          <w:b/>
          <w:bCs/>
        </w:rPr>
        <w:t xml:space="preserve">Legal/Regulatory Implications.</w:t>
      </w:r>
      <w:r>
        <w:t xml:space="preserve"> </w:t>
      </w:r>
      <w:r>
        <w:t xml:space="preserve">GDPR Article 33 requires notification to the competent supervisory authority within 72 hours of becoming aware of a personal-data breach (absent an undue-risk exception); the 72-hour window expired on approximately August 15, 2024, and the log reflects no such notification. GDPR Article 34 requires communication to affected data subjects</w:t>
      </w:r>
      <w:r>
        <w:t xml:space="preserve"> </w:t>
      </w:r>
      <w:r>
        <w:t xml:space="preserve">“</w:t>
      </w:r>
      <w:r>
        <w:t xml:space="preserve">without undue delay</w:t>
      </w:r>
      <w:r>
        <w:t xml:space="preserve">”</w:t>
      </w:r>
      <w:r>
        <w:t xml:space="preserve"> </w:t>
      </w:r>
      <w:r>
        <w:t xml:space="preserve">where the breach is likely to result in high risk; a 47-day delay is likely to constitute undue delay, particularly where last-four SSN and transaction data were exposed. Fines for these infringements reach 2% of global turnover under Article 83(4) (approximately $946,000). Under California Civil Code § 1798.82, notification must occur</w:t>
      </w:r>
      <w:r>
        <w:t xml:space="preserve"> </w:t>
      </w:r>
      <w:r>
        <w:t xml:space="preserve">“</w:t>
      </w:r>
      <w:r>
        <w:t xml:space="preserve">in the most expedient time possible and without unreasonable delay,</w:t>
      </w:r>
      <w:r>
        <w:t xml:space="preserve">”</w:t>
      </w:r>
      <w:r>
        <w:t xml:space="preserve"> </w:t>
      </w:r>
      <w:r>
        <w:t xml:space="preserve">and Attorney General notification is required for breaches affecting 500+ California residents; the 47-day delay and the apparent absence of AG notification are both concerning. Several other states impose specific deadlines — Florida’s 30-day notification requirement (applicable to the approximately 4,500 affected Florida residents) was likely exceeded. The breach also implicates the CPRA private right of action for breaches of sensitive personal information (Cal. Civ. Code § 1798.150), because last-four SSN and transaction history are both sensitive PI under the CPRA.</w:t>
      </w:r>
    </w:p>
    <w:p>
      <w:pPr>
        <w:pStyle w:val="BodyText"/>
      </w:pPr>
      <w:r>
        <w:rPr>
          <w:b/>
          <w:bCs/>
        </w:rPr>
        <w:t xml:space="preserve">Recommended Remediation.</w:t>
      </w:r>
      <w:r>
        <w:t xml:space="preserve"> </w:t>
      </w:r>
      <w:r>
        <w:t xml:space="preserve">(1) Reconstruct the complete notification timeline and assess Article 33/34 compliance; if the 72-hour SA notification was not made, document the rationale (e.g., undue-risk assessment) and evaluate voluntary self-report to the lead supervisory authority; (2) confirm whether California Attorney General and all other applicable state AG notifications were made and, if not, assess curative action; (3) assess compliance with Florida’s 30-day deadline and other state-specific timing requirements; (4) revise the Incident Response Plan to embed mandatory notification deadlines and an escalation checklist; (5) evaluate disclosure obligations to Kessler Whitman in the diligence context; (6) assess CPRA § 1798.150 private-action exposure.</w:t>
      </w:r>
    </w:p>
    <w:p>
      <w:r>
        <w:pict>
          <v:rect style="width:0;height:1.5pt" o:hralign="center" o:hrstd="t" o:hr="t"/>
        </w:pict>
      </w:r>
    </w:p>
    <w:bookmarkEnd w:id="28"/>
    <w:bookmarkStart w:id="29" w:name="X568293620c6c206e7c4ad0f1c28aa5fb5d6fa0e"/>
    <w:p>
      <w:pPr>
        <w:pStyle w:val="Heading3"/>
      </w:pPr>
      <w:r>
        <w:t xml:space="preserve">Issue 5 — Brightly Data Sharing Constitutes an Undisclosed CPRA</w:t>
      </w:r>
      <w:r>
        <w:t xml:space="preserve"> </w:t>
      </w:r>
      <w:r>
        <w:t xml:space="preserve">“</w:t>
      </w:r>
      <w:r>
        <w:t xml:space="preserve">Sale</w:t>
      </w:r>
      <w:r>
        <w:t xml:space="preserve">”</w:t>
      </w:r>
      <w:r>
        <w:t xml:space="preserve">/</w:t>
      </w:r>
      <w:r>
        <w:t xml:space="preserve">“</w:t>
      </w:r>
      <w:r>
        <w:t xml:space="preserve">Sharing</w:t>
      </w:r>
      <w:r>
        <w:t xml:space="preserve">”</w:t>
      </w:r>
      <w:r>
        <w:t xml:space="preserve">; DSA Representations Inconsistent with the Privacy Policy; No Opt-Out</w:t>
      </w:r>
    </w:p>
    <w:p>
      <w:pPr>
        <w:pStyle w:val="FirstParagraph"/>
      </w:pPr>
      <w:r>
        <w:rPr>
          <w:b/>
          <w:bCs/>
        </w:rPr>
        <w:t xml:space="preserve">Risk Level: High (Critical if</w:t>
      </w:r>
      <w:r>
        <w:rPr>
          <w:b/>
          <w:bCs/>
        </w:rPr>
        <w:t xml:space="preserve"> </w:t>
      </w:r>
      <w:r>
        <w:rPr>
          <w:b/>
          <w:bCs/>
        </w:rPr>
        <w:t xml:space="preserve">“</w:t>
      </w:r>
      <w:r>
        <w:rPr>
          <w:b/>
          <w:bCs/>
        </w:rPr>
        <w:t xml:space="preserve">sale</w:t>
      </w:r>
      <w:r>
        <w:rPr>
          <w:b/>
          <w:bCs/>
        </w:rPr>
        <w:t xml:space="preserve">”</w:t>
      </w:r>
      <w:r>
        <w:rPr>
          <w:b/>
          <w:bCs/>
        </w:rPr>
        <w:t xml:space="preserve">/</w:t>
      </w:r>
      <w:r>
        <w:rPr>
          <w:b/>
          <w:bCs/>
        </w:rPr>
        <w:t xml:space="preserve">“</w:t>
      </w:r>
      <w:r>
        <w:rPr>
          <w:b/>
          <w:bCs/>
        </w:rPr>
        <w:t xml:space="preserve">sharing</w:t>
      </w:r>
      <w:r>
        <w:rPr>
          <w:b/>
          <w:bCs/>
        </w:rPr>
        <w:t xml:space="preserve">”</w:t>
      </w:r>
      <w:r>
        <w:rPr>
          <w:b/>
          <w:bCs/>
        </w:rPr>
        <w:t xml:space="preserve"> </w:t>
      </w:r>
      <w:r>
        <w:rPr>
          <w:b/>
          <w:bCs/>
        </w:rPr>
        <w:t xml:space="preserve">confirmed)</w:t>
      </w:r>
    </w:p>
    <w:p>
      <w:pPr>
        <w:pStyle w:val="BodyText"/>
      </w:pPr>
      <w:r>
        <w:rPr>
          <w:b/>
          <w:bCs/>
        </w:rPr>
        <w:t xml:space="preserve">Documents Implicated:</w:t>
      </w:r>
      <w:r>
        <w:t xml:space="preserve"> </w:t>
      </w:r>
      <w:r>
        <w:t xml:space="preserve">Data Sharing Agreement (§§2.1, 3.1, 4.1, 4.2, 5.1, 7.1, 11.1); Privacy Policy (How We Share Your Information; Supplemental Disclosures — Nevada); Data Inventory (Third-Party Sharing TS-002; Data Categories DC-014, DC-015; Processing Activities PA-004); Investor Email (§5).</w:t>
      </w:r>
    </w:p>
    <w:p>
      <w:pPr>
        <w:pStyle w:val="BodyText"/>
      </w:pPr>
      <w:r>
        <w:rPr>
          <w:b/>
          <w:bCs/>
        </w:rPr>
        <w:t xml:space="preserve">The Gap.</w:t>
      </w:r>
      <w:r>
        <w:t xml:space="preserve"> </w:t>
      </w:r>
      <w:r>
        <w:t xml:space="preserve">The DSA discloses a commercial arrangement that the Privacy Policy does not accurately describe. Under the DSA, Vaultline transmits to Brightly, on a daily basis, hashed email addresses, age range, income bracket, and spending-category summaries (§2.1); Brightly’s SDK independently collects device identifiers (IDFA/GAID), IP addresses, approximate geolocation, and in-app behavioral events (§2.2). Brightly is expressly designated an</w:t>
      </w:r>
      <w:r>
        <w:t xml:space="preserve"> </w:t>
      </w:r>
      <w:r>
        <w:t xml:space="preserve">“</w:t>
      </w:r>
      <w:r>
        <w:t xml:space="preserve">independent data controller</w:t>
      </w:r>
      <w:r>
        <w:t xml:space="preserve">”</w:t>
      </w:r>
      <w:r>
        <w:t xml:space="preserve"> </w:t>
      </w:r>
      <w:r>
        <w:t xml:space="preserve">and is stated</w:t>
      </w:r>
      <w:r>
        <w:t xml:space="preserve"> </w:t>
      </w:r>
      <w:r>
        <w:rPr>
          <w:i/>
          <w:iCs/>
        </w:rPr>
        <w:t xml:space="preserve">not</w:t>
      </w:r>
      <w:r>
        <w:t xml:space="preserve"> </w:t>
      </w:r>
      <w:r>
        <w:t xml:space="preserve">to be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w:t>
      </w:r>
      <w:r>
        <w:t xml:space="preserve">under any applicable data privacy law (§§4.1, 4.2). Brightly may use this data for cross-application behavioral advertising, may create and</w:t>
      </w:r>
      <w:r>
        <w:t xml:space="preserve"> </w:t>
      </w:r>
      <w:r>
        <w:rPr>
          <w:b/>
          <w:bCs/>
        </w:rPr>
        <w:t xml:space="preserve">sell audience segments to third-party advertisers</w:t>
      </w:r>
      <w:r>
        <w:t xml:space="preserve"> </w:t>
      </w:r>
      <w:r>
        <w:t xml:space="preserve">(§3.1(c)), and may combine Vaultline data with data from other sources (§3.2). In exchange, Brightly pays Vaultline $0.87 per monthly active user — approximately $2.64 million annually across approximately 253,000 average MAUs (§5.1; Data Inventory PA-004, TS-002).</w:t>
      </w:r>
    </w:p>
    <w:p>
      <w:pPr>
        <w:pStyle w:val="BodyText"/>
      </w:pPr>
      <w:r>
        <w:t xml:space="preserve">The Privacy Policy, by contrast, describes</w:t>
      </w:r>
      <w:r>
        <w:t xml:space="preserve"> </w:t>
      </w:r>
      <w:r>
        <w:t xml:space="preserve">“</w:t>
      </w:r>
      <w:r>
        <w:t xml:space="preserve">analytics and advertising partners</w:t>
      </w:r>
      <w:r>
        <w:t xml:space="preserve">”</w:t>
      </w:r>
      <w:r>
        <w:t xml:space="preserve"> </w:t>
      </w:r>
      <w:r>
        <w:t xml:space="preserve">only generically, states that service providers are</w:t>
      </w:r>
      <w:r>
        <w:t xml:space="preserve"> </w:t>
      </w:r>
      <w:r>
        <w:t xml:space="preserve">“</w:t>
      </w:r>
      <w:r>
        <w:t xml:space="preserve">contractually obligated to use information shared with them solely for the purpose of performing the services for which they have been engaged</w:t>
      </w:r>
      <w:r>
        <w:t xml:space="preserve">”</w:t>
      </w:r>
      <w:r>
        <w:t xml:space="preserve"> </w:t>
      </w:r>
      <w:r>
        <w:t xml:space="preserve">(a description that is the opposite of Brightly’s independent-controller, own-commercial-purpose status), and — in its Nevada supplemental disclosure — affirmatively states that</w:t>
      </w:r>
      <w:r>
        <w:t xml:space="preserve"> </w:t>
      </w:r>
      <w:r>
        <w:t xml:space="preserve">“</w:t>
      </w:r>
      <w:r>
        <w:t xml:space="preserve">Vaultline does not currently engage in the sale of covered information as defined by Nevada law.</w:t>
      </w:r>
      <w:r>
        <w:t xml:space="preserve">”</w:t>
      </w:r>
      <w:r>
        <w:t xml:space="preserve"> </w:t>
      </w:r>
      <w:r>
        <w:t xml:space="preserve">The Data Inventory confirms the internal assessment gap: TS-002 records</w:t>
      </w:r>
      <w:r>
        <w:t xml:space="preserve"> </w:t>
      </w:r>
      <w:r>
        <w:t xml:space="preserve">“</w:t>
      </w:r>
      <w:r>
        <w:t xml:space="preserve">NOT CLASSIFIED — No internal CCPA sale/sharing analysis performed,</w:t>
      </w:r>
      <w:r>
        <w:t xml:space="preserve">”</w:t>
      </w:r>
      <w:r>
        <w:t xml:space="preserve"> </w:t>
      </w:r>
      <w:r>
        <w:t xml:space="preserve">“</w:t>
      </w:r>
      <w:r>
        <w:t xml:space="preserve">NO — No opt-out mechanism provided to users,</w:t>
      </w:r>
      <w:r>
        <w:t xml:space="preserve">”</w:t>
      </w:r>
      <w:r>
        <w:t xml:space="preserve"> </w:t>
      </w:r>
      <w:r>
        <w:t xml:space="preserve">and concludes that the revenue share</w:t>
      </w:r>
      <w:r>
        <w:t xml:space="preserve"> </w:t>
      </w:r>
      <w:r>
        <w:t xml:space="preserve">“</w:t>
      </w:r>
      <w:r>
        <w:t xml:space="preserve">likely [constitutes a]</w:t>
      </w:r>
      <w:r>
        <w:t xml:space="preserve"> </w:t>
      </w:r>
      <w:r>
        <w:t xml:space="preserve">‘</w:t>
      </w:r>
      <w:r>
        <w:t xml:space="preserve">sale</w:t>
      </w:r>
      <w:r>
        <w:t xml:space="preserve">’</w:t>
      </w:r>
      <w:r>
        <w:t xml:space="preserve"> </w:t>
      </w:r>
      <w:r>
        <w:t xml:space="preserve">under CPRA</w:t>
      </w:r>
      <w:r>
        <w:t xml:space="preserve">”</w:t>
      </w:r>
      <w:r>
        <w:t xml:space="preserve"> </w:t>
      </w:r>
      <w:r>
        <w:t xml:space="preserve">and that the cross-app behavioral advertising use</w:t>
      </w:r>
      <w:r>
        <w:t xml:space="preserve"> </w:t>
      </w:r>
      <w:r>
        <w:t xml:space="preserve">“</w:t>
      </w:r>
      <w:r>
        <w:t xml:space="preserve">likely [constitutes]</w:t>
      </w:r>
      <w:r>
        <w:t xml:space="preserve"> </w:t>
      </w:r>
      <w:r>
        <w:t xml:space="preserve">‘</w:t>
      </w:r>
      <w:r>
        <w:t xml:space="preserve">sharing</w:t>
      </w:r>
      <w:r>
        <w:t xml:space="preserve">’</w:t>
      </w:r>
      <w:r>
        <w:t xml:space="preserve"> </w:t>
      </w:r>
      <w:r>
        <w:t xml:space="preserve">under CPRA.</w:t>
      </w:r>
      <w:r>
        <w:t xml:space="preserve">”</w:t>
      </w:r>
      <w:r>
        <w:t xml:space="preserve"> </w:t>
      </w:r>
      <w:r>
        <w:t xml:space="preserve">DC-014 (hashed emails) and DC-015 (demographic/financial profile summaries) are both marked</w:t>
      </w:r>
      <w:r>
        <w:t xml:space="preserve"> </w:t>
      </w:r>
      <w:r>
        <w:t xml:space="preserve">“</w:t>
      </w:r>
      <w:r>
        <w:t xml:space="preserve">not specifically disclosed as shared</w:t>
      </w:r>
      <w:r>
        <w:t xml:space="preserve">”</w:t>
      </w:r>
      <w:r>
        <w:t xml:space="preserve"> </w:t>
      </w:r>
      <w:r>
        <w:t xml:space="preserve">in the Privacy Policy. The DSA’s own representations are implicated: §7.1(b) represents that the sharing</w:t>
      </w:r>
      <w:r>
        <w:t xml:space="preserve"> </w:t>
      </w:r>
      <w:r>
        <w:t xml:space="preserve">“</w:t>
      </w:r>
      <w:r>
        <w:t xml:space="preserve">is consistent with Vaultline’s privacy policy,</w:t>
      </w:r>
      <w:r>
        <w:t xml:space="preserve">”</w:t>
      </w:r>
      <w:r>
        <w:t xml:space="preserve"> </w:t>
      </w:r>
      <w:r>
        <w:t xml:space="preserve">and §7.1(c) represents that Vaultline</w:t>
      </w:r>
      <w:r>
        <w:t xml:space="preserve"> </w:t>
      </w:r>
      <w:r>
        <w:t xml:space="preserve">“</w:t>
      </w:r>
      <w:r>
        <w:t xml:space="preserve">has obtained all necessary consents … for the sharing of Shared Data with Brightly for the Permitted Uses</w:t>
      </w:r>
      <w:r>
        <w:t xml:space="preserve">”</w:t>
      </w:r>
      <w:r>
        <w:t xml:space="preserve"> </w:t>
      </w:r>
      <w:r>
        <w:t xml:space="preserve">— both of which are difficult to reconcile with the Privacy Policy as written.</w:t>
      </w:r>
    </w:p>
    <w:p>
      <w:pPr>
        <w:pStyle w:val="BodyText"/>
      </w:pPr>
      <w:r>
        <w:rPr>
          <w:b/>
          <w:bCs/>
        </w:rPr>
        <w:t xml:space="preserve">Legal/Regulatory Implications.</w:t>
      </w:r>
      <w:r>
        <w:t xml:space="preserve"> </w:t>
      </w:r>
      <w:r>
        <w:t xml:space="preserve">The combination of monetary consideration and cross-context behavioral advertising very likely triggers both the 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definitions. Because the DSA deliberately disclaims service-provider/contractor status (§4.2), the service-provider exception to</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is unavailable. Consequences include: a mandatory</w:t>
      </w:r>
      <w:r>
        <w:t xml:space="preserve"> </w:t>
      </w:r>
      <w:r>
        <w:t xml:space="preserve">“</w:t>
      </w:r>
      <w:r>
        <w:t xml:space="preserve">Do Not Sell or Share My Personal Information</w:t>
      </w:r>
      <w:r>
        <w:t xml:space="preserve">”</w:t>
      </w:r>
      <w:r>
        <w:t xml:space="preserve"> </w:t>
      </w:r>
      <w:r>
        <w:t xml:space="preserve">opt-out link and mechanism; for consumers under 16, opt-in consent to sale/sharing (parental consent for those under 13); and, because income bracket and financial-profile data may constitute sensitive personal information, the right to limit use of sensitive PI and corresponding opt-in requirements. The Privacy Policy’s Nevada statement that the Company does not sell covered information is a direct misrepresentation. The DSA §7.1(b)/(c) representations, if inaccurate, trigger Vaultline’s uncapped indemnity obligation to Brightly under §11.1 (indemnity is carved out of the §12.1 liability cap) — meaning the very compliance gaps identified here create uncapped indemnity exposure to Brightly. The Investor Email specifically requests analysis of whether this arrangement is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p>
    <w:p>
      <w:pPr>
        <w:pStyle w:val="BodyText"/>
      </w:pPr>
      <w:r>
        <w:rPr>
          <w:b/>
          <w:bCs/>
        </w:rPr>
        <w:t xml:space="preserve">Recommended Remediation.</w:t>
      </w:r>
      <w:r>
        <w:t xml:space="preserve"> </w:t>
      </w:r>
      <w:r>
        <w:t xml:space="preserve">(1) Conduct and document a formal CPRA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analysis for the Brightly arrangement; (2) if sale/sharing is confirmed, add a</w:t>
      </w:r>
      <w:r>
        <w:t xml:space="preserve"> </w:t>
      </w:r>
      <w:r>
        <w:t xml:space="preserve">“</w:t>
      </w:r>
      <w:r>
        <w:t xml:space="preserve">Do Not Sell or Share My Personal Information</w:t>
      </w:r>
      <w:r>
        <w:t xml:space="preserve">”</w:t>
      </w:r>
      <w:r>
        <w:t xml:space="preserve"> </w:t>
      </w:r>
      <w:r>
        <w:t xml:space="preserve">link and opt-out mechanism and a</w:t>
      </w:r>
      <w:r>
        <w:t xml:space="preserve"> </w:t>
      </w:r>
      <w:r>
        <w:t xml:space="preserve">“</w:t>
      </w:r>
      <w:r>
        <w:t xml:space="preserve">Limit the Use of My Sensitive Personal Information</w:t>
      </w:r>
      <w:r>
        <w:t xml:space="preserve">”</w:t>
      </w:r>
      <w:r>
        <w:t xml:space="preserve"> </w:t>
      </w:r>
      <w:r>
        <w:t xml:space="preserve">link; (3) implement age-gating and opt-in consent for users under 16 (parental consent under 13); (4) rewrite the Privacy Policy to accurately describe the Brightly relationship (independent controller, revenue-share consideration, audience-segment sale to third-party advertisers, cross-app behavioral advertising) and correct the Nevada</w:t>
      </w:r>
      <w:r>
        <w:t xml:space="preserve"> </w:t>
      </w:r>
      <w:r>
        <w:t xml:space="preserve">“</w:t>
      </w:r>
      <w:r>
        <w:t xml:space="preserve">does not sell</w:t>
      </w:r>
      <w:r>
        <w:t xml:space="preserve">”</w:t>
      </w:r>
      <w:r>
        <w:t xml:space="preserve"> </w:t>
      </w:r>
      <w:r>
        <w:t xml:space="preserve">statement; (5) reconcile or cure the DSA §7.1(b)/(c) representations; (6) evaluate restructuring Brightly as a service provider/processor with a DPA (which would require amending §§4.1–4.2 and executing a DPA, and would change the transfer analysis under Issue 1); (7) quantify and reserve for the §11.1 indemnity exposure.</w:t>
      </w:r>
    </w:p>
    <w:p>
      <w:r>
        <w:pict>
          <v:rect style="width:0;height:1.5pt" o:hralign="center" o:hrstd="t" o:hr="t"/>
        </w:pict>
      </w:r>
    </w:p>
    <w:bookmarkEnd w:id="29"/>
    <w:bookmarkStart w:id="30" w:name="Xf75c1871a2c1d464f9a6aa4f1aef6ad6195a6c2"/>
    <w:p>
      <w:pPr>
        <w:pStyle w:val="Heading3"/>
      </w:pPr>
      <w:r>
        <w:t xml:space="preserve">Issue 6 — GDPR Governance and Transparency Failures: No DPO, No Article 27 Representative, No Lawful Basis, No DPIAs, Minimal Article 13/14 Disclosures</w:t>
      </w:r>
    </w:p>
    <w:p>
      <w:pPr>
        <w:pStyle w:val="FirstParagraph"/>
      </w:pPr>
      <w:r>
        <w:rPr>
          <w:b/>
          <w:bCs/>
        </w:rPr>
        <w:t xml:space="preserve">Risk Level: High</w:t>
      </w:r>
    </w:p>
    <w:p>
      <w:pPr>
        <w:pStyle w:val="BodyText"/>
      </w:pPr>
      <w:r>
        <w:rPr>
          <w:b/>
          <w:bCs/>
        </w:rPr>
        <w:t xml:space="preserve">Documents Implicated:</w:t>
      </w:r>
      <w:r>
        <w:t xml:space="preserve"> </w:t>
      </w:r>
      <w:r>
        <w:t xml:space="preserve">Privacy Policy (Your Rights — European Union Residents — a single sentence); Data Inventory (EU Processing Summary; DPIA Status; Processing Activities); Investor Email (§3).</w:t>
      </w:r>
    </w:p>
    <w:p>
      <w:pPr>
        <w:pStyle w:val="BodyText"/>
      </w:pPr>
      <w:r>
        <w:rPr>
          <w:b/>
          <w:bCs/>
        </w:rPr>
        <w:t xml:space="preserve">The Gap.</w:t>
      </w:r>
      <w:r>
        <w:t xml:space="preserve"> </w:t>
      </w:r>
      <w:r>
        <w:t xml:space="preserve">The entirety of the Privacy Policy’s GDPR disclosure is the sentence:</w:t>
      </w:r>
      <w:r>
        <w:t xml:space="preserve"> </w:t>
      </w:r>
      <w:r>
        <w:t xml:space="preserve">“</w:t>
      </w:r>
      <w:r>
        <w:t xml:space="preserve">If you are located in the European Union, you may have additional rights under applicable law.</w:t>
      </w:r>
      <w:r>
        <w:t xml:space="preserve">”</w:t>
      </w:r>
      <w:r>
        <w:t xml:space="preserve"> </w:t>
      </w:r>
      <w:r>
        <w:t xml:space="preserve">The Data Inventory’s EU Processing Summary tab confirms the systemic gap: no Data Protection Officer has been appointed (required under Article 37 for large-scale special-category processing, which the biometric activity constitutes); no Article 27 EU representative has been designated (required for a non-EU-established controller processing EU residents’ data at scale); no lawful basis has been documented for any processing activity — the inventory records that the Company</w:t>
      </w:r>
      <w:r>
        <w:t xml:space="preserve"> </w:t>
      </w:r>
      <w:r>
        <w:t xml:space="preserve">“</w:t>
      </w:r>
      <w:r>
        <w:t xml:space="preserve">relies solely on browsewrap consent for all processing,</w:t>
      </w:r>
      <w:r>
        <w:t xml:space="preserve">”</w:t>
      </w:r>
      <w:r>
        <w:t xml:space="preserve"> </w:t>
      </w:r>
      <w:r>
        <w:t xml:space="preserve">which is likely insufficient under the Article 7 consent standard, and that no legitimate-interest assessment has been conducted; no DPIA has been conducted for</w:t>
      </w:r>
      <w:r>
        <w:t xml:space="preserve"> </w:t>
      </w:r>
      <w:r>
        <w:rPr>
          <w:i/>
          <w:iCs/>
        </w:rPr>
        <w:t xml:space="preserve">any</w:t>
      </w:r>
      <w:r>
        <w:t xml:space="preserve"> </w:t>
      </w:r>
      <w:r>
        <w:t xml:space="preserve">of the eight processing activities, despite multiple mandatory triggers (PA-001 biometric, PA-003 automated decision-making, PA-007 international transfers); and the Article 13/14 transparency disclosures are</w:t>
      </w:r>
      <w:r>
        <w:t xml:space="preserve"> </w:t>
      </w:r>
      <w:r>
        <w:t xml:space="preserve">“</w:t>
      </w:r>
      <w:r>
        <w:t xml:space="preserve">MINIMAL.</w:t>
      </w:r>
      <w:r>
        <w:t xml:space="preserve">”</w:t>
      </w:r>
      <w:r>
        <w:t xml:space="preserve"> </w:t>
      </w:r>
      <w:r>
        <w:t xml:space="preserve">The Investor Email estimates potential fine exposure at approximately $1.89 million (4% of $47.3 million).</w:t>
      </w:r>
    </w:p>
    <w:p>
      <w:pPr>
        <w:pStyle w:val="BodyText"/>
      </w:pPr>
      <w:r>
        <w:rPr>
          <w:b/>
          <w:bCs/>
        </w:rPr>
        <w:t xml:space="preserve">Legal/Regulatory Implications.</w:t>
      </w:r>
      <w:r>
        <w:t xml:space="preserve"> </w:t>
      </w:r>
      <w:r>
        <w:t xml:space="preserve">The gaps implicate GDPR Articles 5 (principles), 6 (lawful basis), 7 (consent), 9 (special category), 13–14 (transparency), 22 (automated decisions), 27 (EU representative), 35 (DPIA), 37 (DPO), and 83 (fines). Browsewrap consent is widely regarded as insufficient for the GDPR’s</w:t>
      </w:r>
      <w:r>
        <w:t xml:space="preserve"> </w:t>
      </w:r>
      <w:r>
        <w:t xml:space="preserve">“</w:t>
      </w:r>
      <w:r>
        <w:t xml:space="preserve">freely given, specific, informed, and unambiguous</w:t>
      </w:r>
      <w:r>
        <w:t xml:space="preserve">”</w:t>
      </w:r>
      <w:r>
        <w:t xml:space="preserve"> </w:t>
      </w:r>
      <w:r>
        <w:t xml:space="preserve">standard (Art. 4(11), Art. 7). The absence of a DPO and Article 27 representative are standalone violations. The failure to conduct mandatory DPIAs is a distinct infringement under Article 83(4).</w:t>
      </w:r>
    </w:p>
    <w:p>
      <w:pPr>
        <w:pStyle w:val="BodyText"/>
      </w:pPr>
      <w:r>
        <w:rPr>
          <w:b/>
          <w:bCs/>
        </w:rPr>
        <w:t xml:space="preserve">Recommended Remediation.</w:t>
      </w:r>
      <w:r>
        <w:t xml:space="preserve"> </w:t>
      </w:r>
      <w:r>
        <w:t xml:space="preserve">(1) Appoint a Data Protection Officer and publish DPO contact details; (2) designate an Article 27 EU representative; (3) document a lawful basis for each processing activity and conduct legitimate-interest assessments where legitimate interests is relied upon; (4) conduct DPIAs for PA-001, PA-003, and PA-007 (mandatory) and for PA-002 and PA-004 (recommended); (5) rewrite the EU transparency disclosures to satisfy Articles 13/14 in full; (6) migrate from browsewrap to explicit, granular, opt-in consent where consent is the lawful basis (and especially for Article 9 biometric processing).</w:t>
      </w:r>
    </w:p>
    <w:p>
      <w:r>
        <w:pict>
          <v:rect style="width:0;height:1.5pt" o:hralign="center" o:hrstd="t" o:hr="t"/>
        </w:pict>
      </w:r>
    </w:p>
    <w:bookmarkEnd w:id="30"/>
    <w:bookmarkStart w:id="31" w:name="Xab5b9909524a9cb3eaef1e443a7ea6ef4c1fae2"/>
    <w:p>
      <w:pPr>
        <w:pStyle w:val="Heading3"/>
      </w:pPr>
      <w:r>
        <w:t xml:space="preserve">Issue 7 — Potential GLBA Applicability: No Financial Privacy Notices or Opt-Out Mechanism</w:t>
      </w:r>
    </w:p>
    <w:p>
      <w:pPr>
        <w:pStyle w:val="FirstParagraph"/>
      </w:pPr>
      <w:r>
        <w:rPr>
          <w:b/>
          <w:bCs/>
        </w:rPr>
        <w:t xml:space="preserve">Risk Level: High</w:t>
      </w:r>
    </w:p>
    <w:p>
      <w:pPr>
        <w:pStyle w:val="BodyText"/>
      </w:pPr>
      <w:r>
        <w:rPr>
          <w:b/>
          <w:bCs/>
        </w:rPr>
        <w:t xml:space="preserve">Documents Implicated:</w:t>
      </w:r>
      <w:r>
        <w:t xml:space="preserve"> </w:t>
      </w:r>
      <w:r>
        <w:t xml:space="preserve">Privacy Policy (no GLBA disclosures); Data Inventory (Data Categories DC-003 through DC-007 flagged GLBA; Third-Party Sharing TS-003, TS-005); Investor Email (§4).</w:t>
      </w:r>
    </w:p>
    <w:p>
      <w:pPr>
        <w:pStyle w:val="BodyText"/>
      </w:pPr>
      <w:r>
        <w:rPr>
          <w:b/>
          <w:bCs/>
        </w:rPr>
        <w:t xml:space="preserve">The Gap.</w:t>
      </w:r>
      <w:r>
        <w:t xml:space="preserve"> </w:t>
      </w:r>
      <w:r>
        <w:t xml:space="preserve">The Privacy Policy contains no GLBA-related disclosures, no reference to financial-privacy obligations of any kind, and no opt-out for the sharing of nonpublic personal information with non-affiliated third parties. The Data Inventory flags GLBA as applicable to DC-003 (last-four SSN), DC-004 (financial account information), DC-005 (transaction history), DC-006 (income data), and DC-007 (credit score), and records that the Company shares financial data with 14 partner financial-product companies for referral fees (TS-003) and with a third-party credit bureau (TS-005). The Investor Email identifies a credible argument that Vaultline qualifies as a</w:t>
      </w:r>
      <w:r>
        <w:t xml:space="preserve"> </w:t>
      </w:r>
      <w:r>
        <w:t xml:space="preserve">“</w:t>
      </w:r>
      <w:r>
        <w:t xml:space="preserve">financial institution</w:t>
      </w:r>
      <w:r>
        <w:t xml:space="preserve">”</w:t>
      </w:r>
      <w:r>
        <w:t xml:space="preserve"> </w:t>
      </w:r>
      <w:r>
        <w:t xml:space="preserve">under 15 U.S.C. § 6809(3) because it is significantly engaged in financial data processing — aggregating, analyzing, and monetizing consumer financial data from 4,200+ institutions via FinLink and deriving revenue from financial-product referrals.</w:t>
      </w:r>
    </w:p>
    <w:p>
      <w:pPr>
        <w:pStyle w:val="BodyText"/>
      </w:pPr>
      <w:r>
        <w:rPr>
          <w:b/>
          <w:bCs/>
        </w:rPr>
        <w:t xml:space="preserve">Legal/Regulatory Implications.</w:t>
      </w:r>
      <w:r>
        <w:t xml:space="preserve"> </w:t>
      </w:r>
      <w:r>
        <w:t xml:space="preserve">If the GLBA applies, the Company would be subject to obligations it does not currently appear to satisfy: (a) a clear and conspicuous initial privacy notice at the establishment of the customer relationship; (b) annual privacy notices; (c) a consumer opt-out of the sharing of nonpublic personal information with non-affiliated third parties; and (d) the FTC’s Financial Privacy Rule (Regulation P, 16 C.F.R. Part 313) and Safeguards Rule (16 C.F.R. Part 314). Non-compliance exposes the Company to FTC enforcement and state attorney general actions. The analysis is nuanced: the CCPA exempts GLBA-covered data from its scope, so a GLBA characterization could shift (rather than eliminate) the regulatory framework — this interplay requires careful analysis.</w:t>
      </w:r>
    </w:p>
    <w:p>
      <w:pPr>
        <w:pStyle w:val="BodyText"/>
      </w:pPr>
      <w:r>
        <w:rPr>
          <w:b/>
          <w:bCs/>
        </w:rPr>
        <w:t xml:space="preserve">Recommended Remediation.</w:t>
      </w:r>
      <w:r>
        <w:t xml:space="preserve"> </w:t>
      </w:r>
      <w:r>
        <w:t xml:space="preserve">(1) Conduct a formal GLBA</w:t>
      </w:r>
      <w:r>
        <w:t xml:space="preserve"> </w:t>
      </w:r>
      <w:r>
        <w:t xml:space="preserve">“</w:t>
      </w:r>
      <w:r>
        <w:t xml:space="preserve">financial institution</w:t>
      </w:r>
      <w:r>
        <w:t xml:space="preserve">”</w:t>
      </w:r>
      <w:r>
        <w:t xml:space="preserve"> </w:t>
      </w:r>
      <w:r>
        <w:t xml:space="preserve">characterization analysis; (2) if the GLBA applies, implement Reg. P initial and annual privacy notices, an NPI sharing opt-out, and a Safeguards Rule program; (3) analyze the CCPA/GLBA exemption interplay and adjust the Privacy Policy accordingly; (4) evaluate whether the 14-partner referral sharing qualifies for GLBA exceptions or requires an opt-out.</w:t>
      </w:r>
    </w:p>
    <w:p>
      <w:r>
        <w:pict>
          <v:rect style="width:0;height:1.5pt" o:hralign="center" o:hrstd="t" o:hr="t"/>
        </w:pict>
      </w:r>
    </w:p>
    <w:bookmarkEnd w:id="31"/>
    <w:bookmarkStart w:id="32" w:name="X014178719ef776a4c7cf54e9a6fe9581db362e2"/>
    <w:p>
      <w:pPr>
        <w:pStyle w:val="Heading3"/>
      </w:pPr>
      <w:r>
        <w:t xml:space="preserve">Issue 8 — CCPA/CPRA Consumer Rights and Sensitive-Personal-Information Disclosures Incomplete</w:t>
      </w:r>
    </w:p>
    <w:p>
      <w:pPr>
        <w:pStyle w:val="FirstParagraph"/>
      </w:pPr>
      <w:r>
        <w:rPr>
          <w:b/>
          <w:bCs/>
        </w:rPr>
        <w:t xml:space="preserve">Risk Level: High</w:t>
      </w:r>
    </w:p>
    <w:p>
      <w:pPr>
        <w:pStyle w:val="BodyText"/>
      </w:pPr>
      <w:r>
        <w:rPr>
          <w:b/>
          <w:bCs/>
        </w:rPr>
        <w:t xml:space="preserve">Documents Implicated:</w:t>
      </w:r>
      <w:r>
        <w:t xml:space="preserve"> </w:t>
      </w:r>
      <w:r>
        <w:t xml:space="preserve">Privacy Policy (Your Rights — California Residents); Data Inventory (Data Categories —</w:t>
      </w:r>
      <w:r>
        <w:t xml:space="preserve"> </w:t>
      </w:r>
      <w:r>
        <w:t xml:space="preserve">“</w:t>
      </w:r>
      <w:r>
        <w:t xml:space="preserve">CPRA Sensitive PI?</w:t>
      </w:r>
      <w:r>
        <w:t xml:space="preserve">”</w:t>
      </w:r>
      <w:r>
        <w:t xml:space="preserve"> </w:t>
      </w:r>
      <w:r>
        <w:t xml:space="preserve">column); Investor Email (§5).</w:t>
      </w:r>
    </w:p>
    <w:p>
      <w:pPr>
        <w:pStyle w:val="BodyText"/>
      </w:pPr>
      <w:r>
        <w:rPr>
          <w:b/>
          <w:bCs/>
        </w:rPr>
        <w:t xml:space="preserve">The Gap.</w:t>
      </w:r>
      <w:r>
        <w:t xml:space="preserve"> </w:t>
      </w:r>
      <w:r>
        <w:t xml:space="preserve">The Privacy Policy’s California section references only the consumer’s</w:t>
      </w:r>
      <w:r>
        <w:t xml:space="preserve"> </w:t>
      </w:r>
      <w:r>
        <w:t xml:space="preserve">“</w:t>
      </w:r>
      <w:r>
        <w:t xml:space="preserve">right to know</w:t>
      </w:r>
      <w:r>
        <w:t xml:space="preserve">”</w:t>
      </w:r>
      <w:r>
        <w:t xml:space="preserve"> </w:t>
      </w:r>
      <w:r>
        <w:t xml:space="preserve">and provides a single contact email. It omits the rights to deletion, correction, data portability, opt-out of sale or sharing, limitation of the use and disclosure of sensitive personal information, and non-discrimination, and it does not address the right to opt out of automated-decision-making technology as clarified by CPRA implementing regulations. The Privacy Policy does not classify</w:t>
      </w:r>
      <w:r>
        <w:t xml:space="preserve"> </w:t>
      </w:r>
      <w:r>
        <w:rPr>
          <w:i/>
          <w:iCs/>
        </w:rPr>
        <w:t xml:space="preserve">any</w:t>
      </w:r>
      <w:r>
        <w:t xml:space="preserve"> </w:t>
      </w:r>
      <w:r>
        <w:t xml:space="preserve">data category as</w:t>
      </w:r>
      <w:r>
        <w:t xml:space="preserve"> </w:t>
      </w:r>
      <w:r>
        <w:t xml:space="preserve">“</w:t>
      </w:r>
      <w:r>
        <w:t xml:space="preserve">sensitive personal information.</w:t>
      </w:r>
      <w:r>
        <w:t xml:space="preserve">”</w:t>
      </w:r>
      <w:r>
        <w:t xml:space="preserve"> </w:t>
      </w:r>
      <w:r>
        <w:t xml:space="preserve">The Data Inventory identifies seven categories as CPRA sensitive PI — DC-003 (last-four SSN), DC-004 (financial account information), DC-005 (transaction history), DC-006 (income data), DC-007 (credit score), DC-010 (precise geolocation), and DC-011 (biometric data) — and repeatedly notes that the Privacy Policy does not flag these as sensitive.</w:t>
      </w:r>
    </w:p>
    <w:p>
      <w:pPr>
        <w:pStyle w:val="BodyText"/>
      </w:pPr>
      <w:r>
        <w:rPr>
          <w:b/>
          <w:bCs/>
        </w:rPr>
        <w:t xml:space="preserve">Legal/Regulatory Implications.</w:t>
      </w:r>
      <w:r>
        <w:t xml:space="preserve"> </w:t>
      </w:r>
      <w:r>
        <w:t xml:space="preserve">The CPRA (Cal. Civ. Code § 1798.100 et seq.) requires disclosure of the full suite of consumer rights, a sensitive-PI category disclosure, and both a</w:t>
      </w:r>
      <w:r>
        <w:t xml:space="preserve"> </w:t>
      </w:r>
      <w:r>
        <w:t xml:space="preserve">“</w:t>
      </w:r>
      <w:r>
        <w:t xml:space="preserve">Do Not Sell or Share My Personal Information</w:t>
      </w:r>
      <w:r>
        <w:t xml:space="preserve">”</w:t>
      </w:r>
      <w:r>
        <w:t xml:space="preserve"> </w:t>
      </w:r>
      <w:r>
        <w:t xml:space="preserve">and a</w:t>
      </w:r>
      <w:r>
        <w:t xml:space="preserve"> </w:t>
      </w:r>
      <w:r>
        <w:t xml:space="preserve">“</w:t>
      </w:r>
      <w:r>
        <w:t xml:space="preserve">Limit the Use of My Sensitive Personal Information</w:t>
      </w:r>
      <w:r>
        <w:t xml:space="preserve">”</w:t>
      </w:r>
      <w:r>
        <w:t xml:space="preserve"> </w:t>
      </w:r>
      <w:r>
        <w:t xml:space="preserve">mechanism. California Privacy Protection Agency enforcement carries civil penalties of $2,500 per violation ($7,500 per intentional or child-directed violation). Critically, the CPRA’s private right of action for breaches of sensitive personal information (§ 1798.150) is directly implicated by the August 2024 breach, which compromised last-four SSN and transaction history — both sensitive PI — for approximately 3,100 California residents.</w:t>
      </w:r>
    </w:p>
    <w:p>
      <w:pPr>
        <w:pStyle w:val="BodyText"/>
      </w:pPr>
      <w:r>
        <w:rPr>
          <w:b/>
          <w:bCs/>
        </w:rPr>
        <w:t xml:space="preserve">Recommended Remediation.</w:t>
      </w:r>
      <w:r>
        <w:t xml:space="preserve"> </w:t>
      </w:r>
      <w:r>
        <w:t xml:space="preserve">(1) Rewrite the California section to enumerate all CPRA rights; (2) add a sensitive-personal-information category list and a</w:t>
      </w:r>
      <w:r>
        <w:t xml:space="preserve"> </w:t>
      </w:r>
      <w:r>
        <w:t xml:space="preserve">“</w:t>
      </w:r>
      <w:r>
        <w:t xml:space="preserve">Limit the Use of My Sensitive Personal Information</w:t>
      </w:r>
      <w:r>
        <w:t xml:space="preserve">”</w:t>
      </w:r>
      <w:r>
        <w:t xml:space="preserve"> </w:t>
      </w:r>
      <w:r>
        <w:t xml:space="preserve">link/mechanism; (3) add a</w:t>
      </w:r>
      <w:r>
        <w:t xml:space="preserve"> </w:t>
      </w:r>
      <w:r>
        <w:t xml:space="preserve">“</w:t>
      </w:r>
      <w:r>
        <w:t xml:space="preserve">Do Not Sell or Share My Personal Information</w:t>
      </w:r>
      <w:r>
        <w:t xml:space="preserve">”</w:t>
      </w:r>
      <w:r>
        <w:t xml:space="preserve"> </w:t>
      </w:r>
      <w:r>
        <w:t xml:space="preserve">link/mechanism (coordinated with Issue 5); (4) expressly assess the § 1798.150 private-action exposure arising from the August 2024 breach; (5) implement the statutory 45-day response timeline and verification procedures.</w:t>
      </w:r>
    </w:p>
    <w:p>
      <w:r>
        <w:pict>
          <v:rect style="width:0;height:1.5pt" o:hralign="center" o:hrstd="t" o:hr="t"/>
        </w:pict>
      </w:r>
    </w:p>
    <w:bookmarkEnd w:id="32"/>
    <w:bookmarkStart w:id="33" w:name="Xd1d799e8b1092801ab283550d5d21dc4c2b25d5"/>
    <w:p>
      <w:pPr>
        <w:pStyle w:val="Heading3"/>
      </w:pPr>
      <w:r>
        <w:t xml:space="preserve">Issue 9 — Indefinite Data Retention: No Periods Disclosed, No Deletion on Account Closure, No Retention Schedule</w:t>
      </w:r>
    </w:p>
    <w:p>
      <w:pPr>
        <w:pStyle w:val="FirstParagraph"/>
      </w:pPr>
      <w:r>
        <w:rPr>
          <w:b/>
          <w:bCs/>
        </w:rPr>
        <w:t xml:space="preserve">Risk Level: High</w:t>
      </w:r>
    </w:p>
    <w:p>
      <w:pPr>
        <w:pStyle w:val="BodyText"/>
      </w:pPr>
      <w:r>
        <w:rPr>
          <w:b/>
          <w:bCs/>
        </w:rPr>
        <w:t xml:space="preserve">Documents Implicated:</w:t>
      </w:r>
      <w:r>
        <w:t xml:space="preserve"> </w:t>
      </w:r>
      <w:r>
        <w:t xml:space="preserve">Privacy Policy (Data Retention); Data Inventory (Data Retention tab); Investor Email (§5).</w:t>
      </w:r>
    </w:p>
    <w:p>
      <w:pPr>
        <w:pStyle w:val="BodyText"/>
      </w:pPr>
      <w:r>
        <w:rPr>
          <w:b/>
          <w:bCs/>
        </w:rPr>
        <w:t xml:space="preserve">The Gap.</w:t>
      </w:r>
      <w:r>
        <w:t xml:space="preserve"> </w:t>
      </w:r>
      <w:r>
        <w:t xml:space="preserve">The Privacy Policy states that information is retained</w:t>
      </w:r>
      <w:r>
        <w:t xml:space="preserve"> </w:t>
      </w:r>
      <w:r>
        <w:t xml:space="preserve">“</w:t>
      </w:r>
      <w:r>
        <w:t xml:space="preserve">for as long as necessary</w:t>
      </w:r>
      <w:r>
        <w:t xml:space="preserve">”</w:t>
      </w:r>
      <w:r>
        <w:t xml:space="preserve"> </w:t>
      </w:r>
      <w:r>
        <w:t xml:space="preserve">and that the retention period</w:t>
      </w:r>
      <w:r>
        <w:t xml:space="preserve"> </w:t>
      </w:r>
      <w:r>
        <w:t xml:space="preserve">“</w:t>
      </w:r>
      <w:r>
        <w:t xml:space="preserve">may vary,</w:t>
      </w:r>
      <w:r>
        <w:t xml:space="preserve">”</w:t>
      </w:r>
      <w:r>
        <w:t xml:space="preserve"> </w:t>
      </w:r>
      <w:r>
        <w:t xml:space="preserve">but discloses no specific retention period for any category. The Data Inventory’s Data Retention tab confirms the operational reality: all 15 data categories are retained</w:t>
      </w:r>
      <w:r>
        <w:t xml:space="preserve"> </w:t>
      </w:r>
      <w:r>
        <w:t xml:space="preserve">“</w:t>
      </w:r>
      <w:r>
        <w:t xml:space="preserve">Indefinite,</w:t>
      </w:r>
      <w:r>
        <w:t xml:space="preserve">”</w:t>
      </w:r>
      <w:r>
        <w:t xml:space="preserve"> </w:t>
      </w:r>
      <w:r>
        <w:t xml:space="preserve">with the sole exception of biometric data (five years after account creation); no formal retention schedule is documented; data is not deleted upon account closure (</w:t>
      </w:r>
      <w:r>
        <w:t xml:space="preserve">“</w:t>
      </w:r>
      <w:r>
        <w:t xml:space="preserve">retained indefinitely after account deletion</w:t>
      </w:r>
      <w:r>
        <w:t xml:space="preserve">”</w:t>
      </w:r>
      <w:r>
        <w:t xml:space="preserve">); and no destruction method is defined. Sensitive categories — last-four SSN, financial account information, transaction history, precise geolocation, and biometric data — are retained indefinitely.</w:t>
      </w:r>
    </w:p>
    <w:p>
      <w:pPr>
        <w:pStyle w:val="BodyText"/>
      </w:pPr>
      <w:r>
        <w:rPr>
          <w:b/>
          <w:bCs/>
        </w:rPr>
        <w:t xml:space="preserve">Legal/Regulatory Implications.</w:t>
      </w:r>
      <w:r>
        <w:t xml:space="preserve"> </w:t>
      </w:r>
      <w:r>
        <w:t xml:space="preserve">The CPRA requires disclosure of retention periods for each category of personal information collected (Cal. Civ. Code § 1798.100(a)(3); § 1798.130). The GDPR storage-limitation principle (Art. 5(1)(e)) requires retention no longer than necessary. BIPA requires a publicly available retention schedule and destruction guidelines — neither exists. Indefinite retention of sensitive PI magnifies breach impact and CPRA private-action exposure and is difficult to justify under any data-minimization principle.</w:t>
      </w:r>
    </w:p>
    <w:p>
      <w:pPr>
        <w:pStyle w:val="BodyText"/>
      </w:pPr>
      <w:r>
        <w:rPr>
          <w:b/>
          <w:bCs/>
        </w:rPr>
        <w:t xml:space="preserve">Recommended Remediation.</w:t>
      </w:r>
      <w:r>
        <w:t xml:space="preserve"> </w:t>
      </w:r>
      <w:r>
        <w:t xml:space="preserve">(1) Establish and document a category-specific retention schedule with justified, purpose-tied periods; (2) implement deletion or anonymization on schedule and on account closure, with defined destruction methods; (3) disclose retention periods by category in the Privacy Policy; (4) prioritize minimization of sensitive-PI retention (especially last-four SSN, precise geolocation, and biometric data); (5) reconcile backup/archival retention with primary retention.</w:t>
      </w:r>
    </w:p>
    <w:p>
      <w:r>
        <w:pict>
          <v:rect style="width:0;height:1.5pt" o:hralign="center" o:hrstd="t" o:hr="t"/>
        </w:pict>
      </w:r>
    </w:p>
    <w:bookmarkEnd w:id="33"/>
    <w:bookmarkStart w:id="34" w:name="X0171bdfa34144ad915483b88504400393866740"/>
    <w:p>
      <w:pPr>
        <w:pStyle w:val="Heading3"/>
      </w:pPr>
      <w:r>
        <w:t xml:space="preserve">Issue 10 — Cookie Consent Non-Compliance: No Reject Option, Cookies Fire Before Consent, No Do-Not-Track Disclosure</w:t>
      </w:r>
    </w:p>
    <w:p>
      <w:pPr>
        <w:pStyle w:val="FirstParagraph"/>
      </w:pPr>
      <w:r>
        <w:rPr>
          <w:b/>
          <w:bCs/>
        </w:rPr>
        <w:t xml:space="preserve">Risk Level: High</w:t>
      </w:r>
    </w:p>
    <w:p>
      <w:pPr>
        <w:pStyle w:val="BodyText"/>
      </w:pPr>
      <w:r>
        <w:rPr>
          <w:b/>
          <w:bCs/>
        </w:rPr>
        <w:t xml:space="preserve">Documents Implicated:</w:t>
      </w:r>
      <w:r>
        <w:t xml:space="preserve"> </w:t>
      </w:r>
      <w:r>
        <w:t xml:space="preserve">Privacy Policy (Cookies and Tracking Technologies); Data Inventory (Cookie Inventory tab).</w:t>
      </w:r>
    </w:p>
    <w:p>
      <w:pPr>
        <w:pStyle w:val="BodyText"/>
      </w:pPr>
      <w:r>
        <w:rPr>
          <w:b/>
          <w:bCs/>
        </w:rPr>
        <w:t xml:space="preserve">The Gap.</w:t>
      </w:r>
      <w:r>
        <w:t xml:space="preserve"> </w:t>
      </w:r>
      <w:r>
        <w:t xml:space="preserve">The Privacy Policy describes cookies, web beacons, and SDKs and advises users that they</w:t>
      </w:r>
      <w:r>
        <w:t xml:space="preserve"> </w:t>
      </w:r>
      <w:r>
        <w:t xml:space="preserve">“</w:t>
      </w:r>
      <w:r>
        <w:t xml:space="preserve">may adjust your browser settings to refuse cookies,</w:t>
      </w:r>
      <w:r>
        <w:t xml:space="preserve">”</w:t>
      </w:r>
      <w:r>
        <w:t xml:space="preserve"> </w:t>
      </w:r>
      <w:r>
        <w:t xml:space="preserve">but describes no consent mechanism and contains no Do-Not-Track disclosure. The Data Inventory’s Cookie Inventory tab discloses 34 cookies, of which 29 are third-party advertising/tracking cookies (4 Brightly plus 25 other third-party trackers) and 32 of 34 require consent. The consent banner is</w:t>
      </w:r>
      <w:r>
        <w:t xml:space="preserve"> </w:t>
      </w:r>
      <w:r>
        <w:t xml:space="preserve">“</w:t>
      </w:r>
      <w:r>
        <w:t xml:space="preserve">Accept All Button Only</w:t>
      </w:r>
      <w:r>
        <w:t xml:space="preserve">”</w:t>
      </w:r>
      <w:r>
        <w:t xml:space="preserve"> </w:t>
      </w:r>
      <w:r>
        <w:t xml:space="preserve">— with no reject option, no customize/preferences option, and no granular category consent — and</w:t>
      </w:r>
      <w:r>
        <w:t xml:space="preserve"> </w:t>
      </w:r>
      <w:r>
        <w:t xml:space="preserve">“</w:t>
      </w:r>
      <w:r>
        <w:t xml:space="preserve">all cookies fire on page load regardless of banner interaction.</w:t>
      </w:r>
      <w:r>
        <w:t xml:space="preserve">”</w:t>
      </w:r>
      <w:r>
        <w:t xml:space="preserve"> </w:t>
      </w:r>
      <w:r>
        <w:t xml:space="preserve">The inventory concludes that this violates the ePrivacy Directive’s requirement for freely given, specific, and informed consent for non-essential cookies (affecting the approximately 23,000 EU users plus unknown website visitors), fails the GDPR consent standard (Art. 4(11)), and that no Do-Not-Track signal detection is implemented and no CalOPPA DNT disclosure is included.</w:t>
      </w:r>
    </w:p>
    <w:p>
      <w:pPr>
        <w:pStyle w:val="BodyText"/>
      </w:pPr>
      <w:r>
        <w:rPr>
          <w:b/>
          <w:bCs/>
        </w:rPr>
        <w:t xml:space="preserve">Legal/Regulatory Implications.</w:t>
      </w:r>
      <w:r>
        <w:t xml:space="preserve"> </w:t>
      </w:r>
      <w:r>
        <w:t xml:space="preserve">EU supervisory authorities have consistently held that an</w:t>
      </w:r>
      <w:r>
        <w:t xml:space="preserve"> </w:t>
      </w:r>
      <w:r>
        <w:t xml:space="preserve">“</w:t>
      </w:r>
      <w:r>
        <w:t xml:space="preserve">Accept All</w:t>
      </w:r>
      <w:r>
        <w:t xml:space="preserve">”</w:t>
      </w:r>
      <w:r>
        <w:t xml:space="preserve">-only banner with no reject option of equivalent prominence, and pre-consent cookie firing, violate the ePrivacy Directive and GDPR. CalOPPA requires a Do-Not-Track disclosure. The 25 non-Brightly third-party trackers (many of which appear unrelated to the Company’s core service) also expand the CPRA</w:t>
      </w:r>
      <w:r>
        <w:t xml:space="preserve"> </w:t>
      </w:r>
      <w:r>
        <w:t xml:space="preserve">“</w:t>
      </w:r>
      <w:r>
        <w:t xml:space="preserve">sharing</w:t>
      </w:r>
      <w:r>
        <w:t xml:space="preserve">”</w:t>
      </w:r>
      <w:r>
        <w:t xml:space="preserve"> </w:t>
      </w:r>
      <w:r>
        <w:t xml:space="preserve">surface and the breach/transfer exposure. DPAs can order remediation and impose fines.</w:t>
      </w:r>
    </w:p>
    <w:p>
      <w:pPr>
        <w:pStyle w:val="BodyText"/>
      </w:pPr>
      <w:r>
        <w:rPr>
          <w:b/>
          <w:bCs/>
        </w:rPr>
        <w:t xml:space="preserve">Recommended Remediation.</w:t>
      </w:r>
      <w:r>
        <w:t xml:space="preserve"> </w:t>
      </w:r>
      <w:r>
        <w:t xml:space="preserve">(1) Implement a consent management platform with a reject option of equal prominence to</w:t>
      </w:r>
      <w:r>
        <w:t xml:space="preserve"> </w:t>
      </w:r>
      <w:r>
        <w:t xml:space="preserve">“</w:t>
      </w:r>
      <w:r>
        <w:t xml:space="preserve">Accept All,</w:t>
      </w:r>
      <w:r>
        <w:t xml:space="preserve">”</w:t>
      </w:r>
      <w:r>
        <w:t xml:space="preserve"> </w:t>
      </w:r>
      <w:r>
        <w:t xml:space="preserve">granular category controls, and pre-consent blocking of all non-essential cookies; (2) add a CalOPPA Do-Not-Track disclosure and implement Global Privacy Control detection; (3) audit and materially reduce the third-party cookie sprawl, terminating trackers that are not necessary to the service; (4) update the Privacy Policy’s cookies section to describe the consent mechanism.</w:t>
      </w:r>
    </w:p>
    <w:p>
      <w:r>
        <w:pict>
          <v:rect style="width:0;height:1.5pt" o:hralign="center" o:hrstd="t" o:hr="t"/>
        </w:pict>
      </w:r>
    </w:p>
    <w:bookmarkEnd w:id="34"/>
    <w:bookmarkStart w:id="35" w:name="X5f863f4ec0cbe2d2adaa2b2e2552e809ce33618"/>
    <w:p>
      <w:pPr>
        <w:pStyle w:val="Heading3"/>
      </w:pPr>
      <w:r>
        <w:t xml:space="preserve">Issue 11 — Cross-Document Inconsistency: EU Data Storage Location (Dublin Replication vs. </w:t>
      </w:r>
      <w:r>
        <w:t xml:space="preserve">“</w:t>
      </w:r>
      <w:r>
        <w:t xml:space="preserve">All on Virginia</w:t>
      </w:r>
      <w:r>
        <w:t xml:space="preserve">”</w:t>
      </w:r>
      <w:r>
        <w:t xml:space="preserve">)</w:t>
      </w:r>
    </w:p>
    <w:p>
      <w:pPr>
        <w:pStyle w:val="FirstParagraph"/>
      </w:pPr>
      <w:r>
        <w:rPr>
          <w:b/>
          <w:bCs/>
        </w:rPr>
        <w:t xml:space="preserve">Risk Level: Medium</w:t>
      </w:r>
    </w:p>
    <w:p>
      <w:pPr>
        <w:pStyle w:val="BodyText"/>
      </w:pPr>
      <w:r>
        <w:rPr>
          <w:b/>
          <w:bCs/>
        </w:rPr>
        <w:t xml:space="preserve">Documents Implicated:</w:t>
      </w:r>
      <w:r>
        <w:t xml:space="preserve"> </w:t>
      </w:r>
      <w:r>
        <w:t xml:space="preserve">Breach Log (Entry 5); Data Inventory (International Transfers IT-001; Processing Activities PA-007); Investor Email (§2).</w:t>
      </w:r>
    </w:p>
    <w:p>
      <w:pPr>
        <w:pStyle w:val="BodyText"/>
      </w:pPr>
      <w:r>
        <w:rPr>
          <w:b/>
          <w:bCs/>
        </w:rPr>
        <w:t xml:space="preserve">The Gap.</w:t>
      </w:r>
      <w:r>
        <w:t xml:space="preserve"> </w:t>
      </w:r>
      <w:r>
        <w:t xml:space="preserve">The Breach Log (Entry 5) records that</w:t>
      </w:r>
      <w:r>
        <w:t xml:space="preserve"> </w:t>
      </w:r>
      <w:r>
        <w:t xml:space="preserve">“</w:t>
      </w:r>
      <w:r>
        <w:t xml:space="preserve">CloudFort confirmed that all unauthorized data access occurred within its Ashburn, Virginia data center and that no access anomalies were detected on its Dublin, Ireland infrastructure, where EU-resident user data is partially replicated.</w:t>
      </w:r>
      <w:r>
        <w:t xml:space="preserve">”</w:t>
      </w:r>
      <w:r>
        <w:t xml:space="preserve"> </w:t>
      </w:r>
      <w:r>
        <w:t xml:space="preserve">The Data Inventory states the opposite: IT-001 records that</w:t>
      </w:r>
      <w:r>
        <w:t xml:space="preserve"> </w:t>
      </w:r>
      <w:r>
        <w:t xml:space="preserve">“</w:t>
      </w:r>
      <w:r>
        <w:t xml:space="preserve">[a]ll EU-resident user data is processed and stored on CloudFort Virginia servers,</w:t>
      </w:r>
      <w:r>
        <w:t xml:space="preserve">”</w:t>
      </w:r>
      <w:r>
        <w:t xml:space="preserve"> </w:t>
      </w:r>
      <w:r>
        <w:t xml:space="preserve">and PA-007 states that</w:t>
      </w:r>
      <w:r>
        <w:t xml:space="preserve"> </w:t>
      </w:r>
      <w:r>
        <w:t xml:space="preserve">“</w:t>
      </w:r>
      <w:r>
        <w:t xml:space="preserve">EU-resident user data (~23,000 users) [is] processed on Virginia servers.</w:t>
      </w:r>
      <w:r>
        <w:t xml:space="preserve">”</w:t>
      </w:r>
      <w:r>
        <w:t xml:space="preserve"> </w:t>
      </w:r>
      <w:r>
        <w:t xml:space="preserve">The Investor Email notes that CloudFort</w:t>
      </w:r>
      <w:r>
        <w:t xml:space="preserve"> </w:t>
      </w:r>
      <w:r>
        <w:t xml:space="preserve">“</w:t>
      </w:r>
      <w:r>
        <w:t xml:space="preserve">also maintains a data center facility in Dublin, Ireland, but it is unclear … whether EU user data is actually processed or stored at the Dublin facility.</w:t>
      </w:r>
      <w:r>
        <w:t xml:space="preserve">”</w:t>
      </w:r>
    </w:p>
    <w:p>
      <w:pPr>
        <w:pStyle w:val="BodyText"/>
      </w:pPr>
      <w:r>
        <w:rPr>
          <w:b/>
          <w:bCs/>
        </w:rPr>
        <w:t xml:space="preserve">Legal/Regulatory Implications.</w:t>
      </w:r>
      <w:r>
        <w:t xml:space="preserve"> </w:t>
      </w:r>
      <w:r>
        <w:t xml:space="preserve">This is a direct factual contradiction among the Reviewed Materials. If EU data is in fact partially replicated in Dublin, then (a) the Data Inventory’s transfer analysis is incomplete (some processing occurs in-EU, which would reduce — but not eliminate — transfer exposure), (b) the breach scope analysis should have expressly considered the Dublin replication, and (c) the transfer records provided to investors are inaccurate. If no Dublin replication actually occurs, the Breach Log statement is inaccurate. Either way, the inconsistency creates diligence risk and undermines the reliability of the compliance documentation.</w:t>
      </w:r>
    </w:p>
    <w:p>
      <w:pPr>
        <w:pStyle w:val="BodyText"/>
      </w:pPr>
      <w:r>
        <w:rPr>
          <w:b/>
          <w:bCs/>
        </w:rPr>
        <w:t xml:space="preserve">Recommended Remediation.</w:t>
      </w:r>
      <w:r>
        <w:t xml:space="preserve"> </w:t>
      </w:r>
      <w:r>
        <w:t xml:space="preserve">(1) Determine and document the actual location(s) of EU-resident personal data, including any replication; (2) reconcile the Breach Log and the Data Inventory; (3) update the transfer records (IT-001, PA-007) and the breach analysis to reflect the verified location; (4) if Dublin is used, assess whether EU-first processing can reduce Chapter V exposure (coordinated with Issue 1).</w:t>
      </w:r>
    </w:p>
    <w:p>
      <w:r>
        <w:pict>
          <v:rect style="width:0;height:1.5pt" o:hralign="center" o:hrstd="t" o:hr="t"/>
        </w:pict>
      </w:r>
    </w:p>
    <w:bookmarkEnd w:id="35"/>
    <w:bookmarkStart w:id="36" w:name="X1b259e5151ffbe79cb1b3ecc1cbb991d9033b48"/>
    <w:p>
      <w:pPr>
        <w:pStyle w:val="Heading3"/>
      </w:pPr>
      <w:r>
        <w:t xml:space="preserve">Issue 12 — Privacy Policy Staleness, Structure, and Readability</w:t>
      </w:r>
    </w:p>
    <w:p>
      <w:pPr>
        <w:pStyle w:val="FirstParagraph"/>
      </w:pPr>
      <w:r>
        <w:rPr>
          <w:b/>
          <w:bCs/>
        </w:rPr>
        <w:t xml:space="preserve">Risk Level: Medium</w:t>
      </w:r>
    </w:p>
    <w:p>
      <w:pPr>
        <w:pStyle w:val="BodyText"/>
      </w:pPr>
      <w:r>
        <w:rPr>
          <w:b/>
          <w:bCs/>
        </w:rPr>
        <w:t xml:space="preserve">Documents Implicated:</w:t>
      </w:r>
      <w:r>
        <w:t xml:space="preserve"> </w:t>
      </w:r>
      <w:r>
        <w:t xml:space="preserve">Privacy Policy (last updated January 15, 2023); Investor Email (§1).</w:t>
      </w:r>
    </w:p>
    <w:p>
      <w:pPr>
        <w:pStyle w:val="BodyText"/>
      </w:pPr>
      <w:r>
        <w:rPr>
          <w:b/>
          <w:bCs/>
        </w:rPr>
        <w:t xml:space="preserve">The Gap.</w:t>
      </w:r>
      <w:r>
        <w:t xml:space="preserve"> </w:t>
      </w:r>
      <w:r>
        <w:t xml:space="preserve">The Privacy Policy has not been updated in over two years. It predates the Selfie Verify launch (March 2023), the DSA First Amendment (June 2024), and the August 2024 breach, and it does not reflect the CPRA implementing regulations finalized after January 2023 or subsequent state privacy laws. The Investor Email reports that the policy comprises approximately 9,200 words of</w:t>
      </w:r>
      <w:r>
        <w:t xml:space="preserve"> </w:t>
      </w:r>
      <w:r>
        <w:t xml:space="preserve">“</w:t>
      </w:r>
      <w:r>
        <w:t xml:space="preserve">dense, unformatted legal prose with no section headers, table of contents, or layered disclosure structure,</w:t>
      </w:r>
      <w:r>
        <w:t xml:space="preserve">”</w:t>
      </w:r>
      <w:r>
        <w:t xml:space="preserve"> </w:t>
      </w:r>
      <w:r>
        <w:t xml:space="preserve">with an estimated Flesch-Kincaid grade level of approximately 18.2 (post-graduate).</w:t>
      </w:r>
    </w:p>
    <w:p>
      <w:pPr>
        <w:pStyle w:val="BodyText"/>
      </w:pPr>
      <w:r>
        <w:rPr>
          <w:b/>
          <w:bCs/>
        </w:rPr>
        <w:t xml:space="preserve">Legal/Regulatory Implications.</w:t>
      </w:r>
      <w:r>
        <w:t xml:space="preserve"> </w:t>
      </w:r>
      <w:r>
        <w:t xml:space="preserve">The FTC’s</w:t>
      </w:r>
      <w:r>
        <w:t xml:space="preserve"> </w:t>
      </w:r>
      <w:r>
        <w:t xml:space="preserve">“</w:t>
      </w:r>
      <w:r>
        <w:t xml:space="preserve">clear and conspicuous</w:t>
      </w:r>
      <w:r>
        <w:t xml:space="preserve">”</w:t>
      </w:r>
      <w:r>
        <w:t xml:space="preserve"> </w:t>
      </w:r>
      <w:r>
        <w:t xml:space="preserve">disclosure standard and the CPRA’s and GDPR’s transparency principles all favor layered, navigable, plain-language notices. A post-graduate reading level and the absence of any navigational structure undermine the effectiveness of the policy as a transparency instrument and weaken the enforceability of any consent predicated on it. The staleness also means that multiple material changes in data practices (Issues 2, 3, 5) have gone undisclosed.</w:t>
      </w:r>
    </w:p>
    <w:p>
      <w:pPr>
        <w:pStyle w:val="BodyText"/>
      </w:pPr>
      <w:r>
        <w:rPr>
          <w:b/>
          <w:bCs/>
        </w:rPr>
        <w:t xml:space="preserve">Recommended Remediation.</w:t>
      </w:r>
      <w:r>
        <w:t xml:space="preserve"> </w:t>
      </w:r>
      <w:r>
        <w:t xml:space="preserve">(1) Commission a comprehensive rewrite with a layered structure, section headers, a table of contents, and plain language targeted at no higher than an 8th–10th grade reading level; (2) update the</w:t>
      </w:r>
      <w:r>
        <w:t xml:space="preserve"> </w:t>
      </w:r>
      <w:r>
        <w:t xml:space="preserve">“</w:t>
      </w:r>
      <w:r>
        <w:t xml:space="preserve">Last Updated</w:t>
      </w:r>
      <w:r>
        <w:t xml:space="preserve">”</w:t>
      </w:r>
      <w:r>
        <w:t xml:space="preserve"> </w:t>
      </w:r>
      <w:r>
        <w:t xml:space="preserve">date and implement a material-change notice process (the current</w:t>
      </w:r>
      <w:r>
        <w:t xml:space="preserve"> </w:t>
      </w:r>
      <w:r>
        <w:t xml:space="preserve">“</w:t>
      </w:r>
      <w:r>
        <w:t xml:space="preserve">posting = notice</w:t>
      </w:r>
      <w:r>
        <w:t xml:space="preserve">”</w:t>
      </w:r>
      <w:r>
        <w:t xml:space="preserve"> </w:t>
      </w:r>
      <w:r>
        <w:t xml:space="preserve">approach is insufficient for material changes under most regimes); (3) align the rewrite with the remediation of all issues above.</w:t>
      </w:r>
    </w:p>
    <w:p>
      <w:r>
        <w:pict>
          <v:rect style="width:0;height:1.5pt" o:hralign="center" o:hrstd="t" o:hr="t"/>
        </w:pict>
      </w:r>
    </w:p>
    <w:bookmarkEnd w:id="36"/>
    <w:bookmarkStart w:id="37" w:name="X3df1cb09fe6d42ee8e96ce9c7fec5e3917ae18b"/>
    <w:p>
      <w:pPr>
        <w:pStyle w:val="Heading3"/>
      </w:pPr>
      <w:r>
        <w:t xml:space="preserve">Issue 13 — Partner Financial-Product Referrals: Potential Undisclosed</w:t>
      </w:r>
      <w:r>
        <w:t xml:space="preserve"> </w:t>
      </w:r>
      <w:r>
        <w:t xml:space="preserve">“</w:t>
      </w:r>
      <w:r>
        <w:t xml:space="preserve">Sale</w:t>
      </w:r>
      <w:r>
        <w:t xml:space="preserve">”</w:t>
      </w:r>
      <w:r>
        <w:t xml:space="preserve"> </w:t>
      </w:r>
      <w:r>
        <w:t xml:space="preserve">and GLBA Opt-Out Gap</w:t>
      </w:r>
    </w:p>
    <w:p>
      <w:pPr>
        <w:pStyle w:val="FirstParagraph"/>
      </w:pPr>
      <w:r>
        <w:rPr>
          <w:b/>
          <w:bCs/>
        </w:rPr>
        <w:t xml:space="preserve">Risk Level: Medium</w:t>
      </w:r>
    </w:p>
    <w:p>
      <w:pPr>
        <w:pStyle w:val="BodyText"/>
      </w:pPr>
      <w:r>
        <w:rPr>
          <w:b/>
          <w:bCs/>
        </w:rPr>
        <w:t xml:space="preserve">Documents Implicated:</w:t>
      </w:r>
      <w:r>
        <w:t xml:space="preserve"> </w:t>
      </w:r>
      <w:r>
        <w:t xml:space="preserve">Privacy Policy (How We Share Your Information — 14 partners); Data Inventory (Third-Party Sharing TS-003); Investor Email (§§4, 5).</w:t>
      </w:r>
    </w:p>
    <w:p>
      <w:pPr>
        <w:pStyle w:val="BodyText"/>
      </w:pPr>
      <w:r>
        <w:rPr>
          <w:b/>
          <w:bCs/>
        </w:rPr>
        <w:t xml:space="preserve">The Gap.</w:t>
      </w:r>
      <w:r>
        <w:t xml:space="preserve"> </w:t>
      </w:r>
      <w:r>
        <w:t xml:space="preserve">The Privacy Policy mentions</w:t>
      </w:r>
      <w:r>
        <w:t xml:space="preserve"> </w:t>
      </w:r>
      <w:r>
        <w:t xml:space="preserve">“</w:t>
      </w:r>
      <w:r>
        <w:t xml:space="preserve">approximately fourteen partner financial product providers</w:t>
      </w:r>
      <w:r>
        <w:t xml:space="preserve">”</w:t>
      </w:r>
      <w:r>
        <w:t xml:space="preserve"> </w:t>
      </w:r>
      <w:r>
        <w:t xml:space="preserve">for referral purposes and states that</w:t>
      </w:r>
      <w:r>
        <w:t xml:space="preserve"> </w:t>
      </w:r>
      <w:r>
        <w:t xml:space="preserve">“</w:t>
      </w:r>
      <w:r>
        <w:t xml:space="preserve">certain information about users may be shared with such partners.</w:t>
      </w:r>
      <w:r>
        <w:t xml:space="preserve">”</w:t>
      </w:r>
      <w:r>
        <w:t xml:space="preserve"> </w:t>
      </w:r>
      <w:r>
        <w:t xml:space="preserve">The Data Inventory (TS-003) records that 14 partner companies receive user name, email, age, income bracket, and credit-score range on user-initiated click-through, that a referral fee is earned per click-through/application, that the arrangement is</w:t>
      </w:r>
      <w:r>
        <w:t xml:space="preserve"> </w:t>
      </w:r>
      <w:r>
        <w:t xml:space="preserve">“</w:t>
      </w:r>
      <w:r>
        <w:t xml:space="preserve">potentially Sale (referral fee received),</w:t>
      </w:r>
      <w:r>
        <w:t xml:space="preserve">”</w:t>
      </w:r>
      <w:r>
        <w:t xml:space="preserve"> </w:t>
      </w:r>
      <w:r>
        <w:t xml:space="preserve">and that no opt-out is provided. The Privacy Policy does not disclose the referral-fee consideration, does not characterize the sharing as a sale, and provides no opt-out.</w:t>
      </w:r>
    </w:p>
    <w:p>
      <w:pPr>
        <w:pStyle w:val="BodyText"/>
      </w:pPr>
      <w:r>
        <w:rPr>
          <w:b/>
          <w:bCs/>
        </w:rPr>
        <w:t xml:space="preserve">Legal/Regulatory Implications.</w:t>
      </w:r>
      <w:r>
        <w:t xml:space="preserve"> </w:t>
      </w:r>
      <w:r>
        <w:t xml:space="preserve">The referral-fee consideration requires a CPRA</w:t>
      </w:r>
      <w:r>
        <w:t xml:space="preserve"> </w:t>
      </w:r>
      <w:r>
        <w:t xml:space="preserve">“</w:t>
      </w:r>
      <w:r>
        <w:t xml:space="preserve">sale</w:t>
      </w:r>
      <w:r>
        <w:t xml:space="preserve">”</w:t>
      </w:r>
      <w:r>
        <w:t xml:space="preserve"> </w:t>
      </w:r>
      <w:r>
        <w:t xml:space="preserve">analysis; if a sale, the</w:t>
      </w:r>
      <w:r>
        <w:t xml:space="preserve"> </w:t>
      </w:r>
      <w:r>
        <w:t xml:space="preserve">“</w:t>
      </w:r>
      <w:r>
        <w:t xml:space="preserve">Do Not Sell or Share</w:t>
      </w:r>
      <w:r>
        <w:t xml:space="preserve">”</w:t>
      </w:r>
      <w:r>
        <w:t xml:space="preserve"> </w:t>
      </w:r>
      <w:r>
        <w:t xml:space="preserve">disclosure and opt-out are required. If the GLBA applies (Issue 7), sharing nonpublic personal information with non-affiliated third parties for marketing/referral purposes generally requires an opt-out subject to statutory exceptions. Sharing a credit-score range with partners also raises FCRA considerations.</w:t>
      </w:r>
    </w:p>
    <w:p>
      <w:pPr>
        <w:pStyle w:val="BodyText"/>
      </w:pPr>
      <w:r>
        <w:rPr>
          <w:b/>
          <w:bCs/>
        </w:rPr>
        <w:t xml:space="preserve">Recommended Remediation.</w:t>
      </w:r>
      <w:r>
        <w:t xml:space="preserve"> </w:t>
      </w:r>
      <w:r>
        <w:t xml:space="preserve">(1) Conduct a CPRA</w:t>
      </w:r>
      <w:r>
        <w:t xml:space="preserve"> </w:t>
      </w:r>
      <w:r>
        <w:t xml:space="preserve">“</w:t>
      </w:r>
      <w:r>
        <w:t xml:space="preserve">sale</w:t>
      </w:r>
      <w:r>
        <w:t xml:space="preserve">”</w:t>
      </w:r>
      <w:r>
        <w:t xml:space="preserve"> </w:t>
      </w:r>
      <w:r>
        <w:t xml:space="preserve">analysis for the referral-fee model; (2) if a sale, add disclosure and opt-out; (3) conduct the GLBA opt-out analysis (coordinated with Issue 7); (4) review FCRA implications of sharing credit-score ranges; (5) update the Privacy Policy to describe the referral-fee consideration accurately.</w:t>
      </w:r>
    </w:p>
    <w:p>
      <w:r>
        <w:pict>
          <v:rect style="width:0;height:1.5pt" o:hralign="center" o:hrstd="t" o:hr="t"/>
        </w:pict>
      </w:r>
    </w:p>
    <w:bookmarkEnd w:id="37"/>
    <w:bookmarkStart w:id="38" w:name="X4b73b0c5fb93548ee481c764cb5123e3b9aafd8"/>
    <w:p>
      <w:pPr>
        <w:pStyle w:val="Heading3"/>
      </w:pPr>
      <w:r>
        <w:t xml:space="preserve">Issue 14 — DSA §9.2 Breach-Notification Obligation and Uncapped Indemnity Exposure</w:t>
      </w:r>
    </w:p>
    <w:p>
      <w:pPr>
        <w:pStyle w:val="FirstParagraph"/>
      </w:pPr>
      <w:r>
        <w:rPr>
          <w:b/>
          <w:bCs/>
        </w:rPr>
        <w:t xml:space="preserve">Risk Level: Medium</w:t>
      </w:r>
    </w:p>
    <w:p>
      <w:pPr>
        <w:pStyle w:val="BodyText"/>
      </w:pPr>
      <w:r>
        <w:rPr>
          <w:b/>
          <w:bCs/>
        </w:rPr>
        <w:t xml:space="preserve">Documents Implicated:</w:t>
      </w:r>
      <w:r>
        <w:t xml:space="preserve"> </w:t>
      </w:r>
      <w:r>
        <w:t xml:space="preserve">Data Sharing Agreement (§9.2; §11.1); Breach Log (Notification Log, Section 6).</w:t>
      </w:r>
    </w:p>
    <w:p>
      <w:pPr>
        <w:pStyle w:val="BodyText"/>
      </w:pPr>
      <w:r>
        <w:rPr>
          <w:b/>
          <w:bCs/>
        </w:rPr>
        <w:t xml:space="preserve">The Gap.</w:t>
      </w:r>
      <w:r>
        <w:t xml:space="preserve"> </w:t>
      </w:r>
      <w:r>
        <w:t xml:space="preserve">DSA §9.2 requires each party to notify the other in writing within 72 hours of discovering a security breach</w:t>
      </w:r>
      <w:r>
        <w:t xml:space="preserve"> </w:t>
      </w:r>
      <w:r>
        <w:t xml:space="preserve">“</w:t>
      </w:r>
      <w:r>
        <w:t xml:space="preserve">involving Shared Data or SDK Data.</w:t>
      </w:r>
      <w:r>
        <w:t xml:space="preserve">”</w:t>
      </w:r>
      <w:r>
        <w:t xml:space="preserve"> </w:t>
      </w:r>
      <w:r>
        <w:t xml:space="preserve">The Breach Log’s Notification Log reflects no notification to Brightly. The breached production database contained raw email addresses (the source from which the hashed-email Shared Data is derived) and the underlying transaction/income data from which the spending-summary and income-bracket Shared Data are derived; the SDK Data, by contrast, is collected by Brightly’s SDK on-device and is not stored in Vaultline’s database. Whether the breach</w:t>
      </w:r>
      <w:r>
        <w:t xml:space="preserve"> </w:t>
      </w:r>
      <w:r>
        <w:t xml:space="preserve">“</w:t>
      </w:r>
      <w:r>
        <w:t xml:space="preserve">involved Shared Data or SDK Data</w:t>
      </w:r>
      <w:r>
        <w:t xml:space="preserve">”</w:t>
      </w:r>
      <w:r>
        <w:t xml:space="preserve"> </w:t>
      </w:r>
      <w:r>
        <w:t xml:space="preserve">within the meaning of §9.2 is therefore a gray area that has not been analyzed or documented.</w:t>
      </w:r>
    </w:p>
    <w:p>
      <w:pPr>
        <w:pStyle w:val="BodyText"/>
      </w:pPr>
      <w:r>
        <w:rPr>
          <w:b/>
          <w:bCs/>
        </w:rPr>
        <w:t xml:space="preserve">Legal/Regulatory Implications.</w:t>
      </w:r>
      <w:r>
        <w:t xml:space="preserve"> </w:t>
      </w:r>
      <w:r>
        <w:t xml:space="preserve">If the breach is deemed to involve Shared Data, the 72-hour DSA notification obligation (running from August 12, 2024) was likely missed. More significantly, Vaultline’s indemnity to Brightly under §11.1 — which covers</w:t>
      </w:r>
      <w:r>
        <w:t xml:space="preserve"> </w:t>
      </w:r>
      <w:r>
        <w:t xml:space="preserve">“</w:t>
      </w:r>
      <w:r>
        <w:t xml:space="preserve">any claim that Vaultline’s collection or sharing of Shared Data violates applicable law</w:t>
      </w:r>
      <w:r>
        <w:t xml:space="preserve">”</w:t>
      </w:r>
      <w:r>
        <w:t xml:space="preserve"> </w:t>
      </w:r>
      <w:r>
        <w:t xml:space="preserve">and</w:t>
      </w:r>
      <w:r>
        <w:t xml:space="preserve"> </w:t>
      </w:r>
      <w:r>
        <w:t xml:space="preserve">“</w:t>
      </w:r>
      <w:r>
        <w:t xml:space="preserve">any claim arising from Vaultline’s failure to obtain required consents</w:t>
      </w:r>
      <w:r>
        <w:t xml:space="preserve">”</w:t>
      </w:r>
      <w:r>
        <w:t xml:space="preserve"> </w:t>
      </w:r>
      <w:r>
        <w:t xml:space="preserve">— is carved out of the §12.1 liability cap and is therefore effectively uncapped, and is triggered by the very compliance gaps identified in Issues 5 and 6. Even if §9.2 was not strictly triggered, a good-faith notice may have been warranted.</w:t>
      </w:r>
    </w:p>
    <w:p>
      <w:pPr>
        <w:pStyle w:val="BodyText"/>
      </w:pPr>
      <w:r>
        <w:rPr>
          <w:b/>
          <w:bCs/>
        </w:rPr>
        <w:t xml:space="preserve">Recommended Remediation.</w:t>
      </w:r>
      <w:r>
        <w:t xml:space="preserve"> </w:t>
      </w:r>
      <w:r>
        <w:t xml:space="preserve">(1) Analyze under privilege whether the breach</w:t>
      </w:r>
      <w:r>
        <w:t xml:space="preserve"> </w:t>
      </w:r>
      <w:r>
        <w:t xml:space="preserve">“</w:t>
      </w:r>
      <w:r>
        <w:t xml:space="preserve">involved Shared Data or SDK Data</w:t>
      </w:r>
      <w:r>
        <w:t xml:space="preserve">”</w:t>
      </w:r>
      <w:r>
        <w:t xml:space="preserve"> </w:t>
      </w:r>
      <w:r>
        <w:t xml:space="preserve">per the DSA definitions; (2) if so, assess the consequences of the missed 72-hour notice and consider curative notice to Brightly; (3) quantify and reserve for the §11.1 indemnity exposure, which is uncapped and tied to the CPRA sale/sharing and consent gaps; (4) consider negotiating a cap or carve-back on the §11.1 indemnity in connection with any DSA amendment.</w:t>
      </w:r>
    </w:p>
    <w:p>
      <w:r>
        <w:pict>
          <v:rect style="width:0;height:1.5pt" o:hralign="center" o:hrstd="t" o:hr="t"/>
        </w:pict>
      </w:r>
    </w:p>
    <w:bookmarkEnd w:id="38"/>
    <w:bookmarkStart w:id="39" w:name="Xd10d5cb024c7c9795481e47ab4967b2fbaa6cd9"/>
    <w:p>
      <w:pPr>
        <w:pStyle w:val="Heading3"/>
      </w:pPr>
      <w:r>
        <w:t xml:space="preserve">Issue 15 — Security Representations vs. Actual Controls Revealed by the Breach Root Cause</w:t>
      </w:r>
    </w:p>
    <w:p>
      <w:pPr>
        <w:pStyle w:val="FirstParagraph"/>
      </w:pPr>
      <w:r>
        <w:rPr>
          <w:b/>
          <w:bCs/>
        </w:rPr>
        <w:t xml:space="preserve">Risk Level: Medium</w:t>
      </w:r>
    </w:p>
    <w:p>
      <w:pPr>
        <w:pStyle w:val="BodyText"/>
      </w:pPr>
      <w:r>
        <w:rPr>
          <w:b/>
          <w:bCs/>
        </w:rPr>
        <w:t xml:space="preserve">Documents Implicated:</w:t>
      </w:r>
      <w:r>
        <w:t xml:space="preserve"> </w:t>
      </w:r>
      <w:r>
        <w:t xml:space="preserve">Privacy Policy (Data Security —</w:t>
      </w:r>
      <w:r>
        <w:t xml:space="preserve"> </w:t>
      </w:r>
      <w:r>
        <w:t xml:space="preserve">“</w:t>
      </w:r>
      <w:r>
        <w:t xml:space="preserve">commercially reasonable security measures</w:t>
      </w:r>
      <w:r>
        <w:t xml:space="preserve">”</w:t>
      </w:r>
      <w:r>
        <w:t xml:space="preserve">); Breach Log (Entries 2, 8, 9).</w:t>
      </w:r>
    </w:p>
    <w:p>
      <w:pPr>
        <w:pStyle w:val="BodyText"/>
      </w:pPr>
      <w:r>
        <w:rPr>
          <w:b/>
          <w:bCs/>
        </w:rPr>
        <w:t xml:space="preserve">The Gap.</w:t>
      </w:r>
      <w:r>
        <w:t xml:space="preserve"> </w:t>
      </w:r>
      <w:r>
        <w:t xml:space="preserve">The Privacy Policy represents that Vaultline</w:t>
      </w:r>
      <w:r>
        <w:t xml:space="preserve"> </w:t>
      </w:r>
      <w:r>
        <w:t xml:space="preserve">“</w:t>
      </w:r>
      <w:r>
        <w:t xml:space="preserve">implement[s] commercially reasonable security measures</w:t>
      </w:r>
      <w:r>
        <w:t xml:space="preserve">”</w:t>
      </w:r>
      <w:r>
        <w:t xml:space="preserve"> </w:t>
      </w:r>
      <w:r>
        <w:t xml:space="preserve">and maintains</w:t>
      </w:r>
      <w:r>
        <w:t xml:space="preserve"> </w:t>
      </w:r>
      <w:r>
        <w:t xml:space="preserve">“</w:t>
      </w:r>
      <w:r>
        <w:t xml:space="preserve">a comprehensive information security program.</w:t>
      </w:r>
      <w:r>
        <w:t xml:space="preserve">”</w:t>
      </w:r>
      <w:r>
        <w:t xml:space="preserve"> </w:t>
      </w:r>
      <w:r>
        <w:t xml:space="preserve">The Breach Log’s root-cause analysis reveals that the breach was enabled by (a) a compromised employee credential obtained via a phishing email, (b) multi-factor authentication that was</w:t>
      </w:r>
      <w:r>
        <w:t xml:space="preserve"> </w:t>
      </w:r>
      <w:r>
        <w:t xml:space="preserve">“</w:t>
      </w:r>
      <w:r>
        <w:t xml:space="preserve">previously optional for VPN access,</w:t>
      </w:r>
      <w:r>
        <w:t xml:space="preserve">”</w:t>
      </w:r>
      <w:r>
        <w:t xml:space="preserve"> </w:t>
      </w:r>
      <w:r>
        <w:t xml:space="preserve">and (c)</w:t>
      </w:r>
      <w:r>
        <w:t xml:space="preserve"> </w:t>
      </w:r>
      <w:r>
        <w:t xml:space="preserve">“</w:t>
      </w:r>
      <w:r>
        <w:t xml:space="preserve">broad read-access previously granted to DevOps service accounts</w:t>
      </w:r>
      <w:r>
        <w:t xml:space="preserve">”</w:t>
      </w:r>
      <w:r>
        <w:t xml:space="preserve"> </w:t>
      </w:r>
      <w:r>
        <w:t xml:space="preserve">— i.e., the absence of baseline controls (mandatory MFA, least-privilege access) that are commonly regarded as commercially reasonable.</w:t>
      </w:r>
    </w:p>
    <w:p>
      <w:pPr>
        <w:pStyle w:val="BodyText"/>
      </w:pPr>
      <w:r>
        <w:rPr>
          <w:b/>
          <w:bCs/>
        </w:rPr>
        <w:t xml:space="preserve">Legal/Regulatory Implications.</w:t>
      </w:r>
      <w:r>
        <w:t xml:space="preserve"> </w:t>
      </w:r>
      <w:r>
        <w:t xml:space="preserve">The gap between the Privacy Policy’s security representation and the actual controls in place at the time of the breach creates a potential misrepresentation concern, supports breach-litigation and regulatory theories predicated on inadequate security, and is a diligence red flag. The post-breach remediation (mandatory MFA, least-privilege tightening, annual penetration testing) cures the controls going forward but does not cure the historical gap.</w:t>
      </w:r>
    </w:p>
    <w:p>
      <w:pPr>
        <w:pStyle w:val="BodyText"/>
      </w:pPr>
      <w:r>
        <w:rPr>
          <w:b/>
          <w:bCs/>
        </w:rPr>
        <w:t xml:space="preserve">Recommended Remediation.</w:t>
      </w:r>
      <w:r>
        <w:t xml:space="preserve"> </w:t>
      </w:r>
      <w:r>
        <w:t xml:space="preserve">(1) Ensure the Privacy Policy’s security statements are accurate and not overstated; (2) maintain the post-breach controls (mandatory MFA, least privilege, phishing training, annual penetration testing) and document the program; (3) pursue SOC 2 Type II attestation; (4) consider whether the security representation should be qualified to track actual practices.</w:t>
      </w:r>
    </w:p>
    <w:p>
      <w:r>
        <w:pict>
          <v:rect style="width:0;height:1.5pt" o:hralign="center" o:hrstd="t" o:hr="t"/>
        </w:pict>
      </w:r>
    </w:p>
    <w:bookmarkEnd w:id="39"/>
    <w:bookmarkEnd w:id="40"/>
    <w:bookmarkStart w:id="41" w:name="Xef5b2dc721a1be2383aa1f404a32c8530c2d033"/>
    <w:p>
      <w:pPr>
        <w:pStyle w:val="Heading2"/>
      </w:pPr>
      <w:r>
        <w:t xml:space="preserve">V. Consolidated Cross-Document Inconsistencies</w:t>
      </w:r>
    </w:p>
    <w:p>
      <w:pPr>
        <w:pStyle w:val="FirstParagraph"/>
      </w:pPr>
      <w:r>
        <w:t xml:space="preserve">The following table consolidates the points at which the Reviewed Materials contradict one another or where one document’s disclosure contradicts another’s representation. These inconsistencies are themselves compliance and diligence risks and should be reconciled.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Document A (statement)</w:t>
            </w:r>
          </w:p>
        </w:tc>
        <w:tc>
          <w:tcPr/>
          <w:p>
            <w:pPr>
              <w:pStyle w:val="Compact"/>
              <w:jc w:val="left"/>
            </w:pPr>
            <w:r>
              <w:t xml:space="preserve">Document B (contradicting statement)</w:t>
            </w:r>
          </w:p>
        </w:tc>
        <w:tc>
          <w:tcPr/>
          <w:p>
            <w:pPr>
              <w:pStyle w:val="Compact"/>
              <w:jc w:val="left"/>
            </w:pPr>
            <w:r>
              <w:t xml:space="preserve">Implication</w:t>
            </w:r>
          </w:p>
        </w:tc>
      </w:tr>
      <w:tr>
        <w:tc>
          <w:tcPr/>
          <w:p>
            <w:pPr>
              <w:pStyle w:val="Compact"/>
              <w:jc w:val="left"/>
            </w:pPr>
            <w:r>
              <w:t xml:space="preserve">1</w:t>
            </w:r>
          </w:p>
        </w:tc>
        <w:tc>
          <w:tcPr/>
          <w:p>
            <w:pPr>
              <w:pStyle w:val="Compact"/>
              <w:jc w:val="left"/>
            </w:pPr>
            <w:r>
              <w:t xml:space="preserve">EU data location</w:t>
            </w:r>
          </w:p>
        </w:tc>
        <w:tc>
          <w:tcPr/>
          <w:p>
            <w:pPr>
              <w:pStyle w:val="Compact"/>
              <w:jc w:val="left"/>
            </w:pPr>
            <w:r>
              <w:t xml:space="preserve">Breach Log Entry 5: EU data</w:t>
            </w:r>
            <w:r>
              <w:t xml:space="preserve"> </w:t>
            </w:r>
            <w:r>
              <w:t xml:space="preserve">“</w:t>
            </w:r>
            <w:r>
              <w:t xml:space="preserve">partially replicated</w:t>
            </w:r>
            <w:r>
              <w:t xml:space="preserve">”</w:t>
            </w:r>
            <w:r>
              <w:t xml:space="preserve"> </w:t>
            </w:r>
            <w:r>
              <w:t xml:space="preserve">in Dublin</w:t>
            </w:r>
          </w:p>
        </w:tc>
        <w:tc>
          <w:tcPr/>
          <w:p>
            <w:pPr>
              <w:pStyle w:val="Compact"/>
              <w:jc w:val="left"/>
            </w:pPr>
            <w:r>
              <w:t xml:space="preserve">Data Inventory IT-001/PA-007:</w:t>
            </w:r>
            <w:r>
              <w:t xml:space="preserve"> </w:t>
            </w:r>
            <w:r>
              <w:t xml:space="preserve">“</w:t>
            </w:r>
            <w:r>
              <w:t xml:space="preserve">All EU-resident user data … on CloudFort Virginia servers</w:t>
            </w:r>
            <w:r>
              <w:t xml:space="preserve">”</w:t>
            </w:r>
          </w:p>
        </w:tc>
        <w:tc>
          <w:tcPr/>
          <w:p>
            <w:pPr>
              <w:pStyle w:val="Compact"/>
              <w:jc w:val="left"/>
            </w:pPr>
            <w:r>
              <w:t xml:space="preserve">Transfer analysis and breach scope unreliable</w:t>
            </w:r>
          </w:p>
        </w:tc>
      </w:tr>
      <w:tr>
        <w:tc>
          <w:tcPr/>
          <w:p>
            <w:pPr>
              <w:pStyle w:val="Compact"/>
              <w:jc w:val="left"/>
            </w:pPr>
            <w:r>
              <w:t xml:space="preserve">2</w:t>
            </w:r>
          </w:p>
        </w:tc>
        <w:tc>
          <w:tcPr/>
          <w:p>
            <w:pPr>
              <w:pStyle w:val="Compact"/>
              <w:jc w:val="left"/>
            </w:pPr>
            <w:r>
              <w:t xml:space="preserve">“</w:t>
            </w:r>
            <w:r>
              <w:t xml:space="preserve">Sale</w:t>
            </w:r>
            <w:r>
              <w:t xml:space="preserve">”</w:t>
            </w:r>
            <w:r>
              <w:t xml:space="preserve"> </w:t>
            </w:r>
            <w:r>
              <w:t xml:space="preserve">of data</w:t>
            </w:r>
          </w:p>
        </w:tc>
        <w:tc>
          <w:tcPr/>
          <w:p>
            <w:pPr>
              <w:pStyle w:val="Compact"/>
              <w:jc w:val="left"/>
            </w:pPr>
            <w:r>
              <w:t xml:space="preserve">Privacy Policy (Nevada):</w:t>
            </w:r>
            <w:r>
              <w:t xml:space="preserve"> </w:t>
            </w:r>
            <w:r>
              <w:t xml:space="preserve">“</w:t>
            </w:r>
            <w:r>
              <w:t xml:space="preserve">does not currently engage in the sale of covered information</w:t>
            </w:r>
            <w:r>
              <w:t xml:space="preserve">”</w:t>
            </w:r>
          </w:p>
        </w:tc>
        <w:tc>
          <w:tcPr/>
          <w:p>
            <w:pPr>
              <w:pStyle w:val="Compact"/>
              <w:jc w:val="left"/>
            </w:pPr>
            <w:r>
              <w:t xml:space="preserve">DSA §5.1 + Data Inventory TS-002: $0.87/MAU revenue share (~$2.64M/yr)</w:t>
            </w:r>
          </w:p>
        </w:tc>
        <w:tc>
          <w:tcPr/>
          <w:p>
            <w:pPr>
              <w:pStyle w:val="Compact"/>
              <w:jc w:val="left"/>
            </w:pPr>
            <w:r>
              <w:t xml:space="preserve">Direct misrepresentation; CPRA sale undisclosed</w:t>
            </w:r>
          </w:p>
        </w:tc>
      </w:tr>
      <w:tr>
        <w:tc>
          <w:tcPr/>
          <w:p>
            <w:pPr>
              <w:pStyle w:val="Compact"/>
              <w:jc w:val="left"/>
            </w:pPr>
            <w:r>
              <w:t xml:space="preserve">3</w:t>
            </w:r>
          </w:p>
        </w:tc>
        <w:tc>
          <w:tcPr/>
          <w:p>
            <w:pPr>
              <w:pStyle w:val="Compact"/>
              <w:jc w:val="left"/>
            </w:pPr>
            <w:r>
              <w:t xml:space="preserve">Service-provider characterization</w:t>
            </w:r>
          </w:p>
        </w:tc>
        <w:tc>
          <w:tcPr/>
          <w:p>
            <w:pPr>
              <w:pStyle w:val="Compact"/>
              <w:jc w:val="left"/>
            </w:pPr>
            <w:r>
              <w:t xml:space="preserve">Privacy Policy: service providers use data</w:t>
            </w:r>
            <w:r>
              <w:t xml:space="preserve"> </w:t>
            </w:r>
            <w:r>
              <w:t xml:space="preserve">“</w:t>
            </w:r>
            <w:r>
              <w:t xml:space="preserve">solely for performing services</w:t>
            </w:r>
            <w:r>
              <w:t xml:space="preserve">”</w:t>
            </w:r>
          </w:p>
        </w:tc>
        <w:tc>
          <w:tcPr/>
          <w:p>
            <w:pPr>
              <w:pStyle w:val="Compact"/>
              <w:jc w:val="left"/>
            </w:pPr>
            <w:r>
              <w:t xml:space="preserve">DSA §§4.1–4.2: Brightly is independent controller, uses data for own commercial purposes</w:t>
            </w:r>
          </w:p>
        </w:tc>
        <w:tc>
          <w:tcPr/>
          <w:p>
            <w:pPr>
              <w:pStyle w:val="Compact"/>
              <w:jc w:val="left"/>
            </w:pPr>
            <w:r>
              <w:t xml:space="preserve">Policy does not describe actual Brightly relationship</w:t>
            </w:r>
          </w:p>
        </w:tc>
      </w:tr>
      <w:tr>
        <w:tc>
          <w:tcPr/>
          <w:p>
            <w:pPr>
              <w:pStyle w:val="Compact"/>
              <w:jc w:val="left"/>
            </w:pPr>
            <w:r>
              <w:t xml:space="preserve">4</w:t>
            </w:r>
          </w:p>
        </w:tc>
        <w:tc>
          <w:tcPr/>
          <w:p>
            <w:pPr>
              <w:pStyle w:val="Compact"/>
              <w:jc w:val="left"/>
            </w:pPr>
            <w:r>
              <w:t xml:space="preserve">DSA consistency representation</w:t>
            </w:r>
          </w:p>
        </w:tc>
        <w:tc>
          <w:tcPr/>
          <w:p>
            <w:pPr>
              <w:pStyle w:val="Compact"/>
              <w:jc w:val="left"/>
            </w:pPr>
            <w:r>
              <w:t xml:space="preserve">DSA §7.1(b): sharing</w:t>
            </w:r>
            <w:r>
              <w:t xml:space="preserve"> </w:t>
            </w:r>
            <w:r>
              <w:t xml:space="preserve">“</w:t>
            </w:r>
            <w:r>
              <w:t xml:space="preserve">consistent with Vaultline’s privacy policy</w:t>
            </w:r>
            <w:r>
              <w:t xml:space="preserve">”</w:t>
            </w:r>
          </w:p>
        </w:tc>
        <w:tc>
          <w:tcPr/>
          <w:p>
            <w:pPr>
              <w:pStyle w:val="Compact"/>
              <w:jc w:val="left"/>
            </w:pPr>
            <w:r>
              <w:t xml:space="preserve">Privacy Policy: does not disclose Brightly specifics, sale, or audience-segment licensing</w:t>
            </w:r>
          </w:p>
        </w:tc>
        <w:tc>
          <w:tcPr/>
          <w:p>
            <w:pPr>
              <w:pStyle w:val="Compact"/>
              <w:jc w:val="left"/>
            </w:pPr>
            <w:r>
              <w:t xml:space="preserve">Representation may be inaccurate; indemnity trigger</w:t>
            </w:r>
          </w:p>
        </w:tc>
      </w:tr>
      <w:tr>
        <w:tc>
          <w:tcPr/>
          <w:p>
            <w:pPr>
              <w:pStyle w:val="Compact"/>
              <w:jc w:val="left"/>
            </w:pPr>
            <w:r>
              <w:t xml:space="preserve">5</w:t>
            </w:r>
          </w:p>
        </w:tc>
        <w:tc>
          <w:tcPr/>
          <w:p>
            <w:pPr>
              <w:pStyle w:val="Compact"/>
              <w:jc w:val="left"/>
            </w:pPr>
            <w:r>
              <w:t xml:space="preserve">Biometric disclosure</w:t>
            </w:r>
          </w:p>
        </w:tc>
        <w:tc>
          <w:tcPr/>
          <w:p>
            <w:pPr>
              <w:pStyle w:val="Compact"/>
              <w:jc w:val="left"/>
            </w:pPr>
            <w:r>
              <w:t xml:space="preserve">Privacy Policy: silent on biometrics</w:t>
            </w:r>
          </w:p>
        </w:tc>
        <w:tc>
          <w:tcPr/>
          <w:p>
            <w:pPr>
              <w:pStyle w:val="Compact"/>
              <w:jc w:val="left"/>
            </w:pPr>
            <w:r>
              <w:t xml:space="preserve">Data Inventory DC-011/Selfie Verify: ~1.9M users, facial geometry</w:t>
            </w:r>
          </w:p>
        </w:tc>
        <w:tc>
          <w:tcPr/>
          <w:p>
            <w:pPr>
              <w:pStyle w:val="Compact"/>
              <w:jc w:val="left"/>
            </w:pPr>
            <w:r>
              <w:t xml:space="preserve">Undisclosed sensitive-PI processing</w:t>
            </w:r>
          </w:p>
        </w:tc>
      </w:tr>
      <w:tr>
        <w:tc>
          <w:tcPr/>
          <w:p>
            <w:pPr>
              <w:pStyle w:val="Compact"/>
              <w:jc w:val="left"/>
            </w:pPr>
            <w:r>
              <w:t xml:space="preserve">6</w:t>
            </w:r>
          </w:p>
        </w:tc>
        <w:tc>
          <w:tcPr/>
          <w:p>
            <w:pPr>
              <w:pStyle w:val="Compact"/>
              <w:jc w:val="left"/>
            </w:pPr>
            <w:r>
              <w:t xml:space="preserve">Automated decision-making</w:t>
            </w:r>
          </w:p>
        </w:tc>
        <w:tc>
          <w:tcPr/>
          <w:p>
            <w:pPr>
              <w:pStyle w:val="Compact"/>
              <w:jc w:val="left"/>
            </w:pPr>
            <w:r>
              <w:t xml:space="preserve">Privacy Policy: silent</w:t>
            </w:r>
          </w:p>
        </w:tc>
        <w:tc>
          <w:tcPr/>
          <w:p>
            <w:pPr>
              <w:pStyle w:val="Compact"/>
              <w:jc w:val="left"/>
            </w:pPr>
            <w:r>
              <w:t xml:space="preserve">Data Inventory PA-003: ~2.8M users, significant-effect AI</w:t>
            </w:r>
          </w:p>
        </w:tc>
        <w:tc>
          <w:tcPr/>
          <w:p>
            <w:pPr>
              <w:pStyle w:val="Compact"/>
              <w:jc w:val="left"/>
            </w:pPr>
            <w:r>
              <w:t xml:space="preserve">Undisclosed Art. 22 processing</w:t>
            </w:r>
          </w:p>
        </w:tc>
      </w:tr>
      <w:tr>
        <w:tc>
          <w:tcPr/>
          <w:p>
            <w:pPr>
              <w:pStyle w:val="Compact"/>
              <w:jc w:val="left"/>
            </w:pPr>
            <w:r>
              <w:t xml:space="preserve">7</w:t>
            </w:r>
          </w:p>
        </w:tc>
        <w:tc>
          <w:tcPr/>
          <w:p>
            <w:pPr>
              <w:pStyle w:val="Compact"/>
              <w:jc w:val="left"/>
            </w:pPr>
            <w:r>
              <w:t xml:space="preserve">Sensitive-PI classification</w:t>
            </w:r>
          </w:p>
        </w:tc>
        <w:tc>
          <w:tcPr/>
          <w:p>
            <w:pPr>
              <w:pStyle w:val="Compact"/>
              <w:jc w:val="left"/>
            </w:pPr>
            <w:r>
              <w:t xml:space="preserve">Privacy Policy: no category classified as sensitive</w:t>
            </w:r>
          </w:p>
        </w:tc>
        <w:tc>
          <w:tcPr/>
          <w:p>
            <w:pPr>
              <w:pStyle w:val="Compact"/>
              <w:jc w:val="left"/>
            </w:pPr>
            <w:r>
              <w:t xml:space="preserve">Data Inventory: 7 categories flagged CPRA sensitive PI</w:t>
            </w:r>
          </w:p>
        </w:tc>
        <w:tc>
          <w:tcPr/>
          <w:p>
            <w:pPr>
              <w:pStyle w:val="Compact"/>
              <w:jc w:val="left"/>
            </w:pPr>
            <w:r>
              <w:t xml:space="preserve">CPRA sensitive-PI disclosures missing</w:t>
            </w:r>
          </w:p>
        </w:tc>
      </w:tr>
      <w:tr>
        <w:tc>
          <w:tcPr/>
          <w:p>
            <w:pPr>
              <w:pStyle w:val="Compact"/>
              <w:jc w:val="left"/>
            </w:pPr>
            <w:r>
              <w:t xml:space="preserve">8</w:t>
            </w:r>
          </w:p>
        </w:tc>
        <w:tc>
          <w:tcPr/>
          <w:p>
            <w:pPr>
              <w:pStyle w:val="Compact"/>
              <w:jc w:val="left"/>
            </w:pPr>
            <w:r>
              <w:t xml:space="preserve">Retention periods</w:t>
            </w:r>
          </w:p>
        </w:tc>
        <w:tc>
          <w:tcPr/>
          <w:p>
            <w:pPr>
              <w:pStyle w:val="Compact"/>
              <w:jc w:val="left"/>
            </w:pPr>
            <w:r>
              <w:t xml:space="preserve">Privacy Policy: no specific periods</w:t>
            </w:r>
          </w:p>
        </w:tc>
        <w:tc>
          <w:tcPr/>
          <w:p>
            <w:pPr>
              <w:pStyle w:val="Compact"/>
              <w:jc w:val="left"/>
            </w:pPr>
            <w:r>
              <w:t xml:space="preserve">Data Inventory: all categories</w:t>
            </w:r>
            <w:r>
              <w:t xml:space="preserve"> </w:t>
            </w:r>
            <w:r>
              <w:t xml:space="preserve">“</w:t>
            </w:r>
            <w:r>
              <w:t xml:space="preserve">Indefinite</w:t>
            </w:r>
            <w:r>
              <w:t xml:space="preserve">”</w:t>
            </w:r>
          </w:p>
        </w:tc>
        <w:tc>
          <w:tcPr/>
          <w:p>
            <w:pPr>
              <w:pStyle w:val="Compact"/>
              <w:jc w:val="left"/>
            </w:pPr>
            <w:r>
              <w:t xml:space="preserve">CPRA/GDPR retention disclosure missing</w:t>
            </w:r>
          </w:p>
        </w:tc>
      </w:tr>
      <w:tr>
        <w:tc>
          <w:tcPr/>
          <w:p>
            <w:pPr>
              <w:pStyle w:val="Compact"/>
              <w:jc w:val="left"/>
            </w:pPr>
            <w:r>
              <w:t xml:space="preserve">9</w:t>
            </w:r>
          </w:p>
        </w:tc>
        <w:tc>
          <w:tcPr/>
          <w:p>
            <w:pPr>
              <w:pStyle w:val="Compact"/>
              <w:jc w:val="left"/>
            </w:pPr>
            <w:r>
              <w:t xml:space="preserve">Transfer mechanism</w:t>
            </w:r>
          </w:p>
        </w:tc>
        <w:tc>
          <w:tcPr/>
          <w:p>
            <w:pPr>
              <w:pStyle w:val="Compact"/>
              <w:jc w:val="left"/>
            </w:pPr>
            <w:r>
              <w:t xml:space="preserve">Privacy Policy: relies on EU-U.S. Privacy Shield</w:t>
            </w:r>
          </w:p>
        </w:tc>
        <w:tc>
          <w:tcPr/>
          <w:p>
            <w:pPr>
              <w:pStyle w:val="Compact"/>
              <w:jc w:val="left"/>
            </w:pPr>
            <w:r>
              <w:t xml:space="preserve">Data Inventory IT-001 + Investor Email: Privacy Shield invalidated (Schrems II)</w:t>
            </w:r>
          </w:p>
        </w:tc>
        <w:tc>
          <w:tcPr/>
          <w:p>
            <w:pPr>
              <w:pStyle w:val="Compact"/>
              <w:jc w:val="left"/>
            </w:pPr>
            <w:r>
              <w:t xml:space="preserve">Invalid transfer mechanism</w:t>
            </w:r>
          </w:p>
        </w:tc>
      </w:tr>
      <w:tr>
        <w:tc>
          <w:tcPr/>
          <w:p>
            <w:pPr>
              <w:pStyle w:val="Compact"/>
              <w:jc w:val="left"/>
            </w:pPr>
            <w:r>
              <w:t xml:space="preserve">10</w:t>
            </w:r>
          </w:p>
        </w:tc>
        <w:tc>
          <w:tcPr/>
          <w:p>
            <w:pPr>
              <w:pStyle w:val="Compact"/>
              <w:jc w:val="left"/>
            </w:pPr>
            <w:r>
              <w:t xml:space="preserve">Security posture</w:t>
            </w:r>
          </w:p>
        </w:tc>
        <w:tc>
          <w:tcPr/>
          <w:p>
            <w:pPr>
              <w:pStyle w:val="Compact"/>
              <w:jc w:val="left"/>
            </w:pPr>
            <w:r>
              <w:t xml:space="preserve">Privacy Policy:</w:t>
            </w:r>
            <w:r>
              <w:t xml:space="preserve"> </w:t>
            </w:r>
            <w:r>
              <w:t xml:space="preserve">“</w:t>
            </w:r>
            <w:r>
              <w:t xml:space="preserve">commercially reasonable security measures</w:t>
            </w:r>
            <w:r>
              <w:t xml:space="preserve">”</w:t>
            </w:r>
          </w:p>
        </w:tc>
        <w:tc>
          <w:tcPr/>
          <w:p>
            <w:pPr>
              <w:pStyle w:val="Compact"/>
              <w:jc w:val="left"/>
            </w:pPr>
            <w:r>
              <w:t xml:space="preserve">Breach Log: optional VPN MFA, permissive DevOps read-access</w:t>
            </w:r>
          </w:p>
        </w:tc>
        <w:tc>
          <w:tcPr/>
          <w:p>
            <w:pPr>
              <w:pStyle w:val="Compact"/>
              <w:jc w:val="left"/>
            </w:pPr>
            <w:r>
              <w:t xml:space="preserve">Potential misrepresentation</w:t>
            </w:r>
          </w:p>
        </w:tc>
      </w:tr>
      <w:tr>
        <w:tc>
          <w:tcPr/>
          <w:p>
            <w:pPr>
              <w:pStyle w:val="Compact"/>
              <w:jc w:val="left"/>
            </w:pPr>
            <w:r>
              <w:t xml:space="preserve">11</w:t>
            </w:r>
          </w:p>
        </w:tc>
        <w:tc>
          <w:tcPr/>
          <w:p>
            <w:pPr>
              <w:pStyle w:val="Compact"/>
              <w:jc w:val="left"/>
            </w:pPr>
            <w:r>
              <w:t xml:space="preserve">Breach notification (Brightly)</w:t>
            </w:r>
          </w:p>
        </w:tc>
        <w:tc>
          <w:tcPr/>
          <w:p>
            <w:pPr>
              <w:pStyle w:val="Compact"/>
              <w:jc w:val="left"/>
            </w:pPr>
            <w:r>
              <w:t xml:space="preserve">DSA §9.2: 72-hour notice for breach involving Shared Data/SDK Data</w:t>
            </w:r>
          </w:p>
        </w:tc>
        <w:tc>
          <w:tcPr/>
          <w:p>
            <w:pPr>
              <w:pStyle w:val="Compact"/>
              <w:jc w:val="left"/>
            </w:pPr>
            <w:r>
              <w:t xml:space="preserve">Breach Log Notification Log: no Brightly notification</w:t>
            </w:r>
          </w:p>
        </w:tc>
        <w:tc>
          <w:tcPr/>
          <w:p>
            <w:pPr>
              <w:pStyle w:val="Compact"/>
              <w:jc w:val="left"/>
            </w:pPr>
            <w:r>
              <w:t xml:space="preserve">Possible missed contractual notice</w:t>
            </w:r>
          </w:p>
        </w:tc>
      </w:tr>
      <w:tr>
        <w:tc>
          <w:tcPr/>
          <w:p>
            <w:pPr>
              <w:pStyle w:val="Compact"/>
              <w:jc w:val="left"/>
            </w:pPr>
            <w:r>
              <w:t xml:space="preserve">12</w:t>
            </w:r>
          </w:p>
        </w:tc>
        <w:tc>
          <w:tcPr/>
          <w:p>
            <w:pPr>
              <w:pStyle w:val="Compact"/>
              <w:jc w:val="left"/>
            </w:pPr>
            <w:r>
              <w:t xml:space="preserve">Governing law / forum</w:t>
            </w:r>
          </w:p>
        </w:tc>
        <w:tc>
          <w:tcPr/>
          <w:p>
            <w:pPr>
              <w:pStyle w:val="Compact"/>
              <w:jc w:val="left"/>
            </w:pPr>
            <w:r>
              <w:t xml:space="preserve">Privacy Policy: Texas law; Travis County courts</w:t>
            </w:r>
          </w:p>
        </w:tc>
        <w:tc>
          <w:tcPr/>
          <w:p>
            <w:pPr>
              <w:pStyle w:val="Compact"/>
              <w:jc w:val="left"/>
            </w:pPr>
            <w:r>
              <w:t xml:space="preserve">DSA §14.1–14.2: New York law; AAA arbitration</w:t>
            </w:r>
          </w:p>
        </w:tc>
        <w:tc>
          <w:tcPr/>
          <w:p>
            <w:pPr>
              <w:pStyle w:val="Compact"/>
              <w:jc w:val="left"/>
            </w:pPr>
            <w:r>
              <w:t xml:space="preserve">Inconsistent dispute-resolution provisions (minor)</w:t>
            </w:r>
          </w:p>
        </w:tc>
      </w:tr>
    </w:tbl>
    <w:bookmarkEnd w:id="41"/>
    <w:bookmarkStart w:id="42" w:name="vi.-prioritized-remediation-roadmap"/>
    <w:p>
      <w:pPr>
        <w:pStyle w:val="Heading2"/>
      </w:pPr>
      <w:r>
        <w:t xml:space="preserve">VI. Prioritized Remediation Roadmap</w:t>
      </w:r>
    </w:p>
    <w:p>
      <w:pPr>
        <w:pStyle w:val="FirstParagraph"/>
      </w:pPr>
      <w:r>
        <w:t xml:space="preserve">We recommend sequencing remediation against two external deadlines: the</w:t>
      </w:r>
      <w:r>
        <w:t xml:space="preserve"> </w:t>
      </w:r>
      <w:r>
        <w:rPr>
          <w:b/>
          <w:bCs/>
        </w:rPr>
        <w:t xml:space="preserve">April 15, 2025 Series C due diligence deadline</w:t>
      </w:r>
      <w:r>
        <w:t xml:space="preserve"> </w:t>
      </w:r>
      <w:r>
        <w:t xml:space="preserve">and the</w:t>
      </w:r>
      <w:r>
        <w:t xml:space="preserve"> </w:t>
      </w:r>
      <w:r>
        <w:rPr>
          <w:b/>
          <w:bCs/>
        </w:rPr>
        <w:t xml:space="preserve">Q3 2025 EU market launch</w:t>
      </w:r>
      <w:r>
        <w:t xml:space="preserve">. The following roadmap is preliminary and will be refined as the review continues.</w:t>
      </w:r>
    </w:p>
    <w:p>
      <w:pPr>
        <w:pStyle w:val="BodyText"/>
      </w:pPr>
      <w:r>
        <w:rPr>
          <w:b/>
          <w:bCs/>
        </w:rPr>
        <w:t xml:space="preserve">Immediate (before April 15, 2025 diligence deadline):</w:t>
      </w:r>
    </w:p>
    <w:p>
      <w:pPr>
        <w:pStyle w:val="Compact"/>
        <w:numPr>
          <w:ilvl w:val="0"/>
          <w:numId w:val="1003"/>
        </w:numPr>
      </w:pPr>
      <w:r>
        <w:rPr>
          <w:b/>
          <w:bCs/>
        </w:rPr>
        <w:t xml:space="preserve">Issue 1 (Transfers):</w:t>
      </w:r>
      <w:r>
        <w:t xml:space="preserve"> </w:t>
      </w:r>
      <w:r>
        <w:t xml:space="preserve">Initiate DPF certification or execute SCCs with CloudFort plus a Transfer Impact Assessment; designate an Article 27 EU representative; remove the Privacy Shield reference from the Privacy Policy.</w:t>
      </w:r>
    </w:p>
    <w:p>
      <w:pPr>
        <w:pStyle w:val="Compact"/>
        <w:numPr>
          <w:ilvl w:val="0"/>
          <w:numId w:val="1003"/>
        </w:numPr>
      </w:pPr>
      <w:r>
        <w:rPr>
          <w:b/>
          <w:bCs/>
        </w:rPr>
        <w:t xml:space="preserve">Issue 2 (Biometrics):</w:t>
      </w:r>
      <w:r>
        <w:t xml:space="preserve"> </w:t>
      </w:r>
      <w:r>
        <w:t xml:space="preserve">Implement a legal hold; suspend or consent-cure Selfie Verify; publish a biometric retention/destruction policy; add a biometric disclosure to the Privacy Policy; commission the state-by-state biometric analysis.</w:t>
      </w:r>
    </w:p>
    <w:p>
      <w:pPr>
        <w:pStyle w:val="Compact"/>
        <w:numPr>
          <w:ilvl w:val="0"/>
          <w:numId w:val="1003"/>
        </w:numPr>
      </w:pPr>
      <w:r>
        <w:rPr>
          <w:b/>
          <w:bCs/>
        </w:rPr>
        <w:t xml:space="preserve">Issue 4 (Breach):</w:t>
      </w:r>
      <w:r>
        <w:t xml:space="preserve"> </w:t>
      </w:r>
      <w:r>
        <w:t xml:space="preserve">Reconstruct the notification timeline; assess Article 33/34 and state AG compliance and any curative self-report; assess CPRA § 1798.150 exposure; evaluate disclosure to Kessler Whitman.</w:t>
      </w:r>
    </w:p>
    <w:p>
      <w:pPr>
        <w:pStyle w:val="Compact"/>
        <w:numPr>
          <w:ilvl w:val="0"/>
          <w:numId w:val="1003"/>
        </w:numPr>
      </w:pPr>
      <w:r>
        <w:rPr>
          <w:b/>
          <w:bCs/>
        </w:rPr>
        <w:t xml:space="preserve">Issue 5 (Brightly):</w:t>
      </w:r>
      <w:r>
        <w:t xml:space="preserve"> </w:t>
      </w:r>
      <w:r>
        <w:t xml:space="preserve">Complete the CPRA sale/sharing analysis; add</w:t>
      </w:r>
      <w:r>
        <w:t xml:space="preserve"> </w:t>
      </w:r>
      <w:r>
        <w:t xml:space="preserve">“</w:t>
      </w:r>
      <w:r>
        <w:t xml:space="preserve">Do Not Sell or Share</w:t>
      </w:r>
      <w:r>
        <w:t xml:space="preserve">”</w:t>
      </w:r>
      <w:r>
        <w:t xml:space="preserve"> </w:t>
      </w:r>
      <w:r>
        <w:t xml:space="preserve">and</w:t>
      </w:r>
      <w:r>
        <w:t xml:space="preserve"> </w:t>
      </w:r>
      <w:r>
        <w:t xml:space="preserve">“</w:t>
      </w:r>
      <w:r>
        <w:t xml:space="preserve">Limit Use of Sensitive PI</w:t>
      </w:r>
      <w:r>
        <w:t xml:space="preserve">”</w:t>
      </w:r>
      <w:r>
        <w:t xml:space="preserve"> </w:t>
      </w:r>
      <w:r>
        <w:t xml:space="preserve">mechanisms; correct the Privacy Policy’s Nevada statement and Brightly description; reconcile DSA §7.1 representations.</w:t>
      </w:r>
    </w:p>
    <w:p>
      <w:pPr>
        <w:pStyle w:val="Compact"/>
        <w:numPr>
          <w:ilvl w:val="0"/>
          <w:numId w:val="1003"/>
        </w:numPr>
      </w:pPr>
      <w:r>
        <w:rPr>
          <w:b/>
          <w:bCs/>
        </w:rPr>
        <w:t xml:space="preserve">Issue 3 (Smart Insights):</w:t>
      </w:r>
      <w:r>
        <w:t xml:space="preserve"> </w:t>
      </w:r>
      <w:r>
        <w:t xml:space="preserve">Add automated-decision-making disclosure; implement human-review and opt-out; commission the fair-lending review.</w:t>
      </w:r>
    </w:p>
    <w:p>
      <w:pPr>
        <w:pStyle w:val="FirstParagraph"/>
      </w:pPr>
      <w:r>
        <w:rPr>
          <w:b/>
          <w:bCs/>
        </w:rPr>
        <w:t xml:space="preserve">Near-term (before Q3 2025 EU launch):</w:t>
      </w:r>
    </w:p>
    <w:p>
      <w:pPr>
        <w:pStyle w:val="Compact"/>
        <w:numPr>
          <w:ilvl w:val="0"/>
          <w:numId w:val="1004"/>
        </w:numPr>
      </w:pPr>
      <w:r>
        <w:rPr>
          <w:b/>
          <w:bCs/>
        </w:rPr>
        <w:t xml:space="preserve">Issue 6 (GDPR governance):</w:t>
      </w:r>
      <w:r>
        <w:t xml:space="preserve"> </w:t>
      </w:r>
      <w:r>
        <w:t xml:space="preserve">Appoint a DPO; document lawful bases and conduct LIAs; complete mandatory DPIAs (PA-001, PA-003, PA-007); rewrite Article 13/14 disclosures; migrate from browsewrap to explicit consent.</w:t>
      </w:r>
    </w:p>
    <w:p>
      <w:pPr>
        <w:pStyle w:val="Compact"/>
        <w:numPr>
          <w:ilvl w:val="0"/>
          <w:numId w:val="1004"/>
        </w:numPr>
      </w:pPr>
      <w:r>
        <w:rPr>
          <w:b/>
          <w:bCs/>
        </w:rPr>
        <w:t xml:space="preserve">Issue 8 (CPRA rights):</w:t>
      </w:r>
      <w:r>
        <w:t xml:space="preserve"> </w:t>
      </w:r>
      <w:r>
        <w:t xml:space="preserve">Rewrite the California section with all rights and sensitive-PI mechanisms.</w:t>
      </w:r>
    </w:p>
    <w:p>
      <w:pPr>
        <w:pStyle w:val="Compact"/>
        <w:numPr>
          <w:ilvl w:val="0"/>
          <w:numId w:val="1004"/>
        </w:numPr>
      </w:pPr>
      <w:r>
        <w:rPr>
          <w:b/>
          <w:bCs/>
        </w:rPr>
        <w:t xml:space="preserve">Issue 9 (Retention):</w:t>
      </w:r>
      <w:r>
        <w:t xml:space="preserve"> </w:t>
      </w:r>
      <w:r>
        <w:t xml:space="preserve">Establish and disclose category-specific retention periods; implement deletion on closure.</w:t>
      </w:r>
    </w:p>
    <w:p>
      <w:pPr>
        <w:pStyle w:val="Compact"/>
        <w:numPr>
          <w:ilvl w:val="0"/>
          <w:numId w:val="1004"/>
        </w:numPr>
      </w:pPr>
      <w:r>
        <w:rPr>
          <w:b/>
          <w:bCs/>
        </w:rPr>
        <w:t xml:space="preserve">Issue 10 (Cookies):</w:t>
      </w:r>
      <w:r>
        <w:t xml:space="preserve"> </w:t>
      </w:r>
      <w:r>
        <w:t xml:space="preserve">Implement a compliant consent management platform; add CalOPPA DNT disclosure; reduce third-party tracker sprawl.</w:t>
      </w:r>
    </w:p>
    <w:p>
      <w:pPr>
        <w:pStyle w:val="Compact"/>
        <w:numPr>
          <w:ilvl w:val="0"/>
          <w:numId w:val="1004"/>
        </w:numPr>
      </w:pPr>
      <w:r>
        <w:rPr>
          <w:b/>
          <w:bCs/>
        </w:rPr>
        <w:t xml:space="preserve">Issue 7 (GLBA):</w:t>
      </w:r>
      <w:r>
        <w:t xml:space="preserve"> </w:t>
      </w:r>
      <w:r>
        <w:t xml:space="preserve">Complete the GLBA characterization analysis and implement Reg. P notices/opt-out if applicable.</w:t>
      </w:r>
    </w:p>
    <w:p>
      <w:pPr>
        <w:pStyle w:val="FirstParagraph"/>
      </w:pPr>
      <w:r>
        <w:rPr>
          <w:b/>
          <w:bCs/>
        </w:rPr>
        <w:t xml:space="preserve">Ongoing / structural:</w:t>
      </w:r>
    </w:p>
    <w:p>
      <w:pPr>
        <w:pStyle w:val="Compact"/>
        <w:numPr>
          <w:ilvl w:val="0"/>
          <w:numId w:val="1005"/>
        </w:numPr>
      </w:pPr>
      <w:r>
        <w:rPr>
          <w:b/>
          <w:bCs/>
        </w:rPr>
        <w:t xml:space="preserve">Issue 11:</w:t>
      </w:r>
      <w:r>
        <w:t xml:space="preserve"> </w:t>
      </w:r>
      <w:r>
        <w:t xml:space="preserve">Reconcile the EU data-location inconsistency and update all records.</w:t>
      </w:r>
    </w:p>
    <w:p>
      <w:pPr>
        <w:pStyle w:val="Compact"/>
        <w:numPr>
          <w:ilvl w:val="0"/>
          <w:numId w:val="1005"/>
        </w:numPr>
      </w:pPr>
      <w:r>
        <w:rPr>
          <w:b/>
          <w:bCs/>
        </w:rPr>
        <w:t xml:space="preserve">Issue 12:</w:t>
      </w:r>
      <w:r>
        <w:t xml:space="preserve"> </w:t>
      </w:r>
      <w:r>
        <w:t xml:space="preserve">Comprehensive Privacy Policy rewrite (layered, plain-language).</w:t>
      </w:r>
    </w:p>
    <w:p>
      <w:pPr>
        <w:pStyle w:val="Compact"/>
        <w:numPr>
          <w:ilvl w:val="0"/>
          <w:numId w:val="1005"/>
        </w:numPr>
      </w:pPr>
      <w:r>
        <w:rPr>
          <w:b/>
          <w:bCs/>
        </w:rPr>
        <w:t xml:space="preserve">Issue 13:</w:t>
      </w:r>
      <w:r>
        <w:t xml:space="preserve"> </w:t>
      </w:r>
      <w:r>
        <w:t xml:space="preserve">Partner-referral sale/GLBA/FCRA analysis.</w:t>
      </w:r>
    </w:p>
    <w:p>
      <w:pPr>
        <w:pStyle w:val="Compact"/>
        <w:numPr>
          <w:ilvl w:val="0"/>
          <w:numId w:val="1005"/>
        </w:numPr>
      </w:pPr>
      <w:r>
        <w:rPr>
          <w:b/>
          <w:bCs/>
        </w:rPr>
        <w:t xml:space="preserve">Issue 14:</w:t>
      </w:r>
      <w:r>
        <w:t xml:space="preserve"> </w:t>
      </w:r>
      <w:r>
        <w:t xml:space="preserve">DSA §9.2 analysis and indemnity-reserve evaluation; consider DSA amendment.</w:t>
      </w:r>
    </w:p>
    <w:p>
      <w:pPr>
        <w:pStyle w:val="Compact"/>
        <w:numPr>
          <w:ilvl w:val="0"/>
          <w:numId w:val="1005"/>
        </w:numPr>
      </w:pPr>
      <w:r>
        <w:rPr>
          <w:b/>
          <w:bCs/>
        </w:rPr>
        <w:t xml:space="preserve">Issue 15:</w:t>
      </w:r>
      <w:r>
        <w:t xml:space="preserve"> </w:t>
      </w:r>
      <w:r>
        <w:t xml:space="preserve">Security-program hardening and SOC 2 Type II pursuit; align policy representations to actual practices.</w:t>
      </w:r>
    </w:p>
    <w:bookmarkEnd w:id="42"/>
    <w:bookmarkStart w:id="43" w:name="vii.-conclusion-and-next-steps"/>
    <w:p>
      <w:pPr>
        <w:pStyle w:val="Heading2"/>
      </w:pPr>
      <w:r>
        <w:t xml:space="preserve">VII. Conclusion and Next Steps</w:t>
      </w:r>
    </w:p>
    <w:p>
      <w:pPr>
        <w:pStyle w:val="FirstParagraph"/>
      </w:pPr>
      <w:r>
        <w:t xml:space="preserve">The cross-document review confirms that Vaultline’s privacy and data-protection posture contains multiple material compliance gaps, several of which carry quantified liability exposure that materially exceeds the Company’s annual revenue and that are likely to be deal-affecting in the Series C context. The most urgent exposures — the invalidated EU transfer mechanism, the undisclosed biometric processing, the undisclosed automated decision-making, and the breach-notification failures — should be addressed before the April 15, 2025 diligence deadline, both to mitigate regulatory and litigation risk and to position the Company constructively for the Kessler Whitman investment and the Q3 2025 EU launch.</w:t>
      </w:r>
    </w:p>
    <w:p>
      <w:pPr>
        <w:pStyle w:val="BodyText"/>
      </w:pPr>
      <w:r>
        <w:t xml:space="preserve">We recommend the following immediate next steps: (1) a privileged working session with the Incident Response Team and key personnel to confirm the factual record underlying Issues 1, 2, 4, and 11; (2) engagement of a DPIA/transfer-assessment resource to begin the Article 35 and Chapter V work; (3) preparation of a curated remediation plan and timeline for disclosure to Ashford Barnes, framed to support the investment while preserving privilege; and (4) a follow-up memorandum addressing any additional issues identified as we complete the review of remaining data-room materials.</w:t>
      </w:r>
    </w:p>
    <w:p>
      <w:pPr>
        <w:pStyle w:val="BodyText"/>
      </w:pPr>
      <w:r>
        <w:t xml:space="preserve">This memorandum is preliminary, is based on the five Reviewed Materials identified in Part II, and is subject to revision as our review progresses. It is privileged and confidential, is prepared in anticipation of litigation and regulatory inquiry, and is intended only for the named recipients.</w:t>
      </w:r>
    </w:p>
    <w:p>
      <w:r>
        <w:pict>
          <v:rect style="width:0;height:1.5pt" o:hralign="center" o:hrstd="t" o:hr="t"/>
        </w:pict>
      </w:r>
    </w:p>
    <w:p>
      <w:pPr>
        <w:pStyle w:val="FirstParagraph"/>
      </w:pPr>
      <w:r>
        <w:rPr>
          <w:b/>
          <w:bCs/>
        </w:rPr>
        <w:t xml:space="preserve">Thornbury &amp; Locke LLP</w:t>
      </w:r>
    </w:p>
    <w:p>
      <w:pPr>
        <w:pStyle w:val="BodyText"/>
      </w:pPr>
      <w:r>
        <w:t xml:space="preserve">Catherine Aldridge, Partner</w:t>
      </w:r>
      <w:r>
        <w:t xml:space="preserve"> </w:t>
      </w:r>
      <w:r>
        <w:t xml:space="preserve">Daniel Fong, Associate</w:t>
      </w:r>
    </w:p>
    <w:p>
      <w:pPr>
        <w:pStyle w:val="BodyText"/>
      </w:pPr>
      <w:r>
        <w:rPr>
          <w:i/>
          <w:iCs/>
        </w:rPr>
        <w:t xml:space="preserve">Prepared in connection with Matter No. TL-VT-2025-014. Attorney-Client Privileged / Attorney Work Product.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2026-06-28T10:13:12Z</dcterms:created>
  <dcterms:modified xsi:type="dcterms:W3CDTF">2026-06-28T10:13:12Z</dcterms:modified>
</cp:coreProperties>
</file>

<file path=docProps/custom.xml><?xml version="1.0" encoding="utf-8"?>
<Properties xmlns="http://schemas.openxmlformats.org/officeDocument/2006/custom-properties" xmlns:vt="http://schemas.openxmlformats.org/officeDocument/2006/docPropsVTypes"/>
</file>